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10B" w:rsidRDefault="008C5989" w:rsidP="0078310B">
      <w:pPr>
        <w:widowControl w:val="0"/>
        <w:jc w:val="center"/>
        <w:rPr>
          <w:b/>
          <w:sz w:val="72"/>
          <w:szCs w:val="72"/>
        </w:rPr>
      </w:pPr>
      <w:r w:rsidRPr="008C5989">
        <w:rPr>
          <w:b/>
          <w:noProof/>
          <w:sz w:val="72"/>
          <w:szCs w:val="72"/>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937885" cy="7684770"/>
            <wp:effectExtent l="0" t="0" r="5715" b="0"/>
            <wp:wrapNone/>
            <wp:docPr id="13" name="Picture 13" descr="\\law.csuohio.edu\staff\home\1001515\Desktop\2017 Text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2017 Textbook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10B" w:rsidRDefault="0078310B" w:rsidP="0078310B">
      <w:pPr>
        <w:rPr>
          <w:b/>
          <w:sz w:val="32"/>
          <w:szCs w:val="32"/>
        </w:rPr>
      </w:pPr>
      <w:r>
        <w:rPr>
          <w:b/>
          <w:sz w:val="32"/>
          <w:szCs w:val="32"/>
        </w:rPr>
        <w:br w:type="page"/>
      </w:r>
    </w:p>
    <w:p w:rsidR="0078310B" w:rsidRDefault="0078310B" w:rsidP="0078310B">
      <w:pPr>
        <w:rPr>
          <w:rFonts w:eastAsiaTheme="majorEastAsia" w:cstheme="majorBidi"/>
          <w:b/>
          <w:bCs/>
          <w:sz w:val="28"/>
          <w:szCs w:val="28"/>
          <w:u w:val="single"/>
        </w:rPr>
      </w:pPr>
      <w:r>
        <w:lastRenderedPageBreak/>
        <w:br w:type="page"/>
      </w:r>
    </w:p>
    <w:p w:rsidR="0078310B" w:rsidRDefault="0078310B" w:rsidP="0078310B">
      <w:pPr>
        <w:pStyle w:val="Heading2"/>
        <w:rPr>
          <w:u w:val="single"/>
        </w:rPr>
      </w:pPr>
      <w:bookmarkStart w:id="0" w:name="_Toc395790315"/>
      <w:r w:rsidRPr="00D334D7">
        <w:rPr>
          <w:u w:val="single"/>
        </w:rPr>
        <w:lastRenderedPageBreak/>
        <w:t>About the Author</w:t>
      </w:r>
      <w:bookmarkEnd w:id="0"/>
    </w:p>
    <w:p w:rsidR="0078310B" w:rsidRPr="00D334D7" w:rsidRDefault="0078310B" w:rsidP="0078310B"/>
    <w:p w:rsidR="0078310B" w:rsidRDefault="0078310B" w:rsidP="0078310B">
      <w:pPr>
        <w:widowControl w:val="0"/>
        <w:spacing w:after="120"/>
        <w:ind w:firstLine="288"/>
        <w:jc w:val="both"/>
      </w:pPr>
      <w:r w:rsidRPr="00E22973">
        <w:t>Professor Geier is a summ</w:t>
      </w:r>
      <w:r>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Circuit. Before joining the Cleveland-Marshall College of Law faculty in 1989, she was an associate in the tax group with the law firm of Sullivan &amp; Cromwell in New York. She was a co-author of the 1st, 2nd, and 3rd editions of “Federal Income Tax: Doctrine, Structure, and Policy”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t>f Law at Cleveland-Marshall (a three</w:t>
      </w:r>
      <w:r w:rsidRPr="00E22973">
        <w:t>-year, rotating, endowed professorship).</w:t>
      </w:r>
    </w:p>
    <w:p w:rsidR="0078310B" w:rsidRDefault="0078310B" w:rsidP="0078310B">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rsidR="0078310B" w:rsidRDefault="0078310B" w:rsidP="0078310B"/>
    <w:p w:rsidR="0078310B" w:rsidRPr="00D334D7" w:rsidRDefault="0078310B" w:rsidP="0078310B">
      <w:pPr>
        <w:pStyle w:val="Heading2"/>
        <w:rPr>
          <w:u w:val="single"/>
        </w:rPr>
      </w:pPr>
      <w:bookmarkStart w:id="1" w:name="_Toc395790317"/>
      <w:r w:rsidRPr="00D334D7">
        <w:rPr>
          <w:u w:val="single"/>
        </w:rPr>
        <w:t>About CALI eLangdell Press</w:t>
      </w:r>
      <w:bookmarkEnd w:id="1"/>
    </w:p>
    <w:p w:rsidR="0078310B" w:rsidRDefault="0078310B" w:rsidP="0078310B">
      <w:pPr>
        <w:widowControl w:val="0"/>
        <w:jc w:val="both"/>
      </w:pPr>
    </w:p>
    <w:p w:rsidR="0078310B" w:rsidRDefault="002B3596" w:rsidP="0078310B">
      <w:pPr>
        <w:widowControl w:val="0"/>
        <w:spacing w:after="120"/>
        <w:ind w:firstLine="288"/>
        <w:jc w:val="both"/>
      </w:pPr>
      <w:hyperlink r:id="rId9" w:history="1">
        <w:r w:rsidR="0078310B" w:rsidRPr="00DA4621">
          <w:rPr>
            <w:rStyle w:val="Hyperlink"/>
          </w:rPr>
          <w:t>The Center for Computer-Assisted Legal Instruction</w:t>
        </w:r>
      </w:hyperlink>
      <w:r w:rsidR="0078310B">
        <w:t xml:space="preserve"> (CALI®) is: a nonprofit organization with over 200 member US law schools, an innovative force pushing legal education toward change for the better. There are benefits to CALI membership for your school, firm, or organization. </w:t>
      </w:r>
      <w:hyperlink r:id="rId10" w:history="1">
        <w:r w:rsidR="0078310B" w:rsidRPr="00C34160">
          <w:rPr>
            <w:rStyle w:val="Hyperlink"/>
          </w:rPr>
          <w:t>ELangdell</w:t>
        </w:r>
      </w:hyperlink>
      <w:r w:rsidR="0078310B">
        <w:t xml:space="preserve">® is our electronic press with a mission to publish more open books for legal education. </w:t>
      </w:r>
    </w:p>
    <w:p w:rsidR="0078310B" w:rsidRDefault="00496DEE" w:rsidP="0078310B">
      <w:pPr>
        <w:widowControl w:val="0"/>
        <w:spacing w:after="120"/>
        <w:jc w:val="both"/>
      </w:pPr>
      <w:r>
        <w:t>How do we define “open”?</w:t>
      </w:r>
      <w:r w:rsidR="0078310B">
        <w:t xml:space="preserve"> </w:t>
      </w:r>
    </w:p>
    <w:p w:rsidR="0078310B" w:rsidRDefault="0078310B" w:rsidP="0078310B">
      <w:pPr>
        <w:pStyle w:val="ListParagraph"/>
        <w:widowControl w:val="0"/>
        <w:numPr>
          <w:ilvl w:val="0"/>
          <w:numId w:val="41"/>
        </w:numPr>
        <w:spacing w:after="120"/>
        <w:jc w:val="both"/>
      </w:pPr>
      <w:r>
        <w:t>Compatibility with devices like smartphones, tablets, and e-readers; as well as print.</w:t>
      </w:r>
    </w:p>
    <w:p w:rsidR="0078310B" w:rsidRDefault="0078310B" w:rsidP="0078310B">
      <w:pPr>
        <w:pStyle w:val="ListParagraph"/>
        <w:widowControl w:val="0"/>
        <w:numPr>
          <w:ilvl w:val="0"/>
          <w:numId w:val="41"/>
        </w:numPr>
        <w:spacing w:after="120"/>
        <w:jc w:val="both"/>
      </w:pPr>
      <w:r>
        <w:t>The right for educators to remix the materials through more lenient copyright policies.</w:t>
      </w:r>
    </w:p>
    <w:p w:rsidR="0078310B" w:rsidRDefault="0078310B" w:rsidP="0078310B">
      <w:pPr>
        <w:pStyle w:val="ListParagraph"/>
        <w:widowControl w:val="0"/>
        <w:numPr>
          <w:ilvl w:val="0"/>
          <w:numId w:val="41"/>
        </w:numPr>
        <w:spacing w:after="120"/>
        <w:jc w:val="both"/>
      </w:pPr>
      <w:r>
        <w:t>The ability for educators and students to adopt the materials for free.</w:t>
      </w:r>
    </w:p>
    <w:p w:rsidR="0078310B" w:rsidRDefault="0078310B" w:rsidP="0078310B">
      <w:pPr>
        <w:widowControl w:val="0"/>
        <w:spacing w:after="120"/>
        <w:jc w:val="both"/>
      </w:pPr>
      <w:r>
        <w:t xml:space="preserve">Find available and upcoming eLangdell titles at </w:t>
      </w:r>
      <w:hyperlink r:id="rId11" w:history="1">
        <w:r w:rsidRPr="00C34160">
          <w:rPr>
            <w:rStyle w:val="Hyperlink"/>
          </w:rPr>
          <w:t>elangdell.cali.org</w:t>
        </w:r>
      </w:hyperlink>
      <w:r>
        <w:t xml:space="preserve">. Show support for CALI by following us on </w:t>
      </w:r>
      <w:hyperlink r:id="rId12" w:history="1">
        <w:r w:rsidRPr="00C34160">
          <w:rPr>
            <w:rStyle w:val="Hyperlink"/>
          </w:rPr>
          <w:t>Facebook</w:t>
        </w:r>
      </w:hyperlink>
      <w:r>
        <w:t xml:space="preserve"> and </w:t>
      </w:r>
      <w:hyperlink r:id="rId13" w:history="1">
        <w:r w:rsidRPr="00C34160">
          <w:rPr>
            <w:rStyle w:val="Hyperlink"/>
          </w:rPr>
          <w:t>Twitter</w:t>
        </w:r>
      </w:hyperlink>
      <w:r w:rsidR="00024DC5">
        <w:t xml:space="preserve"> </w:t>
      </w:r>
      <w:r>
        <w:t>and by telling your friends and colleagues where you received your free book.</w:t>
      </w:r>
    </w:p>
    <w:p w:rsidR="0078310B" w:rsidRDefault="0078310B" w:rsidP="0078310B">
      <w:r>
        <w:br w:type="page"/>
      </w:r>
    </w:p>
    <w:p w:rsidR="0078310B" w:rsidRDefault="0078310B" w:rsidP="0078310B">
      <w:pPr>
        <w:pStyle w:val="Heading2"/>
        <w:rPr>
          <w:u w:val="single"/>
        </w:rPr>
      </w:pPr>
      <w:bookmarkStart w:id="2" w:name="_Toc395790316"/>
      <w:r w:rsidRPr="00D334D7">
        <w:rPr>
          <w:u w:val="single"/>
        </w:rPr>
        <w:t>Notices</w:t>
      </w:r>
      <w:bookmarkEnd w:id="2"/>
    </w:p>
    <w:p w:rsidR="0078310B" w:rsidRPr="00D334D7" w:rsidRDefault="0078310B" w:rsidP="0078310B"/>
    <w:p w:rsidR="0078310B" w:rsidRDefault="007F715E" w:rsidP="0078310B">
      <w:pPr>
        <w:widowControl w:val="0"/>
        <w:spacing w:after="120"/>
        <w:ind w:firstLine="288"/>
        <w:jc w:val="both"/>
      </w:pPr>
      <w:r>
        <w:t>This is the fourth</w:t>
      </w:r>
      <w:r w:rsidR="0078310B">
        <w:t xml:space="preserve"> version of this textboo</w:t>
      </w:r>
      <w:r>
        <w:t>k, updated through December 2016</w:t>
      </w:r>
      <w:r w:rsidR="0078310B">
        <w:t xml:space="preserve">. Visit </w:t>
      </w:r>
      <w:hyperlink r:id="rId14" w:history="1">
        <w:r w:rsidR="0078310B" w:rsidRPr="000D160F">
          <w:rPr>
            <w:rStyle w:val="Hyperlink"/>
          </w:rPr>
          <w:t>http://elangdell.cali.org/</w:t>
        </w:r>
      </w:hyperlink>
      <w:r w:rsidR="0078310B">
        <w:t xml:space="preserve"> for the latest version and for revision history.</w:t>
      </w:r>
    </w:p>
    <w:p w:rsidR="0078310B" w:rsidRDefault="0078310B" w:rsidP="0078310B">
      <w:pPr>
        <w:widowControl w:val="0"/>
        <w:spacing w:after="120"/>
        <w:ind w:firstLine="720"/>
        <w:jc w:val="both"/>
      </w:pPr>
      <w:r>
        <w:rPr>
          <w:noProof/>
          <w:szCs w:val="21"/>
        </w:rPr>
        <w:drawing>
          <wp:inline distT="0" distB="0" distL="0" distR="0" wp14:anchorId="30FCA4BD" wp14:editId="6748B3E9">
            <wp:extent cx="966470" cy="3448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344805"/>
                    </a:xfrm>
                    <a:prstGeom prst="rect">
                      <a:avLst/>
                    </a:prstGeom>
                    <a:noFill/>
                    <a:ln>
                      <a:noFill/>
                    </a:ln>
                  </pic:spPr>
                </pic:pic>
              </a:graphicData>
            </a:graphic>
          </wp:inline>
        </w:drawing>
      </w:r>
    </w:p>
    <w:p w:rsidR="0078310B" w:rsidRDefault="0078310B" w:rsidP="0078310B">
      <w:pPr>
        <w:widowControl w:val="0"/>
        <w:spacing w:after="120"/>
        <w:ind w:firstLine="288"/>
        <w:jc w:val="both"/>
      </w:pPr>
      <w:r>
        <w:t xml:space="preserve">This work by Deborah A. Geier is licensed and published by CALI eLangdell Press under a </w:t>
      </w:r>
      <w:hyperlink r:id="rId16"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0D160F">
          <w:rPr>
            <w:rStyle w:val="Hyperlink"/>
          </w:rPr>
          <w:t>feedback@cali.org</w:t>
        </w:r>
      </w:hyperlink>
      <w:r>
        <w:t>.</w:t>
      </w:r>
    </w:p>
    <w:p w:rsidR="0078310B" w:rsidRDefault="0078310B" w:rsidP="0078310B">
      <w:pPr>
        <w:widowControl w:val="0"/>
        <w:spacing w:after="120"/>
        <w:ind w:firstLine="288"/>
        <w:jc w:val="both"/>
      </w:pPr>
      <w:r>
        <w:t>In brief, the terms of that license are that you may copy, distribute, and display this work, or make derivative works, so long as</w:t>
      </w:r>
    </w:p>
    <w:p w:rsidR="0078310B" w:rsidRDefault="0078310B" w:rsidP="0078310B">
      <w:pPr>
        <w:pStyle w:val="ListParagraph"/>
        <w:widowControl w:val="0"/>
        <w:numPr>
          <w:ilvl w:val="0"/>
          <w:numId w:val="40"/>
        </w:numPr>
        <w:spacing w:after="120"/>
        <w:jc w:val="both"/>
      </w:pPr>
      <w:r>
        <w:t>you give CALI eLangdell Press and the author credit;</w:t>
      </w:r>
    </w:p>
    <w:p w:rsidR="0078310B" w:rsidRDefault="0078310B" w:rsidP="0078310B">
      <w:pPr>
        <w:pStyle w:val="ListParagraph"/>
        <w:widowControl w:val="0"/>
        <w:numPr>
          <w:ilvl w:val="0"/>
          <w:numId w:val="40"/>
        </w:numPr>
        <w:spacing w:after="120"/>
        <w:jc w:val="both"/>
      </w:pPr>
      <w:r>
        <w:t>you do not use this work for commercial purposes; and</w:t>
      </w:r>
    </w:p>
    <w:p w:rsidR="0078310B" w:rsidRDefault="0078310B" w:rsidP="0078310B">
      <w:pPr>
        <w:pStyle w:val="ListParagraph"/>
        <w:widowControl w:val="0"/>
        <w:numPr>
          <w:ilvl w:val="0"/>
          <w:numId w:val="40"/>
        </w:numPr>
        <w:spacing w:after="120"/>
        <w:jc w:val="both"/>
      </w:pPr>
      <w:r>
        <w:t>you distribute any works derived from this one under the same licensing terms as this.</w:t>
      </w:r>
    </w:p>
    <w:p w:rsidR="0078310B" w:rsidRDefault="0078310B" w:rsidP="00496DEE">
      <w:pPr>
        <w:widowControl w:val="0"/>
        <w:spacing w:after="120"/>
        <w:ind w:firstLine="288"/>
        <w:jc w:val="both"/>
      </w:pPr>
      <w:r>
        <w:t>Suggested attribution format for original work:</w:t>
      </w:r>
    </w:p>
    <w:p w:rsidR="0078310B" w:rsidRDefault="0078310B" w:rsidP="0078310B">
      <w:pPr>
        <w:widowControl w:val="0"/>
        <w:spacing w:after="120"/>
        <w:jc w:val="both"/>
      </w:pPr>
      <w:r>
        <w:t>Deborah A. Geier, U.S. Federa</w:t>
      </w:r>
      <w:r w:rsidR="00024DC5">
        <w:t>l Income Tax of Individuals 2017</w:t>
      </w:r>
      <w:r>
        <w:t>, Published by CALI eLangdell Press. Available under a Creative Commons BY-NC-SA 3.0 License.</w:t>
      </w:r>
    </w:p>
    <w:p w:rsidR="0078310B" w:rsidRDefault="0078310B" w:rsidP="0078310B">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78310B" w:rsidRDefault="0078310B" w:rsidP="0078310B">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78310B" w:rsidRDefault="0078310B" w:rsidP="0078310B">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78310B" w:rsidRDefault="0078310B" w:rsidP="0078310B">
      <w:pPr>
        <w:widowControl w:val="0"/>
        <w:spacing w:after="120"/>
        <w:ind w:firstLine="288"/>
        <w:jc w:val="both"/>
      </w:pPr>
    </w:p>
    <w:p w:rsidR="0078310B" w:rsidRDefault="0078310B" w:rsidP="0078310B">
      <w:pPr>
        <w:widowControl w:val="0"/>
        <w:jc w:val="both"/>
        <w:rPr>
          <w:b/>
          <w:sz w:val="28"/>
          <w:szCs w:val="28"/>
          <w:u w:val="single"/>
        </w:rPr>
      </w:pPr>
      <w:r w:rsidRPr="005B7833">
        <w:rPr>
          <w:b/>
          <w:sz w:val="28"/>
          <w:szCs w:val="28"/>
          <w:u w:val="single"/>
        </w:rPr>
        <w:t xml:space="preserve">Permissions </w:t>
      </w:r>
    </w:p>
    <w:p w:rsidR="0078310B" w:rsidRPr="00A61DAF" w:rsidRDefault="0078310B" w:rsidP="0078310B">
      <w:pPr>
        <w:widowControl w:val="0"/>
        <w:jc w:val="both"/>
        <w:rPr>
          <w:b/>
          <w:u w:val="single"/>
        </w:rPr>
      </w:pPr>
    </w:p>
    <w:p w:rsidR="0078310B" w:rsidRDefault="0078310B" w:rsidP="0078310B">
      <w:pPr>
        <w:ind w:firstLine="288"/>
      </w:pPr>
      <w:r w:rsidRPr="00D27505">
        <w:t xml:space="preserve">CALI </w:t>
      </w:r>
      <w:r>
        <w:t xml:space="preserve">gratefully acknowledges permission from the following individuals and organizations to reprint materials: </w:t>
      </w:r>
    </w:p>
    <w:p w:rsidR="0078310B" w:rsidRDefault="0078310B" w:rsidP="0078310B"/>
    <w:p w:rsidR="0078310B" w:rsidRDefault="0078310B" w:rsidP="0078310B">
      <w:pPr>
        <w:widowControl w:val="0"/>
        <w:spacing w:after="120"/>
        <w:jc w:val="both"/>
      </w:pPr>
      <w:r>
        <w:t xml:space="preserve">The Urban Institute – charts appearing in Chapter 18 and elsewhere. </w:t>
      </w:r>
    </w:p>
    <w:p w:rsidR="0078310B" w:rsidRDefault="0078310B" w:rsidP="0078310B">
      <w:pPr>
        <w:widowControl w:val="0"/>
        <w:spacing w:after="120"/>
        <w:jc w:val="both"/>
      </w:pPr>
      <w:r>
        <w:t>Institute on Taxation and Economic Policy – charts appearing in Chapter 3 and elsewhere.</w:t>
      </w:r>
    </w:p>
    <w:p w:rsidR="0078310B" w:rsidRDefault="0078310B" w:rsidP="0078310B">
      <w:pPr>
        <w:widowControl w:val="0"/>
        <w:spacing w:after="120"/>
        <w:jc w:val="both"/>
      </w:pPr>
      <w:r>
        <w:t>Giving Institute and Giving USA Foundation – Giving USA 2014, Giving USA Foundation™.</w:t>
      </w:r>
    </w:p>
    <w:p w:rsidR="0078310B" w:rsidRDefault="0078310B" w:rsidP="0078310B">
      <w:pPr>
        <w:widowControl w:val="0"/>
        <w:spacing w:after="120"/>
        <w:jc w:val="both"/>
      </w:pPr>
      <w:r>
        <w:t>Center on Budget and Policy Priorities, www.cbpp.org – charts in Chapter 3 and elsewhere.</w:t>
      </w:r>
    </w:p>
    <w:p w:rsidR="0078310B" w:rsidRDefault="0078310B" w:rsidP="0078310B">
      <w:pPr>
        <w:widowControl w:val="0"/>
        <w:spacing w:after="120"/>
        <w:jc w:val="both"/>
      </w:pPr>
      <w:r>
        <w:t>OECD Health Data 2011, http:://www.oecd.org/health/healthdata</w:t>
      </w:r>
    </w:p>
    <w:p w:rsidR="0078310B" w:rsidRDefault="0078310B" w:rsidP="0078310B">
      <w:pPr>
        <w:widowControl w:val="0"/>
        <w:spacing w:after="120"/>
        <w:jc w:val="both"/>
      </w:pPr>
      <w:r>
        <w:t>Robert W. Wood – 83 Tax Notes 1941 (1999) and Forbes’ Oscar Goody Bag article.</w:t>
      </w:r>
    </w:p>
    <w:p w:rsidR="0078310B" w:rsidRDefault="0078310B" w:rsidP="0078310B">
      <w:pPr>
        <w:widowControl w:val="0"/>
        <w:spacing w:after="120"/>
        <w:jc w:val="both"/>
      </w:pPr>
      <w:r>
        <w:t>Tax Notes – graphs, charts and excerpts from the following articles: Bartlett, 127 Tax Notes 1429 (2012); Geier, 113 Tax Notes 576 (2006); Geier, 120 Tax Notes 989 (2008); Sullivan, 125 Tax Notes 1135 (2009); Sullivan, 135 Tax Notes 251 (2012); Sullivan, 137 Tax Notes 462 (2012); and Saririe, 137 Tax Notes 335 (2012).</w:t>
      </w:r>
    </w:p>
    <w:p w:rsidR="0078310B" w:rsidRDefault="0078310B" w:rsidP="0078310B">
      <w:pPr>
        <w:widowControl w:val="0"/>
        <w:spacing w:after="120"/>
        <w:jc w:val="both"/>
      </w:pPr>
      <w:r>
        <w:t>Erik M. Jensen, 58 Tax Notes 1257 (1993) and Praeger.</w:t>
      </w:r>
    </w:p>
    <w:p w:rsidR="0078310B" w:rsidRDefault="0078310B" w:rsidP="0078310B">
      <w:pPr>
        <w:widowControl w:val="0"/>
        <w:spacing w:after="120"/>
        <w:jc w:val="both"/>
      </w:pPr>
      <w:r>
        <w:t xml:space="preserve">Roberton Williams, chart from 134 Tax Notes 251 (2012). </w:t>
      </w:r>
    </w:p>
    <w:p w:rsidR="0078310B" w:rsidRDefault="0078310B" w:rsidP="0078310B">
      <w:pPr>
        <w:widowControl w:val="0"/>
        <w:spacing w:after="120"/>
        <w:jc w:val="both"/>
      </w:pPr>
      <w:r>
        <w:t xml:space="preserve">Alice G. Abreu &amp; Richard Greenstein, 11 Fla. Tax Rev. 306 (2011). </w:t>
      </w:r>
    </w:p>
    <w:p w:rsidR="0078310B" w:rsidRDefault="0078310B" w:rsidP="0078310B">
      <w:pPr>
        <w:widowControl w:val="0"/>
        <w:spacing w:after="120"/>
        <w:jc w:val="both"/>
      </w:pPr>
      <w:r>
        <w:t xml:space="preserve">University of Florida Frederic G. Levin College of Law, Florida Tax Review, 11 Fla. Tax Rev. 306 (2011). </w:t>
      </w:r>
    </w:p>
    <w:p w:rsidR="0078310B" w:rsidRDefault="0078310B" w:rsidP="0078310B">
      <w:pPr>
        <w:widowControl w:val="0"/>
        <w:spacing w:after="120"/>
        <w:jc w:val="both"/>
      </w:pPr>
      <w:r>
        <w:t xml:space="preserve">Jotwell: The Journal of Things We Like (Lots) and Neil H. Buchanan, Professor Buchanan’s book review excerpted in Chapter 3 and elsewhere.  </w:t>
      </w:r>
    </w:p>
    <w:p w:rsidR="0078310B" w:rsidRPr="00E22973" w:rsidRDefault="0078310B" w:rsidP="0078310B">
      <w:pPr>
        <w:widowControl w:val="0"/>
        <w:spacing w:after="120"/>
        <w:jc w:val="both"/>
      </w:pPr>
      <w:r>
        <w:t>Tax Foundation – chart appearing in Chapter 3 and elsewhere.</w:t>
      </w:r>
    </w:p>
    <w:p w:rsidR="0078310B" w:rsidRDefault="0078310B" w:rsidP="0078310B"/>
    <w:p w:rsidR="0078310B" w:rsidRDefault="0078310B" w:rsidP="0078310B">
      <w:r>
        <w:br w:type="page"/>
      </w:r>
    </w:p>
    <w:p w:rsidR="0078310B" w:rsidRPr="000B65F6" w:rsidRDefault="0078310B" w:rsidP="0078310B">
      <w:pPr>
        <w:pStyle w:val="Heading2"/>
        <w:spacing w:before="0"/>
        <w:rPr>
          <w:sz w:val="36"/>
          <w:szCs w:val="36"/>
          <w:u w:val="single"/>
        </w:rPr>
      </w:pPr>
      <w:bookmarkStart w:id="3" w:name="_Toc395790318"/>
      <w:r w:rsidRPr="000B65F6">
        <w:rPr>
          <w:sz w:val="36"/>
          <w:szCs w:val="36"/>
          <w:u w:val="single"/>
        </w:rPr>
        <w:t>Preface</w:t>
      </w:r>
      <w:bookmarkEnd w:id="3"/>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r>
        <w:t xml:space="preserve">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ePub format for iPads, Mobi format for Kindles, and pdf </w:t>
      </w:r>
      <w:r w:rsidR="007F715E">
        <w:t xml:space="preserve">and Word </w:t>
      </w:r>
      <w:r>
        <w:t xml:space="preserve">format for laptops). Fortunately, eLangdell (a division of CALI, the Center for Computer-Assisted Legal Instruction) has been an ideal partner in this regard. Because this textbook is published under a </w:t>
      </w:r>
      <w:r w:rsidRPr="00516630">
        <w:t>Creative Commons Attribution-NonCommercial-ShareAlike 3.0 Unported License</w:t>
      </w:r>
      <w:r>
        <w:t xml:space="preserve">, law schools can make at-cost softbound copies for students (and teachers) who prefer the printed page. </w:t>
      </w:r>
    </w:p>
    <w:p w:rsidR="0078310B" w:rsidRDefault="0078310B" w:rsidP="0078310B">
      <w:pPr>
        <w:widowControl w:val="0"/>
        <w:spacing w:after="120"/>
        <w:ind w:firstLine="288"/>
        <w:jc w:val="both"/>
      </w:pPr>
      <w:r>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rsidR="0078310B" w:rsidRDefault="0078310B" w:rsidP="0078310B">
      <w:pPr>
        <w:widowControl w:val="0"/>
        <w:spacing w:after="120"/>
        <w:ind w:firstLine="288"/>
        <w:jc w:val="both"/>
      </w:pPr>
      <w:r>
        <w:t xml:space="preserve">A Teacher’s Manual is available for professors who adopt the book (or parts of it) for use in their course. </w:t>
      </w:r>
    </w:p>
    <w:p w:rsidR="0078310B" w:rsidRDefault="0078310B" w:rsidP="0078310B">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rsidR="0078310B" w:rsidRDefault="0078310B" w:rsidP="0078310B">
      <w:pPr>
        <w:widowControl w:val="0"/>
        <w:spacing w:after="120"/>
        <w:ind w:firstLine="288"/>
        <w:jc w:val="both"/>
      </w:pPr>
      <w:r>
        <w:t xml:space="preserve">Armed with this larger blueprint, students are then in a much better position to see how the myriad pieces that follow throughout the remaining 19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w:t>
      </w:r>
      <w:r w:rsidR="007F715E">
        <w:t>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rsidR="0078310B" w:rsidRDefault="0078310B" w:rsidP="0078310B">
      <w:pPr>
        <w:widowControl w:val="0"/>
        <w:spacing w:after="120"/>
        <w:ind w:firstLine="288"/>
        <w:jc w:val="both"/>
      </w:pPr>
      <w:r>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rsidR="0078310B" w:rsidRDefault="0078310B" w:rsidP="0078310B">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rsidR="0078310B" w:rsidRDefault="0078310B" w:rsidP="0078310B">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rsidR="0078310B" w:rsidRDefault="0078310B" w:rsidP="0078310B">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rsidR="0078310B" w:rsidRDefault="0078310B" w:rsidP="0078310B">
      <w:pPr>
        <w:widowControl w:val="0"/>
        <w:spacing w:after="120"/>
        <w:ind w:firstLine="288"/>
        <w:jc w:val="both"/>
      </w:pPr>
      <w:r>
        <w:t>Indeed, I think that one reason why taxation is such a fascinating subject (no sniggers, pleas</w:t>
      </w:r>
      <w:r w:rsidR="004C4D78">
        <w:t xml:space="preserve">e) is that it affects </w:t>
      </w:r>
      <w:r>
        <w:t>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inextricably interrelated, as tax dollars create the common physical and intangible infrastructure that permits the flourishing of both human capital and the economy. Fascinating stuff!</w:t>
      </w:r>
    </w:p>
    <w:p w:rsidR="0078310B" w:rsidRDefault="0078310B" w:rsidP="0078310B">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rsidR="007F715E" w:rsidRPr="007F715E" w:rsidRDefault="007F715E" w:rsidP="0078310B">
      <w:pPr>
        <w:widowControl w:val="0"/>
        <w:spacing w:after="120"/>
        <w:ind w:firstLine="288"/>
        <w:jc w:val="both"/>
      </w:pPr>
      <w:r>
        <w:rPr>
          <w:b/>
        </w:rPr>
        <w:t xml:space="preserve">I have provided hyperlinks to </w:t>
      </w:r>
      <w:r w:rsidR="005337BA">
        <w:rPr>
          <w:b/>
        </w:rPr>
        <w:t xml:space="preserve">certain </w:t>
      </w:r>
      <w:r>
        <w:rPr>
          <w:b/>
        </w:rPr>
        <w:t>Internal Revenue Code sections and Treasury Regulations where I thought it would be helpful or appropriate (</w:t>
      </w:r>
      <w:r>
        <w:rPr>
          <w:b/>
          <w:i/>
        </w:rPr>
        <w:t>e.g.</w:t>
      </w:r>
      <w:r>
        <w:rPr>
          <w:b/>
        </w:rPr>
        <w:t xml:space="preserve">, the first time a Code section is cited </w:t>
      </w:r>
      <w:r w:rsidR="00156DCC">
        <w:rPr>
          <w:b/>
        </w:rPr>
        <w:t xml:space="preserve">on a page </w:t>
      </w:r>
      <w:r>
        <w:rPr>
          <w:b/>
        </w:rPr>
        <w:t xml:space="preserve">or when I specifically instruct the reader to consult the source). Those with a hyperlink are underlined. </w:t>
      </w:r>
      <w:r>
        <w:t xml:space="preserve">Those without hyperlinks are not underlined. The hyperlinks take you to the Legal Information Institute’s web page (Cornell University), which is an open access site. </w:t>
      </w:r>
    </w:p>
    <w:p w:rsidR="0078310B" w:rsidRDefault="0078310B" w:rsidP="0078310B">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w:t>
      </w:r>
      <w:r w:rsidR="00F275DA">
        <w:t xml:space="preserve">My own original footnotes are not </w:t>
      </w:r>
      <w:r>
        <w:t xml:space="preserve">bracketed. </w:t>
      </w:r>
    </w:p>
    <w:p w:rsidR="0078310B" w:rsidRDefault="0078310B" w:rsidP="0078310B">
      <w:pPr>
        <w:widowControl w:val="0"/>
        <w:jc w:val="center"/>
      </w:pPr>
      <w:r>
        <w:t>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actually 1,000 millions. And one trillion is 1,000 billions. </w:t>
      </w:r>
    </w:p>
    <w:p w:rsidR="0078310B" w:rsidRDefault="0078310B" w:rsidP="0078310B">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rsidR="0078310B" w:rsidRDefault="0078310B" w:rsidP="0078310B">
      <w:pPr>
        <w:widowControl w:val="0"/>
        <w:jc w:val="center"/>
      </w:pPr>
      <w:r>
        <w:t>_____________________________________</w:t>
      </w:r>
    </w:p>
    <w:p w:rsidR="0078310B" w:rsidRDefault="0078310B" w:rsidP="0078310B">
      <w:pPr>
        <w:widowControl w:val="0"/>
        <w:ind w:firstLine="288"/>
        <w:jc w:val="both"/>
      </w:pPr>
    </w:p>
    <w:p w:rsidR="0078310B" w:rsidRDefault="0078310B" w:rsidP="0078310B">
      <w:pPr>
        <w:widowControl w:val="0"/>
        <w:ind w:firstLine="288"/>
        <w:jc w:val="both"/>
      </w:pPr>
      <w:r>
        <w:t xml:space="preserve">Finally, you will learn in the Introduction that Congress enacts our tax laws, as signed by the President. Here is one bit of context to keep in mind as you move through the course: in 2011 the average wealth (the value of assets </w:t>
      </w:r>
      <w:r>
        <w:rPr>
          <w:i/>
        </w:rPr>
        <w:t xml:space="preserve">less </w:t>
      </w:r>
      <w:r>
        <w:t>debt) of U.S. Senators was $11.9 million, and the average wealth of House members was $6.5 million.</w:t>
      </w:r>
      <w:r>
        <w:rPr>
          <w:rStyle w:val="FootnoteReference"/>
        </w:rPr>
        <w:footnoteReference w:id="5"/>
      </w:r>
      <w:r>
        <w:t xml:space="preserve"> While a few outliers can skew averages, even median net worth exceeded $1 million in each of the House and Senate in 2012—a milestone.</w:t>
      </w:r>
      <w:r>
        <w:rPr>
          <w:rStyle w:val="FootnoteReference"/>
        </w:rPr>
        <w:footnoteReference w:id="6"/>
      </w:r>
      <w:r>
        <w:t xml:space="preserve"> “If the idea of Congress was that you have the butcher, baker, candlestick maker representing the people, we’ve come to a system where we certainly don’t have that anymore.”</w:t>
      </w:r>
      <w:r>
        <w:rPr>
          <w:rStyle w:val="FootnoteReference"/>
        </w:rPr>
        <w:footnoteReference w:id="7"/>
      </w:r>
    </w:p>
    <w:p w:rsidR="0078310B" w:rsidRDefault="0078310B" w:rsidP="0078310B">
      <w:pPr>
        <w:widowControl w:val="0"/>
        <w:jc w:val="center"/>
      </w:pPr>
      <w:r>
        <w:t>________________________________________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I would like to thank several tax law professors who served as peer reviewers for many of the 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rsidR="0078310B" w:rsidRDefault="0078310B" w:rsidP="0078310B">
      <w:pPr>
        <w:widowControl w:val="0"/>
        <w:spacing w:after="120"/>
        <w:ind w:firstLine="288"/>
        <w:jc w:val="both"/>
      </w:pPr>
      <w:r>
        <w:t>I would like to dedicate this textbook to the many, many Cleveland-Marshall College of Law students that I have had the pleasure of having in my classroom since I began teaching law in 1989. You rock!</w:t>
      </w:r>
    </w:p>
    <w:p w:rsidR="0078310B" w:rsidRDefault="0078310B" w:rsidP="0078310B">
      <w:pPr>
        <w:widowControl w:val="0"/>
        <w:spacing w:after="120"/>
        <w:ind w:firstLine="288"/>
        <w:jc w:val="both"/>
      </w:pPr>
      <w:r>
        <w:t>The 1.0 version of this text</w:t>
      </w:r>
      <w:r w:rsidR="007F715E">
        <w:t xml:space="preserve">book was published in 2014, </w:t>
      </w:r>
      <w:r>
        <w:t xml:space="preserve">the 2.0 version </w:t>
      </w:r>
      <w:r w:rsidR="007F715E">
        <w:t>in 2015, and the 3.0 version in 2016. This 4</w:t>
      </w:r>
      <w:r>
        <w:t>.0 versi</w:t>
      </w:r>
      <w:r w:rsidR="007F715E">
        <w:t>on is current as of January</w:t>
      </w:r>
      <w:r w:rsidR="00496DEE">
        <w:t xml:space="preserve"> 1,</w:t>
      </w:r>
      <w:r w:rsidR="007F715E">
        <w:t xml:space="preserve"> 2017</w:t>
      </w:r>
      <w:r>
        <w:t xml:space="preserve">. Happy journey! </w:t>
      </w:r>
    </w:p>
    <w:p w:rsidR="0078310B" w:rsidRDefault="0078310B" w:rsidP="0078310B">
      <w:pPr>
        <w:widowControl w:val="0"/>
        <w:jc w:val="both"/>
      </w:pPr>
      <w:r>
        <w:t>Deborah A. Geier</w:t>
      </w:r>
    </w:p>
    <w:p w:rsidR="0078310B" w:rsidRDefault="0078310B" w:rsidP="0078310B">
      <w:pPr>
        <w:widowControl w:val="0"/>
        <w:jc w:val="both"/>
      </w:pPr>
      <w:r>
        <w:t>Professor of Law</w:t>
      </w:r>
    </w:p>
    <w:p w:rsidR="0078310B" w:rsidRDefault="0078310B" w:rsidP="0078310B">
      <w:pPr>
        <w:widowControl w:val="0"/>
        <w:jc w:val="both"/>
      </w:pPr>
      <w:r>
        <w:t>Cleveland-Marshall College of Law</w:t>
      </w:r>
    </w:p>
    <w:p w:rsidR="0078310B" w:rsidRDefault="0078310B" w:rsidP="0078310B">
      <w:pPr>
        <w:widowControl w:val="0"/>
        <w:jc w:val="both"/>
      </w:pPr>
      <w:r>
        <w:t>Cleveland State University</w:t>
      </w:r>
    </w:p>
    <w:p w:rsidR="0078310B" w:rsidRDefault="0078310B" w:rsidP="0078310B">
      <w:pPr>
        <w:widowControl w:val="0"/>
        <w:spacing w:after="120"/>
      </w:pPr>
      <w:r>
        <w:t xml:space="preserve">My bio can be found at: </w:t>
      </w:r>
      <w:hyperlink r:id="rId18" w:history="1">
        <w:r w:rsidRPr="00270071">
          <w:rPr>
            <w:rStyle w:val="Hyperlink"/>
          </w:rPr>
          <w:t>https://www.law.csuohio.edu/meetcmlaw/faculty/geier</w:t>
        </w:r>
      </w:hyperlink>
      <w:r>
        <w:t xml:space="preserve"> </w:t>
      </w:r>
    </w:p>
    <w:p w:rsidR="0078310B" w:rsidRDefault="0078310B" w:rsidP="0078310B">
      <w:pPr>
        <w:widowControl w:val="0"/>
        <w:spacing w:after="120"/>
      </w:pPr>
    </w:p>
    <w:p w:rsidR="0078310B" w:rsidRDefault="0078310B" w:rsidP="0078310B">
      <w:pPr>
        <w:widowControl w:val="0"/>
        <w:spacing w:after="120"/>
        <w:sectPr w:rsidR="0078310B" w:rsidSect="005337BA">
          <w:footerReference w:type="default" r:id="rId19"/>
          <w:footerReference w:type="first" r:id="rId20"/>
          <w:pgSz w:w="12240" w:h="15840"/>
          <w:pgMar w:top="1440" w:right="1440" w:bottom="1440" w:left="1440" w:header="1008" w:footer="720" w:gutter="0"/>
          <w:pgNumType w:fmt="lowerRoman" w:start="1"/>
          <w:cols w:space="720"/>
          <w:titlePg/>
          <w:docGrid w:linePitch="360"/>
        </w:sectPr>
      </w:pPr>
    </w:p>
    <w:p w:rsidR="0078310B" w:rsidRDefault="0078310B" w:rsidP="0078310B">
      <w:pPr>
        <w:widowControl w:val="0"/>
        <w:spacing w:after="120"/>
        <w:sectPr w:rsidR="0078310B" w:rsidSect="005337BA">
          <w:pgSz w:w="12240" w:h="15840"/>
          <w:pgMar w:top="1440" w:right="1440" w:bottom="1440" w:left="1440" w:header="1008" w:footer="720" w:gutter="0"/>
          <w:pgNumType w:fmt="lowerRoman" w:start="10"/>
          <w:cols w:space="720"/>
          <w:docGrid w:linePitch="360"/>
        </w:sectPr>
      </w:pPr>
    </w:p>
    <w:p w:rsidR="0078310B" w:rsidRPr="009876FC" w:rsidRDefault="0078310B" w:rsidP="0078310B">
      <w:pPr>
        <w:widowControl w:val="0"/>
        <w:jc w:val="center"/>
        <w:rPr>
          <w:sz w:val="32"/>
          <w:szCs w:val="32"/>
        </w:rPr>
      </w:pPr>
      <w:r w:rsidRPr="009876FC">
        <w:rPr>
          <w:b/>
          <w:sz w:val="32"/>
          <w:szCs w:val="32"/>
        </w:rPr>
        <w:t>Table of Contents</w:t>
      </w:r>
    </w:p>
    <w:p w:rsidR="0078310B" w:rsidRDefault="0078310B" w:rsidP="0078310B">
      <w:pPr>
        <w:widowControl w:val="0"/>
      </w:pPr>
    </w:p>
    <w:p w:rsidR="0078310B" w:rsidRPr="00652782" w:rsidRDefault="0078310B" w:rsidP="0078310B">
      <w:pPr>
        <w:widowControl w:val="0"/>
        <w:spacing w:after="120"/>
        <w:ind w:left="288"/>
      </w:pPr>
      <w:r w:rsidRPr="00652782">
        <w:t>About the Author ………………………………………….…………………………...</w:t>
      </w:r>
      <w:r>
        <w:t xml:space="preserve">.... </w:t>
      </w:r>
      <w:r w:rsidRPr="00652782">
        <w:t xml:space="preserve">iii </w:t>
      </w:r>
    </w:p>
    <w:p w:rsidR="0078310B" w:rsidRPr="00652782" w:rsidRDefault="0078310B" w:rsidP="0078310B">
      <w:pPr>
        <w:widowControl w:val="0"/>
        <w:spacing w:after="120"/>
        <w:ind w:left="288"/>
      </w:pPr>
      <w:r w:rsidRPr="00652782">
        <w:t>About CALI eLangdell Press ………………………………………………………...</w:t>
      </w:r>
      <w:r>
        <w:t xml:space="preserve">...... </w:t>
      </w:r>
      <w:r w:rsidRPr="00652782">
        <w:t>iii</w:t>
      </w:r>
    </w:p>
    <w:p w:rsidR="0078310B" w:rsidRPr="00652782" w:rsidRDefault="0078310B" w:rsidP="0078310B">
      <w:pPr>
        <w:widowControl w:val="0"/>
        <w:spacing w:after="120"/>
        <w:ind w:left="288"/>
      </w:pPr>
      <w:r w:rsidRPr="00652782">
        <w:t>Notices ……………………………………………………….…………………………</w:t>
      </w:r>
      <w:r>
        <w:t xml:space="preserve">... </w:t>
      </w:r>
      <w:r w:rsidRPr="00652782">
        <w:t>iv</w:t>
      </w:r>
    </w:p>
    <w:p w:rsidR="0078310B" w:rsidRPr="00652782" w:rsidRDefault="0078310B" w:rsidP="0078310B">
      <w:pPr>
        <w:widowControl w:val="0"/>
        <w:spacing w:after="120"/>
        <w:ind w:left="288"/>
      </w:pPr>
      <w:r w:rsidRPr="00652782">
        <w:t>Preface …………………………………………………………………………………</w:t>
      </w:r>
      <w:r>
        <w:t>…</w:t>
      </w:r>
      <w:r w:rsidRPr="00652782">
        <w:t xml:space="preserve"> vi </w:t>
      </w:r>
    </w:p>
    <w:p w:rsidR="0078310B" w:rsidRPr="00652782" w:rsidRDefault="0078310B" w:rsidP="0078310B">
      <w:pPr>
        <w:widowControl w:val="0"/>
        <w:spacing w:after="120"/>
      </w:pPr>
      <w:r w:rsidRPr="009876FC">
        <w:rPr>
          <w:b/>
          <w:sz w:val="28"/>
          <w:szCs w:val="28"/>
        </w:rPr>
        <w:t>Introduction</w:t>
      </w:r>
      <w:r>
        <w:rPr>
          <w:sz w:val="28"/>
          <w:szCs w:val="28"/>
        </w:rPr>
        <w:t xml:space="preserve"> </w:t>
      </w:r>
      <w:r w:rsidRPr="00652782">
        <w:t>…………………………………………………………………......</w:t>
      </w:r>
      <w:r>
        <w:t>............</w:t>
      </w:r>
      <w:r w:rsidRPr="00652782">
        <w:t>xx</w:t>
      </w:r>
      <w:r>
        <w:t>i</w:t>
      </w:r>
      <w:r w:rsidRPr="00652782">
        <w:t xml:space="preserve">v </w:t>
      </w:r>
    </w:p>
    <w:p w:rsidR="0078310B" w:rsidRDefault="0078310B" w:rsidP="0078310B">
      <w:pPr>
        <w:widowControl w:val="0"/>
        <w:spacing w:after="120"/>
        <w:ind w:left="576"/>
      </w:pPr>
      <w:r>
        <w:rPr>
          <w:i/>
        </w:rPr>
        <w:t>The legislative branch</w:t>
      </w:r>
      <w:r>
        <w:t xml:space="preserve"> ………………………………………………………………..xxvi</w:t>
      </w:r>
    </w:p>
    <w:p w:rsidR="0078310B" w:rsidRDefault="0078310B" w:rsidP="0078310B">
      <w:pPr>
        <w:widowControl w:val="0"/>
        <w:spacing w:after="120"/>
        <w:ind w:left="576"/>
      </w:pPr>
      <w:r>
        <w:rPr>
          <w:i/>
        </w:rPr>
        <w:t>The executive branch</w:t>
      </w:r>
      <w:r>
        <w:t xml:space="preserve"> …………………………………………………………………xxvi</w:t>
      </w:r>
    </w:p>
    <w:p w:rsidR="0078310B" w:rsidRPr="00474220" w:rsidRDefault="0078310B" w:rsidP="0078310B">
      <w:pPr>
        <w:widowControl w:val="0"/>
        <w:spacing w:after="120"/>
        <w:ind w:left="576"/>
      </w:pPr>
      <w:r>
        <w:rPr>
          <w:i/>
        </w:rPr>
        <w:t>Tax procedure overview</w:t>
      </w:r>
      <w:r>
        <w:t xml:space="preserve"> ……………………………………………………………...xxxii</w:t>
      </w:r>
    </w:p>
    <w:p w:rsidR="0078310B" w:rsidRDefault="0078310B" w:rsidP="0078310B">
      <w:pPr>
        <w:widowControl w:val="0"/>
        <w:spacing w:after="120"/>
        <w:ind w:left="576"/>
      </w:pPr>
      <w:r>
        <w:rPr>
          <w:i/>
        </w:rPr>
        <w:t>The judicial branch</w:t>
      </w:r>
      <w:r>
        <w:t xml:space="preserve"> ………………………………………………………………….xxxiii  </w:t>
      </w:r>
    </w:p>
    <w:p w:rsidR="0078310B" w:rsidRDefault="0078310B" w:rsidP="0078310B">
      <w:pPr>
        <w:widowControl w:val="0"/>
        <w:ind w:left="576"/>
      </w:pPr>
      <w:r>
        <w:rPr>
          <w:i/>
        </w:rPr>
        <w:t xml:space="preserve">Excerpt from </w:t>
      </w:r>
      <w:r>
        <w:t xml:space="preserve">Of Crud and Dogs: An Updated Collection of Quotations in Support of </w:t>
      </w:r>
    </w:p>
    <w:p w:rsidR="0078310B" w:rsidRDefault="0078310B" w:rsidP="0078310B">
      <w:pPr>
        <w:widowControl w:val="0"/>
        <w:ind w:left="576"/>
      </w:pPr>
      <w:r>
        <w:t>the Proposition That the Supreme Court Does Not Devote the Greatest of Care and</w:t>
      </w:r>
    </w:p>
    <w:p w:rsidR="0078310B" w:rsidRDefault="0078310B" w:rsidP="0078310B">
      <w:pPr>
        <w:widowControl w:val="0"/>
        <w:spacing w:after="120"/>
        <w:ind w:left="576"/>
      </w:pPr>
      <w:r>
        <w:t>Attention to Our Exciting Are of the Law by Erik M. Jensen ……………………......xxxv</w:t>
      </w:r>
    </w:p>
    <w:p w:rsidR="0078310B" w:rsidRPr="00652782" w:rsidRDefault="0078310B" w:rsidP="0078310B">
      <w:pPr>
        <w:widowControl w:val="0"/>
        <w:jc w:val="center"/>
        <w:rPr>
          <w:b/>
          <w:sz w:val="32"/>
          <w:szCs w:val="32"/>
        </w:rPr>
      </w:pPr>
      <w:r w:rsidRPr="00652782">
        <w:rPr>
          <w:b/>
          <w:sz w:val="32"/>
          <w:szCs w:val="32"/>
        </w:rPr>
        <w:t xml:space="preserve">Unit I: The Core Structures of Income </w:t>
      </w:r>
    </w:p>
    <w:p w:rsidR="0078310B" w:rsidRDefault="0078310B" w:rsidP="0078310B">
      <w:pPr>
        <w:widowControl w:val="0"/>
        <w:spacing w:after="120"/>
        <w:jc w:val="center"/>
        <w:rPr>
          <w:b/>
          <w:sz w:val="32"/>
          <w:szCs w:val="32"/>
        </w:rPr>
      </w:pPr>
      <w:r w:rsidRPr="00652782">
        <w:rPr>
          <w:b/>
          <w:sz w:val="32"/>
          <w:szCs w:val="32"/>
        </w:rPr>
        <w:t>and Consumption Taxation and Tax Policy</w:t>
      </w:r>
    </w:p>
    <w:p w:rsidR="0078310B" w:rsidRPr="00652782" w:rsidRDefault="0078310B" w:rsidP="0078310B">
      <w:pPr>
        <w:widowControl w:val="0"/>
        <w:spacing w:after="120"/>
      </w:pPr>
      <w:r w:rsidRPr="00652782">
        <w:t>Introduction to Chapters 1 through 4 ……………………….…………………….……</w:t>
      </w:r>
      <w:r>
        <w:t>……..</w:t>
      </w:r>
      <w:r w:rsidRPr="00652782">
        <w:t xml:space="preserve"> 1</w:t>
      </w:r>
    </w:p>
    <w:p w:rsidR="0078310B" w:rsidRPr="00883383" w:rsidRDefault="0078310B" w:rsidP="0078310B">
      <w:pPr>
        <w:widowControl w:val="0"/>
        <w:spacing w:after="120"/>
      </w:pPr>
      <w:r w:rsidRPr="00652782">
        <w:rPr>
          <w:b/>
          <w:sz w:val="28"/>
          <w:szCs w:val="28"/>
        </w:rPr>
        <w:t>Chapter 1: The Essential Structure of the Income Tax</w:t>
      </w:r>
      <w:r>
        <w:t xml:space="preserve"> ……............................... 3 </w:t>
      </w:r>
    </w:p>
    <w:p w:rsidR="0078310B" w:rsidRPr="00867444" w:rsidRDefault="0078310B" w:rsidP="0078310B">
      <w:pPr>
        <w:ind w:left="288"/>
      </w:pPr>
      <w:r w:rsidRPr="00867444">
        <w:t xml:space="preserve">A. The theoretical core structure of a tax on “income” and how </w:t>
      </w:r>
      <w:r>
        <w:t xml:space="preserve">it is implemented in </w:t>
      </w:r>
    </w:p>
    <w:p w:rsidR="0078310B" w:rsidRPr="00867444" w:rsidRDefault="0078310B" w:rsidP="0078310B">
      <w:pPr>
        <w:spacing w:after="120"/>
        <w:ind w:left="288"/>
      </w:pPr>
      <w:r>
        <w:t xml:space="preserve">     </w:t>
      </w:r>
      <w:r w:rsidRPr="00867444">
        <w:t>positive law  ……………………………………………..……</w:t>
      </w:r>
      <w:r>
        <w:t>……………………….</w:t>
      </w:r>
      <w:r w:rsidRPr="00867444">
        <w:t xml:space="preserve">  3</w:t>
      </w:r>
    </w:p>
    <w:p w:rsidR="0078310B" w:rsidRPr="00867444" w:rsidRDefault="0078310B" w:rsidP="0078310B">
      <w:pPr>
        <w:widowControl w:val="0"/>
        <w:spacing w:after="120"/>
        <w:ind w:left="576"/>
      </w:pPr>
      <w:r w:rsidRPr="00867444">
        <w:rPr>
          <w:i/>
        </w:rPr>
        <w:t>Introduction to § 61 “Gross Income”</w:t>
      </w:r>
      <w:r w:rsidRPr="00867444">
        <w:t xml:space="preserve"> …………………………………………………. 6 </w:t>
      </w:r>
    </w:p>
    <w:p w:rsidR="0078310B" w:rsidRPr="00867444" w:rsidRDefault="0078310B" w:rsidP="0078310B">
      <w:pPr>
        <w:widowControl w:val="0"/>
        <w:ind w:left="576"/>
        <w:rPr>
          <w:i/>
        </w:rPr>
      </w:pPr>
      <w:r w:rsidRPr="00867444">
        <w:rPr>
          <w:i/>
        </w:rPr>
        <w:t xml:space="preserve">Deductions (part 1): nondeductible “capital expenditures” vs. potentially </w:t>
      </w:r>
    </w:p>
    <w:p w:rsidR="0078310B" w:rsidRPr="00867444" w:rsidRDefault="0078310B" w:rsidP="0078310B">
      <w:pPr>
        <w:widowControl w:val="0"/>
        <w:spacing w:after="120"/>
        <w:ind w:left="576"/>
      </w:pPr>
      <w:r w:rsidRPr="00867444">
        <w:rPr>
          <w:i/>
        </w:rPr>
        <w:t>deductible “expenses”</w:t>
      </w:r>
      <w:r w:rsidRPr="00867444">
        <w:t xml:space="preserve"> …………………………………………………………..…...... 7 </w:t>
      </w:r>
    </w:p>
    <w:p w:rsidR="0078310B" w:rsidRPr="00867444" w:rsidRDefault="0078310B" w:rsidP="0078310B">
      <w:pPr>
        <w:widowControl w:val="0"/>
        <w:spacing w:after="120"/>
        <w:ind w:left="576"/>
      </w:pPr>
      <w:r w:rsidRPr="00867444">
        <w:rPr>
          <w:i/>
        </w:rPr>
        <w:t>§ 61(a)(3) “gains derived from dealings in property” and the critical role of “basis”</w:t>
      </w:r>
      <w:r w:rsidRPr="00867444">
        <w:t xml:space="preserve"> .8</w:t>
      </w:r>
    </w:p>
    <w:p w:rsidR="0078310B" w:rsidRPr="00867444" w:rsidRDefault="0078310B" w:rsidP="0078310B">
      <w:pPr>
        <w:widowControl w:val="0"/>
        <w:spacing w:after="120"/>
        <w:ind w:left="576"/>
      </w:pPr>
      <w:r w:rsidRPr="00867444">
        <w:rPr>
          <w:i/>
        </w:rPr>
        <w:t>Deductions (part 2): which “expenses” are deductible and why?</w:t>
      </w:r>
      <w:r w:rsidRPr="00867444">
        <w:t xml:space="preserve"> …………………… 15</w:t>
      </w:r>
    </w:p>
    <w:p w:rsidR="0078310B" w:rsidRPr="00867444" w:rsidRDefault="0078310B" w:rsidP="0078310B">
      <w:pPr>
        <w:widowControl w:val="0"/>
        <w:spacing w:after="120"/>
        <w:ind w:left="576"/>
      </w:pPr>
      <w:r w:rsidRPr="00867444">
        <w:rPr>
          <w:i/>
        </w:rPr>
        <w:t>Deductions (part 3): § 1001 “loss” (and more on normative income tax theory)</w:t>
      </w:r>
      <w:r w:rsidRPr="00867444">
        <w:t xml:space="preserve"> …….18</w:t>
      </w:r>
    </w:p>
    <w:p w:rsidR="0078310B" w:rsidRPr="00867444" w:rsidRDefault="0078310B" w:rsidP="0078310B">
      <w:pPr>
        <w:pStyle w:val="ListParagraph"/>
        <w:widowControl w:val="0"/>
        <w:spacing w:after="120"/>
        <w:ind w:left="576"/>
        <w:contextualSpacing w:val="0"/>
      </w:pPr>
      <w:r w:rsidRPr="00867444">
        <w:rPr>
          <w:i/>
        </w:rPr>
        <w:t>Deductions (part 4): depreciation</w:t>
      </w:r>
      <w:r w:rsidRPr="00867444">
        <w:t xml:space="preserve"> …..………………………………………………....19</w:t>
      </w:r>
    </w:p>
    <w:p w:rsidR="0078310B" w:rsidRPr="00867444" w:rsidRDefault="0078310B" w:rsidP="0078310B">
      <w:pPr>
        <w:pStyle w:val="ListParagraph"/>
        <w:widowControl w:val="0"/>
        <w:spacing w:after="120"/>
        <w:ind w:left="576"/>
        <w:contextualSpacing w:val="0"/>
      </w:pPr>
      <w:r w:rsidRPr="00867444">
        <w:rPr>
          <w:i/>
        </w:rPr>
        <w:t xml:space="preserve">§ 1016 basis adjustments </w:t>
      </w:r>
      <w:r w:rsidRPr="00867444">
        <w:t>………………………………………………………………20</w:t>
      </w:r>
    </w:p>
    <w:p w:rsidR="0078310B" w:rsidRPr="00867444" w:rsidRDefault="0078310B" w:rsidP="0078310B">
      <w:pPr>
        <w:pStyle w:val="ListParagraph"/>
        <w:widowControl w:val="0"/>
        <w:spacing w:after="120"/>
        <w:ind w:left="576"/>
        <w:contextualSpacing w:val="0"/>
      </w:pPr>
      <w:r w:rsidRPr="00867444">
        <w:rPr>
          <w:i/>
        </w:rPr>
        <w:t xml:space="preserve">A brief introduction to the concept of “capital” gains and losses </w:t>
      </w:r>
      <w:r w:rsidRPr="00867444">
        <w:t xml:space="preserve">……………….……21 </w:t>
      </w:r>
    </w:p>
    <w:p w:rsidR="0078310B" w:rsidRPr="00867444" w:rsidRDefault="0078310B" w:rsidP="0078310B">
      <w:pPr>
        <w:pStyle w:val="ListParagraph"/>
        <w:widowControl w:val="0"/>
        <w:spacing w:after="120"/>
        <w:ind w:left="576"/>
        <w:contextualSpacing w:val="0"/>
      </w:pPr>
      <w:r w:rsidRPr="00867444">
        <w:t xml:space="preserve">Problems ……………………………………………………………………………….25   </w:t>
      </w:r>
    </w:p>
    <w:p w:rsidR="0078310B" w:rsidRPr="00867444" w:rsidRDefault="0078310B" w:rsidP="0078310B">
      <w:pPr>
        <w:widowControl w:val="0"/>
        <w:spacing w:after="120"/>
        <w:ind w:left="288"/>
      </w:pPr>
      <w:r w:rsidRPr="00867444">
        <w:t>B. The tax rate structure, marginal vs. effective rates, and more ……………</w:t>
      </w:r>
      <w:r>
        <w:t>…………...</w:t>
      </w:r>
      <w:r w:rsidRPr="00867444">
        <w:t xml:space="preserve"> 26</w:t>
      </w:r>
    </w:p>
    <w:p w:rsidR="0078310B" w:rsidRPr="00867444" w:rsidRDefault="0078310B" w:rsidP="0078310B">
      <w:pPr>
        <w:widowControl w:val="0"/>
        <w:spacing w:after="120"/>
        <w:ind w:left="576"/>
      </w:pPr>
      <w:r w:rsidRPr="00867444">
        <w:rPr>
          <w:i/>
        </w:rPr>
        <w:t>§ 62 above-the-line deductions</w:t>
      </w:r>
      <w:r w:rsidRPr="00867444">
        <w:t xml:space="preserve"> ………………………………………………………...29</w:t>
      </w:r>
    </w:p>
    <w:p w:rsidR="0078310B" w:rsidRPr="00867444" w:rsidRDefault="0078310B" w:rsidP="0078310B">
      <w:pPr>
        <w:widowControl w:val="0"/>
        <w:spacing w:after="120"/>
        <w:ind w:left="576"/>
      </w:pPr>
      <w:r w:rsidRPr="00867444">
        <w:rPr>
          <w:i/>
        </w:rPr>
        <w:t>Personal and dependent exemption deduction ……………………………</w:t>
      </w:r>
      <w:r w:rsidRPr="00867444">
        <w:t>………………30</w:t>
      </w:r>
    </w:p>
    <w:p w:rsidR="0078310B" w:rsidRPr="00867444" w:rsidRDefault="0078310B" w:rsidP="0078310B">
      <w:pPr>
        <w:widowControl w:val="0"/>
        <w:spacing w:after="120"/>
        <w:ind w:left="576"/>
      </w:pPr>
      <w:r w:rsidRPr="00867444">
        <w:rPr>
          <w:i/>
        </w:rPr>
        <w:t>Standard deduction versus itemized deductions</w:t>
      </w:r>
      <w:r w:rsidRPr="00867444">
        <w:t xml:space="preserve"> ……………………………………….30</w:t>
      </w:r>
    </w:p>
    <w:p w:rsidR="0078310B" w:rsidRPr="00867444" w:rsidRDefault="0078310B" w:rsidP="0078310B">
      <w:pPr>
        <w:widowControl w:val="0"/>
        <w:spacing w:after="120"/>
        <w:ind w:left="576"/>
      </w:pPr>
      <w:r w:rsidRPr="00867444">
        <w:rPr>
          <w:i/>
        </w:rPr>
        <w:t>§ 68: the partial phase-out of itemized deductions</w:t>
      </w:r>
      <w:r w:rsidRPr="00867444">
        <w:t xml:space="preserve"> …………………………………….32</w:t>
      </w:r>
    </w:p>
    <w:p w:rsidR="0078310B" w:rsidRPr="00867444" w:rsidRDefault="0078310B" w:rsidP="0078310B">
      <w:pPr>
        <w:widowControl w:val="0"/>
        <w:spacing w:after="120"/>
        <w:ind w:left="576"/>
      </w:pPr>
      <w:r w:rsidRPr="00867444">
        <w:rPr>
          <w:i/>
        </w:rPr>
        <w:t>§ 67: the 2% floor under “miscellaneous itemized deductions”</w:t>
      </w:r>
      <w:r w:rsidRPr="00867444">
        <w:t xml:space="preserve"> ………………………32</w:t>
      </w:r>
    </w:p>
    <w:p w:rsidR="0078310B" w:rsidRPr="00867444" w:rsidRDefault="0078310B" w:rsidP="0078310B">
      <w:pPr>
        <w:widowControl w:val="0"/>
        <w:spacing w:after="120"/>
        <w:ind w:left="576"/>
      </w:pPr>
      <w:r w:rsidRPr="00867444">
        <w:rPr>
          <w:i/>
        </w:rPr>
        <w:t>Alternative minimum tax</w:t>
      </w:r>
      <w:r w:rsidRPr="00867444">
        <w:t xml:space="preserve"> ……………………………………………………………….33</w:t>
      </w:r>
    </w:p>
    <w:p w:rsidR="0078310B" w:rsidRPr="00867444" w:rsidRDefault="0078310B" w:rsidP="0078310B">
      <w:pPr>
        <w:widowControl w:val="0"/>
        <w:spacing w:after="120"/>
        <w:ind w:left="576"/>
      </w:pPr>
      <w:r w:rsidRPr="00867444">
        <w:rPr>
          <w:i/>
        </w:rPr>
        <w:t>Child tax credit and earned income tax credit</w:t>
      </w:r>
      <w:r w:rsidRPr="00867444">
        <w:t xml:space="preserve"> …………………………..…….………35</w:t>
      </w:r>
    </w:p>
    <w:p w:rsidR="0078310B" w:rsidRPr="00867444" w:rsidRDefault="0078310B" w:rsidP="0078310B">
      <w:pPr>
        <w:widowControl w:val="0"/>
        <w:spacing w:after="120"/>
        <w:ind w:left="576"/>
      </w:pPr>
      <w:r w:rsidRPr="00867444">
        <w:rPr>
          <w:i/>
        </w:rPr>
        <w:t>Effective tax rate versus marginal tax rate</w:t>
      </w:r>
      <w:r w:rsidR="00894CCE">
        <w:t xml:space="preserve"> …………………………………………….36</w:t>
      </w:r>
    </w:p>
    <w:p w:rsidR="0078310B" w:rsidRPr="00867444" w:rsidRDefault="0078310B" w:rsidP="0078310B">
      <w:pPr>
        <w:pStyle w:val="ListParagraph"/>
        <w:widowControl w:val="0"/>
        <w:spacing w:after="120"/>
        <w:ind w:left="576"/>
        <w:contextualSpacing w:val="0"/>
      </w:pPr>
      <w:r w:rsidRPr="00867444">
        <w:t>Problems …</w:t>
      </w:r>
      <w:r w:rsidR="00894CCE">
        <w:t>…………………………………………………………………………….40</w:t>
      </w:r>
    </w:p>
    <w:p w:rsidR="0078310B" w:rsidRDefault="0078310B" w:rsidP="0078310B">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rsidR="0078310B" w:rsidRPr="00867444" w:rsidRDefault="0078310B" w:rsidP="0078310B">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w:t>
      </w:r>
      <w:r w:rsidRPr="000E16BE">
        <w:rPr>
          <w:sz w:val="24"/>
          <w:szCs w:val="24"/>
        </w:rPr>
        <w:t>42</w:t>
      </w:r>
      <w:r w:rsidRPr="00867444">
        <w:rPr>
          <w:sz w:val="24"/>
          <w:szCs w:val="24"/>
        </w:rPr>
        <w:t xml:space="preserve"> </w:t>
      </w:r>
    </w:p>
    <w:p w:rsidR="0078310B" w:rsidRPr="00867444" w:rsidRDefault="0078310B" w:rsidP="0078310B">
      <w:pPr>
        <w:widowControl w:val="0"/>
        <w:spacing w:after="120"/>
        <w:ind w:left="288"/>
      </w:pPr>
      <w:r w:rsidRPr="00867444">
        <w:t>A. Consumption taxation forms and comparison to income taxation ………...</w:t>
      </w:r>
      <w:r>
        <w:t>..................43</w:t>
      </w:r>
    </w:p>
    <w:p w:rsidR="0078310B" w:rsidRPr="00867444" w:rsidRDefault="0078310B" w:rsidP="0078310B">
      <w:pPr>
        <w:widowControl w:val="0"/>
        <w:spacing w:after="120"/>
        <w:ind w:left="576"/>
      </w:pPr>
      <w:r w:rsidRPr="00867444">
        <w:rPr>
          <w:i/>
        </w:rPr>
        <w:t xml:space="preserve">A retail sales tax </w:t>
      </w:r>
      <w:r w:rsidRPr="00867444">
        <w:t>……………………………………………………………………….43</w:t>
      </w:r>
    </w:p>
    <w:p w:rsidR="0078310B" w:rsidRPr="00867444" w:rsidRDefault="0078310B" w:rsidP="0078310B">
      <w:pPr>
        <w:widowControl w:val="0"/>
        <w:spacing w:after="120"/>
        <w:ind w:left="576"/>
      </w:pPr>
      <w:r w:rsidRPr="00867444">
        <w:rPr>
          <w:i/>
        </w:rPr>
        <w:t>A value added tax</w:t>
      </w:r>
      <w:r w:rsidRPr="00867444">
        <w:t xml:space="preserve"> ……………………………………………………………………...43</w:t>
      </w:r>
    </w:p>
    <w:p w:rsidR="0078310B" w:rsidRPr="00867444" w:rsidRDefault="0078310B" w:rsidP="0078310B">
      <w:pPr>
        <w:widowControl w:val="0"/>
        <w:spacing w:after="120"/>
        <w:ind w:left="576"/>
      </w:pPr>
      <w:r w:rsidRPr="00867444">
        <w:rPr>
          <w:i/>
        </w:rPr>
        <w:t>A cash-flow consumption tax</w:t>
      </w:r>
      <w:r w:rsidRPr="00867444">
        <w:t xml:space="preserve"> …………………………………………………………..45</w:t>
      </w:r>
    </w:p>
    <w:p w:rsidR="0078310B" w:rsidRPr="00867444" w:rsidRDefault="0078310B" w:rsidP="0078310B">
      <w:pPr>
        <w:widowControl w:val="0"/>
        <w:ind w:left="576"/>
        <w:rPr>
          <w:i/>
        </w:rPr>
      </w:pPr>
      <w:r w:rsidRPr="00867444">
        <w:rPr>
          <w:i/>
        </w:rPr>
        <w:t xml:space="preserve">Exempting capital returns from tax: the wage tax and the E. Cary Brown </w:t>
      </w:r>
    </w:p>
    <w:p w:rsidR="0078310B" w:rsidRPr="00867444" w:rsidRDefault="0078310B" w:rsidP="0078310B">
      <w:pPr>
        <w:widowControl w:val="0"/>
        <w:spacing w:after="120"/>
        <w:ind w:left="576"/>
      </w:pPr>
      <w:r w:rsidRPr="00867444">
        <w:rPr>
          <w:i/>
        </w:rPr>
        <w:t>yield-exemption phenomenon</w:t>
      </w:r>
      <w:r w:rsidRPr="00867444">
        <w:t xml:space="preserve"> ………………………………………………………….47</w:t>
      </w:r>
    </w:p>
    <w:p w:rsidR="0078310B" w:rsidRPr="00867444" w:rsidRDefault="0078310B" w:rsidP="0078310B">
      <w:pPr>
        <w:pStyle w:val="BodyTextIndent"/>
        <w:widowControl w:val="0"/>
        <w:ind w:left="288"/>
      </w:pPr>
      <w:r w:rsidRPr="00867444">
        <w:t>B. Consumption tax provisions in the Internal Revenue Code …………..……</w:t>
      </w:r>
      <w:r>
        <w:t>………….</w:t>
      </w:r>
      <w:r w:rsidRPr="00867444">
        <w:t>51</w:t>
      </w:r>
    </w:p>
    <w:p w:rsidR="0078310B" w:rsidRPr="00867444" w:rsidRDefault="0078310B" w:rsidP="0078310B">
      <w:pPr>
        <w:pStyle w:val="BodyTextIndent"/>
        <w:widowControl w:val="0"/>
        <w:ind w:left="288"/>
      </w:pPr>
      <w:r w:rsidRPr="00867444">
        <w:t>C. The additional wrinkle of debt ………………………………….………………</w:t>
      </w:r>
      <w:r>
        <w:t>……..</w:t>
      </w:r>
      <w:r w:rsidRPr="00867444">
        <w:t xml:space="preserve">53 </w:t>
      </w:r>
    </w:p>
    <w:p w:rsidR="0078310B" w:rsidRDefault="0078310B" w:rsidP="0078310B">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rsidR="0078310B" w:rsidRPr="00867444" w:rsidRDefault="0078310B" w:rsidP="0078310B">
      <w:pPr>
        <w:pStyle w:val="BodyText"/>
        <w:widowControl w:val="0"/>
        <w:spacing w:after="120" w:line="240" w:lineRule="auto"/>
        <w:ind w:left="288"/>
        <w:jc w:val="left"/>
        <w:rPr>
          <w:b/>
          <w:bCs/>
          <w:sz w:val="24"/>
          <w:szCs w:val="24"/>
        </w:rPr>
      </w:pPr>
      <w:r>
        <w:rPr>
          <w:bCs/>
          <w:sz w:val="24"/>
          <w:szCs w:val="24"/>
        </w:rPr>
        <w:t xml:space="preserve">     </w:t>
      </w:r>
      <w:r w:rsidRPr="00867444">
        <w:rPr>
          <w:bCs/>
          <w:sz w:val="24"/>
          <w:szCs w:val="24"/>
        </w:rPr>
        <w:t>treatment of the debt-financed investment</w:t>
      </w:r>
      <w:r w:rsidRPr="00867444">
        <w:rPr>
          <w:sz w:val="24"/>
          <w:szCs w:val="24"/>
        </w:rPr>
        <w:t xml:space="preserve"> …………………………………….…</w:t>
      </w:r>
      <w:r>
        <w:rPr>
          <w:sz w:val="24"/>
          <w:szCs w:val="24"/>
        </w:rPr>
        <w:t>……</w:t>
      </w:r>
      <w:r w:rsidRPr="00867444">
        <w:rPr>
          <w:sz w:val="24"/>
          <w:szCs w:val="24"/>
        </w:rPr>
        <w:t xml:space="preserve">55 </w:t>
      </w:r>
      <w:r w:rsidRPr="00867444">
        <w:rPr>
          <w:b/>
          <w:bCs/>
          <w:sz w:val="24"/>
          <w:szCs w:val="24"/>
        </w:rPr>
        <w:t xml:space="preserve"> </w:t>
      </w:r>
    </w:p>
    <w:p w:rsidR="0078310B" w:rsidRPr="00867444" w:rsidRDefault="0078310B" w:rsidP="0078310B">
      <w:pPr>
        <w:pStyle w:val="BodyText"/>
        <w:widowControl w:val="0"/>
        <w:spacing w:after="120" w:line="240" w:lineRule="auto"/>
        <w:ind w:left="288"/>
        <w:jc w:val="left"/>
        <w:rPr>
          <w:sz w:val="24"/>
          <w:szCs w:val="24"/>
        </w:rPr>
      </w:pPr>
      <w:r w:rsidRPr="00867444">
        <w:rPr>
          <w:b/>
          <w:bCs/>
          <w:sz w:val="24"/>
          <w:szCs w:val="24"/>
        </w:rPr>
        <w:t xml:space="preserve">  </w:t>
      </w:r>
      <w:r>
        <w:rPr>
          <w:b/>
          <w:bCs/>
          <w:sz w:val="24"/>
          <w:szCs w:val="24"/>
        </w:rPr>
        <w:t xml:space="preserve">   </w:t>
      </w:r>
      <w:r w:rsidRPr="00867444">
        <w:rPr>
          <w:bCs/>
          <w:i/>
          <w:sz w:val="24"/>
          <w:szCs w:val="24"/>
        </w:rPr>
        <w:t>Introduction to the concept of “capture”</w:t>
      </w:r>
      <w:r w:rsidRPr="00867444">
        <w:rPr>
          <w:sz w:val="24"/>
          <w:szCs w:val="24"/>
        </w:rPr>
        <w:t xml:space="preserve"> …………………</w:t>
      </w:r>
      <w:r>
        <w:rPr>
          <w:sz w:val="24"/>
          <w:szCs w:val="24"/>
        </w:rPr>
        <w:t>…………………………...</w:t>
      </w:r>
      <w:r w:rsidRPr="00867444">
        <w:rPr>
          <w:sz w:val="24"/>
          <w:szCs w:val="24"/>
        </w:rPr>
        <w:t>56</w:t>
      </w:r>
    </w:p>
    <w:p w:rsidR="0078310B" w:rsidRDefault="0078310B" w:rsidP="0078310B">
      <w:pPr>
        <w:widowControl w:val="0"/>
        <w:rPr>
          <w:b/>
          <w:sz w:val="28"/>
          <w:szCs w:val="28"/>
        </w:rPr>
      </w:pPr>
      <w:r w:rsidRPr="000E16BE">
        <w:rPr>
          <w:b/>
          <w:sz w:val="28"/>
          <w:szCs w:val="28"/>
        </w:rPr>
        <w:t xml:space="preserve">Chapter 3: Ethical Debates, Economic Theories, and Real-World </w:t>
      </w:r>
    </w:p>
    <w:p w:rsidR="0078310B" w:rsidRPr="00867444" w:rsidRDefault="0078310B" w:rsidP="0078310B">
      <w:pPr>
        <w:widowControl w:val="0"/>
        <w:spacing w:after="120"/>
      </w:pPr>
      <w:r w:rsidRPr="000E16BE">
        <w:rPr>
          <w:b/>
          <w:sz w:val="28"/>
          <w:szCs w:val="28"/>
        </w:rPr>
        <w:t>Impacts</w:t>
      </w:r>
      <w:r>
        <w:t xml:space="preserve"> </w:t>
      </w:r>
      <w:r w:rsidRPr="00867444">
        <w:t>……………………………………………………………………………………</w:t>
      </w:r>
      <w:r>
        <w:t xml:space="preserve">. </w:t>
      </w:r>
      <w:r w:rsidRPr="00867444">
        <w:t xml:space="preserve">59  </w:t>
      </w:r>
    </w:p>
    <w:p w:rsidR="0078310B" w:rsidRDefault="0078310B" w:rsidP="0078310B">
      <w:pPr>
        <w:widowControl w:val="0"/>
        <w:ind w:left="288"/>
      </w:pPr>
      <w:r w:rsidRPr="00867444">
        <w:t xml:space="preserve">A. The development of the income tax and how taxes affect the Federal budget and </w:t>
      </w:r>
    </w:p>
    <w:p w:rsidR="0078310B" w:rsidRPr="00867444" w:rsidRDefault="0078310B" w:rsidP="0078310B">
      <w:pPr>
        <w:widowControl w:val="0"/>
        <w:spacing w:after="120"/>
        <w:ind w:left="288"/>
      </w:pPr>
      <w:r>
        <w:t xml:space="preserve">     living </w:t>
      </w:r>
      <w:r w:rsidRPr="00867444">
        <w:t>standards</w:t>
      </w:r>
      <w:r w:rsidRPr="00867444">
        <w:rPr>
          <w:b/>
        </w:rPr>
        <w:t xml:space="preserve"> </w:t>
      </w:r>
      <w:r w:rsidRPr="00867444">
        <w:t>……………………………………………………………………</w:t>
      </w:r>
      <w:r>
        <w:t>…...</w:t>
      </w:r>
      <w:r w:rsidRPr="00867444">
        <w:t xml:space="preserve">61  </w:t>
      </w:r>
    </w:p>
    <w:p w:rsidR="0078310B" w:rsidRPr="00867444" w:rsidRDefault="0078310B" w:rsidP="0078310B">
      <w:pPr>
        <w:widowControl w:val="0"/>
        <w:ind w:left="576"/>
      </w:pPr>
      <w:r w:rsidRPr="00867444">
        <w:rPr>
          <w:i/>
        </w:rPr>
        <w:t>Excerpt from</w:t>
      </w:r>
      <w:r w:rsidRPr="00867444">
        <w:t xml:space="preserve"> The Taxing Power: A Reference Guide to the United States </w:t>
      </w:r>
    </w:p>
    <w:p w:rsidR="0078310B" w:rsidRPr="00867444" w:rsidRDefault="0078310B" w:rsidP="0078310B">
      <w:pPr>
        <w:widowControl w:val="0"/>
        <w:spacing w:after="120"/>
        <w:ind w:left="576"/>
      </w:pPr>
      <w:r w:rsidRPr="00867444">
        <w:t>Constitution by Erik M. Jensen ……………………………………………………….. 64</w:t>
      </w:r>
    </w:p>
    <w:p w:rsidR="0078310B" w:rsidRPr="00867444" w:rsidRDefault="0078310B" w:rsidP="0078310B">
      <w:pPr>
        <w:widowControl w:val="0"/>
        <w:spacing w:after="120"/>
        <w:ind w:left="288"/>
      </w:pPr>
      <w:r w:rsidRPr="00867444">
        <w:t>B. Fairness norms, economic theories, and politics</w:t>
      </w:r>
      <w:r>
        <w:t xml:space="preserve"> ……………………………………….</w:t>
      </w:r>
      <w:r w:rsidRPr="00867444">
        <w:t>82</w:t>
      </w:r>
    </w:p>
    <w:p w:rsidR="0078310B" w:rsidRPr="00867444" w:rsidRDefault="0078310B" w:rsidP="0078310B">
      <w:pPr>
        <w:widowControl w:val="0"/>
        <w:spacing w:after="120"/>
        <w:ind w:left="576"/>
      </w:pPr>
      <w:r w:rsidRPr="00867444">
        <w:rPr>
          <w:i/>
        </w:rPr>
        <w:t>Fairness norms in general</w:t>
      </w:r>
      <w:r w:rsidRPr="00867444">
        <w:t xml:space="preserve"> ……………………………………………………………..83</w:t>
      </w:r>
    </w:p>
    <w:p w:rsidR="0078310B" w:rsidRPr="00867444" w:rsidRDefault="0078310B" w:rsidP="0078310B">
      <w:pPr>
        <w:widowControl w:val="0"/>
        <w:spacing w:after="120"/>
        <w:ind w:left="576"/>
      </w:pPr>
      <w:r w:rsidRPr="00867444">
        <w:rPr>
          <w:i/>
        </w:rPr>
        <w:t>Fairness and the wage tax</w:t>
      </w:r>
      <w:r w:rsidRPr="00867444">
        <w:t xml:space="preserve"> ……………………………………………………………..86</w:t>
      </w:r>
    </w:p>
    <w:p w:rsidR="0078310B" w:rsidRPr="00867444" w:rsidRDefault="0078310B" w:rsidP="0078310B">
      <w:pPr>
        <w:widowControl w:val="0"/>
        <w:spacing w:after="120"/>
        <w:ind w:left="576"/>
      </w:pPr>
      <w:r w:rsidRPr="00867444">
        <w:rPr>
          <w:i/>
        </w:rPr>
        <w:t>Fairness and other forms of consumption taxation</w:t>
      </w:r>
      <w:r w:rsidRPr="00867444">
        <w:t xml:space="preserve"> ……………………………………88</w:t>
      </w:r>
    </w:p>
    <w:p w:rsidR="0078310B" w:rsidRPr="00867444" w:rsidRDefault="0078310B" w:rsidP="0078310B">
      <w:pPr>
        <w:widowControl w:val="0"/>
        <w:spacing w:after="120"/>
        <w:ind w:left="576"/>
      </w:pPr>
      <w:r w:rsidRPr="00867444">
        <w:rPr>
          <w:i/>
        </w:rPr>
        <w:t xml:space="preserve">Welfare economics </w:t>
      </w:r>
      <w:r w:rsidRPr="00867444">
        <w:t>…………………………………………………………………….89</w:t>
      </w:r>
    </w:p>
    <w:p w:rsidR="0078310B" w:rsidRPr="00867444" w:rsidRDefault="0078310B" w:rsidP="0078310B">
      <w:pPr>
        <w:widowControl w:val="0"/>
        <w:spacing w:after="120"/>
        <w:ind w:left="576"/>
      </w:pPr>
      <w:r w:rsidRPr="00867444">
        <w:rPr>
          <w:i/>
        </w:rPr>
        <w:t>Chicago-school-style economics</w:t>
      </w:r>
      <w:r w:rsidRPr="00867444">
        <w:t xml:space="preserve"> ………………………………………………………92  </w:t>
      </w:r>
    </w:p>
    <w:p w:rsidR="0078310B" w:rsidRPr="00867444" w:rsidRDefault="0078310B" w:rsidP="0078310B">
      <w:pPr>
        <w:widowControl w:val="0"/>
        <w:spacing w:after="120"/>
        <w:ind w:left="576"/>
      </w:pPr>
      <w:r w:rsidRPr="00867444">
        <w:rPr>
          <w:i/>
        </w:rPr>
        <w:t xml:space="preserve">Negative </w:t>
      </w:r>
      <w:r>
        <w:rPr>
          <w:i/>
        </w:rPr>
        <w:t xml:space="preserve">and positive </w:t>
      </w:r>
      <w:r w:rsidRPr="00867444">
        <w:rPr>
          <w:i/>
        </w:rPr>
        <w:t>externalities</w:t>
      </w:r>
      <w:r>
        <w:rPr>
          <w:i/>
        </w:rPr>
        <w:t xml:space="preserve"> and Pigovian taxes</w:t>
      </w:r>
      <w:r>
        <w:t>…..……………………………</w:t>
      </w:r>
      <w:r w:rsidRPr="00867444">
        <w:t xml:space="preserve">94  </w:t>
      </w:r>
    </w:p>
    <w:p w:rsidR="0078310B" w:rsidRPr="00867444" w:rsidRDefault="0078310B" w:rsidP="0078310B">
      <w:pPr>
        <w:widowControl w:val="0"/>
        <w:spacing w:after="120"/>
        <w:ind w:left="576"/>
      </w:pPr>
      <w:r w:rsidRPr="00867444">
        <w:rPr>
          <w:i/>
        </w:rPr>
        <w:t>Rent-seeking behavior</w:t>
      </w:r>
      <w:r w:rsidRPr="00867444">
        <w:t xml:space="preserve"> …………………………………………………………………97 </w:t>
      </w:r>
    </w:p>
    <w:p w:rsidR="0078310B" w:rsidRPr="00867444" w:rsidRDefault="0078310B" w:rsidP="0078310B">
      <w:pPr>
        <w:pStyle w:val="NormalWeb"/>
        <w:widowControl w:val="0"/>
        <w:spacing w:before="0" w:beforeAutospacing="0" w:after="120" w:afterAutospacing="0"/>
        <w:ind w:left="576"/>
      </w:pPr>
      <w:r w:rsidRPr="00867444">
        <w:rPr>
          <w:i/>
        </w:rPr>
        <w:t xml:space="preserve">Supply-side economics </w:t>
      </w:r>
      <w:r w:rsidRPr="00867444">
        <w:t>………………………………………………………………...98</w:t>
      </w:r>
    </w:p>
    <w:p w:rsidR="0078310B" w:rsidRPr="00867444" w:rsidRDefault="0078310B" w:rsidP="0078310B">
      <w:pPr>
        <w:pStyle w:val="NormalWeb"/>
        <w:widowControl w:val="0"/>
        <w:spacing w:before="0" w:beforeAutospacing="0" w:after="120" w:afterAutospacing="0"/>
        <w:ind w:left="576"/>
      </w:pPr>
      <w:r w:rsidRPr="00867444">
        <w:rPr>
          <w:i/>
        </w:rPr>
        <w:t>The limits of economic theory</w:t>
      </w:r>
      <w:r w:rsidRPr="00867444">
        <w:t xml:space="preserve"> ………………………………………………………..101</w:t>
      </w:r>
    </w:p>
    <w:p w:rsidR="0078310B" w:rsidRPr="00867444" w:rsidRDefault="0078310B" w:rsidP="0078310B">
      <w:pPr>
        <w:widowControl w:val="0"/>
        <w:ind w:left="576"/>
      </w:pPr>
      <w:r w:rsidRPr="00867444">
        <w:t>What Legal Scholars Need to Know About Economic Research on Taxation: The</w:t>
      </w:r>
    </w:p>
    <w:p w:rsidR="0078310B" w:rsidRPr="00867444" w:rsidRDefault="0078310B" w:rsidP="0078310B">
      <w:pPr>
        <w:widowControl w:val="0"/>
        <w:spacing w:after="120"/>
        <w:ind w:left="576"/>
      </w:pPr>
      <w:r w:rsidRPr="00867444">
        <w:t xml:space="preserve">Evidence Thoroughly Debunks Conventional Wisdom by Neil H. Buchanan ……….102   </w:t>
      </w:r>
    </w:p>
    <w:p w:rsidR="0078310B" w:rsidRPr="00867444" w:rsidRDefault="0078310B" w:rsidP="0078310B">
      <w:pPr>
        <w:pStyle w:val="NormalWeb"/>
        <w:widowControl w:val="0"/>
        <w:spacing w:before="0" w:beforeAutospacing="0" w:after="120" w:afterAutospacing="0"/>
        <w:ind w:left="576"/>
      </w:pPr>
      <w:r w:rsidRPr="00867444">
        <w:rPr>
          <w:i/>
        </w:rPr>
        <w:t>Tax expenditures</w:t>
      </w:r>
      <w:r w:rsidR="00BB6C6B">
        <w:t>………………………………………………………………………105</w:t>
      </w:r>
      <w:r w:rsidRPr="00867444">
        <w:t xml:space="preserve"> </w:t>
      </w:r>
    </w:p>
    <w:p w:rsidR="0078310B" w:rsidRPr="000E16BE" w:rsidRDefault="0078310B" w:rsidP="0078310B">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rsidR="0078310B" w:rsidRPr="00867444" w:rsidRDefault="0078310B" w:rsidP="0078310B">
      <w:pPr>
        <w:pStyle w:val="NormalWeb"/>
        <w:widowControl w:val="0"/>
        <w:spacing w:before="0" w:beforeAutospacing="0" w:after="120" w:afterAutospacing="0"/>
      </w:pPr>
      <w:r w:rsidRPr="000E16BE">
        <w:rPr>
          <w:b/>
          <w:sz w:val="28"/>
          <w:szCs w:val="28"/>
        </w:rPr>
        <w:t>(or Current Depreciation)</w:t>
      </w:r>
      <w:r w:rsidRPr="00867444">
        <w:t xml:space="preserve"> ………………………………………………………</w:t>
      </w:r>
      <w:r>
        <w:t>……109</w:t>
      </w:r>
      <w:r w:rsidRPr="00867444">
        <w:t xml:space="preserve"> </w:t>
      </w:r>
    </w:p>
    <w:p w:rsidR="0078310B" w:rsidRPr="00867444" w:rsidRDefault="0078310B" w:rsidP="0078310B">
      <w:pPr>
        <w:pStyle w:val="NormalWeb"/>
        <w:widowControl w:val="0"/>
        <w:spacing w:before="0" w:beforeAutospacing="0" w:after="120" w:afterAutospacing="0"/>
        <w:ind w:left="288"/>
      </w:pPr>
      <w:r w:rsidRPr="00867444">
        <w:t>A. Outlays pertaining to intangibles ………………………………………………</w:t>
      </w:r>
      <w:r>
        <w:t>……..110</w:t>
      </w:r>
      <w:r w:rsidRPr="00867444">
        <w:t xml:space="preserve"> </w:t>
      </w:r>
    </w:p>
    <w:p w:rsidR="0078310B" w:rsidRPr="00867444" w:rsidRDefault="0078310B" w:rsidP="0078310B">
      <w:pPr>
        <w:pStyle w:val="NormalWeb"/>
        <w:widowControl w:val="0"/>
        <w:spacing w:before="0" w:beforeAutospacing="0" w:after="120" w:afterAutospacing="0"/>
        <w:ind w:left="576"/>
      </w:pPr>
      <w:r w:rsidRPr="00867444">
        <w:t>INDOPCO, INC. v. COMMISSIONER ……………………………………………..</w:t>
      </w:r>
      <w:r>
        <w:t xml:space="preserve"> 111</w:t>
      </w:r>
    </w:p>
    <w:p w:rsidR="0078310B" w:rsidRPr="00867444" w:rsidRDefault="0078310B" w:rsidP="0078310B">
      <w:pPr>
        <w:pStyle w:val="NormalWeb"/>
        <w:widowControl w:val="0"/>
        <w:spacing w:before="0" w:beforeAutospacing="0" w:after="120" w:afterAutospacing="0"/>
        <w:ind w:left="576"/>
      </w:pPr>
      <w:r w:rsidRPr="00867444">
        <w:rPr>
          <w:i/>
        </w:rPr>
        <w:t>Post-INDOPCO developments</w:t>
      </w:r>
      <w:r>
        <w:t xml:space="preserve"> ……………………………………………………….113</w:t>
      </w:r>
    </w:p>
    <w:p w:rsidR="0078310B" w:rsidRPr="00867444" w:rsidRDefault="0078310B" w:rsidP="0078310B">
      <w:pPr>
        <w:pStyle w:val="NormalWeb"/>
        <w:widowControl w:val="0"/>
        <w:spacing w:before="0" w:beforeAutospacing="0" w:after="120" w:afterAutospacing="0"/>
        <w:ind w:left="576"/>
      </w:pPr>
      <w:r w:rsidRPr="00867444">
        <w:rPr>
          <w:i/>
        </w:rPr>
        <w:t>Outline of the regulations pertaining to intangibles</w:t>
      </w:r>
      <w:r>
        <w:t xml:space="preserve"> …………………………………114</w:t>
      </w:r>
      <w:r w:rsidRPr="00867444">
        <w:t xml:space="preserve"> </w:t>
      </w:r>
    </w:p>
    <w:p w:rsidR="0078310B" w:rsidRPr="00867444" w:rsidRDefault="0078310B" w:rsidP="0078310B">
      <w:pPr>
        <w:pStyle w:val="NormalWeb"/>
        <w:widowControl w:val="0"/>
        <w:spacing w:before="0" w:beforeAutospacing="0" w:after="120" w:afterAutospacing="0"/>
        <w:ind w:left="576"/>
      </w:pPr>
      <w:r w:rsidRPr="00867444">
        <w:t>Problems ………</w:t>
      </w:r>
      <w:r>
        <w:t>…………………………………………………………………….. 115</w:t>
      </w:r>
    </w:p>
    <w:p w:rsidR="0078310B" w:rsidRPr="00867444" w:rsidRDefault="0078310B" w:rsidP="0078310B">
      <w:pPr>
        <w:pStyle w:val="NormalWeb"/>
        <w:widowControl w:val="0"/>
        <w:spacing w:before="0" w:beforeAutospacing="0" w:after="120" w:afterAutospacing="0"/>
        <w:ind w:left="288"/>
      </w:pPr>
      <w:r w:rsidRPr="00867444">
        <w:t>B. Outlays pertaining to tangible assets ……………………………….…………</w:t>
      </w:r>
      <w:r>
        <w:t>……...116</w:t>
      </w:r>
    </w:p>
    <w:p w:rsidR="0078310B" w:rsidRPr="00867444" w:rsidRDefault="0078310B" w:rsidP="0078310B">
      <w:pPr>
        <w:pStyle w:val="NormalWeb"/>
        <w:widowControl w:val="0"/>
        <w:spacing w:before="0" w:beforeAutospacing="0" w:after="120" w:afterAutospacing="0"/>
        <w:ind w:left="576"/>
      </w:pPr>
      <w:r>
        <w:rPr>
          <w:i/>
        </w:rPr>
        <w:t xml:space="preserve">Two mutually exclusive </w:t>
      </w:r>
      <w:r w:rsidRPr="00867444">
        <w:rPr>
          <w:i/>
        </w:rPr>
        <w:t>de minimis elections</w:t>
      </w:r>
      <w:r>
        <w:t xml:space="preserve"> …………………</w:t>
      </w:r>
      <w:r w:rsidRPr="00867444">
        <w:t>……………………...11</w:t>
      </w:r>
      <w:r>
        <w:t>7</w:t>
      </w:r>
    </w:p>
    <w:p w:rsidR="0078310B" w:rsidRPr="00867444" w:rsidRDefault="0078310B" w:rsidP="0078310B">
      <w:pPr>
        <w:pStyle w:val="NormalWeb"/>
        <w:widowControl w:val="0"/>
        <w:spacing w:before="0" w:beforeAutospacing="0" w:after="120" w:afterAutospacing="0"/>
        <w:ind w:left="576"/>
      </w:pPr>
      <w:r w:rsidRPr="00867444">
        <w:rPr>
          <w:i/>
        </w:rPr>
        <w:t>The § 162 deduction for “materials and supplies”</w:t>
      </w:r>
      <w:r w:rsidRPr="00867444">
        <w:t xml:space="preserve"> ……………………………</w:t>
      </w:r>
      <w:r>
        <w:t>……. 118</w:t>
      </w:r>
    </w:p>
    <w:p w:rsidR="0078310B" w:rsidRPr="00867444" w:rsidRDefault="0078310B" w:rsidP="0078310B">
      <w:pPr>
        <w:pStyle w:val="NormalWeb"/>
        <w:widowControl w:val="0"/>
        <w:spacing w:before="0" w:beforeAutospacing="0" w:after="120" w:afterAutospacing="0"/>
        <w:ind w:left="576"/>
      </w:pPr>
      <w:r w:rsidRPr="00867444">
        <w:t>Problems ………</w:t>
      </w:r>
      <w:r>
        <w:t>…………………………………………………………………….. 118</w:t>
      </w:r>
    </w:p>
    <w:p w:rsidR="0078310B" w:rsidRPr="00867444" w:rsidRDefault="0078310B" w:rsidP="0078310B">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t>…………………………………………………………….. 119</w:t>
      </w:r>
      <w:r w:rsidRPr="00867444">
        <w:t xml:space="preserve"> </w:t>
      </w:r>
    </w:p>
    <w:p w:rsidR="0078310B" w:rsidRPr="00867444" w:rsidRDefault="0078310B" w:rsidP="0078310B">
      <w:pPr>
        <w:pStyle w:val="NormalWeb"/>
        <w:widowControl w:val="0"/>
        <w:spacing w:before="0" w:beforeAutospacing="0" w:after="120" w:afterAutospacing="0"/>
        <w:ind w:left="576"/>
      </w:pPr>
      <w:r w:rsidRPr="00867444">
        <w:rPr>
          <w:i/>
        </w:rPr>
        <w:t>Improvement: betterment, restoration, or adapting the property to a new use</w:t>
      </w:r>
      <w:r>
        <w:t xml:space="preserve"> ……...120</w:t>
      </w:r>
      <w:r w:rsidRPr="00867444">
        <w:t xml:space="preserve">  </w:t>
      </w:r>
    </w:p>
    <w:p w:rsidR="0078310B" w:rsidRPr="00867444" w:rsidRDefault="0078310B" w:rsidP="0078310B">
      <w:pPr>
        <w:pStyle w:val="NormalWeb"/>
        <w:widowControl w:val="0"/>
        <w:spacing w:before="0" w:beforeAutospacing="0" w:after="120" w:afterAutospacing="0"/>
        <w:ind w:left="576"/>
      </w:pPr>
      <w:r w:rsidRPr="00867444">
        <w:rPr>
          <w:i/>
        </w:rPr>
        <w:t>Determining the “unit of property”</w:t>
      </w:r>
      <w:r w:rsidR="00894CCE">
        <w:t xml:space="preserve"> ………………………………………………….121</w:t>
      </w:r>
    </w:p>
    <w:p w:rsidR="0078310B" w:rsidRPr="00867444" w:rsidRDefault="0078310B" w:rsidP="0078310B">
      <w:pPr>
        <w:pStyle w:val="NormalWeb"/>
        <w:widowControl w:val="0"/>
        <w:spacing w:before="0" w:beforeAutospacing="0" w:after="120" w:afterAutospacing="0"/>
        <w:ind w:left="576"/>
      </w:pPr>
      <w:r w:rsidRPr="00867444">
        <w:rPr>
          <w:i/>
        </w:rPr>
        <w:t>Routine maintenance safe harbor</w:t>
      </w:r>
      <w:r>
        <w:t xml:space="preserve"> ……………………………………………………121</w:t>
      </w:r>
    </w:p>
    <w:p w:rsidR="0078310B" w:rsidRPr="00867444" w:rsidRDefault="0078310B" w:rsidP="0078310B">
      <w:pPr>
        <w:pStyle w:val="NormalWeb"/>
        <w:widowControl w:val="0"/>
        <w:spacing w:before="0" w:beforeAutospacing="0" w:after="120" w:afterAutospacing="0"/>
        <w:ind w:left="576"/>
      </w:pPr>
      <w:r w:rsidRPr="00867444">
        <w:rPr>
          <w:i/>
        </w:rPr>
        <w:t>Small business safe harbor election for building improvements</w:t>
      </w:r>
      <w:r>
        <w:t xml:space="preserve"> …………………….122</w:t>
      </w:r>
      <w:r w:rsidRPr="00867444">
        <w:t xml:space="preserve"> </w:t>
      </w:r>
    </w:p>
    <w:p w:rsidR="0078310B" w:rsidRPr="00867444" w:rsidRDefault="0078310B" w:rsidP="0078310B">
      <w:pPr>
        <w:pStyle w:val="NormalWeb"/>
        <w:widowControl w:val="0"/>
        <w:spacing w:before="0" w:beforeAutospacing="0" w:after="120" w:afterAutospacing="0"/>
        <w:ind w:left="576"/>
      </w:pPr>
      <w:r w:rsidRPr="00867444">
        <w:t>Problems ……</w:t>
      </w:r>
      <w:r>
        <w:t>………………………………………………………………………..122</w:t>
      </w:r>
      <w:r w:rsidRPr="00867444">
        <w:t xml:space="preserve"> </w:t>
      </w:r>
    </w:p>
    <w:p w:rsidR="0078310B" w:rsidRPr="00867444" w:rsidRDefault="0078310B" w:rsidP="0078310B">
      <w:pPr>
        <w:pStyle w:val="NormalWeb"/>
        <w:widowControl w:val="0"/>
        <w:spacing w:before="0" w:beforeAutospacing="0" w:after="120" w:afterAutospacing="0"/>
        <w:ind w:left="288"/>
      </w:pPr>
      <w:r w:rsidRPr="00867444">
        <w:t>C. Indirect costs of producing inventory (and other property)………………</w:t>
      </w:r>
      <w:r>
        <w:t>…………..123</w:t>
      </w:r>
    </w:p>
    <w:p w:rsidR="0078310B" w:rsidRPr="00867444" w:rsidRDefault="0078310B" w:rsidP="0078310B">
      <w:pPr>
        <w:pStyle w:val="NormalWeb"/>
        <w:widowControl w:val="0"/>
        <w:spacing w:before="0" w:beforeAutospacing="0" w:after="120" w:afterAutospacing="0"/>
        <w:ind w:left="576"/>
      </w:pPr>
      <w:r w:rsidRPr="00867444">
        <w:t>COMMISSIONER v. IDAHO POWER</w:t>
      </w:r>
      <w:r>
        <w:t xml:space="preserve"> CO. ………………………………………..123</w:t>
      </w:r>
    </w:p>
    <w:p w:rsidR="0078310B" w:rsidRPr="00867444" w:rsidRDefault="0078310B" w:rsidP="0078310B">
      <w:pPr>
        <w:pStyle w:val="NormalWeb"/>
        <w:widowControl w:val="0"/>
        <w:spacing w:before="0" w:beforeAutospacing="0" w:after="120" w:afterAutospacing="0"/>
        <w:ind w:left="576"/>
      </w:pPr>
      <w:r w:rsidRPr="00867444">
        <w:rPr>
          <w:i/>
        </w:rPr>
        <w:t>§ 263A codification</w:t>
      </w:r>
      <w:r>
        <w:t xml:space="preserve"> …………………………………………………………………..124</w:t>
      </w:r>
    </w:p>
    <w:p w:rsidR="0078310B" w:rsidRPr="00EC2EAB" w:rsidRDefault="0078310B" w:rsidP="0078310B">
      <w:pPr>
        <w:widowControl w:val="0"/>
        <w:jc w:val="center"/>
        <w:rPr>
          <w:b/>
          <w:sz w:val="32"/>
          <w:szCs w:val="32"/>
        </w:rPr>
      </w:pPr>
      <w:r w:rsidRPr="00EC2EAB">
        <w:rPr>
          <w:b/>
          <w:sz w:val="32"/>
          <w:szCs w:val="32"/>
        </w:rPr>
        <w:t xml:space="preserve">Unit II: Two Types of Gross Income: </w:t>
      </w:r>
    </w:p>
    <w:p w:rsidR="0078310B" w:rsidRPr="00867444" w:rsidRDefault="0078310B" w:rsidP="0078310B">
      <w:pPr>
        <w:widowControl w:val="0"/>
        <w:spacing w:after="120"/>
        <w:jc w:val="center"/>
      </w:pPr>
      <w:r w:rsidRPr="00EC2EAB">
        <w:rPr>
          <w:b/>
          <w:sz w:val="32"/>
          <w:szCs w:val="32"/>
        </w:rPr>
        <w:t>Compensation and Residual Gross Income</w:t>
      </w:r>
    </w:p>
    <w:p w:rsidR="0078310B" w:rsidRPr="00867444" w:rsidRDefault="0078310B" w:rsidP="0078310B">
      <w:pPr>
        <w:widowControl w:val="0"/>
        <w:spacing w:after="120"/>
      </w:pPr>
      <w:r w:rsidRPr="00867444">
        <w:t>Introduction to Chapters 5 and 6 ……………………………………………………...</w:t>
      </w:r>
      <w:r>
        <w:t>.........126</w:t>
      </w:r>
    </w:p>
    <w:p w:rsidR="0078310B" w:rsidRPr="00867444" w:rsidRDefault="0078310B" w:rsidP="0078310B">
      <w:pPr>
        <w:widowControl w:val="0"/>
        <w:spacing w:after="120"/>
      </w:pPr>
      <w:r w:rsidRPr="00EC2EAB">
        <w:rPr>
          <w:b/>
          <w:sz w:val="28"/>
          <w:szCs w:val="28"/>
        </w:rPr>
        <w:t>Chapter 5: § 61(a)(1) Compensation</w:t>
      </w:r>
      <w:r w:rsidRPr="00867444">
        <w:t xml:space="preserve"> ………………………………………</w:t>
      </w:r>
      <w:r>
        <w:t>……....128</w:t>
      </w:r>
    </w:p>
    <w:p w:rsidR="0078310B" w:rsidRPr="00867444" w:rsidRDefault="0078310B" w:rsidP="0078310B">
      <w:pPr>
        <w:widowControl w:val="0"/>
        <w:spacing w:after="120"/>
        <w:ind w:left="576"/>
      </w:pPr>
      <w:r w:rsidRPr="00867444">
        <w:t>OLD COLONY TRUST CO. v.</w:t>
      </w:r>
      <w:r>
        <w:t xml:space="preserve"> COMMISSIONER ………………………………...128</w:t>
      </w:r>
    </w:p>
    <w:p w:rsidR="0078310B" w:rsidRPr="00867444" w:rsidRDefault="0078310B" w:rsidP="0078310B">
      <w:pPr>
        <w:widowControl w:val="0"/>
        <w:spacing w:after="120"/>
        <w:ind w:left="576"/>
      </w:pPr>
      <w:r w:rsidRPr="00867444">
        <w:t>REVENUE RULING 79-24 …………………………………………………….…</w:t>
      </w:r>
      <w:r>
        <w:t>…131</w:t>
      </w:r>
    </w:p>
    <w:p w:rsidR="0078310B" w:rsidRPr="00867444" w:rsidRDefault="0078310B" w:rsidP="0078310B">
      <w:pPr>
        <w:widowControl w:val="0"/>
        <w:spacing w:after="120"/>
        <w:ind w:left="288"/>
      </w:pPr>
      <w:r w:rsidRPr="00867444">
        <w:t>A. Section 119 ………………………………………………………...………………</w:t>
      </w:r>
      <w:r>
        <w:t>…133</w:t>
      </w:r>
    </w:p>
    <w:p w:rsidR="0078310B" w:rsidRPr="00867444" w:rsidRDefault="0078310B" w:rsidP="0078310B">
      <w:pPr>
        <w:widowControl w:val="0"/>
        <w:spacing w:after="120"/>
        <w:ind w:left="576"/>
      </w:pPr>
      <w:r w:rsidRPr="00867444">
        <w:t xml:space="preserve">COMMISSIONER v. </w:t>
      </w:r>
      <w:r>
        <w:t>KOWALSKI ………………….………………………………134</w:t>
      </w:r>
    </w:p>
    <w:p w:rsidR="0078310B" w:rsidRPr="00867444" w:rsidRDefault="0078310B" w:rsidP="0078310B">
      <w:pPr>
        <w:widowControl w:val="0"/>
        <w:spacing w:after="120"/>
        <w:ind w:left="576"/>
      </w:pPr>
      <w:r w:rsidRPr="00867444">
        <w:t>LINDEMAN v. COMMISSIONER ….</w:t>
      </w:r>
      <w:r>
        <w:t>………………………………………………136</w:t>
      </w:r>
    </w:p>
    <w:p w:rsidR="0078310B" w:rsidRPr="00867444" w:rsidRDefault="0078310B" w:rsidP="0078310B">
      <w:pPr>
        <w:widowControl w:val="0"/>
        <w:spacing w:after="120"/>
        <w:ind w:left="288"/>
      </w:pPr>
      <w:r w:rsidRPr="00867444">
        <w:t>B. Section 132 ………………………………………….……………………………</w:t>
      </w:r>
      <w:r>
        <w:t>…..141</w:t>
      </w:r>
    </w:p>
    <w:p w:rsidR="0078310B" w:rsidRPr="00867444" w:rsidRDefault="0078310B" w:rsidP="0078310B">
      <w:pPr>
        <w:widowControl w:val="0"/>
        <w:ind w:left="576"/>
      </w:pPr>
      <w:r w:rsidRPr="00867444">
        <w:rPr>
          <w:i/>
        </w:rPr>
        <w:t>Excerpt from</w:t>
      </w:r>
      <w:r w:rsidRPr="00867444">
        <w:t xml:space="preserve"> General Explanation of the Revenue Provisions of the Deficit </w:t>
      </w:r>
    </w:p>
    <w:p w:rsidR="0078310B" w:rsidRPr="00867444" w:rsidRDefault="0078310B" w:rsidP="0078310B">
      <w:pPr>
        <w:widowControl w:val="0"/>
        <w:spacing w:after="120"/>
        <w:ind w:left="576"/>
      </w:pPr>
      <w:r w:rsidRPr="00867444">
        <w:t>Reduction Act of 1</w:t>
      </w:r>
      <w:r w:rsidR="00894CCE">
        <w:t>984 ……………………………………………………………….142</w:t>
      </w:r>
      <w:r w:rsidRPr="00867444">
        <w:t xml:space="preserve"> </w:t>
      </w:r>
    </w:p>
    <w:p w:rsidR="0078310B" w:rsidRPr="00867444" w:rsidRDefault="0078310B" w:rsidP="0078310B">
      <w:pPr>
        <w:widowControl w:val="0"/>
        <w:spacing w:after="120"/>
        <w:ind w:left="576"/>
      </w:pPr>
      <w:r w:rsidRPr="00867444">
        <w:t>Problems ………</w:t>
      </w:r>
      <w:r>
        <w:t>……………………………………………………………………...144</w:t>
      </w:r>
    </w:p>
    <w:p w:rsidR="0078310B" w:rsidRPr="00867444" w:rsidRDefault="0078310B" w:rsidP="0078310B">
      <w:pPr>
        <w:widowControl w:val="0"/>
        <w:spacing w:after="120"/>
        <w:ind w:left="288"/>
      </w:pPr>
      <w:r w:rsidRPr="00867444">
        <w:t>C. Section 83 …………………………………………………………………………</w:t>
      </w:r>
      <w:r>
        <w:t>….146</w:t>
      </w:r>
    </w:p>
    <w:p w:rsidR="0078310B" w:rsidRPr="00867444" w:rsidRDefault="0078310B" w:rsidP="0078310B">
      <w:pPr>
        <w:widowControl w:val="0"/>
        <w:spacing w:after="120"/>
        <w:ind w:left="576"/>
      </w:pPr>
      <w:r w:rsidRPr="00867444">
        <w:t>Problems ……………………………………………………………………………..</w:t>
      </w:r>
      <w:r>
        <w:t>.149</w:t>
      </w:r>
    </w:p>
    <w:p w:rsidR="0078310B" w:rsidRPr="00867444" w:rsidRDefault="0078310B" w:rsidP="0078310B">
      <w:pPr>
        <w:widowControl w:val="0"/>
        <w:spacing w:after="120"/>
      </w:pPr>
      <w:r w:rsidRPr="00EC2EAB">
        <w:rPr>
          <w:b/>
          <w:sz w:val="28"/>
          <w:szCs w:val="28"/>
        </w:rPr>
        <w:t>Chapter 6: § 61 Residual Gross Income</w:t>
      </w:r>
      <w:r w:rsidRPr="00867444">
        <w:t xml:space="preserve"> …………………………………</w:t>
      </w:r>
      <w:r>
        <w:t>……….150</w:t>
      </w:r>
    </w:p>
    <w:p w:rsidR="0078310B" w:rsidRPr="00867444" w:rsidRDefault="0078310B" w:rsidP="0078310B">
      <w:pPr>
        <w:widowControl w:val="0"/>
        <w:spacing w:after="120"/>
        <w:ind w:left="576"/>
      </w:pPr>
      <w:r w:rsidRPr="00867444">
        <w:t>COMMISSIONER v. GLE</w:t>
      </w:r>
      <w:r>
        <w:t>NSHAW GLASS ……..…………………………………151</w:t>
      </w:r>
      <w:r w:rsidRPr="00867444">
        <w:t xml:space="preserve"> </w:t>
      </w:r>
    </w:p>
    <w:p w:rsidR="0078310B" w:rsidRPr="00867444" w:rsidRDefault="0078310B" w:rsidP="0078310B">
      <w:pPr>
        <w:pStyle w:val="ListParagraph"/>
        <w:widowControl w:val="0"/>
        <w:numPr>
          <w:ilvl w:val="0"/>
          <w:numId w:val="43"/>
        </w:numPr>
        <w:spacing w:after="120"/>
      </w:pPr>
      <w:r w:rsidRPr="00867444">
        <w:t xml:space="preserve">What is an “accession to wealth” within the meaning of </w:t>
      </w:r>
      <w:r w:rsidRPr="00EC2EAB">
        <w:rPr>
          <w:i/>
        </w:rPr>
        <w:t>Glenshaw Glass</w:t>
      </w:r>
      <w:r w:rsidRPr="00867444">
        <w:t xml:space="preserve">? </w:t>
      </w:r>
      <w:r>
        <w:t>………...155</w:t>
      </w:r>
    </w:p>
    <w:p w:rsidR="0078310B" w:rsidRPr="00867444" w:rsidRDefault="0078310B" w:rsidP="0078310B">
      <w:pPr>
        <w:widowControl w:val="0"/>
        <w:spacing w:after="120"/>
        <w:ind w:left="576"/>
      </w:pPr>
      <w:r w:rsidRPr="00867444">
        <w:rPr>
          <w:i/>
        </w:rPr>
        <w:t>Cash receipts that are not basis recovery</w:t>
      </w:r>
      <w:r>
        <w:t xml:space="preserve"> ……………………………………………155</w:t>
      </w:r>
    </w:p>
    <w:p w:rsidR="0078310B" w:rsidRDefault="0078310B" w:rsidP="0078310B">
      <w:pPr>
        <w:widowControl w:val="0"/>
        <w:spacing w:after="120"/>
        <w:ind w:left="576"/>
      </w:pPr>
      <w:r w:rsidRPr="00867444">
        <w:t xml:space="preserve">REVENUE RULING 76-131 </w:t>
      </w:r>
      <w:r>
        <w:t>………………………………………………………...155</w:t>
      </w:r>
    </w:p>
    <w:p w:rsidR="0078310B" w:rsidRPr="00867444" w:rsidRDefault="0078310B" w:rsidP="0078310B">
      <w:pPr>
        <w:widowControl w:val="0"/>
        <w:spacing w:after="120"/>
        <w:ind w:left="576"/>
      </w:pPr>
      <w:r w:rsidRPr="00867444">
        <w:rPr>
          <w:i/>
        </w:rPr>
        <w:t xml:space="preserve">Consumption received in kind </w:t>
      </w:r>
      <w:r w:rsidR="00894CCE">
        <w:t>………………………………………………………..158</w:t>
      </w:r>
    </w:p>
    <w:p w:rsidR="0078310B" w:rsidRPr="00867444" w:rsidRDefault="0078310B" w:rsidP="0078310B">
      <w:pPr>
        <w:widowControl w:val="0"/>
        <w:spacing w:after="120"/>
        <w:ind w:left="576"/>
        <w:outlineLvl w:val="2"/>
        <w:rPr>
          <w:rFonts w:eastAsia="Times New Roman" w:cs="Times New Roman"/>
          <w:bCs/>
        </w:rPr>
      </w:pPr>
      <w:r w:rsidRPr="00867444">
        <w:rPr>
          <w:rFonts w:eastAsia="Times New Roman" w:cs="Times New Roman"/>
          <w:bCs/>
        </w:rPr>
        <w:t>Oscar Freebies Balloon to $80K (Don’t Tell IRS)</w:t>
      </w:r>
      <w:r>
        <w:rPr>
          <w:rFonts w:eastAsia="Times New Roman" w:cs="Times New Roman"/>
          <w:bCs/>
        </w:rPr>
        <w:t xml:space="preserve"> by Robert W. Wood ……</w:t>
      </w:r>
      <w:r w:rsidR="00894CCE">
        <w:rPr>
          <w:rFonts w:eastAsia="Times New Roman" w:cs="Times New Roman"/>
          <w:bCs/>
        </w:rPr>
        <w:t>……….160</w:t>
      </w:r>
    </w:p>
    <w:p w:rsidR="0078310B" w:rsidRPr="00867444" w:rsidRDefault="0078310B" w:rsidP="0078310B">
      <w:pPr>
        <w:widowControl w:val="0"/>
        <w:spacing w:after="120"/>
        <w:ind w:left="576"/>
        <w:outlineLvl w:val="2"/>
      </w:pPr>
      <w:r w:rsidRPr="00867444">
        <w:t>UNITED STATES v. G</w:t>
      </w:r>
      <w:r>
        <w:t>OTCHER …………………………………………………...164</w:t>
      </w:r>
    </w:p>
    <w:p w:rsidR="0078310B" w:rsidRPr="00867444" w:rsidRDefault="0078310B" w:rsidP="0078310B">
      <w:pPr>
        <w:widowControl w:val="0"/>
        <w:spacing w:after="120"/>
        <w:ind w:left="576"/>
        <w:outlineLvl w:val="2"/>
      </w:pPr>
      <w:r w:rsidRPr="00867444">
        <w:t>Problem …</w:t>
      </w:r>
      <w:r>
        <w:t>……………………………………………………………………………168</w:t>
      </w:r>
    </w:p>
    <w:p w:rsidR="0078310B" w:rsidRPr="00867444" w:rsidRDefault="0078310B" w:rsidP="0078310B">
      <w:pPr>
        <w:widowControl w:val="0"/>
        <w:spacing w:after="120"/>
        <w:ind w:left="576"/>
        <w:outlineLvl w:val="2"/>
      </w:pPr>
      <w:r w:rsidRPr="00867444">
        <w:t xml:space="preserve">HAVERLY v. UNITED </w:t>
      </w:r>
      <w:r>
        <w:t>STATES …………………………………………………...168</w:t>
      </w:r>
    </w:p>
    <w:p w:rsidR="0078310B" w:rsidRPr="00867444" w:rsidRDefault="0078310B" w:rsidP="0078310B">
      <w:pPr>
        <w:widowControl w:val="0"/>
        <w:spacing w:after="120"/>
        <w:ind w:left="576"/>
        <w:outlineLvl w:val="2"/>
      </w:pPr>
      <w:r w:rsidRPr="00867444">
        <w:t>Problem …</w:t>
      </w:r>
      <w:r>
        <w:t>……………………………………………………………………………170</w:t>
      </w:r>
    </w:p>
    <w:p w:rsidR="0078310B" w:rsidRDefault="0078310B" w:rsidP="0078310B">
      <w:pPr>
        <w:widowControl w:val="0"/>
        <w:ind w:left="288"/>
      </w:pPr>
      <w:r w:rsidRPr="00867444">
        <w:t xml:space="preserve">B. When is a wealth accession “clearly realized” within the meaning of </w:t>
      </w:r>
    </w:p>
    <w:p w:rsidR="0078310B" w:rsidRPr="00867444" w:rsidRDefault="0078310B" w:rsidP="0078310B">
      <w:pPr>
        <w:widowControl w:val="0"/>
        <w:spacing w:after="120"/>
        <w:ind w:left="288"/>
      </w:pPr>
      <w:r>
        <w:rPr>
          <w:i/>
        </w:rPr>
        <w:t xml:space="preserve">     </w:t>
      </w:r>
      <w:r w:rsidRPr="00867444">
        <w:rPr>
          <w:i/>
        </w:rPr>
        <w:t xml:space="preserve">Glenshaw </w:t>
      </w:r>
      <w:r>
        <w:rPr>
          <w:i/>
        </w:rPr>
        <w:t>Glass?</w:t>
      </w:r>
      <w:r>
        <w:t xml:space="preserve"> </w:t>
      </w:r>
      <w:r w:rsidRPr="00867444">
        <w:t>…</w:t>
      </w:r>
      <w:r w:rsidR="00894CCE">
        <w:t>………………………………………………………………….170</w:t>
      </w:r>
    </w:p>
    <w:p w:rsidR="0078310B" w:rsidRPr="00867444" w:rsidRDefault="0078310B" w:rsidP="0078310B">
      <w:pPr>
        <w:widowControl w:val="0"/>
        <w:spacing w:after="120"/>
        <w:ind w:left="576"/>
      </w:pPr>
      <w:r w:rsidRPr="00867444">
        <w:rPr>
          <w:i/>
        </w:rPr>
        <w:t>The bargain purchase rule</w:t>
      </w:r>
      <w:r>
        <w:t xml:space="preserve"> …………………………………………………………...17</w:t>
      </w:r>
      <w:r w:rsidR="00894CCE">
        <w:t>0</w:t>
      </w:r>
    </w:p>
    <w:p w:rsidR="0078310B" w:rsidRPr="00867444" w:rsidRDefault="0078310B" w:rsidP="0078310B">
      <w:pPr>
        <w:widowControl w:val="0"/>
        <w:spacing w:after="120"/>
        <w:ind w:left="576"/>
      </w:pPr>
      <w:r w:rsidRPr="00867444">
        <w:t>Problem …</w:t>
      </w:r>
      <w:r>
        <w:t>……………………………………………………………………………171</w:t>
      </w:r>
    </w:p>
    <w:p w:rsidR="0078310B" w:rsidRPr="00867444" w:rsidRDefault="0078310B" w:rsidP="0078310B">
      <w:pPr>
        <w:widowControl w:val="0"/>
        <w:spacing w:after="120"/>
        <w:ind w:left="576"/>
      </w:pPr>
      <w:r w:rsidRPr="00867444">
        <w:rPr>
          <w:i/>
        </w:rPr>
        <w:t>Commercial rebates</w:t>
      </w:r>
      <w:r w:rsidRPr="00867444">
        <w:t xml:space="preserve"> …………………………………………</w:t>
      </w:r>
      <w:r w:rsidR="00894CCE">
        <w:t>……………………….171</w:t>
      </w:r>
    </w:p>
    <w:p w:rsidR="0078310B" w:rsidRPr="00867444" w:rsidRDefault="0078310B" w:rsidP="0078310B">
      <w:pPr>
        <w:widowControl w:val="0"/>
        <w:spacing w:after="120"/>
        <w:ind w:left="576"/>
      </w:pPr>
      <w:r w:rsidRPr="00867444">
        <w:t>REVENUE RULING 76-96 …………………………………………………………</w:t>
      </w:r>
      <w:r w:rsidR="00894CCE">
        <w:t>.171</w:t>
      </w:r>
    </w:p>
    <w:p w:rsidR="0078310B" w:rsidRPr="00867444" w:rsidRDefault="0078310B" w:rsidP="0078310B">
      <w:pPr>
        <w:widowControl w:val="0"/>
        <w:spacing w:after="120"/>
        <w:ind w:left="576"/>
      </w:pPr>
      <w:r w:rsidRPr="00867444">
        <w:t>Problem …</w:t>
      </w:r>
      <w:r w:rsidR="00894CCE">
        <w:t>……………………………………………………………………………173</w:t>
      </w:r>
    </w:p>
    <w:p w:rsidR="0078310B" w:rsidRPr="00867444" w:rsidRDefault="0078310B" w:rsidP="0078310B">
      <w:pPr>
        <w:widowControl w:val="0"/>
        <w:spacing w:after="120"/>
        <w:ind w:left="576"/>
      </w:pPr>
      <w:r w:rsidRPr="00867444">
        <w:rPr>
          <w:i/>
        </w:rPr>
        <w:t xml:space="preserve">Lessee improvements that are not “rent” </w:t>
      </w:r>
      <w:r w:rsidR="00894CCE">
        <w:t>……………………………………………173</w:t>
      </w:r>
    </w:p>
    <w:p w:rsidR="0078310B" w:rsidRPr="00867444" w:rsidRDefault="0078310B" w:rsidP="0078310B">
      <w:pPr>
        <w:widowControl w:val="0"/>
        <w:spacing w:after="120"/>
        <w:ind w:left="576"/>
      </w:pPr>
      <w:r w:rsidRPr="00867444">
        <w:t xml:space="preserve">HELVERING v. </w:t>
      </w:r>
      <w:r w:rsidR="00894CCE">
        <w:t>BRUUN ……………………………………………………………173</w:t>
      </w:r>
    </w:p>
    <w:p w:rsidR="0078310B" w:rsidRPr="00867444" w:rsidRDefault="0078310B" w:rsidP="0078310B">
      <w:pPr>
        <w:widowControl w:val="0"/>
        <w:spacing w:after="120"/>
        <w:ind w:left="576"/>
      </w:pPr>
      <w:r w:rsidRPr="00867444">
        <w:rPr>
          <w:i/>
        </w:rPr>
        <w:t xml:space="preserve">Treasure trove </w:t>
      </w:r>
      <w:r>
        <w:t>………………………………………………………………………..177</w:t>
      </w:r>
    </w:p>
    <w:p w:rsidR="0078310B" w:rsidRPr="00867444" w:rsidRDefault="0078310B" w:rsidP="0078310B">
      <w:pPr>
        <w:widowControl w:val="0"/>
        <w:spacing w:after="120"/>
        <w:ind w:left="576"/>
      </w:pPr>
      <w:r w:rsidRPr="00867444">
        <w:rPr>
          <w:i/>
        </w:rPr>
        <w:t>Excerpt from</w:t>
      </w:r>
      <w:r w:rsidRPr="00867444">
        <w:t xml:space="preserve"> Defining Income by Alice G. Abreu &amp; </w:t>
      </w:r>
      <w:r w:rsidR="00894CCE">
        <w:t>Richard K. Greenstein …….....177</w:t>
      </w:r>
    </w:p>
    <w:p w:rsidR="0078310B" w:rsidRPr="0004373E" w:rsidRDefault="0078310B" w:rsidP="0078310B">
      <w:pPr>
        <w:widowControl w:val="0"/>
        <w:spacing w:after="120"/>
        <w:jc w:val="center"/>
        <w:rPr>
          <w:b/>
          <w:sz w:val="32"/>
          <w:szCs w:val="32"/>
        </w:rPr>
      </w:pPr>
      <w:r w:rsidRPr="0004373E">
        <w:rPr>
          <w:b/>
          <w:sz w:val="32"/>
          <w:szCs w:val="32"/>
        </w:rPr>
        <w:t>Unit III: The Possibilities for Income Shifting</w:t>
      </w:r>
    </w:p>
    <w:p w:rsidR="0078310B" w:rsidRPr="00867444" w:rsidRDefault="0078310B" w:rsidP="0078310B">
      <w:pPr>
        <w:widowControl w:val="0"/>
        <w:spacing w:after="120"/>
      </w:pPr>
      <w:r w:rsidRPr="00867444">
        <w:t>Introduction to Chapters 7 through 9 ………………………………………………...</w:t>
      </w:r>
      <w:r>
        <w:t>..........184</w:t>
      </w:r>
    </w:p>
    <w:p w:rsidR="0078310B" w:rsidRPr="00867444" w:rsidRDefault="0078310B" w:rsidP="0078310B">
      <w:pPr>
        <w:widowControl w:val="0"/>
        <w:spacing w:after="120"/>
      </w:pPr>
      <w:r w:rsidRPr="0004373E">
        <w:rPr>
          <w:b/>
          <w:sz w:val="28"/>
          <w:szCs w:val="28"/>
        </w:rPr>
        <w:t>Chapter 7: Gifts and Bequests</w:t>
      </w:r>
      <w:r w:rsidRPr="00867444">
        <w:t xml:space="preserve"> ………………………………………………</w:t>
      </w:r>
      <w:r>
        <w:t>……...185</w:t>
      </w:r>
    </w:p>
    <w:p w:rsidR="0078310B" w:rsidRDefault="0078310B" w:rsidP="0078310B">
      <w:pPr>
        <w:pStyle w:val="NormalWeb"/>
        <w:widowControl w:val="0"/>
        <w:spacing w:before="0" w:beforeAutospacing="0" w:after="120" w:afterAutospacing="0"/>
        <w:ind w:left="576"/>
      </w:pPr>
      <w:r w:rsidRPr="00867444">
        <w:rPr>
          <w:i/>
        </w:rPr>
        <w:t>Possible taxation approaches to the transfer and receipt of gifts and bequests</w:t>
      </w:r>
      <w:r>
        <w:t xml:space="preserve"> ……..185</w:t>
      </w:r>
    </w:p>
    <w:p w:rsidR="00966F3B" w:rsidRPr="00966F3B" w:rsidRDefault="00966F3B" w:rsidP="0078310B">
      <w:pPr>
        <w:pStyle w:val="NormalWeb"/>
        <w:widowControl w:val="0"/>
        <w:spacing w:before="0" w:beforeAutospacing="0" w:after="120" w:afterAutospacing="0"/>
        <w:ind w:left="576"/>
      </w:pPr>
      <w:r>
        <w:rPr>
          <w:i/>
        </w:rPr>
        <w:t>A brief description of positive law</w:t>
      </w:r>
      <w:r w:rsidR="003E0883">
        <w:t xml:space="preserve"> ……………………………………………………188</w:t>
      </w:r>
    </w:p>
    <w:p w:rsidR="0078310B" w:rsidRPr="00867444" w:rsidRDefault="0078310B" w:rsidP="0078310B">
      <w:pPr>
        <w:pStyle w:val="NormalWeb"/>
        <w:widowControl w:val="0"/>
        <w:spacing w:before="0" w:beforeAutospacing="0" w:after="120" w:afterAutospacing="0"/>
        <w:ind w:left="288"/>
      </w:pPr>
      <w:r w:rsidRPr="00867444">
        <w:t xml:space="preserve">A. The basis of property received in kind as a gift or bequest (and related </w:t>
      </w:r>
      <w:r>
        <w:t>rules) ……....192</w:t>
      </w:r>
    </w:p>
    <w:p w:rsidR="0078310B" w:rsidRPr="00867444" w:rsidRDefault="0078310B" w:rsidP="0078310B">
      <w:pPr>
        <w:pStyle w:val="NormalWeb"/>
        <w:widowControl w:val="0"/>
        <w:spacing w:before="0" w:beforeAutospacing="0" w:after="120" w:afterAutospacing="0"/>
        <w:ind w:left="576"/>
      </w:pPr>
      <w:r w:rsidRPr="00867444">
        <w:t>Problems ……………………………………………………………………………..</w:t>
      </w:r>
      <w:r>
        <w:t xml:space="preserve"> 192</w:t>
      </w:r>
    </w:p>
    <w:p w:rsidR="0078310B" w:rsidRPr="00867444" w:rsidRDefault="0078310B" w:rsidP="0078310B">
      <w:pPr>
        <w:pStyle w:val="NormalWeb"/>
        <w:widowControl w:val="0"/>
        <w:spacing w:before="0" w:beforeAutospacing="0" w:after="120" w:afterAutospacing="0"/>
        <w:ind w:left="576"/>
      </w:pPr>
      <w:r w:rsidRPr="00867444">
        <w:rPr>
          <w:i/>
        </w:rPr>
        <w:t xml:space="preserve">Historical development </w:t>
      </w:r>
      <w:r w:rsidRPr="00867444">
        <w:t>………………………………………………………………</w:t>
      </w:r>
      <w:r>
        <w:t>.193</w:t>
      </w:r>
    </w:p>
    <w:p w:rsidR="0078310B" w:rsidRPr="00867444" w:rsidRDefault="0078310B" w:rsidP="0078310B">
      <w:pPr>
        <w:pStyle w:val="NormalWeb"/>
        <w:widowControl w:val="0"/>
        <w:spacing w:before="0" w:beforeAutospacing="0" w:after="120" w:afterAutospacing="0"/>
        <w:ind w:left="576"/>
      </w:pPr>
      <w:r w:rsidRPr="00867444">
        <w:rPr>
          <w:i/>
        </w:rPr>
        <w:t>Is § 1014 justified? If not, which alternative would be better?</w:t>
      </w:r>
      <w:r w:rsidRPr="00867444">
        <w:t xml:space="preserve"> ……………………...</w:t>
      </w:r>
      <w:r w:rsidR="003E0883">
        <w:t>.195</w:t>
      </w:r>
    </w:p>
    <w:p w:rsidR="0078310B" w:rsidRPr="00867444" w:rsidRDefault="0078310B" w:rsidP="0078310B">
      <w:pPr>
        <w:widowControl w:val="0"/>
        <w:spacing w:after="120"/>
        <w:ind w:left="288"/>
      </w:pPr>
      <w:r w:rsidRPr="00867444">
        <w:t>B. What is a “gift” within the meaning of § 102(a)? …………………………</w:t>
      </w:r>
      <w:r>
        <w:t>………….196</w:t>
      </w:r>
    </w:p>
    <w:p w:rsidR="0078310B" w:rsidRPr="00867444" w:rsidRDefault="0078310B" w:rsidP="0078310B">
      <w:pPr>
        <w:widowControl w:val="0"/>
        <w:spacing w:after="120"/>
        <w:ind w:left="576"/>
      </w:pPr>
      <w:r w:rsidRPr="00867444">
        <w:t xml:space="preserve">COMMISSIONER v. DURBERSTEIN …………………………………………….. </w:t>
      </w:r>
      <w:r>
        <w:t>197</w:t>
      </w:r>
    </w:p>
    <w:p w:rsidR="0078310B" w:rsidRDefault="0078310B" w:rsidP="0078310B">
      <w:pPr>
        <w:widowControl w:val="0"/>
        <w:spacing w:after="120"/>
        <w:ind w:left="576"/>
      </w:pPr>
      <w:r w:rsidRPr="00867444">
        <w:rPr>
          <w:i/>
        </w:rPr>
        <w:t>Consequences of the Duberstein Court’s approach to “gift”</w:t>
      </w:r>
      <w:r>
        <w:t xml:space="preserve"> ………………………. 204</w:t>
      </w:r>
    </w:p>
    <w:p w:rsidR="0078310B" w:rsidRPr="00867444" w:rsidRDefault="0078310B" w:rsidP="0078310B">
      <w:pPr>
        <w:widowControl w:val="0"/>
        <w:spacing w:after="120"/>
        <w:ind w:left="576"/>
      </w:pPr>
      <w:r>
        <w:t>Problem ………………………………………………………………………………205</w:t>
      </w:r>
    </w:p>
    <w:p w:rsidR="0078310B" w:rsidRPr="00867444" w:rsidRDefault="0078310B" w:rsidP="0078310B">
      <w:pPr>
        <w:widowControl w:val="0"/>
        <w:ind w:left="576"/>
        <w:rPr>
          <w:i/>
        </w:rPr>
      </w:pPr>
      <w:r w:rsidRPr="00867444">
        <w:rPr>
          <w:i/>
        </w:rPr>
        <w:t>A Duberstein example and introduction of “small tax case” jurisdiction</w:t>
      </w:r>
    </w:p>
    <w:p w:rsidR="0078310B" w:rsidRPr="00867444" w:rsidRDefault="0078310B" w:rsidP="0078310B">
      <w:pPr>
        <w:widowControl w:val="0"/>
        <w:spacing w:after="120"/>
        <w:ind w:left="576"/>
      </w:pPr>
      <w:r w:rsidRPr="00867444">
        <w:rPr>
          <w:i/>
        </w:rPr>
        <w:t>in the Tax Court</w:t>
      </w:r>
      <w:r w:rsidRPr="00867444">
        <w:t xml:space="preserve"> …</w:t>
      </w:r>
      <w:r>
        <w:t>…………………………………………………………………... 206</w:t>
      </w:r>
    </w:p>
    <w:p w:rsidR="0078310B" w:rsidRPr="00867444" w:rsidRDefault="0078310B" w:rsidP="0078310B">
      <w:pPr>
        <w:widowControl w:val="0"/>
        <w:spacing w:after="120"/>
        <w:ind w:left="576"/>
      </w:pPr>
      <w:r w:rsidRPr="00867444">
        <w:t>JUE-YA YANG v. COMMI</w:t>
      </w:r>
      <w:r>
        <w:t>SSIONER ……………………………………………... 206</w:t>
      </w:r>
    </w:p>
    <w:p w:rsidR="0078310B" w:rsidRPr="00867444" w:rsidRDefault="0078310B" w:rsidP="0078310B">
      <w:pPr>
        <w:widowControl w:val="0"/>
        <w:spacing w:after="120"/>
        <w:ind w:left="576"/>
      </w:pPr>
      <w:r w:rsidRPr="00867444">
        <w:rPr>
          <w:i/>
        </w:rPr>
        <w:t xml:space="preserve">The possible limits of the Duberstein “intent” approach </w:t>
      </w:r>
      <w:r w:rsidR="003E0883">
        <w:t>…………………………… 20</w:t>
      </w:r>
      <w:r>
        <w:t>7</w:t>
      </w:r>
    </w:p>
    <w:p w:rsidR="0078310B" w:rsidRPr="00867444" w:rsidRDefault="0078310B" w:rsidP="0078310B">
      <w:pPr>
        <w:widowControl w:val="0"/>
        <w:spacing w:after="120"/>
        <w:ind w:left="576"/>
      </w:pPr>
      <w:r w:rsidRPr="00867444">
        <w:t>OLK v. UNITED STATES …………………………………………</w:t>
      </w:r>
      <w:r>
        <w:t>……………….. 208</w:t>
      </w:r>
    </w:p>
    <w:p w:rsidR="0078310B" w:rsidRPr="00867444" w:rsidRDefault="0078310B" w:rsidP="0078310B">
      <w:pPr>
        <w:widowControl w:val="0"/>
        <w:spacing w:after="120"/>
        <w:ind w:left="576"/>
      </w:pPr>
      <w:r w:rsidRPr="00867444">
        <w:rPr>
          <w:i/>
        </w:rPr>
        <w:t xml:space="preserve">The relationship between § 61 and exclusion provisions </w:t>
      </w:r>
      <w:r>
        <w:t>…………………………… 211</w:t>
      </w:r>
    </w:p>
    <w:p w:rsidR="0078310B" w:rsidRPr="00867444" w:rsidRDefault="0078310B" w:rsidP="0078310B">
      <w:pPr>
        <w:widowControl w:val="0"/>
        <w:spacing w:after="120"/>
        <w:ind w:left="576"/>
      </w:pPr>
      <w:r w:rsidRPr="00867444">
        <w:rPr>
          <w:i/>
        </w:rPr>
        <w:t xml:space="preserve">Final thoughts </w:t>
      </w:r>
      <w:r w:rsidRPr="00867444">
        <w:t>………………………………………………………………………..</w:t>
      </w:r>
      <w:r>
        <w:t>.212</w:t>
      </w:r>
    </w:p>
    <w:p w:rsidR="0078310B" w:rsidRPr="00867444" w:rsidRDefault="0078310B" w:rsidP="0078310B">
      <w:pPr>
        <w:widowControl w:val="0"/>
        <w:spacing w:after="120"/>
        <w:ind w:left="288"/>
      </w:pPr>
      <w:r w:rsidRPr="00867444">
        <w:t xml:space="preserve">C. Life insurance proceeds received on death of the insured </w:t>
      </w:r>
      <w:r>
        <w:t>………………....................212</w:t>
      </w:r>
    </w:p>
    <w:p w:rsidR="0078310B" w:rsidRPr="00867444" w:rsidRDefault="0078310B" w:rsidP="0078310B">
      <w:pPr>
        <w:widowControl w:val="0"/>
        <w:spacing w:after="120"/>
        <w:ind w:left="576"/>
      </w:pPr>
      <w:r w:rsidRPr="00867444">
        <w:rPr>
          <w:i/>
        </w:rPr>
        <w:t xml:space="preserve">Is the § 101(a)(1) exclusion justified? </w:t>
      </w:r>
      <w:r w:rsidRPr="00867444">
        <w:t>…………………………</w:t>
      </w:r>
      <w:r>
        <w:t>……………………. 213</w:t>
      </w:r>
    </w:p>
    <w:p w:rsidR="0078310B" w:rsidRPr="00867444" w:rsidRDefault="0078310B" w:rsidP="0078310B">
      <w:pPr>
        <w:widowControl w:val="0"/>
        <w:spacing w:after="120"/>
        <w:ind w:left="576"/>
      </w:pPr>
      <w:r w:rsidRPr="00867444">
        <w:rPr>
          <w:i/>
        </w:rPr>
        <w:t xml:space="preserve">Sales of life insurance policies to investors </w:t>
      </w:r>
      <w:r>
        <w:t>…………………………………………. 213</w:t>
      </w:r>
    </w:p>
    <w:p w:rsidR="0078310B" w:rsidRPr="00867444" w:rsidRDefault="0078310B" w:rsidP="0078310B">
      <w:pPr>
        <w:widowControl w:val="0"/>
        <w:spacing w:after="120"/>
        <w:ind w:left="576"/>
      </w:pPr>
      <w:r w:rsidRPr="00867444">
        <w:t>Problems ………</w:t>
      </w:r>
      <w:r>
        <w:t>…………………………………………………………………….. 214</w:t>
      </w:r>
    </w:p>
    <w:p w:rsidR="0078310B" w:rsidRPr="00867444" w:rsidRDefault="0078310B" w:rsidP="0078310B">
      <w:pPr>
        <w:widowControl w:val="0"/>
        <w:spacing w:after="120"/>
      </w:pPr>
      <w:r w:rsidRPr="00CB3449">
        <w:rPr>
          <w:b/>
          <w:sz w:val="28"/>
          <w:szCs w:val="28"/>
        </w:rPr>
        <w:t>Chapter 8: Income Shifting in the Happy Family</w:t>
      </w:r>
      <w:r w:rsidRPr="00867444">
        <w:t xml:space="preserve"> ……………………</w:t>
      </w:r>
      <w:r>
        <w:t>………...215</w:t>
      </w:r>
    </w:p>
    <w:p w:rsidR="0078310B" w:rsidRPr="00867444" w:rsidRDefault="0078310B" w:rsidP="0078310B">
      <w:pPr>
        <w:widowControl w:val="0"/>
        <w:spacing w:after="120"/>
        <w:ind w:left="288"/>
      </w:pPr>
      <w:r w:rsidRPr="00867444">
        <w:t>A. Income splitting via the joint return …………………………………………</w:t>
      </w:r>
      <w:r>
        <w:t>……… 215</w:t>
      </w:r>
    </w:p>
    <w:p w:rsidR="0078310B" w:rsidRPr="00867444" w:rsidRDefault="0078310B" w:rsidP="0078310B">
      <w:pPr>
        <w:widowControl w:val="0"/>
        <w:spacing w:after="120"/>
        <w:ind w:left="576"/>
      </w:pPr>
      <w:r w:rsidRPr="00867444">
        <w:t>LUCAS v. EARL</w:t>
      </w:r>
      <w:r>
        <w:t xml:space="preserve"> ………………………………………………………………….… 215</w:t>
      </w:r>
    </w:p>
    <w:p w:rsidR="0078310B" w:rsidRPr="00867444" w:rsidRDefault="0078310B" w:rsidP="0078310B">
      <w:pPr>
        <w:widowControl w:val="0"/>
        <w:spacing w:after="120"/>
        <w:ind w:left="576"/>
      </w:pPr>
      <w:r w:rsidRPr="00867444">
        <w:t>POE v. SEABORN …………………………………………………………………</w:t>
      </w:r>
      <w:r>
        <w:t>.. 217</w:t>
      </w:r>
    </w:p>
    <w:p w:rsidR="0078310B" w:rsidRPr="00867444" w:rsidRDefault="0078310B" w:rsidP="0078310B">
      <w:pPr>
        <w:widowControl w:val="0"/>
        <w:spacing w:after="120"/>
        <w:ind w:left="576"/>
      </w:pPr>
      <w:r>
        <w:rPr>
          <w:i/>
        </w:rPr>
        <w:t>R</w:t>
      </w:r>
      <w:r w:rsidRPr="00867444">
        <w:rPr>
          <w:i/>
        </w:rPr>
        <w:t>egister</w:t>
      </w:r>
      <w:r>
        <w:rPr>
          <w:i/>
        </w:rPr>
        <w:t xml:space="preserve">ed domestic partnerships (RDPs) and civil unions </w:t>
      </w:r>
      <w:r>
        <w:t>………………………….224</w:t>
      </w:r>
    </w:p>
    <w:p w:rsidR="0078310B" w:rsidRPr="00867444" w:rsidRDefault="0078310B" w:rsidP="0078310B">
      <w:pPr>
        <w:widowControl w:val="0"/>
        <w:spacing w:after="120"/>
        <w:ind w:left="576"/>
      </w:pPr>
      <w:r w:rsidRPr="00867444">
        <w:t>CHIEF COUNSEL ADVICE 2</w:t>
      </w:r>
      <w:r>
        <w:t>01021050 …………………………………………... 225</w:t>
      </w:r>
    </w:p>
    <w:p w:rsidR="0078310B" w:rsidRPr="00867444" w:rsidRDefault="0078310B" w:rsidP="0078310B">
      <w:pPr>
        <w:widowControl w:val="0"/>
        <w:spacing w:after="120"/>
        <w:ind w:left="288"/>
      </w:pPr>
      <w:r w:rsidRPr="00867444">
        <w:t>B. Income-shifting possibilities outside the joint return ……………………....</w:t>
      </w:r>
      <w:r>
        <w:t>...............226</w:t>
      </w:r>
    </w:p>
    <w:p w:rsidR="0078310B" w:rsidRPr="00867444" w:rsidRDefault="0078310B" w:rsidP="0078310B">
      <w:pPr>
        <w:widowControl w:val="0"/>
        <w:spacing w:after="120"/>
        <w:ind w:left="576"/>
      </w:pPr>
      <w:r w:rsidRPr="00867444">
        <w:t>Problems ………</w:t>
      </w:r>
      <w:r>
        <w:t>…………………………………………………………………….. 226</w:t>
      </w:r>
    </w:p>
    <w:p w:rsidR="0078310B" w:rsidRPr="00867444" w:rsidRDefault="0078310B" w:rsidP="0078310B">
      <w:pPr>
        <w:widowControl w:val="0"/>
        <w:spacing w:after="120"/>
        <w:ind w:left="576"/>
      </w:pPr>
      <w:r w:rsidRPr="00867444">
        <w:t>BLAIR v. COMMISS</w:t>
      </w:r>
      <w:r w:rsidR="003E0883">
        <w:t>IONER ………………………………………………………..2</w:t>
      </w:r>
      <w:r>
        <w:t>28</w:t>
      </w:r>
    </w:p>
    <w:p w:rsidR="0078310B" w:rsidRPr="00867444" w:rsidRDefault="0078310B" w:rsidP="0078310B">
      <w:pPr>
        <w:widowControl w:val="0"/>
        <w:spacing w:after="120"/>
        <w:ind w:left="576"/>
      </w:pPr>
      <w:r w:rsidRPr="00867444">
        <w:t>HARRISON v. SCH</w:t>
      </w:r>
      <w:r>
        <w:t>AFFNER …….…………………………………………………231</w:t>
      </w:r>
    </w:p>
    <w:p w:rsidR="0078310B" w:rsidRPr="00867444" w:rsidRDefault="0078310B" w:rsidP="0078310B">
      <w:pPr>
        <w:widowControl w:val="0"/>
        <w:spacing w:after="120"/>
        <w:ind w:left="576"/>
      </w:pPr>
      <w:r w:rsidRPr="00867444">
        <w:rPr>
          <w:i/>
        </w:rPr>
        <w:t>The § 1(g) kiddie tax</w:t>
      </w:r>
      <w:r w:rsidRPr="00867444">
        <w:t xml:space="preserve"> ….………………………………</w:t>
      </w:r>
      <w:r>
        <w:t>…………………………....... 234</w:t>
      </w:r>
    </w:p>
    <w:p w:rsidR="0078310B" w:rsidRPr="00867444" w:rsidRDefault="0078310B" w:rsidP="0078310B">
      <w:pPr>
        <w:widowControl w:val="0"/>
        <w:spacing w:after="120"/>
        <w:ind w:left="576"/>
      </w:pPr>
      <w:r w:rsidRPr="00867444">
        <w:rPr>
          <w:i/>
        </w:rPr>
        <w:t>The grantor trust rules</w:t>
      </w:r>
      <w:r>
        <w:t xml:space="preserve"> …….…………………………………………………………235</w:t>
      </w:r>
    </w:p>
    <w:p w:rsidR="0078310B" w:rsidRPr="00867444" w:rsidRDefault="0078310B" w:rsidP="0078310B">
      <w:pPr>
        <w:widowControl w:val="0"/>
        <w:spacing w:after="120"/>
        <w:ind w:left="576"/>
      </w:pPr>
      <w:r w:rsidRPr="00867444">
        <w:t>HELVERING v. CLIF</w:t>
      </w:r>
      <w:r>
        <w:t>FORD ……………………………………………………….. 236</w:t>
      </w:r>
    </w:p>
    <w:p w:rsidR="0078310B" w:rsidRPr="00867444" w:rsidRDefault="0078310B" w:rsidP="0078310B">
      <w:pPr>
        <w:widowControl w:val="0"/>
        <w:spacing w:after="120"/>
        <w:ind w:left="576"/>
      </w:pPr>
      <w:r w:rsidRPr="00867444">
        <w:rPr>
          <w:i/>
        </w:rPr>
        <w:t>Income splitting using a nongrantor trust</w:t>
      </w:r>
      <w:r>
        <w:t xml:space="preserve"> ……………………………………………240</w:t>
      </w:r>
    </w:p>
    <w:p w:rsidR="0078310B" w:rsidRPr="00867444" w:rsidRDefault="0078310B" w:rsidP="0078310B">
      <w:pPr>
        <w:widowControl w:val="0"/>
        <w:spacing w:after="120"/>
        <w:ind w:left="576"/>
      </w:pPr>
      <w:r w:rsidRPr="00867444">
        <w:rPr>
          <w:i/>
        </w:rPr>
        <w:t xml:space="preserve">Final thoughts </w:t>
      </w:r>
      <w:r w:rsidRPr="00867444">
        <w:t>…</w:t>
      </w:r>
      <w:r>
        <w:t>…………………………………………………………………….. 240</w:t>
      </w:r>
    </w:p>
    <w:p w:rsidR="0078310B" w:rsidRPr="00867444" w:rsidRDefault="0078310B" w:rsidP="0078310B">
      <w:pPr>
        <w:widowControl w:val="0"/>
        <w:spacing w:after="120"/>
      </w:pPr>
      <w:r w:rsidRPr="00A8021A">
        <w:rPr>
          <w:b/>
          <w:sz w:val="28"/>
          <w:szCs w:val="28"/>
        </w:rPr>
        <w:t>Chapter 9: Income Shifting in the Fractured Family</w:t>
      </w:r>
      <w:r w:rsidRPr="00867444">
        <w:t xml:space="preserve"> ………………</w:t>
      </w:r>
      <w:r>
        <w:t>………….242</w:t>
      </w:r>
    </w:p>
    <w:p w:rsidR="0078310B" w:rsidRPr="00867444" w:rsidRDefault="0078310B" w:rsidP="0078310B">
      <w:pPr>
        <w:widowControl w:val="0"/>
        <w:spacing w:after="120"/>
        <w:ind w:left="288"/>
      </w:pPr>
      <w:r w:rsidRPr="00867444">
        <w:t>A. Cash payments …..………………………………………………………………...</w:t>
      </w:r>
      <w:r>
        <w:t>.....242</w:t>
      </w:r>
    </w:p>
    <w:p w:rsidR="0078310B" w:rsidRPr="00867444" w:rsidRDefault="0078310B" w:rsidP="0078310B">
      <w:pPr>
        <w:widowControl w:val="0"/>
        <w:spacing w:after="120"/>
        <w:ind w:left="576"/>
      </w:pPr>
      <w:r w:rsidRPr="00867444">
        <w:t>GOULD v. GOU</w:t>
      </w:r>
      <w:r>
        <w:t>LD ………………………………………………………………….242</w:t>
      </w:r>
    </w:p>
    <w:p w:rsidR="0078310B" w:rsidRPr="00867444" w:rsidRDefault="0078310B" w:rsidP="0078310B">
      <w:pPr>
        <w:widowControl w:val="0"/>
        <w:ind w:left="576"/>
      </w:pPr>
      <w:r w:rsidRPr="00867444">
        <w:rPr>
          <w:i/>
        </w:rPr>
        <w:t>Excerpt from</w:t>
      </w:r>
      <w:r w:rsidRPr="00867444">
        <w:t xml:space="preserve"> Simplifying and Rationalizing the Federal Income Tax</w:t>
      </w:r>
    </w:p>
    <w:p w:rsidR="0078310B" w:rsidRPr="00867444" w:rsidRDefault="0078310B" w:rsidP="0078310B">
      <w:pPr>
        <w:widowControl w:val="0"/>
        <w:spacing w:after="120"/>
        <w:ind w:left="576"/>
      </w:pPr>
      <w:r w:rsidRPr="00867444">
        <w:t>Law Applicable to Transfers in Divorce by Deborah A</w:t>
      </w:r>
      <w:r>
        <w:t>. Geier ………………………250</w:t>
      </w:r>
    </w:p>
    <w:p w:rsidR="0078310B" w:rsidRPr="00867444" w:rsidRDefault="0078310B" w:rsidP="0078310B">
      <w:pPr>
        <w:widowControl w:val="0"/>
        <w:spacing w:after="120"/>
        <w:ind w:left="576"/>
      </w:pPr>
      <w:r w:rsidRPr="00867444">
        <w:t>TUCKER v. COMMISSIONER …………………………………………………….</w:t>
      </w:r>
      <w:r>
        <w:t>. 255</w:t>
      </w:r>
    </w:p>
    <w:p w:rsidR="0078310B" w:rsidRPr="00867444" w:rsidRDefault="0078310B" w:rsidP="0078310B">
      <w:pPr>
        <w:widowControl w:val="0"/>
        <w:spacing w:after="120"/>
        <w:ind w:left="576"/>
      </w:pPr>
      <w:r w:rsidRPr="00867444">
        <w:t>Problems ….…</w:t>
      </w:r>
      <w:r>
        <w:t>………………………………………………………………………. 258</w:t>
      </w:r>
    </w:p>
    <w:p w:rsidR="0078310B" w:rsidRPr="00867444" w:rsidRDefault="0078310B" w:rsidP="0078310B">
      <w:pPr>
        <w:pStyle w:val="BodyTextIndent"/>
        <w:widowControl w:val="0"/>
        <w:ind w:left="288"/>
      </w:pPr>
      <w:r w:rsidRPr="00867444">
        <w:t>B. Transfers of property in kind …..………………………………………………</w:t>
      </w:r>
      <w:r>
        <w:t>……..259</w:t>
      </w:r>
    </w:p>
    <w:p w:rsidR="0078310B" w:rsidRPr="00867444" w:rsidRDefault="0078310B" w:rsidP="0078310B">
      <w:pPr>
        <w:pStyle w:val="BodyTextIndent"/>
        <w:widowControl w:val="0"/>
        <w:ind w:left="576"/>
      </w:pPr>
      <w:r w:rsidRPr="00867444">
        <w:t>Problems ………</w:t>
      </w:r>
      <w:r>
        <w:t>…………………………………………………………………….. 262</w:t>
      </w:r>
    </w:p>
    <w:p w:rsidR="0078310B" w:rsidRPr="00867444" w:rsidRDefault="0078310B" w:rsidP="0078310B">
      <w:pPr>
        <w:widowControl w:val="0"/>
        <w:spacing w:after="120"/>
        <w:ind w:left="288"/>
      </w:pPr>
      <w:r w:rsidRPr="00867444">
        <w:t>C. Unmarried cohabitants and members of an RDP or civil union …………</w:t>
      </w:r>
      <w:r>
        <w:t>…………...263</w:t>
      </w:r>
    </w:p>
    <w:p w:rsidR="0078310B" w:rsidRPr="00867444" w:rsidRDefault="0078310B" w:rsidP="0078310B">
      <w:pPr>
        <w:widowControl w:val="0"/>
        <w:spacing w:after="120"/>
        <w:ind w:left="576"/>
      </w:pPr>
      <w:r w:rsidRPr="00867444">
        <w:rPr>
          <w:i/>
        </w:rPr>
        <w:t xml:space="preserve">Unmarried cohabitants with no formal legal relationship </w:t>
      </w:r>
      <w:r>
        <w:t>………………………….. 263</w:t>
      </w:r>
    </w:p>
    <w:p w:rsidR="0078310B" w:rsidRPr="00867444" w:rsidRDefault="0078310B" w:rsidP="0078310B">
      <w:pPr>
        <w:widowControl w:val="0"/>
        <w:spacing w:after="120"/>
        <w:ind w:left="576"/>
      </w:pPr>
      <w:r w:rsidRPr="00867444">
        <w:t>REYNOLDS v. COMMISSIONER ……………………………………………</w:t>
      </w:r>
      <w:r>
        <w:t>…….263</w:t>
      </w:r>
    </w:p>
    <w:p w:rsidR="0078310B" w:rsidRPr="00867444" w:rsidRDefault="0078310B" w:rsidP="0078310B">
      <w:pPr>
        <w:widowControl w:val="0"/>
        <w:spacing w:after="120"/>
        <w:ind w:left="576"/>
      </w:pPr>
      <w:r w:rsidRPr="00867444">
        <w:rPr>
          <w:i/>
        </w:rPr>
        <w:t xml:space="preserve">RDPs and civil unions </w:t>
      </w:r>
      <w:r>
        <w:t>………………………………………………………………. 267</w:t>
      </w:r>
    </w:p>
    <w:p w:rsidR="0078310B" w:rsidRPr="00867444" w:rsidRDefault="0078310B" w:rsidP="0078310B">
      <w:pPr>
        <w:widowControl w:val="0"/>
        <w:spacing w:after="120"/>
        <w:ind w:left="576"/>
      </w:pPr>
      <w:r w:rsidRPr="00867444">
        <w:t>Problem …</w:t>
      </w:r>
      <w:r>
        <w:t>……………………………………………………………………………268</w:t>
      </w:r>
    </w:p>
    <w:p w:rsidR="0078310B" w:rsidRPr="00FA0CAA" w:rsidRDefault="0078310B" w:rsidP="0078310B">
      <w:pPr>
        <w:widowControl w:val="0"/>
        <w:jc w:val="center"/>
        <w:rPr>
          <w:b/>
          <w:sz w:val="32"/>
          <w:szCs w:val="32"/>
        </w:rPr>
      </w:pPr>
      <w:r w:rsidRPr="00FA0CAA">
        <w:rPr>
          <w:b/>
          <w:sz w:val="32"/>
          <w:szCs w:val="32"/>
        </w:rPr>
        <w:t>Unit IV: Everything You Ever Wanted To</w:t>
      </w:r>
    </w:p>
    <w:p w:rsidR="0078310B" w:rsidRPr="00867444" w:rsidRDefault="0078310B" w:rsidP="0078310B">
      <w:pPr>
        <w:widowControl w:val="0"/>
        <w:spacing w:after="120"/>
        <w:jc w:val="center"/>
      </w:pPr>
      <w:r w:rsidRPr="00FA0CAA">
        <w:rPr>
          <w:b/>
          <w:sz w:val="32"/>
          <w:szCs w:val="32"/>
        </w:rPr>
        <w:t>Know About Debt but Were Afraid To Ask</w:t>
      </w:r>
    </w:p>
    <w:p w:rsidR="0078310B" w:rsidRPr="00867444" w:rsidRDefault="0078310B" w:rsidP="0078310B">
      <w:pPr>
        <w:widowControl w:val="0"/>
        <w:spacing w:after="120"/>
      </w:pPr>
      <w:r w:rsidRPr="00867444">
        <w:t>Introduction to Chapters 10 through 12 ……………………………………………</w:t>
      </w:r>
      <w:r>
        <w:t>……… 269</w:t>
      </w:r>
    </w:p>
    <w:p w:rsidR="0078310B" w:rsidRPr="00867444" w:rsidRDefault="0078310B" w:rsidP="0078310B">
      <w:pPr>
        <w:widowControl w:val="0"/>
        <w:spacing w:after="120"/>
      </w:pPr>
      <w:r w:rsidRPr="00FA0CAA">
        <w:rPr>
          <w:b/>
          <w:sz w:val="28"/>
          <w:szCs w:val="28"/>
        </w:rPr>
        <w:t>Chapter 10: Borrowing and Lending</w:t>
      </w:r>
      <w:r w:rsidRPr="00867444">
        <w:t xml:space="preserve"> ………………………………………</w:t>
      </w:r>
      <w:r>
        <w:t>……..271</w:t>
      </w:r>
    </w:p>
    <w:p w:rsidR="0078310B" w:rsidRPr="00867444" w:rsidRDefault="0078310B" w:rsidP="0078310B">
      <w:pPr>
        <w:widowControl w:val="0"/>
        <w:spacing w:after="120"/>
        <w:ind w:left="288"/>
      </w:pPr>
      <w:r w:rsidRPr="00867444">
        <w:t>A. The basic rules of the road ….…………………………………………………</w:t>
      </w:r>
      <w:r>
        <w:t>……..271</w:t>
      </w:r>
    </w:p>
    <w:p w:rsidR="0078310B" w:rsidRPr="00867444" w:rsidRDefault="0078310B" w:rsidP="0078310B">
      <w:pPr>
        <w:pStyle w:val="FootnoteText"/>
        <w:widowControl w:val="0"/>
        <w:spacing w:after="120"/>
        <w:ind w:left="288"/>
        <w:rPr>
          <w:sz w:val="24"/>
          <w:szCs w:val="24"/>
        </w:rPr>
      </w:pPr>
      <w:r w:rsidRPr="00867444">
        <w:rPr>
          <w:sz w:val="24"/>
          <w:szCs w:val="24"/>
        </w:rPr>
        <w:t>B. Section 7872 ………………………………………………………………………</w:t>
      </w:r>
      <w:r>
        <w:rPr>
          <w:sz w:val="24"/>
          <w:szCs w:val="24"/>
        </w:rPr>
        <w:t>….273</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Pr="00867444">
        <w:t>and the timing of interest inclusions and deductions …………………………</w:t>
      </w:r>
      <w:r>
        <w:t>……...276</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t>……………………………………………………276</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Pr="00867444">
        <w:t>……………………………….</w:t>
      </w:r>
      <w:r>
        <w:t>.279</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t>………………………………………………………………282</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t xml:space="preserve"> ….…………………… 284</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D. Recovery of annuity basis under § 72 ………………………………………...</w:t>
      </w:r>
      <w:r>
        <w:t>...........286</w:t>
      </w:r>
    </w:p>
    <w:p w:rsidR="0078310B" w:rsidRPr="00867444" w:rsidRDefault="0078310B" w:rsidP="0078310B">
      <w:pPr>
        <w:widowControl w:val="0"/>
        <w:spacing w:after="120"/>
        <w:ind w:left="576"/>
      </w:pPr>
      <w:r w:rsidRPr="00867444">
        <w:t>Problem ………………………………………………</w:t>
      </w:r>
      <w:r>
        <w:t>………………………………288</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E. Which receipts fall within the “borrowing exclusion”? ……………………</w:t>
      </w:r>
      <w:r>
        <w:t>…………288</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w:t>
      </w:r>
      <w:r w:rsidR="005F7216">
        <w:t xml:space="preserve"> STATES ……..…………………………………………………</w:t>
      </w:r>
      <w:r>
        <w:t>288</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NORTH AMERICAN OIL CONSOLIDATED v. BURNET ……………………….</w:t>
      </w:r>
      <w:r>
        <w:t>.291</w:t>
      </w:r>
      <w:r w:rsidRPr="00867444">
        <w:t xml:space="preserve"> </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Pr="00867444">
        <w:t xml:space="preserve"> …………………………………………………</w:t>
      </w:r>
      <w:r>
        <w:t>...293</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576"/>
        <w:rPr>
          <w:i/>
        </w:rPr>
      </w:pPr>
      <w:r w:rsidRPr="00867444">
        <w:rPr>
          <w:i/>
        </w:rPr>
        <w:t>A workable tax definition of “loan”: absolute versus contingent obligation</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to repay</w:t>
      </w:r>
      <w:r w:rsidRPr="00867444">
        <w:t xml:space="preserve"> ..………………</w:t>
      </w:r>
      <w:r>
        <w:t>…………………………………………………………........294</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INDIANAPOLIS POWER &amp; LIGHT ……………………….</w:t>
      </w:r>
      <w:r>
        <w:t>..295</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 ……………………………………………………………………………...</w:t>
      </w:r>
      <w:r>
        <w:t>..300</w:t>
      </w:r>
    </w:p>
    <w:p w:rsidR="0078310B" w:rsidRPr="00867444" w:rsidRDefault="0078310B" w:rsidP="0078310B">
      <w:pPr>
        <w:widowControl w:val="0"/>
        <w:spacing w:after="120"/>
      </w:pPr>
      <w:r w:rsidRPr="0015536F">
        <w:rPr>
          <w:b/>
          <w:sz w:val="28"/>
          <w:szCs w:val="28"/>
        </w:rPr>
        <w:t>Chapter 11: The Bad-Debt Deduction (for Lenders) and Debt-Discharge Income (for Borrowers)</w:t>
      </w:r>
      <w:r>
        <w:t xml:space="preserve"> ……………………………………………………………….301</w:t>
      </w:r>
    </w:p>
    <w:p w:rsidR="0078310B" w:rsidRPr="00867444" w:rsidRDefault="0078310B" w:rsidP="0078310B">
      <w:pPr>
        <w:widowControl w:val="0"/>
        <w:spacing w:after="120"/>
      </w:pPr>
      <w:r w:rsidRPr="00867444">
        <w:t>A. The lender’s deduction for a bad debt (or worthless security) ….……………</w:t>
      </w:r>
      <w:r>
        <w:t>………….301</w:t>
      </w:r>
    </w:p>
    <w:p w:rsidR="0078310B" w:rsidRPr="00867444" w:rsidRDefault="0078310B" w:rsidP="0078310B">
      <w:pPr>
        <w:widowControl w:val="0"/>
        <w:spacing w:after="120"/>
        <w:ind w:left="576"/>
      </w:pPr>
      <w:r w:rsidRPr="00867444">
        <w:rPr>
          <w:i/>
        </w:rPr>
        <w:t xml:space="preserve">§ 165(g) deduction for a worthless security </w:t>
      </w:r>
      <w:r w:rsidR="005F7216">
        <w:t>………………………………………… 301</w:t>
      </w:r>
    </w:p>
    <w:p w:rsidR="0078310B" w:rsidRPr="00867444" w:rsidRDefault="0078310B" w:rsidP="0078310B">
      <w:pPr>
        <w:widowControl w:val="0"/>
        <w:spacing w:after="120"/>
        <w:ind w:left="576"/>
      </w:pPr>
      <w:r w:rsidRPr="00867444">
        <w:rPr>
          <w:i/>
        </w:rPr>
        <w:t>§ 166 bad-debt deduction</w:t>
      </w:r>
      <w:r w:rsidR="005F7216">
        <w:t xml:space="preserve"> …………………………………………………………….302</w:t>
      </w:r>
    </w:p>
    <w:p w:rsidR="0078310B" w:rsidRPr="00867444" w:rsidRDefault="0078310B" w:rsidP="0078310B">
      <w:pPr>
        <w:widowControl w:val="0"/>
        <w:spacing w:after="120"/>
        <w:ind w:left="576"/>
      </w:pPr>
      <w:r w:rsidRPr="00867444">
        <w:rPr>
          <w:i/>
        </w:rPr>
        <w:t xml:space="preserve">Bona fide debt </w:t>
      </w:r>
      <w:r w:rsidRPr="00867444">
        <w:t>…</w:t>
      </w:r>
      <w:r>
        <w:t>…………………………………………………………………….. 304</w:t>
      </w:r>
    </w:p>
    <w:p w:rsidR="0078310B" w:rsidRDefault="0078310B" w:rsidP="0078310B">
      <w:pPr>
        <w:widowControl w:val="0"/>
        <w:spacing w:after="120"/>
        <w:ind w:left="576"/>
      </w:pPr>
      <w:r w:rsidRPr="00867444">
        <w:rPr>
          <w:i/>
        </w:rPr>
        <w:t xml:space="preserve">Worthlessness </w:t>
      </w:r>
      <w:r w:rsidRPr="00867444">
        <w:t>…</w:t>
      </w:r>
      <w:r>
        <w:t>……………………………………………………………………...305</w:t>
      </w:r>
    </w:p>
    <w:p w:rsidR="0078310B" w:rsidRPr="00AE784F" w:rsidRDefault="0078310B" w:rsidP="0078310B">
      <w:pPr>
        <w:widowControl w:val="0"/>
        <w:spacing w:after="120"/>
        <w:ind w:left="576"/>
      </w:pPr>
      <w:r>
        <w:rPr>
          <w:i/>
        </w:rPr>
        <w:t>Deduction limited to basis</w:t>
      </w:r>
      <w:r>
        <w:t xml:space="preserve"> ……………………………………………………………</w:t>
      </w:r>
      <w:r w:rsidR="005F7216">
        <w:t>305</w:t>
      </w:r>
    </w:p>
    <w:p w:rsidR="0078310B" w:rsidRPr="00867444" w:rsidRDefault="0078310B" w:rsidP="0078310B">
      <w:pPr>
        <w:widowControl w:val="0"/>
        <w:spacing w:after="120"/>
        <w:ind w:left="576"/>
      </w:pPr>
      <w:r w:rsidRPr="00867444">
        <w:t>REVENUE RULING 93-27</w:t>
      </w:r>
      <w:r w:rsidR="005F7216">
        <w:t xml:space="preserve"> ………………………………………………………… 306</w:t>
      </w:r>
    </w:p>
    <w:p w:rsidR="0078310B" w:rsidRPr="00867444" w:rsidRDefault="0078310B" w:rsidP="0078310B">
      <w:pPr>
        <w:widowControl w:val="0"/>
        <w:spacing w:after="120"/>
        <w:ind w:left="576"/>
      </w:pPr>
      <w:r w:rsidRPr="00867444">
        <w:t>Problems ………</w:t>
      </w:r>
      <w:r w:rsidR="005F7216">
        <w:t>…………………………………………………………………….. 308</w:t>
      </w:r>
    </w:p>
    <w:p w:rsidR="0078310B" w:rsidRPr="00867444" w:rsidRDefault="0078310B" w:rsidP="0078310B">
      <w:pPr>
        <w:widowControl w:val="0"/>
        <w:spacing w:after="120"/>
        <w:ind w:left="288"/>
      </w:pPr>
      <w:r w:rsidRPr="00867444">
        <w:t xml:space="preserve">B. § 61(a)(12) income from the discharge of indebtedness </w:t>
      </w:r>
      <w:r>
        <w:t>…………………..................309</w:t>
      </w:r>
    </w:p>
    <w:p w:rsidR="0078310B" w:rsidRPr="00867444" w:rsidRDefault="0078310B" w:rsidP="0078310B">
      <w:pPr>
        <w:widowControl w:val="0"/>
        <w:spacing w:after="120"/>
        <w:ind w:left="576"/>
      </w:pPr>
      <w:r w:rsidRPr="00867444">
        <w:t>UNITED STATES v. KIRBY</w:t>
      </w:r>
      <w:r w:rsidR="005F7216">
        <w:t xml:space="preserve"> LUMBER ….………………………………………... 309</w:t>
      </w:r>
    </w:p>
    <w:p w:rsidR="0078310B" w:rsidRPr="00867444" w:rsidRDefault="0078310B" w:rsidP="0078310B">
      <w:pPr>
        <w:widowControl w:val="0"/>
        <w:spacing w:after="120"/>
        <w:ind w:left="576"/>
      </w:pPr>
      <w:r w:rsidRPr="00867444">
        <w:rPr>
          <w:i/>
        </w:rPr>
        <w:t>The modern rationale underlying § 61(a)(12): the borrowing exclusion</w:t>
      </w:r>
      <w:r w:rsidRPr="00867444">
        <w:t xml:space="preserve"> ….………...</w:t>
      </w:r>
      <w:r>
        <w:t xml:space="preserve"> 312</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Deferral of § 61(a)(12) debt-discharge income under § 108</w:t>
      </w:r>
      <w:r>
        <w:t xml:space="preserve"> ………………………… 313</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rsidR="005F7216">
        <w:t xml:space="preserve"> ………………………………. 315</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t xml:space="preserve"> …………………………………………………</w:t>
      </w:r>
      <w:r w:rsidR="005F7216">
        <w:t>……. 316</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t>…….. 319</w:t>
      </w:r>
    </w:p>
    <w:p w:rsidR="0078310B" w:rsidRPr="00867444" w:rsidRDefault="0078310B" w:rsidP="0078310B">
      <w:pPr>
        <w:widowControl w:val="0"/>
        <w:spacing w:after="120"/>
        <w:ind w:left="576"/>
      </w:pPr>
      <w:r w:rsidRPr="00867444">
        <w:rPr>
          <w:i/>
        </w:rPr>
        <w:t xml:space="preserve">Measuring the economic value received in the borrowing year with two-party debt </w:t>
      </w:r>
      <w:r>
        <w:t>..320</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ZARIN v. COMMISSIONER </w:t>
      </w:r>
      <w:r>
        <w:t>(Tax Court) ………………………………………….321</w:t>
      </w:r>
    </w:p>
    <w:p w:rsidR="0078310B" w:rsidRPr="0086744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t>ird Circuit) ……………………………………….329</w:t>
      </w:r>
    </w:p>
    <w:p w:rsidR="0078310B" w:rsidRPr="00867444" w:rsidRDefault="0078310B" w:rsidP="0078310B">
      <w:pPr>
        <w:widowControl w:val="0"/>
        <w:spacing w:after="120"/>
      </w:pPr>
      <w:r w:rsidRPr="0015536F">
        <w:rPr>
          <w:b/>
          <w:sz w:val="28"/>
          <w:szCs w:val="28"/>
        </w:rPr>
        <w:t>Chapter 12: Debt and Property</w:t>
      </w:r>
      <w:r w:rsidRPr="00867444">
        <w:t xml:space="preserve"> ………………………………………</w:t>
      </w:r>
      <w:r w:rsidR="005F7216">
        <w:t>…………….335</w:t>
      </w:r>
    </w:p>
    <w:p w:rsidR="0078310B" w:rsidRPr="00867444" w:rsidRDefault="0078310B" w:rsidP="0078310B">
      <w:pPr>
        <w:widowControl w:val="0"/>
        <w:spacing w:after="120"/>
        <w:ind w:left="288"/>
      </w:pPr>
      <w:r w:rsidRPr="00867444">
        <w:t xml:space="preserve">A. The purchase of property with borrowed money—the front-end rule in </w:t>
      </w:r>
      <w:r w:rsidRPr="00867444">
        <w:rPr>
          <w:i/>
        </w:rPr>
        <w:t>Crane</w:t>
      </w:r>
      <w:r w:rsidR="005F7216">
        <w:t>……...336</w:t>
      </w:r>
    </w:p>
    <w:p w:rsidR="0078310B" w:rsidRDefault="0078310B" w:rsidP="0078310B">
      <w:pPr>
        <w:widowControl w:val="0"/>
        <w:ind w:left="288"/>
      </w:pPr>
      <w:r w:rsidRPr="00867444">
        <w:t xml:space="preserve">B. The transfer of property subject to debt—the back-end rule in </w:t>
      </w:r>
      <w:r w:rsidRPr="00867444">
        <w:rPr>
          <w:i/>
        </w:rPr>
        <w:t>Crane</w:t>
      </w:r>
      <w:r w:rsidRPr="00867444">
        <w:t xml:space="preserve">, </w:t>
      </w:r>
      <w:r w:rsidRPr="00867444">
        <w:rPr>
          <w:i/>
        </w:rPr>
        <w:t>Tufts</w:t>
      </w:r>
      <w:r w:rsidRPr="00867444">
        <w:t xml:space="preserve">, and </w:t>
      </w:r>
    </w:p>
    <w:p w:rsidR="0078310B" w:rsidRPr="00867444" w:rsidRDefault="0078310B" w:rsidP="0078310B">
      <w:pPr>
        <w:widowControl w:val="0"/>
        <w:spacing w:after="120"/>
        <w:ind w:left="288"/>
      </w:pPr>
      <w:r>
        <w:t xml:space="preserve">     </w:t>
      </w:r>
      <w:r w:rsidRPr="00867444">
        <w:t>Rev. Rul. 90-16 …………………………………………………………</w:t>
      </w:r>
      <w:r w:rsidR="005F7216">
        <w:t>……………339</w:t>
      </w:r>
    </w:p>
    <w:p w:rsidR="0078310B" w:rsidRPr="00867444" w:rsidRDefault="0078310B" w:rsidP="0078310B">
      <w:pPr>
        <w:widowControl w:val="0"/>
        <w:spacing w:after="120"/>
        <w:ind w:left="576"/>
      </w:pPr>
      <w:r w:rsidRPr="00867444">
        <w:rPr>
          <w:i/>
        </w:rPr>
        <w:t>Relief from recourse debt not in excess of property FMV</w:t>
      </w:r>
      <w:r w:rsidR="005F7216">
        <w:t xml:space="preserve"> …………………………...339</w:t>
      </w:r>
    </w:p>
    <w:p w:rsidR="0078310B" w:rsidRPr="00867444" w:rsidRDefault="0078310B" w:rsidP="0078310B">
      <w:pPr>
        <w:widowControl w:val="0"/>
        <w:spacing w:after="120"/>
        <w:ind w:left="576"/>
      </w:pPr>
      <w:r w:rsidRPr="00867444">
        <w:rPr>
          <w:i/>
        </w:rPr>
        <w:t>Relief from nonrecourse debt—whether or not in excess of property FMV</w:t>
      </w:r>
      <w:r w:rsidR="005F7216">
        <w:t xml:space="preserve"> …………341</w:t>
      </w:r>
    </w:p>
    <w:p w:rsidR="0078310B" w:rsidRPr="00867444" w:rsidRDefault="0078310B" w:rsidP="0078310B">
      <w:pPr>
        <w:widowControl w:val="0"/>
        <w:spacing w:after="120"/>
        <w:ind w:left="576"/>
      </w:pPr>
      <w:r w:rsidRPr="00867444">
        <w:t xml:space="preserve">COMMISSIONER v. </w:t>
      </w:r>
      <w:r w:rsidR="005F7216">
        <w:t>TUFTS ………………………………………………………..342</w:t>
      </w:r>
      <w:r w:rsidRPr="00867444">
        <w:t xml:space="preserve">  </w:t>
      </w:r>
    </w:p>
    <w:p w:rsidR="0078310B" w:rsidRPr="00867444" w:rsidRDefault="0078310B" w:rsidP="0078310B">
      <w:pPr>
        <w:widowControl w:val="0"/>
        <w:spacing w:after="120"/>
        <w:ind w:left="576"/>
      </w:pPr>
      <w:r w:rsidRPr="00867444">
        <w:rPr>
          <w:i/>
        </w:rPr>
        <w:t xml:space="preserve">Relief from recourse debt in excess of property FMV </w:t>
      </w:r>
      <w:r w:rsidRPr="00867444">
        <w:t>…………………………….</w:t>
      </w:r>
      <w:r w:rsidR="005F7216">
        <w:t>.....350</w:t>
      </w:r>
    </w:p>
    <w:p w:rsidR="0078310B" w:rsidRPr="00867444" w:rsidRDefault="0078310B" w:rsidP="0078310B">
      <w:pPr>
        <w:widowControl w:val="0"/>
        <w:spacing w:after="120"/>
        <w:ind w:left="576"/>
      </w:pPr>
      <w:r w:rsidRPr="00867444">
        <w:t xml:space="preserve">REVENUE RULING 90-16 </w:t>
      </w:r>
      <w:r w:rsidR="005F7216">
        <w:t>………………………………………………………….350</w:t>
      </w:r>
    </w:p>
    <w:p w:rsidR="0078310B" w:rsidRPr="00867444" w:rsidRDefault="0078310B" w:rsidP="0078310B">
      <w:pPr>
        <w:widowControl w:val="0"/>
        <w:spacing w:after="120"/>
        <w:ind w:left="288"/>
      </w:pPr>
      <w:r w:rsidRPr="00867444">
        <w:t>C. Reduction of property debt without a property transfer ……………………</w:t>
      </w:r>
      <w:r w:rsidR="005F7216">
        <w:t>…………355</w:t>
      </w:r>
    </w:p>
    <w:p w:rsidR="0078310B" w:rsidRPr="00867444" w:rsidRDefault="0078310B" w:rsidP="0078310B">
      <w:pPr>
        <w:widowControl w:val="0"/>
        <w:spacing w:after="120"/>
        <w:ind w:left="576"/>
      </w:pPr>
      <w:r w:rsidRPr="00867444">
        <w:t xml:space="preserve">REVENUE RULING 91-31 </w:t>
      </w:r>
      <w:r w:rsidR="005F7216">
        <w:t>………………………………………………………….355</w:t>
      </w:r>
    </w:p>
    <w:p w:rsidR="0078310B" w:rsidRPr="00867444" w:rsidRDefault="0078310B" w:rsidP="0078310B">
      <w:pPr>
        <w:widowControl w:val="0"/>
        <w:spacing w:after="120"/>
        <w:ind w:left="576"/>
      </w:pPr>
      <w:r w:rsidRPr="00867444">
        <w:rPr>
          <w:i/>
        </w:rPr>
        <w:t xml:space="preserve">§§ 108(a)(1)(D) and (e)(5) </w:t>
      </w:r>
      <w:r w:rsidR="005F7216">
        <w:t>…………………………………………………………...357</w:t>
      </w:r>
    </w:p>
    <w:p w:rsidR="0078310B" w:rsidRPr="00867444" w:rsidRDefault="0078310B" w:rsidP="0078310B">
      <w:pPr>
        <w:widowControl w:val="0"/>
        <w:spacing w:after="120"/>
        <w:ind w:left="576"/>
      </w:pPr>
      <w:r w:rsidRPr="00867444">
        <w:t>Problems …………………………………………</w:t>
      </w:r>
      <w:r w:rsidR="005F7216">
        <w:t>…………………………………...359</w:t>
      </w:r>
    </w:p>
    <w:p w:rsidR="0078310B" w:rsidRPr="0015536F" w:rsidRDefault="0078310B" w:rsidP="0078310B">
      <w:pPr>
        <w:widowControl w:val="0"/>
        <w:spacing w:after="120"/>
        <w:jc w:val="center"/>
        <w:rPr>
          <w:b/>
          <w:sz w:val="32"/>
          <w:szCs w:val="32"/>
        </w:rPr>
      </w:pPr>
      <w:r w:rsidRPr="0015536F">
        <w:rPr>
          <w:b/>
          <w:sz w:val="32"/>
          <w:szCs w:val="32"/>
        </w:rPr>
        <w:t>Unit V: The Ownership and Disposition of Property</w:t>
      </w:r>
    </w:p>
    <w:p w:rsidR="0078310B" w:rsidRPr="00867444" w:rsidRDefault="0078310B" w:rsidP="0078310B">
      <w:pPr>
        <w:widowControl w:val="0"/>
        <w:spacing w:after="120"/>
      </w:pPr>
      <w:r w:rsidRPr="00867444">
        <w:t>Introduction to Chapters 13 through 16 ……………………………………………...</w:t>
      </w:r>
      <w:r w:rsidR="007F0858">
        <w:t>..........361</w:t>
      </w:r>
    </w:p>
    <w:p w:rsidR="0078310B" w:rsidRPr="0015536F" w:rsidRDefault="0078310B" w:rsidP="0078310B">
      <w:pPr>
        <w:widowControl w:val="0"/>
        <w:rPr>
          <w:b/>
          <w:sz w:val="28"/>
          <w:szCs w:val="28"/>
        </w:rPr>
      </w:pPr>
      <w:r w:rsidRPr="0015536F">
        <w:rPr>
          <w:b/>
          <w:sz w:val="28"/>
          <w:szCs w:val="28"/>
        </w:rPr>
        <w:t xml:space="preserve">Chapter 13: Properly Accounting for, and the Nonrecognition of, </w:t>
      </w:r>
    </w:p>
    <w:p w:rsidR="0078310B" w:rsidRPr="00867444" w:rsidRDefault="0078310B" w:rsidP="0078310B">
      <w:pPr>
        <w:widowControl w:val="0"/>
        <w:spacing w:after="120"/>
      </w:pPr>
      <w:r w:rsidRPr="0015536F">
        <w:rPr>
          <w:b/>
          <w:sz w:val="28"/>
          <w:szCs w:val="28"/>
        </w:rPr>
        <w:t>§ 1001 Realized Gain or Loss</w:t>
      </w:r>
      <w:r w:rsidRPr="00867444">
        <w:rPr>
          <w:b/>
        </w:rPr>
        <w:t xml:space="preserve"> </w:t>
      </w:r>
      <w:r w:rsidRPr="00867444">
        <w:t>……………………………………………….....</w:t>
      </w:r>
      <w:r w:rsidR="007F0858">
        <w:t>.........362</w:t>
      </w:r>
    </w:p>
    <w:p w:rsidR="0078310B" w:rsidRPr="00867444" w:rsidRDefault="0078310B" w:rsidP="0078310B">
      <w:pPr>
        <w:widowControl w:val="0"/>
        <w:spacing w:after="120"/>
        <w:ind w:left="576"/>
      </w:pPr>
      <w:r w:rsidRPr="00867444">
        <w:rPr>
          <w:i/>
        </w:rPr>
        <w:t>On the disposition of property</w:t>
      </w:r>
      <w:r w:rsidR="007F0858">
        <w:t xml:space="preserve"> ………………………………………………………. 362</w:t>
      </w:r>
    </w:p>
    <w:p w:rsidR="0078310B" w:rsidRPr="00867444" w:rsidRDefault="0078310B" w:rsidP="0078310B">
      <w:pPr>
        <w:widowControl w:val="0"/>
        <w:spacing w:after="120"/>
        <w:ind w:left="288"/>
      </w:pPr>
      <w:r w:rsidRPr="00867444">
        <w:t>A. Properly accounting for realized and recognized gain and loss …………</w:t>
      </w:r>
      <w:r w:rsidR="007F0858">
        <w:t>…………...363</w:t>
      </w:r>
    </w:p>
    <w:p w:rsidR="0078310B" w:rsidRPr="00867444" w:rsidRDefault="0078310B" w:rsidP="0078310B">
      <w:pPr>
        <w:widowControl w:val="0"/>
        <w:spacing w:after="120"/>
        <w:ind w:left="576"/>
      </w:pPr>
      <w:r w:rsidRPr="00867444">
        <w:rPr>
          <w:i/>
        </w:rPr>
        <w:t xml:space="preserve">Inventory sales </w:t>
      </w:r>
      <w:r>
        <w:t>……………………………………………</w:t>
      </w:r>
      <w:r w:rsidR="007F0858">
        <w:t>………………………….364</w:t>
      </w:r>
    </w:p>
    <w:p w:rsidR="0078310B" w:rsidRPr="00867444" w:rsidRDefault="0078310B" w:rsidP="0078310B">
      <w:pPr>
        <w:widowControl w:val="0"/>
        <w:spacing w:after="120"/>
        <w:ind w:left="576"/>
      </w:pPr>
      <w:r w:rsidRPr="00867444">
        <w:rPr>
          <w:i/>
        </w:rPr>
        <w:t xml:space="preserve">Timing of § 1001 realized and recognized gain inclusion </w:t>
      </w:r>
      <w:r w:rsidR="007F0858">
        <w:t>…………………………...366</w:t>
      </w:r>
    </w:p>
    <w:p w:rsidR="0078310B" w:rsidRPr="00867444" w:rsidRDefault="0078310B" w:rsidP="0078310B">
      <w:pPr>
        <w:widowControl w:val="0"/>
        <w:spacing w:after="120"/>
        <w:ind w:left="576"/>
      </w:pPr>
      <w:r w:rsidRPr="00867444">
        <w:rPr>
          <w:i/>
        </w:rPr>
        <w:t xml:space="preserve">Installment sale reporting </w:t>
      </w:r>
      <w:r w:rsidR="007F0858">
        <w:t>…………………………………………………………....367</w:t>
      </w:r>
    </w:p>
    <w:p w:rsidR="0078310B" w:rsidRPr="00867444" w:rsidRDefault="0078310B" w:rsidP="0078310B">
      <w:pPr>
        <w:widowControl w:val="0"/>
        <w:spacing w:after="120"/>
        <w:ind w:left="576"/>
      </w:pPr>
      <w:r w:rsidRPr="00867444">
        <w:rPr>
          <w:i/>
        </w:rPr>
        <w:t xml:space="preserve">Open transaction reporting </w:t>
      </w:r>
      <w:r w:rsidR="007F0858">
        <w:t>…………………………………………………………..368</w:t>
      </w:r>
    </w:p>
    <w:p w:rsidR="0078310B" w:rsidRPr="00867444" w:rsidRDefault="0078310B" w:rsidP="0078310B">
      <w:pPr>
        <w:widowControl w:val="0"/>
        <w:spacing w:after="120"/>
        <w:ind w:left="288"/>
      </w:pPr>
      <w:r w:rsidRPr="00867444">
        <w:t>B. The nonrecognition of § 1001 realized gain or loss ………………………</w:t>
      </w:r>
      <w:r>
        <w:t>………….369</w:t>
      </w:r>
    </w:p>
    <w:p w:rsidR="0078310B" w:rsidRPr="00867444" w:rsidRDefault="0078310B" w:rsidP="0078310B">
      <w:pPr>
        <w:widowControl w:val="0"/>
        <w:spacing w:after="120"/>
        <w:ind w:left="576"/>
      </w:pPr>
      <w:r w:rsidRPr="00867444">
        <w:rPr>
          <w:i/>
        </w:rPr>
        <w:t xml:space="preserve">§ 1033 involuntary conversions of built-in gain property </w:t>
      </w:r>
      <w:r w:rsidR="007F0858">
        <w:t>…………………………...369</w:t>
      </w:r>
    </w:p>
    <w:p w:rsidR="0078310B" w:rsidRPr="00867444" w:rsidRDefault="0078310B" w:rsidP="0078310B">
      <w:pPr>
        <w:widowControl w:val="0"/>
        <w:spacing w:after="120"/>
        <w:ind w:left="576"/>
      </w:pPr>
      <w:r w:rsidRPr="00867444">
        <w:rPr>
          <w:i/>
        </w:rPr>
        <w:t xml:space="preserve">§ 1031 like kind exchanges </w:t>
      </w:r>
      <w:r w:rsidR="007F0858">
        <w:t>…………………………………………………………..371</w:t>
      </w:r>
    </w:p>
    <w:p w:rsidR="0078310B" w:rsidRPr="00867444" w:rsidRDefault="0078310B" w:rsidP="0078310B">
      <w:pPr>
        <w:widowControl w:val="0"/>
        <w:spacing w:after="120"/>
        <w:ind w:left="576"/>
      </w:pPr>
      <w:r w:rsidRPr="00867444">
        <w:rPr>
          <w:i/>
        </w:rPr>
        <w:t xml:space="preserve">Three-corner exchanges </w:t>
      </w:r>
      <w:r w:rsidR="007F0858">
        <w:t>……………………………………………………………...378</w:t>
      </w:r>
    </w:p>
    <w:p w:rsidR="0078310B" w:rsidRPr="00867444" w:rsidRDefault="0078310B" w:rsidP="0078310B">
      <w:pPr>
        <w:widowControl w:val="0"/>
        <w:spacing w:after="120"/>
        <w:ind w:left="576"/>
      </w:pPr>
      <w:r w:rsidRPr="00867444">
        <w:t>CRANDALL v. COMMIS</w:t>
      </w:r>
      <w:r w:rsidR="007F0858">
        <w:t>SIONER ………………………………………………....379</w:t>
      </w:r>
    </w:p>
    <w:p w:rsidR="0078310B" w:rsidRPr="00867444" w:rsidRDefault="0078310B" w:rsidP="0078310B">
      <w:pPr>
        <w:widowControl w:val="0"/>
        <w:spacing w:after="120"/>
        <w:ind w:left="576"/>
      </w:pPr>
      <w:r w:rsidRPr="00867444">
        <w:rPr>
          <w:i/>
        </w:rPr>
        <w:t xml:space="preserve">Does § 1031 reflect sound policy? </w:t>
      </w:r>
      <w:r w:rsidR="007F0858">
        <w:t>…………………………………………………...382</w:t>
      </w:r>
    </w:p>
    <w:p w:rsidR="0078310B" w:rsidRPr="00867444" w:rsidRDefault="0078310B" w:rsidP="0078310B">
      <w:pPr>
        <w:widowControl w:val="0"/>
        <w:spacing w:after="120"/>
        <w:ind w:left="576"/>
      </w:pPr>
      <w:r w:rsidRPr="00867444">
        <w:rPr>
          <w:i/>
        </w:rPr>
        <w:t xml:space="preserve">§ 267(a)(1) sales of loss property to a related party </w:t>
      </w:r>
      <w:r w:rsidR="007F0858">
        <w:t>………………………………...384</w:t>
      </w:r>
    </w:p>
    <w:p w:rsidR="0078310B" w:rsidRPr="00867444" w:rsidRDefault="0078310B" w:rsidP="0078310B">
      <w:pPr>
        <w:widowControl w:val="0"/>
        <w:spacing w:after="120"/>
        <w:ind w:left="576"/>
      </w:pPr>
      <w:r w:rsidRPr="00867444">
        <w:rPr>
          <w:i/>
        </w:rPr>
        <w:t xml:space="preserve">§ 1091 wash sales of loss securities </w:t>
      </w:r>
      <w:r w:rsidR="007F0858">
        <w:t>………………………………………………….385</w:t>
      </w:r>
    </w:p>
    <w:p w:rsidR="0078310B" w:rsidRPr="00867444" w:rsidRDefault="0078310B" w:rsidP="0078310B">
      <w:pPr>
        <w:widowControl w:val="0"/>
        <w:spacing w:after="120"/>
        <w:ind w:left="576"/>
      </w:pPr>
      <w:r w:rsidRPr="00867444">
        <w:t>Problems ………</w:t>
      </w:r>
      <w:r w:rsidR="007F0858">
        <w:t>…………………………………………………………………….. 385</w:t>
      </w:r>
    </w:p>
    <w:p w:rsidR="0078310B" w:rsidRPr="0015536F" w:rsidRDefault="0078310B" w:rsidP="0078310B">
      <w:pPr>
        <w:widowControl w:val="0"/>
        <w:rPr>
          <w:b/>
          <w:sz w:val="28"/>
          <w:szCs w:val="28"/>
        </w:rPr>
      </w:pPr>
      <w:r w:rsidRPr="0015536F">
        <w:rPr>
          <w:b/>
          <w:sz w:val="28"/>
          <w:szCs w:val="28"/>
        </w:rPr>
        <w:t>Chapter 14: Depreciation and Amortization in a Realization-</w:t>
      </w:r>
      <w:r>
        <w:rPr>
          <w:b/>
          <w:sz w:val="28"/>
          <w:szCs w:val="28"/>
        </w:rPr>
        <w:t>Based</w:t>
      </w:r>
    </w:p>
    <w:p w:rsidR="0078310B" w:rsidRPr="00867444" w:rsidRDefault="0078310B" w:rsidP="0078310B">
      <w:pPr>
        <w:widowControl w:val="0"/>
        <w:spacing w:after="120"/>
      </w:pPr>
      <w:r w:rsidRPr="0015536F">
        <w:rPr>
          <w:b/>
          <w:sz w:val="28"/>
          <w:szCs w:val="28"/>
        </w:rPr>
        <w:t>Income Tax</w:t>
      </w:r>
      <w:r w:rsidRPr="00867444">
        <w:t>………………………………………………………..................</w:t>
      </w:r>
      <w:r w:rsidR="007F0858">
        <w:t>..................387</w:t>
      </w:r>
    </w:p>
    <w:p w:rsidR="0078310B" w:rsidRPr="00867444" w:rsidRDefault="0078310B" w:rsidP="0078310B">
      <w:pPr>
        <w:widowControl w:val="0"/>
        <w:spacing w:after="120"/>
        <w:ind w:left="288"/>
      </w:pPr>
      <w:r w:rsidRPr="00867444">
        <w:t>A. Economic depreciation in a realization-based income tax …………..........</w:t>
      </w:r>
      <w:r w:rsidR="007F0858">
        <w:t>................388</w:t>
      </w:r>
    </w:p>
    <w:p w:rsidR="0078310B" w:rsidRPr="00867444" w:rsidRDefault="0078310B" w:rsidP="0078310B">
      <w:pPr>
        <w:widowControl w:val="0"/>
        <w:spacing w:after="120"/>
        <w:ind w:left="288"/>
      </w:pPr>
      <w:r w:rsidRPr="00867444">
        <w:t xml:space="preserve">B. “Wear and tear” within the meaning of § 167(a) </w:t>
      </w:r>
      <w:r>
        <w:t>…………</w:t>
      </w:r>
      <w:r w:rsidR="007F0858">
        <w:t>………….........................392</w:t>
      </w:r>
    </w:p>
    <w:p w:rsidR="0078310B" w:rsidRPr="00867444" w:rsidRDefault="0078310B" w:rsidP="0078310B">
      <w:pPr>
        <w:widowControl w:val="0"/>
        <w:spacing w:after="120"/>
        <w:ind w:left="576"/>
      </w:pPr>
      <w:r w:rsidRPr="00867444">
        <w:t>SIMON v. COMMIS</w:t>
      </w:r>
      <w:r w:rsidR="007F0858">
        <w:t>SIONER ….……………………………………………………393</w:t>
      </w:r>
    </w:p>
    <w:p w:rsidR="0078310B" w:rsidRPr="00867444" w:rsidRDefault="0078310B" w:rsidP="0078310B">
      <w:pPr>
        <w:widowControl w:val="0"/>
        <w:spacing w:after="120"/>
        <w:ind w:left="288"/>
      </w:pPr>
      <w:r w:rsidRPr="00867444">
        <w:t xml:space="preserve">C. Depreciation of tangible assets </w:t>
      </w:r>
      <w:r w:rsidR="007F0858">
        <w:t>……………………………………………………… 404</w:t>
      </w:r>
    </w:p>
    <w:p w:rsidR="0078310B" w:rsidRPr="00867444" w:rsidRDefault="0078310B" w:rsidP="0078310B">
      <w:pPr>
        <w:widowControl w:val="0"/>
        <w:spacing w:after="120"/>
        <w:ind w:left="576"/>
      </w:pPr>
      <w:r w:rsidRPr="00867444">
        <w:rPr>
          <w:i/>
        </w:rPr>
        <w:t xml:space="preserve">Non-real estate </w:t>
      </w:r>
      <w:r>
        <w:t>……………………………………………………………………… 405</w:t>
      </w:r>
    </w:p>
    <w:p w:rsidR="0078310B" w:rsidRPr="00867444" w:rsidRDefault="0078310B" w:rsidP="0078310B">
      <w:pPr>
        <w:widowControl w:val="0"/>
        <w:spacing w:after="120"/>
        <w:ind w:left="576"/>
      </w:pPr>
      <w:r w:rsidRPr="00867444">
        <w:rPr>
          <w:i/>
        </w:rPr>
        <w:t>§ 179 “expensing”</w:t>
      </w:r>
      <w:r w:rsidR="007F0858">
        <w:t xml:space="preserve"> …………………………………………………………………...405</w:t>
      </w:r>
    </w:p>
    <w:p w:rsidR="0078310B" w:rsidRPr="00867444" w:rsidRDefault="0078310B" w:rsidP="0078310B">
      <w:pPr>
        <w:widowControl w:val="0"/>
        <w:spacing w:after="120"/>
        <w:ind w:left="576"/>
      </w:pPr>
      <w:r w:rsidRPr="00867444">
        <w:rPr>
          <w:i/>
        </w:rPr>
        <w:t xml:space="preserve">§ 168 depreciation </w:t>
      </w:r>
      <w:r>
        <w:t>…………………………………………………………………....406</w:t>
      </w:r>
    </w:p>
    <w:p w:rsidR="0078310B" w:rsidRPr="00867444" w:rsidRDefault="0078310B" w:rsidP="0078310B">
      <w:pPr>
        <w:widowControl w:val="0"/>
        <w:spacing w:after="120"/>
        <w:ind w:left="576"/>
      </w:pPr>
      <w:r w:rsidRPr="00867444">
        <w:rPr>
          <w:i/>
        </w:rPr>
        <w:t xml:space="preserve">Real estate </w:t>
      </w:r>
      <w:r w:rsidRPr="00867444">
        <w:t>………………………………………</w:t>
      </w:r>
      <w:r w:rsidR="007F0858">
        <w:t>……………………………………409</w:t>
      </w:r>
    </w:p>
    <w:p w:rsidR="0078310B" w:rsidRPr="00867444" w:rsidRDefault="0078310B" w:rsidP="0078310B">
      <w:pPr>
        <w:widowControl w:val="0"/>
        <w:spacing w:after="120"/>
        <w:ind w:left="576"/>
      </w:pPr>
      <w:r w:rsidRPr="00867444">
        <w:rPr>
          <w:i/>
        </w:rPr>
        <w:t>§ 280F limitations</w:t>
      </w:r>
      <w:r w:rsidR="007F0858">
        <w:t xml:space="preserve"> ……………………………………………………………………411</w:t>
      </w:r>
    </w:p>
    <w:p w:rsidR="0078310B" w:rsidRPr="00867444" w:rsidRDefault="0078310B" w:rsidP="0078310B">
      <w:pPr>
        <w:widowControl w:val="0"/>
        <w:spacing w:after="120"/>
        <w:ind w:left="288"/>
      </w:pPr>
      <w:r w:rsidRPr="00867444">
        <w:t>D. Amortization of intangible assets ……………………………………………...</w:t>
      </w:r>
      <w:r w:rsidR="007F0858">
        <w:t>..........413</w:t>
      </w:r>
    </w:p>
    <w:p w:rsidR="0078310B" w:rsidRPr="00867444" w:rsidRDefault="0078310B" w:rsidP="0078310B">
      <w:pPr>
        <w:widowControl w:val="0"/>
        <w:spacing w:after="120"/>
        <w:ind w:left="288"/>
      </w:pPr>
      <w:r w:rsidRPr="00867444">
        <w:t>E. Amortization of start-up costs …………………………………………………</w:t>
      </w:r>
      <w:r w:rsidR="007F0858">
        <w:t>……..414</w:t>
      </w:r>
    </w:p>
    <w:p w:rsidR="0078310B" w:rsidRDefault="0078310B" w:rsidP="0078310B">
      <w:pPr>
        <w:widowControl w:val="0"/>
        <w:ind w:left="288"/>
      </w:pPr>
      <w:r w:rsidRPr="00867444">
        <w:t xml:space="preserve">F. Tax arbitrage: An interest deduction for </w:t>
      </w:r>
      <w:r>
        <w:t xml:space="preserve">debt-financed purchases of </w:t>
      </w:r>
      <w:r w:rsidRPr="00867444">
        <w:t xml:space="preserve">expensed </w:t>
      </w:r>
    </w:p>
    <w:p w:rsidR="0078310B" w:rsidRPr="00867444" w:rsidRDefault="0078310B" w:rsidP="0078310B">
      <w:pPr>
        <w:widowControl w:val="0"/>
        <w:spacing w:after="120"/>
        <w:ind w:left="288"/>
      </w:pPr>
      <w:r>
        <w:t xml:space="preserve">     </w:t>
      </w:r>
      <w:r w:rsidRPr="00867444">
        <w:t>(or nearly expensed) assets ……………………………………………</w:t>
      </w:r>
      <w:r w:rsidR="007F0858">
        <w:t>……………..415</w:t>
      </w:r>
    </w:p>
    <w:p w:rsidR="0078310B" w:rsidRPr="00867444" w:rsidRDefault="0078310B" w:rsidP="0078310B">
      <w:pPr>
        <w:widowControl w:val="0"/>
        <w:spacing w:after="120"/>
        <w:ind w:left="576"/>
      </w:pPr>
      <w:r w:rsidRPr="00867444">
        <w:t>Problems ……………</w:t>
      </w:r>
      <w:r w:rsidR="007F0858">
        <w:t>……………………………………………………………......416</w:t>
      </w:r>
    </w:p>
    <w:p w:rsidR="0078310B" w:rsidRPr="00867444" w:rsidRDefault="0078310B" w:rsidP="0078310B">
      <w:pPr>
        <w:widowControl w:val="0"/>
        <w:spacing w:after="120"/>
      </w:pPr>
      <w:r w:rsidRPr="00142216">
        <w:rPr>
          <w:b/>
          <w:sz w:val="28"/>
          <w:szCs w:val="28"/>
        </w:rPr>
        <w:t>Chapter 15: Capital Gains and Losses</w:t>
      </w:r>
      <w:r w:rsidRPr="00867444">
        <w:t xml:space="preserve"> ……………………………………</w:t>
      </w:r>
      <w:r w:rsidR="007F0858">
        <w:t>……...418</w:t>
      </w:r>
    </w:p>
    <w:p w:rsidR="0078310B" w:rsidRPr="00867444" w:rsidRDefault="0078310B" w:rsidP="0078310B">
      <w:pPr>
        <w:widowControl w:val="0"/>
        <w:spacing w:after="120"/>
        <w:ind w:left="288"/>
      </w:pPr>
      <w:r w:rsidRPr="00142216">
        <w:t>A.</w:t>
      </w:r>
      <w:r w:rsidRPr="00867444">
        <w:t xml:space="preserve"> Capital losses ……………………………………………………………………...</w:t>
      </w:r>
      <w:r w:rsidR="007F0858">
        <w:t>....418</w:t>
      </w:r>
    </w:p>
    <w:p w:rsidR="0078310B" w:rsidRPr="00867444" w:rsidRDefault="0078310B" w:rsidP="0078310B">
      <w:pPr>
        <w:widowControl w:val="0"/>
        <w:spacing w:after="120"/>
        <w:ind w:left="576"/>
      </w:pPr>
      <w:r w:rsidRPr="00867444">
        <w:t>Problem ……………………………………………………………………………</w:t>
      </w:r>
      <w:r w:rsidR="007F0858">
        <w:t>…421</w:t>
      </w:r>
    </w:p>
    <w:p w:rsidR="0078310B" w:rsidRPr="00867444" w:rsidRDefault="0078310B" w:rsidP="0078310B">
      <w:pPr>
        <w:widowControl w:val="0"/>
        <w:spacing w:after="120"/>
        <w:ind w:left="288"/>
      </w:pPr>
      <w:r w:rsidRPr="00867444">
        <w:t>B. Net capital gain …………………………………………………………………...</w:t>
      </w:r>
      <w:r w:rsidR="007F0858">
        <w:t>......421</w:t>
      </w:r>
    </w:p>
    <w:p w:rsidR="0078310B" w:rsidRPr="00867444" w:rsidRDefault="0078310B" w:rsidP="0078310B">
      <w:pPr>
        <w:widowControl w:val="0"/>
        <w:spacing w:after="120"/>
        <w:ind w:left="576"/>
      </w:pPr>
      <w:r w:rsidRPr="00867444">
        <w:rPr>
          <w:i/>
        </w:rPr>
        <w:t>Why is net capital gain taxed at a preferential rate?</w:t>
      </w:r>
      <w:r w:rsidR="007F0858">
        <w:t xml:space="preserve"> ………………………………...422</w:t>
      </w:r>
    </w:p>
    <w:p w:rsidR="0078310B" w:rsidRPr="00867444" w:rsidRDefault="0078310B" w:rsidP="0078310B">
      <w:pPr>
        <w:widowControl w:val="0"/>
        <w:spacing w:after="120"/>
        <w:ind w:left="576"/>
      </w:pPr>
      <w:r w:rsidRPr="00867444">
        <w:rPr>
          <w:i/>
        </w:rPr>
        <w:t xml:space="preserve">The double tax argument regarding capital returns </w:t>
      </w:r>
      <w:r w:rsidR="007F0858">
        <w:t>…………………………………425</w:t>
      </w:r>
    </w:p>
    <w:p w:rsidR="0078310B" w:rsidRPr="00867444" w:rsidRDefault="0078310B" w:rsidP="0078310B">
      <w:pPr>
        <w:widowControl w:val="0"/>
        <w:spacing w:after="120"/>
        <w:ind w:left="576"/>
      </w:pPr>
      <w:r w:rsidRPr="00867444">
        <w:rPr>
          <w:i/>
        </w:rPr>
        <w:t xml:space="preserve">Lock-in effect </w:t>
      </w:r>
      <w:r>
        <w:t>…………………………………………………………………………42</w:t>
      </w:r>
      <w:r w:rsidR="007F0858">
        <w:t>6</w:t>
      </w:r>
    </w:p>
    <w:p w:rsidR="0078310B" w:rsidRPr="00867444" w:rsidRDefault="0078310B" w:rsidP="0078310B">
      <w:pPr>
        <w:widowControl w:val="0"/>
        <w:spacing w:after="120"/>
        <w:ind w:left="576"/>
      </w:pPr>
      <w:r w:rsidRPr="00867444">
        <w:rPr>
          <w:i/>
        </w:rPr>
        <w:t xml:space="preserve">Inflation gain </w:t>
      </w:r>
      <w:r w:rsidR="007F0858">
        <w:t>…………………………………………………………………………427</w:t>
      </w:r>
    </w:p>
    <w:p w:rsidR="0078310B" w:rsidRPr="00867444" w:rsidRDefault="0078310B" w:rsidP="0078310B">
      <w:pPr>
        <w:widowControl w:val="0"/>
        <w:spacing w:after="120"/>
        <w:ind w:left="576"/>
      </w:pPr>
      <w:r w:rsidRPr="00867444">
        <w:rPr>
          <w:i/>
        </w:rPr>
        <w:t xml:space="preserve">Encouraging risk-taking entrepreneurship to stimulate economic growth </w:t>
      </w:r>
      <w:r w:rsidR="007F0858">
        <w:t>………….430</w:t>
      </w:r>
    </w:p>
    <w:p w:rsidR="0078310B" w:rsidRPr="00867444" w:rsidRDefault="0078310B" w:rsidP="0078310B">
      <w:pPr>
        <w:widowControl w:val="0"/>
        <w:spacing w:after="120"/>
        <w:ind w:left="576"/>
      </w:pPr>
      <w:r w:rsidRPr="00867444">
        <w:rPr>
          <w:i/>
        </w:rPr>
        <w:t xml:space="preserve">Bunching effect from the realization requirement </w:t>
      </w:r>
      <w:r w:rsidR="007F0858">
        <w:t>…………………………………...432</w:t>
      </w:r>
    </w:p>
    <w:p w:rsidR="0078310B" w:rsidRPr="00867444" w:rsidRDefault="0078310B" w:rsidP="0078310B">
      <w:pPr>
        <w:widowControl w:val="0"/>
        <w:spacing w:after="120"/>
        <w:ind w:left="576"/>
      </w:pPr>
      <w:r w:rsidRPr="00867444">
        <w:rPr>
          <w:i/>
        </w:rPr>
        <w:t xml:space="preserve">The definition of “net capital gain” </w:t>
      </w:r>
      <w:r w:rsidR="007F0858">
        <w:t>…………………………………………………432</w:t>
      </w:r>
    </w:p>
    <w:p w:rsidR="0078310B" w:rsidRPr="00867444" w:rsidRDefault="0078310B" w:rsidP="0078310B">
      <w:pPr>
        <w:widowControl w:val="0"/>
        <w:spacing w:after="120"/>
        <w:ind w:left="576"/>
      </w:pPr>
      <w:r w:rsidRPr="00867444">
        <w:rPr>
          <w:i/>
        </w:rPr>
        <w:t>Planning possibilities regarding the timing of realized capital gains and losses</w:t>
      </w:r>
      <w:r w:rsidR="007F0858">
        <w:t xml:space="preserve"> …...434</w:t>
      </w:r>
      <w:r w:rsidRPr="00867444">
        <w:t xml:space="preserve">       </w:t>
      </w:r>
    </w:p>
    <w:p w:rsidR="0078310B" w:rsidRPr="00867444" w:rsidRDefault="0078310B" w:rsidP="0078310B">
      <w:pPr>
        <w:widowControl w:val="0"/>
        <w:spacing w:after="120"/>
        <w:ind w:left="288"/>
      </w:pPr>
      <w:r w:rsidRPr="00867444">
        <w:t>C. The meaning of “capital asset” and “sale or exchange” …………………...</w:t>
      </w:r>
      <w:r w:rsidR="007F0858">
        <w:t>...............436</w:t>
      </w:r>
    </w:p>
    <w:p w:rsidR="0078310B" w:rsidRPr="00867444" w:rsidRDefault="0078310B" w:rsidP="0078310B">
      <w:pPr>
        <w:widowControl w:val="0"/>
        <w:spacing w:after="120"/>
        <w:ind w:left="576"/>
      </w:pPr>
      <w:r w:rsidRPr="00867444">
        <w:rPr>
          <w:i/>
        </w:rPr>
        <w:t xml:space="preserve">§ 1221(a)(1): the  inventory or dealer exception </w:t>
      </w:r>
      <w:r w:rsidR="007F0858">
        <w:t>…………………………………….436</w:t>
      </w:r>
    </w:p>
    <w:p w:rsidR="0078310B" w:rsidRPr="00867444" w:rsidRDefault="0078310B" w:rsidP="0078310B">
      <w:pPr>
        <w:widowControl w:val="0"/>
        <w:spacing w:after="120"/>
        <w:ind w:left="576"/>
      </w:pPr>
      <w:r w:rsidRPr="00867444">
        <w:t>BYRAM v. UNITED STATES ……………………………</w:t>
      </w:r>
      <w:r w:rsidR="007F0858">
        <w:t>………………………... 436</w:t>
      </w:r>
    </w:p>
    <w:p w:rsidR="0078310B" w:rsidRPr="00867444" w:rsidRDefault="0078310B" w:rsidP="0078310B">
      <w:pPr>
        <w:widowControl w:val="0"/>
        <w:spacing w:after="120"/>
        <w:ind w:left="576"/>
      </w:pPr>
      <w:r w:rsidRPr="00867444">
        <w:rPr>
          <w:i/>
        </w:rPr>
        <w:t xml:space="preserve">§ 1221(a)(2): certain property “used” in the taxpayer’s trade or business </w:t>
      </w:r>
      <w:r w:rsidR="007F0858">
        <w:t>…………441</w:t>
      </w:r>
    </w:p>
    <w:p w:rsidR="0078310B" w:rsidRPr="00867444" w:rsidRDefault="0078310B" w:rsidP="0078310B">
      <w:pPr>
        <w:widowControl w:val="0"/>
        <w:ind w:left="576"/>
        <w:rPr>
          <w:i/>
        </w:rPr>
      </w:pPr>
      <w:r w:rsidRPr="00867444">
        <w:rPr>
          <w:i/>
        </w:rPr>
        <w:t xml:space="preserve">§ 1221(a)(3): certain copyrights, works of art, musical compositions, and </w:t>
      </w:r>
    </w:p>
    <w:p w:rsidR="0078310B" w:rsidRPr="00867444" w:rsidRDefault="0078310B" w:rsidP="0078310B">
      <w:pPr>
        <w:widowControl w:val="0"/>
        <w:spacing w:after="120"/>
        <w:ind w:left="576"/>
      </w:pPr>
      <w:r w:rsidRPr="00867444">
        <w:rPr>
          <w:i/>
        </w:rPr>
        <w:t xml:space="preserve">similar property </w:t>
      </w:r>
      <w:r w:rsidR="007F0858">
        <w:t>………………………………………………………………………441</w:t>
      </w:r>
    </w:p>
    <w:p w:rsidR="0078310B" w:rsidRPr="00867444" w:rsidRDefault="0078310B" w:rsidP="0078310B">
      <w:pPr>
        <w:widowControl w:val="0"/>
        <w:spacing w:after="120"/>
        <w:ind w:left="576"/>
      </w:pPr>
      <w:r w:rsidRPr="00867444">
        <w:rPr>
          <w:i/>
        </w:rPr>
        <w:t xml:space="preserve">§ 1221(b)(3): the election for self-created musical works </w:t>
      </w:r>
      <w:r w:rsidR="007F0858">
        <w:t>…………………………...443</w:t>
      </w:r>
    </w:p>
    <w:p w:rsidR="0078310B" w:rsidRPr="00867444" w:rsidRDefault="0078310B" w:rsidP="0078310B">
      <w:pPr>
        <w:widowControl w:val="0"/>
        <w:spacing w:after="120"/>
        <w:ind w:left="576"/>
      </w:pPr>
      <w:r w:rsidRPr="00867444">
        <w:rPr>
          <w:i/>
        </w:rPr>
        <w:t xml:space="preserve">§ 1221(a)(7): hedging transactions </w:t>
      </w:r>
      <w:r w:rsidR="007F0858">
        <w:t>………………………………………………….444</w:t>
      </w:r>
    </w:p>
    <w:p w:rsidR="0078310B" w:rsidRPr="00867444" w:rsidRDefault="0078310B" w:rsidP="0078310B">
      <w:pPr>
        <w:widowControl w:val="0"/>
        <w:spacing w:after="120"/>
        <w:ind w:left="576"/>
      </w:pPr>
      <w:r w:rsidRPr="00867444">
        <w:rPr>
          <w:i/>
        </w:rPr>
        <w:t xml:space="preserve">The sale of a right to collect ordinary income in the future </w:t>
      </w:r>
      <w:r w:rsidR="007F0858">
        <w:t>…………………………447</w:t>
      </w:r>
    </w:p>
    <w:p w:rsidR="0078310B" w:rsidRPr="00867444" w:rsidRDefault="0078310B" w:rsidP="0078310B">
      <w:pPr>
        <w:widowControl w:val="0"/>
        <w:spacing w:after="120"/>
        <w:ind w:left="576"/>
      </w:pPr>
      <w:r w:rsidRPr="00867444">
        <w:rPr>
          <w:i/>
        </w:rPr>
        <w:t xml:space="preserve">The sale or exchange requirement </w:t>
      </w:r>
      <w:r w:rsidR="007F0858">
        <w:t>…………………………………………………...447</w:t>
      </w:r>
    </w:p>
    <w:p w:rsidR="0078310B" w:rsidRPr="00867444" w:rsidRDefault="0078310B" w:rsidP="0078310B">
      <w:pPr>
        <w:widowControl w:val="0"/>
        <w:spacing w:after="120"/>
        <w:ind w:left="576"/>
      </w:pPr>
      <w:r w:rsidRPr="00867444">
        <w:rPr>
          <w:i/>
        </w:rPr>
        <w:t xml:space="preserve">The Arrowsmith doctrine </w:t>
      </w:r>
      <w:r w:rsidR="007F0858">
        <w:t>…………………………………………………………….448</w:t>
      </w:r>
    </w:p>
    <w:p w:rsidR="0078310B" w:rsidRPr="00867444" w:rsidRDefault="0078310B" w:rsidP="0078310B">
      <w:pPr>
        <w:widowControl w:val="0"/>
        <w:spacing w:after="120"/>
        <w:ind w:left="288"/>
      </w:pPr>
      <w:r w:rsidRPr="00867444">
        <w:t>D. Section 1231 gains and losses and depreciation recapture ………………</w:t>
      </w:r>
      <w:r w:rsidR="007F0858">
        <w:t>…………..449</w:t>
      </w:r>
    </w:p>
    <w:p w:rsidR="0078310B" w:rsidRPr="00867444" w:rsidRDefault="0078310B" w:rsidP="0078310B">
      <w:pPr>
        <w:widowControl w:val="0"/>
        <w:spacing w:after="120"/>
        <w:ind w:left="576"/>
      </w:pPr>
      <w:r w:rsidRPr="00867444">
        <w:rPr>
          <w:i/>
        </w:rPr>
        <w:t>§ 1231 gains and losses</w:t>
      </w:r>
      <w:r w:rsidR="007F0858">
        <w:t xml:space="preserve"> ……………………………………………………………....449</w:t>
      </w:r>
    </w:p>
    <w:p w:rsidR="0078310B" w:rsidRPr="00867444" w:rsidRDefault="0078310B" w:rsidP="0078310B">
      <w:pPr>
        <w:widowControl w:val="0"/>
        <w:spacing w:after="120"/>
        <w:ind w:left="576"/>
      </w:pPr>
      <w:r w:rsidRPr="00867444">
        <w:rPr>
          <w:i/>
        </w:rPr>
        <w:t xml:space="preserve">§§ 1245 and 1250 “depreciation recapture” </w:t>
      </w:r>
      <w:r w:rsidR="00994812">
        <w:t>………………………………………...451</w:t>
      </w:r>
    </w:p>
    <w:p w:rsidR="0078310B" w:rsidRPr="00867444" w:rsidRDefault="0078310B" w:rsidP="0078310B">
      <w:pPr>
        <w:widowControl w:val="0"/>
        <w:spacing w:after="120"/>
        <w:ind w:left="576"/>
      </w:pPr>
      <w:r w:rsidRPr="00867444">
        <w:t>Problems ……………………………………………………………………</w:t>
      </w:r>
      <w:r w:rsidR="00994812">
        <w:t>………...453</w:t>
      </w:r>
    </w:p>
    <w:p w:rsidR="0078310B" w:rsidRPr="00867444" w:rsidRDefault="0078310B" w:rsidP="0078310B">
      <w:pPr>
        <w:widowControl w:val="0"/>
        <w:spacing w:after="120"/>
        <w:ind w:left="288"/>
      </w:pPr>
      <w:r w:rsidRPr="00867444">
        <w:t>E. The § 1(h) rates applicable to “net capital gain” ……………………………</w:t>
      </w:r>
      <w:r w:rsidR="00994812">
        <w:t>………...454</w:t>
      </w:r>
    </w:p>
    <w:p w:rsidR="0078310B" w:rsidRPr="00867444" w:rsidRDefault="0078310B" w:rsidP="0078310B">
      <w:pPr>
        <w:widowControl w:val="0"/>
        <w:spacing w:after="120"/>
      </w:pPr>
      <w:r w:rsidRPr="00623089">
        <w:rPr>
          <w:b/>
          <w:sz w:val="28"/>
          <w:szCs w:val="28"/>
        </w:rPr>
        <w:t>Chapter 16: Tax Shelters</w:t>
      </w:r>
      <w:r w:rsidRPr="00867444">
        <w:t xml:space="preserve"> ………………………………………………………</w:t>
      </w:r>
      <w:r>
        <w:t>……..45</w:t>
      </w:r>
      <w:r w:rsidR="00994812">
        <w:t>5</w:t>
      </w:r>
    </w:p>
    <w:p w:rsidR="0078310B" w:rsidRPr="00867444" w:rsidRDefault="0078310B" w:rsidP="0078310B">
      <w:pPr>
        <w:widowControl w:val="0"/>
        <w:spacing w:after="120"/>
        <w:ind w:left="576"/>
      </w:pPr>
      <w:r w:rsidRPr="00867444">
        <w:rPr>
          <w:i/>
        </w:rPr>
        <w:t xml:space="preserve">Policy concerns </w:t>
      </w:r>
      <w:r w:rsidR="00994812">
        <w:t>………………………………………………………………………457</w:t>
      </w:r>
    </w:p>
    <w:p w:rsidR="0078310B" w:rsidRPr="00867444" w:rsidRDefault="0078310B" w:rsidP="0078310B">
      <w:pPr>
        <w:widowControl w:val="0"/>
        <w:spacing w:after="120"/>
        <w:ind w:left="288"/>
      </w:pPr>
      <w:r w:rsidRPr="00867444">
        <w:t>A. Common law doctrines used in tax shelter litigation ……………………....</w:t>
      </w:r>
      <w:r w:rsidR="00994812">
        <w:t>...............458</w:t>
      </w:r>
    </w:p>
    <w:p w:rsidR="0078310B" w:rsidRPr="00867444" w:rsidRDefault="0078310B" w:rsidP="0078310B">
      <w:pPr>
        <w:widowControl w:val="0"/>
        <w:spacing w:after="120"/>
        <w:ind w:left="576"/>
      </w:pPr>
      <w:r w:rsidRPr="00867444">
        <w:rPr>
          <w:i/>
        </w:rPr>
        <w:t xml:space="preserve">Sham debt </w:t>
      </w:r>
      <w:r w:rsidRPr="00867444">
        <w:t>…</w:t>
      </w:r>
      <w:r w:rsidR="00994812">
        <w:t>………………………………………………………………………….458</w:t>
      </w:r>
    </w:p>
    <w:p w:rsidR="0078310B" w:rsidRPr="00867444" w:rsidRDefault="0078310B" w:rsidP="0078310B">
      <w:pPr>
        <w:widowControl w:val="0"/>
        <w:spacing w:after="120"/>
        <w:ind w:left="576"/>
      </w:pPr>
      <w:r w:rsidRPr="00867444">
        <w:t>KNETSCH v. UNITED STATES ……………………………</w:t>
      </w:r>
      <w:r w:rsidR="00994812">
        <w:t>………………………458</w:t>
      </w:r>
    </w:p>
    <w:p w:rsidR="0078310B" w:rsidRPr="00867444" w:rsidRDefault="0078310B" w:rsidP="0078310B">
      <w:pPr>
        <w:widowControl w:val="0"/>
        <w:spacing w:after="120"/>
        <w:ind w:left="576"/>
      </w:pPr>
      <w:r w:rsidRPr="00867444">
        <w:t>ESTATE OF FRANKLIN v</w:t>
      </w:r>
      <w:r w:rsidR="00994812">
        <w:t>. COMMISSIONER ……………………………………462</w:t>
      </w:r>
    </w:p>
    <w:p w:rsidR="0078310B" w:rsidRPr="00867444" w:rsidRDefault="0078310B" w:rsidP="0078310B">
      <w:pPr>
        <w:widowControl w:val="0"/>
        <w:spacing w:after="120"/>
        <w:ind w:left="576"/>
      </w:pPr>
      <w:r w:rsidRPr="00867444">
        <w:rPr>
          <w:i/>
        </w:rPr>
        <w:t xml:space="preserve">Tax ownership </w:t>
      </w:r>
      <w:r w:rsidR="00994812">
        <w:t>………………………………………………………………………..469</w:t>
      </w:r>
    </w:p>
    <w:p w:rsidR="0078310B" w:rsidRPr="00867444" w:rsidRDefault="0078310B" w:rsidP="0078310B">
      <w:pPr>
        <w:widowControl w:val="0"/>
        <w:spacing w:after="120"/>
        <w:ind w:left="576"/>
      </w:pPr>
      <w:r w:rsidRPr="00867444">
        <w:rPr>
          <w:i/>
        </w:rPr>
        <w:t xml:space="preserve">The business purpose doctrine </w:t>
      </w:r>
      <w:r w:rsidR="00994812">
        <w:t>……………………………………………………….470</w:t>
      </w:r>
    </w:p>
    <w:p w:rsidR="0078310B" w:rsidRPr="00867444" w:rsidRDefault="0078310B" w:rsidP="0078310B">
      <w:pPr>
        <w:widowControl w:val="0"/>
        <w:spacing w:after="120"/>
        <w:ind w:left="576"/>
      </w:pPr>
      <w:r w:rsidRPr="00867444">
        <w:rPr>
          <w:i/>
        </w:rPr>
        <w:t>The economic substance doctrine</w:t>
      </w:r>
      <w:r w:rsidR="00994812">
        <w:t xml:space="preserve"> ……………………………………………………471</w:t>
      </w:r>
    </w:p>
    <w:p w:rsidR="0078310B" w:rsidRPr="00867444" w:rsidRDefault="0078310B" w:rsidP="0078310B">
      <w:pPr>
        <w:widowControl w:val="0"/>
        <w:spacing w:after="120"/>
        <w:ind w:left="288"/>
      </w:pPr>
      <w:r w:rsidRPr="00867444">
        <w:t>B. Statutory tools in combatting tax shelters ……………………………………</w:t>
      </w:r>
      <w:r w:rsidR="00994812">
        <w:t>………475</w:t>
      </w:r>
    </w:p>
    <w:p w:rsidR="0078310B" w:rsidRPr="00867444" w:rsidRDefault="0078310B" w:rsidP="0078310B">
      <w:pPr>
        <w:widowControl w:val="0"/>
        <w:spacing w:after="120"/>
        <w:ind w:left="576"/>
      </w:pPr>
      <w:r>
        <w:rPr>
          <w:i/>
        </w:rPr>
        <w:t>The § 465</w:t>
      </w:r>
      <w:r w:rsidRPr="00867444">
        <w:rPr>
          <w:i/>
        </w:rPr>
        <w:t xml:space="preserve"> at-risk rules and § 469 passive activity loss rules </w:t>
      </w:r>
      <w:r w:rsidR="00994812">
        <w:t>………………………..475</w:t>
      </w:r>
    </w:p>
    <w:p w:rsidR="0078310B" w:rsidRPr="00867444" w:rsidRDefault="0078310B" w:rsidP="0078310B">
      <w:pPr>
        <w:widowControl w:val="0"/>
        <w:spacing w:after="120"/>
        <w:ind w:left="576"/>
      </w:pPr>
      <w:r w:rsidRPr="00867444">
        <w:t>Problems ……</w:t>
      </w:r>
      <w:r w:rsidR="00994812">
        <w:t>………………………………………………………………………..480</w:t>
      </w:r>
    </w:p>
    <w:p w:rsidR="0078310B" w:rsidRPr="00867444" w:rsidRDefault="0078310B" w:rsidP="0078310B">
      <w:pPr>
        <w:widowControl w:val="0"/>
        <w:spacing w:after="120"/>
        <w:ind w:left="576"/>
      </w:pPr>
      <w:r w:rsidRPr="00867444">
        <w:rPr>
          <w:i/>
        </w:rPr>
        <w:t xml:space="preserve">The § 163(d) investment interest deduction rules </w:t>
      </w:r>
      <w:r w:rsidR="00994812">
        <w:t>……………………………………481</w:t>
      </w:r>
    </w:p>
    <w:p w:rsidR="0078310B" w:rsidRPr="00867444" w:rsidRDefault="0078310B" w:rsidP="0078310B">
      <w:pPr>
        <w:widowControl w:val="0"/>
        <w:spacing w:after="120"/>
        <w:ind w:left="576"/>
      </w:pPr>
      <w:r w:rsidRPr="00867444">
        <w:t>Problem ………………………………………………………………</w:t>
      </w:r>
      <w:r>
        <w:t>………………</w:t>
      </w:r>
      <w:r w:rsidR="00994812">
        <w:t>483</w:t>
      </w:r>
    </w:p>
    <w:p w:rsidR="0078310B" w:rsidRPr="00623089" w:rsidRDefault="0078310B" w:rsidP="0078310B">
      <w:pPr>
        <w:widowControl w:val="0"/>
        <w:jc w:val="center"/>
        <w:rPr>
          <w:b/>
          <w:sz w:val="32"/>
          <w:szCs w:val="32"/>
        </w:rPr>
      </w:pPr>
      <w:r w:rsidRPr="00623089">
        <w:rPr>
          <w:b/>
          <w:sz w:val="32"/>
          <w:szCs w:val="32"/>
        </w:rPr>
        <w:t>Unit VI: Distinguishing Between Income-</w:t>
      </w:r>
    </w:p>
    <w:p w:rsidR="0078310B" w:rsidRPr="00623089" w:rsidRDefault="0078310B" w:rsidP="0078310B">
      <w:pPr>
        <w:widowControl w:val="0"/>
        <w:jc w:val="center"/>
        <w:rPr>
          <w:b/>
          <w:sz w:val="32"/>
          <w:szCs w:val="32"/>
        </w:rPr>
      </w:pPr>
      <w:r w:rsidRPr="00623089">
        <w:rPr>
          <w:b/>
          <w:sz w:val="32"/>
          <w:szCs w:val="32"/>
        </w:rPr>
        <w:t xml:space="preserve">Producing Activities and Personal Consumption </w:t>
      </w:r>
    </w:p>
    <w:p w:rsidR="0078310B" w:rsidRPr="00867444" w:rsidRDefault="0078310B" w:rsidP="0078310B">
      <w:pPr>
        <w:widowControl w:val="0"/>
        <w:spacing w:after="120"/>
        <w:jc w:val="center"/>
        <w:rPr>
          <w:b/>
        </w:rPr>
      </w:pPr>
      <w:r w:rsidRPr="00623089">
        <w:rPr>
          <w:b/>
          <w:sz w:val="32"/>
          <w:szCs w:val="32"/>
        </w:rPr>
        <w:t>and the Personal Consumption Tax Expenditures</w:t>
      </w:r>
    </w:p>
    <w:p w:rsidR="0078310B" w:rsidRPr="00867444" w:rsidRDefault="0078310B" w:rsidP="0078310B">
      <w:pPr>
        <w:widowControl w:val="0"/>
        <w:spacing w:after="120"/>
      </w:pPr>
      <w:r w:rsidRPr="00867444">
        <w:t>Introduction to Chapters 17 through 20 ……………………………………………</w:t>
      </w:r>
      <w:r w:rsidR="00994812">
        <w:t>……….484</w:t>
      </w:r>
    </w:p>
    <w:p w:rsidR="0078310B" w:rsidRPr="00867444" w:rsidRDefault="0078310B" w:rsidP="0078310B">
      <w:pPr>
        <w:widowControl w:val="0"/>
        <w:spacing w:after="120"/>
      </w:pPr>
      <w:r w:rsidRPr="00623089">
        <w:rPr>
          <w:b/>
          <w:sz w:val="28"/>
          <w:szCs w:val="28"/>
        </w:rPr>
        <w:t>Chapter 17: On Human Capital</w:t>
      </w:r>
      <w:r w:rsidRPr="00867444">
        <w:t xml:space="preserve"> ……………………………………………...</w:t>
      </w:r>
      <w:r>
        <w:t>......</w:t>
      </w:r>
      <w:r w:rsidR="00994812">
        <w:t>...485</w:t>
      </w:r>
    </w:p>
    <w:p w:rsidR="0078310B" w:rsidRPr="00867444" w:rsidRDefault="0078310B" w:rsidP="0078310B">
      <w:pPr>
        <w:widowControl w:val="0"/>
        <w:spacing w:after="120"/>
        <w:ind w:left="288"/>
      </w:pPr>
      <w:r w:rsidRPr="00867444">
        <w:t>A. Education costs …………………………………………………………………...</w:t>
      </w:r>
      <w:r w:rsidR="00994812">
        <w:t>......485</w:t>
      </w:r>
    </w:p>
    <w:p w:rsidR="0078310B" w:rsidRPr="00867444" w:rsidRDefault="0078310B" w:rsidP="0078310B">
      <w:pPr>
        <w:widowControl w:val="0"/>
        <w:spacing w:after="120"/>
        <w:ind w:left="576"/>
      </w:pPr>
      <w:r w:rsidRPr="00867444">
        <w:t>Tax Incentives for Education: Not Making the Grade by Marie Sapirie ……</w:t>
      </w:r>
      <w:r w:rsidR="00994812">
        <w:t>……….487</w:t>
      </w:r>
    </w:p>
    <w:p w:rsidR="0078310B" w:rsidRPr="00867444" w:rsidRDefault="0078310B" w:rsidP="0078310B">
      <w:pPr>
        <w:widowControl w:val="0"/>
        <w:spacing w:after="120"/>
        <w:ind w:left="576"/>
      </w:pPr>
      <w:r w:rsidRPr="00867444">
        <w:t>Problems ……</w:t>
      </w:r>
      <w:r w:rsidR="00994812">
        <w:t>………………………………………………………………………..493</w:t>
      </w:r>
    </w:p>
    <w:p w:rsidR="0078310B" w:rsidRPr="00867444" w:rsidRDefault="0078310B" w:rsidP="0078310B">
      <w:pPr>
        <w:widowControl w:val="0"/>
        <w:ind w:left="576"/>
        <w:rPr>
          <w:i/>
        </w:rPr>
      </w:pPr>
      <w:r w:rsidRPr="00867444">
        <w:rPr>
          <w:i/>
        </w:rPr>
        <w:t xml:space="preserve">Treas. Reg. § 1.162-5: education costs as deductible business expenses </w:t>
      </w:r>
    </w:p>
    <w:p w:rsidR="0078310B" w:rsidRPr="00867444" w:rsidRDefault="0078310B" w:rsidP="0078310B">
      <w:pPr>
        <w:widowControl w:val="0"/>
        <w:spacing w:after="120"/>
        <w:ind w:left="576"/>
      </w:pPr>
      <w:r w:rsidRPr="002E799C">
        <w:rPr>
          <w:i/>
        </w:rPr>
        <w:t>under § 162</w:t>
      </w:r>
      <w:r w:rsidRPr="00867444">
        <w:t xml:space="preserve"> ………………………………………………………………………….</w:t>
      </w:r>
      <w:r w:rsidR="00994812">
        <w:t>.494</w:t>
      </w:r>
    </w:p>
    <w:p w:rsidR="0078310B" w:rsidRPr="00867444" w:rsidRDefault="0078310B" w:rsidP="0078310B">
      <w:pPr>
        <w:widowControl w:val="0"/>
        <w:spacing w:after="120"/>
        <w:ind w:left="576"/>
      </w:pPr>
      <w:r w:rsidRPr="00867444">
        <w:t>SHARON v. COMMISI</w:t>
      </w:r>
      <w:r w:rsidR="00994812">
        <w:t>ONER ……………………………………………………....496</w:t>
      </w:r>
    </w:p>
    <w:p w:rsidR="0078310B" w:rsidRPr="00867444" w:rsidRDefault="0078310B" w:rsidP="0078310B">
      <w:pPr>
        <w:widowControl w:val="0"/>
        <w:spacing w:after="120"/>
        <w:ind w:left="576"/>
      </w:pPr>
      <w:r w:rsidRPr="00867444">
        <w:t>Problems ……</w:t>
      </w:r>
      <w:r w:rsidR="00994812">
        <w:t>………………………………………………………………………..504</w:t>
      </w:r>
    </w:p>
    <w:p w:rsidR="0078310B" w:rsidRPr="00867444" w:rsidRDefault="0078310B" w:rsidP="0078310B">
      <w:pPr>
        <w:widowControl w:val="0"/>
        <w:spacing w:after="120"/>
        <w:ind w:left="288"/>
      </w:pPr>
      <w:r w:rsidRPr="00867444">
        <w:t>B. Compensation received on account of the loss of human capital ………</w:t>
      </w:r>
      <w:r w:rsidR="00994812">
        <w:t>……………504</w:t>
      </w:r>
    </w:p>
    <w:p w:rsidR="0078310B" w:rsidRPr="00867444" w:rsidRDefault="0078310B" w:rsidP="0078310B">
      <w:pPr>
        <w:widowControl w:val="0"/>
        <w:spacing w:after="120"/>
        <w:ind w:left="576"/>
      </w:pPr>
      <w:r w:rsidRPr="00867444">
        <w:rPr>
          <w:i/>
        </w:rPr>
        <w:t>Excerpt from</w:t>
      </w:r>
      <w:r w:rsidRPr="00867444">
        <w:rPr>
          <w:b/>
          <w:i/>
        </w:rPr>
        <w:t xml:space="preserve"> </w:t>
      </w:r>
      <w:r w:rsidRPr="00867444">
        <w:t xml:space="preserve">Murphy and the Evolution of “Basis” </w:t>
      </w:r>
      <w:r w:rsidR="00994812">
        <w:t>by Deborah A. Geier ………….505</w:t>
      </w:r>
    </w:p>
    <w:p w:rsidR="0078310B" w:rsidRPr="00867444" w:rsidRDefault="0078310B" w:rsidP="0078310B">
      <w:pPr>
        <w:widowControl w:val="0"/>
        <w:spacing w:after="120"/>
        <w:ind w:left="576"/>
      </w:pPr>
      <w:r w:rsidRPr="00867444">
        <w:rPr>
          <w:i/>
        </w:rPr>
        <w:t xml:space="preserve">§ 104(a)(2) as tax expenditure </w:t>
      </w:r>
      <w:r w:rsidR="00994812">
        <w:t>……………………………………………………….510</w:t>
      </w:r>
    </w:p>
    <w:p w:rsidR="0078310B" w:rsidRPr="00867444" w:rsidRDefault="0078310B" w:rsidP="0078310B">
      <w:pPr>
        <w:widowControl w:val="0"/>
        <w:ind w:left="576"/>
        <w:rPr>
          <w:i/>
        </w:rPr>
      </w:pPr>
      <w:r w:rsidRPr="00867444">
        <w:rPr>
          <w:i/>
        </w:rPr>
        <w:t>Determining the excludable amount: deducted medical costs, structured</w:t>
      </w:r>
    </w:p>
    <w:p w:rsidR="0078310B" w:rsidRPr="00867444" w:rsidRDefault="0078310B" w:rsidP="0078310B">
      <w:pPr>
        <w:widowControl w:val="0"/>
        <w:spacing w:after="120"/>
        <w:ind w:left="576"/>
      </w:pPr>
      <w:r w:rsidRPr="00867444">
        <w:rPr>
          <w:i/>
        </w:rPr>
        <w:t xml:space="preserve">settlements, prejudgment interest, and punitive damages </w:t>
      </w:r>
      <w:r w:rsidR="00994812">
        <w:t>……………………...........511</w:t>
      </w:r>
    </w:p>
    <w:p w:rsidR="0078310B" w:rsidRPr="00867444" w:rsidRDefault="0078310B" w:rsidP="0078310B">
      <w:pPr>
        <w:widowControl w:val="0"/>
        <w:spacing w:after="120"/>
        <w:ind w:left="576"/>
      </w:pPr>
      <w:r w:rsidRPr="00867444">
        <w:rPr>
          <w:i/>
        </w:rPr>
        <w:t xml:space="preserve">The treatment of attorney fees </w:t>
      </w:r>
      <w:r w:rsidR="00994812">
        <w:t>……………………………………………………….513</w:t>
      </w:r>
    </w:p>
    <w:p w:rsidR="0078310B" w:rsidRPr="00867444" w:rsidRDefault="0078310B" w:rsidP="0078310B">
      <w:pPr>
        <w:widowControl w:val="0"/>
        <w:spacing w:after="120"/>
        <w:ind w:left="576"/>
      </w:pPr>
      <w:r w:rsidRPr="00867444">
        <w:t>AMOS v. COMMISS</w:t>
      </w:r>
      <w:r w:rsidR="00994812">
        <w:t>IONER ………………………………………………………..516</w:t>
      </w:r>
    </w:p>
    <w:p w:rsidR="0078310B" w:rsidRPr="00867444" w:rsidRDefault="0078310B" w:rsidP="0078310B">
      <w:pPr>
        <w:widowControl w:val="0"/>
        <w:spacing w:after="120"/>
        <w:ind w:left="576"/>
      </w:pPr>
      <w:r w:rsidRPr="00867444">
        <w:t>Problems ……</w:t>
      </w:r>
      <w:r w:rsidR="00994812">
        <w:t>………………………………………………………………………..522</w:t>
      </w:r>
    </w:p>
    <w:p w:rsidR="0078310B" w:rsidRPr="00867444" w:rsidRDefault="0078310B" w:rsidP="0078310B">
      <w:pPr>
        <w:widowControl w:val="0"/>
        <w:spacing w:after="120"/>
      </w:pPr>
      <w:r w:rsidRPr="00623089">
        <w:rPr>
          <w:b/>
          <w:sz w:val="28"/>
          <w:szCs w:val="28"/>
        </w:rPr>
        <w:t>Chapter 18: Homes, Health, Charity, and More</w:t>
      </w:r>
      <w:r w:rsidRPr="00867444">
        <w:t xml:space="preserve"> ……………………...</w:t>
      </w:r>
      <w:r w:rsidR="00994812">
        <w:t>.............524</w:t>
      </w:r>
    </w:p>
    <w:p w:rsidR="0078310B" w:rsidRPr="00867444" w:rsidRDefault="0078310B" w:rsidP="0078310B">
      <w:pPr>
        <w:widowControl w:val="0"/>
        <w:spacing w:after="120"/>
        <w:ind w:left="288"/>
      </w:pPr>
      <w:r w:rsidRPr="00867444">
        <w:t>A. Owner-occupied housing ………………………………………………………</w:t>
      </w:r>
      <w:r w:rsidR="00994812">
        <w:t>…….525</w:t>
      </w:r>
    </w:p>
    <w:p w:rsidR="0078310B" w:rsidRDefault="0078310B" w:rsidP="0078310B">
      <w:pPr>
        <w:widowControl w:val="0"/>
        <w:spacing w:after="120"/>
        <w:ind w:left="576"/>
      </w:pPr>
      <w:r w:rsidRPr="00867444">
        <w:rPr>
          <w:i/>
        </w:rPr>
        <w:t>The exclusion of imputed income with respect to owner-occupied housing</w:t>
      </w:r>
      <w:r w:rsidR="00994812">
        <w:t xml:space="preserve"> …………525</w:t>
      </w:r>
    </w:p>
    <w:p w:rsidR="0078310B" w:rsidRPr="00AD126F" w:rsidRDefault="0078310B" w:rsidP="0078310B">
      <w:pPr>
        <w:widowControl w:val="0"/>
        <w:spacing w:after="120"/>
        <w:ind w:left="576"/>
        <w:jc w:val="both"/>
      </w:pPr>
      <w:r w:rsidRPr="00AD126F">
        <w:rPr>
          <w:i/>
        </w:rPr>
        <w:t>Tax policy critiques of the homeownership tax expenditures</w:t>
      </w:r>
      <w:r w:rsidR="00994812">
        <w:t>…………………………526</w:t>
      </w:r>
    </w:p>
    <w:p w:rsidR="0078310B" w:rsidRPr="00867444" w:rsidRDefault="0078310B" w:rsidP="0078310B">
      <w:pPr>
        <w:widowControl w:val="0"/>
        <w:spacing w:after="120"/>
        <w:ind w:left="576"/>
      </w:pPr>
      <w:r w:rsidRPr="00867444">
        <w:rPr>
          <w:i/>
        </w:rPr>
        <w:t xml:space="preserve">The deduction for qualified residence interest under § 163(h)(3) </w:t>
      </w:r>
      <w:r w:rsidR="00994812">
        <w:t>…………………...529</w:t>
      </w:r>
    </w:p>
    <w:p w:rsidR="0078310B" w:rsidRPr="00867444" w:rsidRDefault="0078310B" w:rsidP="0078310B">
      <w:pPr>
        <w:widowControl w:val="0"/>
        <w:spacing w:after="120"/>
        <w:ind w:left="576"/>
      </w:pPr>
      <w:r w:rsidRPr="00867444">
        <w:t>Problems ……</w:t>
      </w:r>
      <w:r w:rsidR="00994812">
        <w:t>………………………………………………………………………..531</w:t>
      </w:r>
    </w:p>
    <w:p w:rsidR="0078310B" w:rsidRPr="00867444" w:rsidRDefault="0078310B" w:rsidP="0078310B">
      <w:pPr>
        <w:widowControl w:val="0"/>
        <w:ind w:left="576"/>
        <w:rPr>
          <w:i/>
        </w:rPr>
      </w:pPr>
      <w:r w:rsidRPr="00867444">
        <w:rPr>
          <w:i/>
        </w:rPr>
        <w:t xml:space="preserve">The exclusion of gain on the sale or exchange of a principal residence </w:t>
      </w:r>
    </w:p>
    <w:p w:rsidR="0078310B" w:rsidRPr="00867444" w:rsidRDefault="0078310B" w:rsidP="0078310B">
      <w:pPr>
        <w:widowControl w:val="0"/>
        <w:spacing w:after="120"/>
        <w:ind w:left="576"/>
      </w:pPr>
      <w:r w:rsidRPr="00867444">
        <w:rPr>
          <w:i/>
        </w:rPr>
        <w:t>under § 121</w:t>
      </w:r>
      <w:r w:rsidRPr="00867444">
        <w:t xml:space="preserve"> …</w:t>
      </w:r>
      <w:r w:rsidR="00994812">
        <w:t>………………………………………………………………………..533</w:t>
      </w:r>
    </w:p>
    <w:p w:rsidR="0078310B" w:rsidRPr="00867444" w:rsidRDefault="0078310B" w:rsidP="0078310B">
      <w:pPr>
        <w:widowControl w:val="0"/>
        <w:spacing w:after="120"/>
        <w:ind w:left="576"/>
      </w:pPr>
      <w:r w:rsidRPr="00867444">
        <w:t>Problem …</w:t>
      </w:r>
      <w:r>
        <w:t>…………………………………………………………………………</w:t>
      </w:r>
      <w:r w:rsidR="00994812">
        <w:t>…535</w:t>
      </w:r>
    </w:p>
    <w:p w:rsidR="0078310B" w:rsidRPr="00867444" w:rsidRDefault="0078310B" w:rsidP="0078310B">
      <w:pPr>
        <w:widowControl w:val="0"/>
        <w:spacing w:after="120"/>
        <w:ind w:left="288"/>
      </w:pPr>
      <w:r w:rsidRPr="00867444">
        <w:t>B. Personal casualty and theft losses ……………………………………………</w:t>
      </w:r>
      <w:r w:rsidR="00994812">
        <w:t>………536</w:t>
      </w:r>
    </w:p>
    <w:p w:rsidR="0078310B" w:rsidRPr="00867444" w:rsidRDefault="0078310B" w:rsidP="0078310B">
      <w:pPr>
        <w:widowControl w:val="0"/>
        <w:spacing w:after="120"/>
        <w:ind w:left="576"/>
      </w:pPr>
      <w:r w:rsidRPr="00867444">
        <w:rPr>
          <w:i/>
        </w:rPr>
        <w:t>Determining whether the loss arises from “theft” or “casualty”</w:t>
      </w:r>
      <w:r w:rsidR="00994812">
        <w:t xml:space="preserve"> …………………...536</w:t>
      </w:r>
    </w:p>
    <w:p w:rsidR="0078310B" w:rsidRPr="00867444" w:rsidRDefault="0078310B" w:rsidP="0078310B">
      <w:pPr>
        <w:widowControl w:val="0"/>
        <w:ind w:left="576"/>
      </w:pPr>
      <w:r w:rsidRPr="00867444">
        <w:rPr>
          <w:i/>
        </w:rPr>
        <w:t>Determining the amount and character of a personal casualty or theft loss</w:t>
      </w:r>
      <w:r w:rsidRPr="00867444">
        <w:t xml:space="preserve"> </w:t>
      </w:r>
    </w:p>
    <w:p w:rsidR="0078310B" w:rsidRPr="00867444" w:rsidRDefault="0078310B" w:rsidP="0078310B">
      <w:pPr>
        <w:widowControl w:val="0"/>
        <w:spacing w:after="120"/>
        <w:ind w:left="576"/>
      </w:pPr>
      <w:r w:rsidRPr="00867444">
        <w:rPr>
          <w:i/>
        </w:rPr>
        <w:t>and whether it is an Itemized Deduction or above-the-line deduction ………</w:t>
      </w:r>
      <w:r w:rsidR="00994812">
        <w:t>………..538</w:t>
      </w:r>
    </w:p>
    <w:p w:rsidR="0078310B" w:rsidRPr="00867444" w:rsidRDefault="0078310B" w:rsidP="0078310B">
      <w:pPr>
        <w:widowControl w:val="0"/>
        <w:spacing w:after="120"/>
        <w:ind w:left="576"/>
      </w:pPr>
      <w:r w:rsidRPr="00867444">
        <w:t>Problem ………………………………………</w:t>
      </w:r>
      <w:r w:rsidR="00994812">
        <w:t>………………………………………540</w:t>
      </w:r>
    </w:p>
    <w:p w:rsidR="0078310B" w:rsidRPr="00867444" w:rsidRDefault="0078310B" w:rsidP="0078310B">
      <w:pPr>
        <w:widowControl w:val="0"/>
        <w:spacing w:after="120"/>
        <w:ind w:left="288"/>
      </w:pPr>
      <w:r w:rsidRPr="00867444">
        <w:t>C. Health care ………………………………………………………………………...</w:t>
      </w:r>
      <w:r w:rsidR="00994812">
        <w:t>.....540</w:t>
      </w:r>
    </w:p>
    <w:p w:rsidR="0078310B" w:rsidRPr="00867444" w:rsidRDefault="0078310B" w:rsidP="0078310B">
      <w:pPr>
        <w:widowControl w:val="0"/>
        <w:spacing w:after="120"/>
        <w:ind w:left="576"/>
      </w:pPr>
      <w:r w:rsidRPr="00867444">
        <w:rPr>
          <w:i/>
        </w:rPr>
        <w:t xml:space="preserve">The § 213 deduction for certain medical costs </w:t>
      </w:r>
      <w:r w:rsidRPr="00867444">
        <w:t>……………</w:t>
      </w:r>
      <w:r w:rsidR="00994812">
        <w:t>…………………………542</w:t>
      </w:r>
    </w:p>
    <w:p w:rsidR="0078310B" w:rsidRPr="00867444" w:rsidRDefault="0078310B" w:rsidP="0078310B">
      <w:pPr>
        <w:widowControl w:val="0"/>
        <w:ind w:left="576"/>
        <w:rPr>
          <w:i/>
        </w:rPr>
      </w:pPr>
      <w:r w:rsidRPr="00867444">
        <w:rPr>
          <w:i/>
        </w:rPr>
        <w:t xml:space="preserve">The §§ 105(b) and 106 exclusions for employer-provided health care (and the </w:t>
      </w:r>
    </w:p>
    <w:p w:rsidR="0078310B" w:rsidRPr="00867444" w:rsidRDefault="0078310B" w:rsidP="0078310B">
      <w:pPr>
        <w:widowControl w:val="0"/>
        <w:spacing w:after="120"/>
        <w:ind w:left="576"/>
      </w:pPr>
      <w:r w:rsidRPr="00867444">
        <w:rPr>
          <w:i/>
        </w:rPr>
        <w:t xml:space="preserve">§ 162(l) deduction for the self-employed) </w:t>
      </w:r>
      <w:r w:rsidRPr="00867444">
        <w:t>…………</w:t>
      </w:r>
      <w:r w:rsidR="00994812">
        <w:t>…………………………………543</w:t>
      </w:r>
    </w:p>
    <w:p w:rsidR="0078310B" w:rsidRPr="00867444" w:rsidRDefault="0078310B" w:rsidP="0078310B">
      <w:pPr>
        <w:widowControl w:val="0"/>
        <w:spacing w:after="120"/>
        <w:ind w:left="576"/>
        <w:rPr>
          <w:i/>
        </w:rPr>
      </w:pPr>
      <w:r w:rsidRPr="00867444">
        <w:rPr>
          <w:i/>
        </w:rPr>
        <w:t xml:space="preserve">The consumer-driven, health-care movement: HSAs and high-deductible plans </w:t>
      </w:r>
      <w:r w:rsidR="00994812">
        <w:t>……547</w:t>
      </w:r>
      <w:r w:rsidRPr="00867444">
        <w:rPr>
          <w:i/>
        </w:rPr>
        <w:t xml:space="preserve">  </w:t>
      </w:r>
    </w:p>
    <w:p w:rsidR="0078310B" w:rsidRPr="00867444" w:rsidRDefault="0078310B" w:rsidP="0078310B">
      <w:pPr>
        <w:widowControl w:val="0"/>
        <w:spacing w:after="120"/>
        <w:ind w:left="576"/>
      </w:pPr>
      <w:r w:rsidRPr="00867444">
        <w:rPr>
          <w:i/>
        </w:rPr>
        <w:t>The § 36B premium health care credit</w:t>
      </w:r>
      <w:r>
        <w:t xml:space="preserve"> …………………………</w:t>
      </w:r>
      <w:r w:rsidR="00994812">
        <w:t>……………………548</w:t>
      </w:r>
    </w:p>
    <w:p w:rsidR="0078310B" w:rsidRPr="00867444" w:rsidRDefault="0078310B" w:rsidP="0078310B">
      <w:pPr>
        <w:widowControl w:val="0"/>
        <w:spacing w:after="120"/>
        <w:ind w:left="576"/>
      </w:pPr>
      <w:r w:rsidRPr="00867444">
        <w:t>Problems …………………………………………………………</w:t>
      </w:r>
      <w:r w:rsidR="00994812">
        <w:t>…………………..549</w:t>
      </w:r>
    </w:p>
    <w:p w:rsidR="0078310B" w:rsidRPr="00867444" w:rsidRDefault="0078310B" w:rsidP="0078310B">
      <w:pPr>
        <w:widowControl w:val="0"/>
        <w:spacing w:after="120"/>
        <w:ind w:left="288"/>
      </w:pPr>
      <w:r w:rsidRPr="00867444">
        <w:rPr>
          <w:rFonts w:eastAsia="Times New Roman" w:cs="Times New Roman"/>
        </w:rPr>
        <w:t xml:space="preserve">D. Charitable contributions </w:t>
      </w:r>
      <w:r w:rsidRPr="00867444">
        <w:t>………….......................................................................</w:t>
      </w:r>
      <w:r w:rsidR="00994812">
        <w:t>........549</w:t>
      </w:r>
    </w:p>
    <w:p w:rsidR="0078310B" w:rsidRPr="00867444" w:rsidRDefault="0078310B" w:rsidP="0078310B">
      <w:pPr>
        <w:widowControl w:val="0"/>
        <w:spacing w:after="120"/>
        <w:ind w:left="576"/>
      </w:pPr>
      <w:r w:rsidRPr="00867444">
        <w:rPr>
          <w:rFonts w:eastAsia="Times New Roman" w:cs="Times New Roman"/>
          <w:i/>
        </w:rPr>
        <w:t xml:space="preserve">Tax-exempt organizations </w:t>
      </w:r>
      <w:r w:rsidR="00994812">
        <w:t>……………………………………………………………550</w:t>
      </w:r>
    </w:p>
    <w:p w:rsidR="0078310B" w:rsidRPr="00867444" w:rsidRDefault="0078310B" w:rsidP="0078310B">
      <w:pPr>
        <w:widowControl w:val="0"/>
        <w:spacing w:after="120"/>
        <w:ind w:left="576"/>
      </w:pPr>
      <w:r w:rsidRPr="00867444">
        <w:rPr>
          <w:i/>
        </w:rPr>
        <w:t>Who benefits from the § 170 deduction and where do our charitable dollars go?</w:t>
      </w:r>
      <w:r w:rsidR="00994812">
        <w:t xml:space="preserve"> ….551</w:t>
      </w:r>
    </w:p>
    <w:p w:rsidR="0078310B" w:rsidRPr="00867444" w:rsidRDefault="0078310B" w:rsidP="0078310B">
      <w:pPr>
        <w:widowControl w:val="0"/>
        <w:spacing w:after="120"/>
        <w:ind w:left="576"/>
      </w:pPr>
      <w:r w:rsidRPr="00867444">
        <w:rPr>
          <w:i/>
        </w:rPr>
        <w:t>What is a “contribution or gift” within the meaning of § 170(c)</w:t>
      </w:r>
      <w:r w:rsidR="0025132F">
        <w:t xml:space="preserve"> ……………………553</w:t>
      </w:r>
    </w:p>
    <w:p w:rsidR="0078310B" w:rsidRPr="00867444" w:rsidRDefault="0078310B" w:rsidP="0078310B">
      <w:pPr>
        <w:widowControl w:val="0"/>
        <w:spacing w:after="120"/>
        <w:ind w:left="576"/>
      </w:pPr>
      <w:r w:rsidRPr="00867444">
        <w:t xml:space="preserve">HERNANDEZ v. COMMISSIONER </w:t>
      </w:r>
      <w:r w:rsidR="0025132F">
        <w:t>……………………………………………….555</w:t>
      </w:r>
    </w:p>
    <w:p w:rsidR="0078310B" w:rsidRPr="00867444" w:rsidRDefault="0078310B" w:rsidP="0078310B">
      <w:pPr>
        <w:widowControl w:val="0"/>
        <w:spacing w:after="120"/>
        <w:ind w:left="576"/>
      </w:pPr>
      <w:r w:rsidRPr="00867444">
        <w:t>SKLAR v. COMMIS</w:t>
      </w:r>
      <w:r w:rsidR="0025132F">
        <w:t>SIONER ……………………………………………………….567</w:t>
      </w:r>
    </w:p>
    <w:p w:rsidR="0078310B" w:rsidRPr="00867444" w:rsidRDefault="0078310B" w:rsidP="0078310B">
      <w:pPr>
        <w:widowControl w:val="0"/>
        <w:spacing w:after="120"/>
        <w:ind w:left="576"/>
      </w:pPr>
      <w:r w:rsidRPr="00867444">
        <w:rPr>
          <w:i/>
        </w:rPr>
        <w:t xml:space="preserve">Determining the deductible amount when property is contributed in kind </w:t>
      </w:r>
      <w:r w:rsidR="0025132F">
        <w:t>………….570</w:t>
      </w:r>
    </w:p>
    <w:p w:rsidR="0078310B" w:rsidRPr="00867444" w:rsidRDefault="0078310B" w:rsidP="0078310B">
      <w:pPr>
        <w:widowControl w:val="0"/>
        <w:spacing w:after="120"/>
        <w:ind w:left="576"/>
      </w:pPr>
      <w:r w:rsidRPr="00867444">
        <w:rPr>
          <w:i/>
        </w:rPr>
        <w:t xml:space="preserve">Contributions of services in kind </w:t>
      </w:r>
      <w:r w:rsidR="0025132F">
        <w:t>………………………………………………….....575</w:t>
      </w:r>
    </w:p>
    <w:p w:rsidR="0078310B" w:rsidRPr="00867444" w:rsidRDefault="0078310B" w:rsidP="0078310B">
      <w:pPr>
        <w:widowControl w:val="0"/>
        <w:spacing w:after="120"/>
        <w:ind w:left="576"/>
      </w:pPr>
      <w:r w:rsidRPr="00867444">
        <w:rPr>
          <w:i/>
        </w:rPr>
        <w:t xml:space="preserve">Substantiation requirements </w:t>
      </w:r>
      <w:r w:rsidR="0025132F">
        <w:t>…………………………………………………………575</w:t>
      </w:r>
    </w:p>
    <w:p w:rsidR="0078310B" w:rsidRPr="00867444" w:rsidRDefault="0078310B" w:rsidP="0078310B">
      <w:pPr>
        <w:widowControl w:val="0"/>
        <w:spacing w:after="120"/>
        <w:ind w:left="576"/>
      </w:pPr>
      <w:r w:rsidRPr="00867444">
        <w:rPr>
          <w:i/>
        </w:rPr>
        <w:t xml:space="preserve">AGI percentage contribution limits </w:t>
      </w:r>
      <w:r w:rsidR="0025132F">
        <w:t>………………………………………………….575</w:t>
      </w:r>
    </w:p>
    <w:p w:rsidR="0078310B" w:rsidRPr="00867444" w:rsidRDefault="0078310B" w:rsidP="0078310B">
      <w:pPr>
        <w:widowControl w:val="0"/>
        <w:spacing w:after="120"/>
        <w:ind w:left="576"/>
      </w:pPr>
      <w:r w:rsidRPr="00867444">
        <w:t>Problems ……</w:t>
      </w:r>
      <w:r>
        <w:t>……………………………………………</w:t>
      </w:r>
      <w:r w:rsidR="0025132F">
        <w:t>…………………………..576</w:t>
      </w:r>
    </w:p>
    <w:p w:rsidR="0078310B" w:rsidRPr="00867444" w:rsidRDefault="0078310B" w:rsidP="0078310B">
      <w:pPr>
        <w:widowControl w:val="0"/>
        <w:spacing w:after="120"/>
        <w:ind w:left="288"/>
      </w:pPr>
      <w:r w:rsidRPr="00867444">
        <w:t>E. State and local taxes ……………………………………………………………...</w:t>
      </w:r>
      <w:r w:rsidR="0025132F">
        <w:t>......578</w:t>
      </w:r>
    </w:p>
    <w:p w:rsidR="0078310B" w:rsidRPr="00867444" w:rsidRDefault="0078310B" w:rsidP="0078310B">
      <w:pPr>
        <w:widowControl w:val="0"/>
        <w:spacing w:after="120"/>
        <w:ind w:left="288"/>
      </w:pPr>
      <w:r w:rsidRPr="00867444">
        <w:t>F. Expenses for the determination, collection, or refund of any tax ………...</w:t>
      </w:r>
      <w:r w:rsidR="0025132F">
        <w:t>..................579</w:t>
      </w:r>
    </w:p>
    <w:p w:rsidR="0078310B" w:rsidRPr="00867444" w:rsidRDefault="0078310B" w:rsidP="0078310B">
      <w:pPr>
        <w:widowControl w:val="0"/>
        <w:spacing w:after="120"/>
      </w:pPr>
      <w:r w:rsidRPr="00623089">
        <w:rPr>
          <w:b/>
          <w:sz w:val="28"/>
          <w:szCs w:val="28"/>
        </w:rPr>
        <w:t>Chapter 19: Gambling and Hobby Losses</w:t>
      </w:r>
      <w:r w:rsidRPr="00867444">
        <w:t>………………………………</w:t>
      </w:r>
      <w:r w:rsidR="0025132F">
        <w:t>………..580</w:t>
      </w:r>
    </w:p>
    <w:p w:rsidR="0078310B" w:rsidRPr="00867444" w:rsidRDefault="0078310B" w:rsidP="0078310B">
      <w:pPr>
        <w:widowControl w:val="0"/>
        <w:spacing w:after="120"/>
        <w:ind w:left="288"/>
      </w:pPr>
      <w:r w:rsidRPr="00867444">
        <w:t>A. Gambling losses: § 165(d) ……………………………………………………...</w:t>
      </w:r>
      <w:r w:rsidR="0025132F">
        <w:t>.........580</w:t>
      </w:r>
    </w:p>
    <w:p w:rsidR="0078310B" w:rsidRPr="00867444" w:rsidRDefault="0078310B" w:rsidP="0078310B">
      <w:pPr>
        <w:widowControl w:val="0"/>
        <w:spacing w:after="120"/>
        <w:ind w:left="576"/>
      </w:pPr>
      <w:r w:rsidRPr="00867444">
        <w:t>GENERAL LEGAL ADVICE</w:t>
      </w:r>
      <w:r>
        <w:t xml:space="preserve"> M</w:t>
      </w:r>
      <w:r w:rsidR="0025132F">
        <w:t>EMORANDA 2008-011 ………………………….582</w:t>
      </w:r>
    </w:p>
    <w:p w:rsidR="0078310B" w:rsidRPr="00867444" w:rsidRDefault="0078310B" w:rsidP="0078310B">
      <w:pPr>
        <w:widowControl w:val="0"/>
        <w:spacing w:after="120"/>
        <w:ind w:left="576"/>
      </w:pPr>
      <w:r w:rsidRPr="00867444">
        <w:t>Problem …</w:t>
      </w:r>
      <w:r w:rsidR="0025132F">
        <w:t>……………………………………………………………………………585</w:t>
      </w:r>
    </w:p>
    <w:p w:rsidR="0078310B" w:rsidRPr="00867444" w:rsidRDefault="0078310B" w:rsidP="0078310B">
      <w:pPr>
        <w:widowControl w:val="0"/>
        <w:spacing w:after="120"/>
        <w:ind w:left="288"/>
      </w:pPr>
      <w:r w:rsidRPr="00867444">
        <w:t>B. Hobby losses: § 183 ……………………………………………………………...</w:t>
      </w:r>
      <w:r w:rsidR="0025132F">
        <w:t>......585</w:t>
      </w:r>
    </w:p>
    <w:p w:rsidR="0078310B" w:rsidRPr="00867444" w:rsidRDefault="0078310B" w:rsidP="0078310B">
      <w:pPr>
        <w:widowControl w:val="0"/>
        <w:spacing w:after="120"/>
        <w:ind w:left="576"/>
      </w:pPr>
      <w:r w:rsidRPr="00867444">
        <w:rPr>
          <w:i/>
        </w:rPr>
        <w:t xml:space="preserve">Establishing a profit motive </w:t>
      </w:r>
      <w:r w:rsidRPr="00867444">
        <w:t>............................................................</w:t>
      </w:r>
      <w:r w:rsidR="0025132F">
        <w:t>.............................588</w:t>
      </w:r>
    </w:p>
    <w:p w:rsidR="0078310B" w:rsidRPr="00867444" w:rsidRDefault="0078310B" w:rsidP="0078310B">
      <w:pPr>
        <w:widowControl w:val="0"/>
        <w:spacing w:after="120"/>
        <w:ind w:left="576"/>
      </w:pPr>
      <w:r w:rsidRPr="00867444">
        <w:t>ZARINS v. COMMISSIONER ………………………………</w:t>
      </w:r>
      <w:r w:rsidR="0025132F">
        <w:t>……………………... 589</w:t>
      </w:r>
    </w:p>
    <w:p w:rsidR="0078310B" w:rsidRPr="00867444" w:rsidRDefault="0078310B" w:rsidP="0078310B">
      <w:pPr>
        <w:widowControl w:val="0"/>
        <w:spacing w:after="120"/>
        <w:ind w:left="576"/>
      </w:pPr>
      <w:r w:rsidRPr="00867444">
        <w:rPr>
          <w:i/>
        </w:rPr>
        <w:t xml:space="preserve">The § 183(d) presumption and § 183(e) election </w:t>
      </w:r>
      <w:r w:rsidR="0025132F">
        <w:t>…………………………………….594</w:t>
      </w:r>
    </w:p>
    <w:p w:rsidR="0078310B" w:rsidRPr="00867444" w:rsidRDefault="0078310B" w:rsidP="0078310B">
      <w:pPr>
        <w:widowControl w:val="0"/>
        <w:spacing w:after="120"/>
        <w:ind w:left="576"/>
      </w:pPr>
      <w:r w:rsidRPr="00867444">
        <w:rPr>
          <w:i/>
        </w:rPr>
        <w:t xml:space="preserve">Defining the scope of “the activity” </w:t>
      </w:r>
      <w:r w:rsidR="0025132F">
        <w:t>……………………………………………….....595</w:t>
      </w:r>
    </w:p>
    <w:p w:rsidR="0078310B" w:rsidRPr="00867444" w:rsidRDefault="0078310B" w:rsidP="0078310B">
      <w:pPr>
        <w:widowControl w:val="0"/>
        <w:spacing w:after="120"/>
        <w:ind w:left="576"/>
      </w:pPr>
      <w:r w:rsidRPr="00867444">
        <w:t>TOPPING v. COMMI</w:t>
      </w:r>
      <w:r>
        <w:t>SSIONER …………………………………………………….</w:t>
      </w:r>
      <w:r w:rsidR="0025132F">
        <w:t>596</w:t>
      </w:r>
    </w:p>
    <w:p w:rsidR="0078310B" w:rsidRPr="00867444" w:rsidRDefault="0078310B" w:rsidP="0078310B">
      <w:pPr>
        <w:widowControl w:val="0"/>
        <w:spacing w:after="120"/>
        <w:ind w:left="576"/>
      </w:pPr>
      <w:r w:rsidRPr="00867444">
        <w:t>Hobby or Business: Brothel-Hopping Scrutinized by the IRS by R</w:t>
      </w:r>
      <w:r w:rsidR="0025132F">
        <w:t>obert W. Wood ...603</w:t>
      </w:r>
    </w:p>
    <w:p w:rsidR="0078310B" w:rsidRPr="00867444" w:rsidRDefault="0078310B" w:rsidP="0078310B">
      <w:pPr>
        <w:widowControl w:val="0"/>
        <w:spacing w:after="120"/>
        <w:ind w:left="576"/>
      </w:pPr>
      <w:r w:rsidRPr="00867444">
        <w:t>Problems ………………………………………</w:t>
      </w:r>
      <w:r w:rsidR="0025132F">
        <w:t>……………………………………...604</w:t>
      </w:r>
    </w:p>
    <w:p w:rsidR="0078310B" w:rsidRPr="00867444" w:rsidRDefault="0078310B" w:rsidP="0078310B">
      <w:pPr>
        <w:widowControl w:val="0"/>
        <w:spacing w:after="120"/>
      </w:pPr>
      <w:r w:rsidRPr="00623089">
        <w:rPr>
          <w:b/>
          <w:sz w:val="28"/>
          <w:szCs w:val="28"/>
        </w:rPr>
        <w:t>Chapter 20: Allocating Costs Between Income Production and Personal Consumption</w:t>
      </w:r>
      <w:r w:rsidRPr="00867444">
        <w:t xml:space="preserve"> …………………………………………………………...</w:t>
      </w:r>
      <w:r w:rsidR="007A364B">
        <w:t>.........................606</w:t>
      </w:r>
    </w:p>
    <w:p w:rsidR="0078310B" w:rsidRPr="00867444" w:rsidRDefault="0078310B" w:rsidP="0078310B">
      <w:pPr>
        <w:widowControl w:val="0"/>
        <w:spacing w:after="120"/>
        <w:ind w:left="288"/>
      </w:pPr>
      <w:r w:rsidRPr="00867444">
        <w:t>A. The meaning of “ordinary” and “necessary” ………………………………...</w:t>
      </w:r>
      <w:r w:rsidR="007A364B">
        <w:t>............606</w:t>
      </w:r>
    </w:p>
    <w:p w:rsidR="0078310B" w:rsidRPr="00867444" w:rsidRDefault="0078310B" w:rsidP="0078310B">
      <w:pPr>
        <w:widowControl w:val="0"/>
        <w:spacing w:after="120"/>
        <w:ind w:left="576"/>
      </w:pPr>
      <w:r w:rsidRPr="00867444">
        <w:rPr>
          <w:i/>
        </w:rPr>
        <w:t xml:space="preserve">Lobbying costs as business expenses </w:t>
      </w:r>
      <w:r w:rsidR="007A364B">
        <w:t>………………………………………………...610</w:t>
      </w:r>
    </w:p>
    <w:p w:rsidR="0078310B" w:rsidRPr="00867444" w:rsidRDefault="0078310B" w:rsidP="0078310B">
      <w:pPr>
        <w:widowControl w:val="0"/>
        <w:spacing w:after="120"/>
        <w:ind w:left="576"/>
      </w:pPr>
      <w:r w:rsidRPr="00867444">
        <w:t>GEARY v. COMMI</w:t>
      </w:r>
      <w:r w:rsidR="007A364B">
        <w:t>SSIONER ………………………………………………………611</w:t>
      </w:r>
    </w:p>
    <w:p w:rsidR="0078310B" w:rsidRPr="00867444" w:rsidRDefault="0078310B" w:rsidP="0078310B">
      <w:pPr>
        <w:widowControl w:val="0"/>
        <w:ind w:left="576"/>
        <w:rPr>
          <w:i/>
        </w:rPr>
      </w:pPr>
      <w:r w:rsidRPr="00867444">
        <w:rPr>
          <w:i/>
        </w:rPr>
        <w:t xml:space="preserve">Bribes and kickbacks, fines and penalties, treble damages under the antitrust </w:t>
      </w:r>
    </w:p>
    <w:p w:rsidR="0078310B" w:rsidRPr="00867444" w:rsidRDefault="0078310B" w:rsidP="0078310B">
      <w:pPr>
        <w:widowControl w:val="0"/>
        <w:spacing w:after="120"/>
        <w:ind w:left="576"/>
      </w:pPr>
      <w:r w:rsidRPr="00867444">
        <w:rPr>
          <w:i/>
        </w:rPr>
        <w:t xml:space="preserve">laws, and the end of the common law public policy exception (or is it?) </w:t>
      </w:r>
      <w:r w:rsidR="007A364B">
        <w:t>……………614</w:t>
      </w:r>
    </w:p>
    <w:p w:rsidR="0078310B" w:rsidRPr="00867444" w:rsidRDefault="0078310B" w:rsidP="0078310B">
      <w:pPr>
        <w:widowControl w:val="0"/>
        <w:spacing w:after="120"/>
        <w:ind w:left="576"/>
      </w:pPr>
      <w:r w:rsidRPr="00867444">
        <w:rPr>
          <w:i/>
        </w:rPr>
        <w:t xml:space="preserve">Excess compensation </w:t>
      </w:r>
      <w:r w:rsidR="007A364B">
        <w:t>………………………………………………………………...617</w:t>
      </w:r>
    </w:p>
    <w:p w:rsidR="0078310B" w:rsidRPr="00867444" w:rsidRDefault="0078310B" w:rsidP="0078310B">
      <w:pPr>
        <w:widowControl w:val="0"/>
        <w:spacing w:after="120"/>
        <w:ind w:left="288"/>
      </w:pPr>
      <w:r w:rsidRPr="00867444">
        <w:t>B. The origin-of-the-claim test …………………………………………………....</w:t>
      </w:r>
      <w:r w:rsidR="007A364B">
        <w:t>.........619</w:t>
      </w:r>
    </w:p>
    <w:p w:rsidR="0078310B" w:rsidRPr="00867444" w:rsidRDefault="0078310B" w:rsidP="0078310B">
      <w:pPr>
        <w:widowControl w:val="0"/>
        <w:spacing w:after="120"/>
        <w:ind w:left="576"/>
      </w:pPr>
      <w:r w:rsidRPr="00867444">
        <w:t>UNITED STATES v.</w:t>
      </w:r>
      <w:r w:rsidR="007A364B">
        <w:t xml:space="preserve"> GILMORE ……………………………………………………619</w:t>
      </w:r>
    </w:p>
    <w:p w:rsidR="0078310B" w:rsidRPr="00867444" w:rsidRDefault="0078310B" w:rsidP="0078310B">
      <w:pPr>
        <w:widowControl w:val="0"/>
        <w:spacing w:after="120"/>
        <w:ind w:left="576"/>
      </w:pPr>
      <w:r w:rsidRPr="00867444">
        <w:rPr>
          <w:i/>
        </w:rPr>
        <w:t xml:space="preserve">Gilmore II </w:t>
      </w:r>
      <w:r w:rsidRPr="00867444">
        <w:t>…</w:t>
      </w:r>
      <w:r w:rsidR="007A364B">
        <w:t>………………………………………………………………………….624</w:t>
      </w:r>
    </w:p>
    <w:p w:rsidR="0078310B" w:rsidRPr="00867444" w:rsidRDefault="0078310B" w:rsidP="0078310B">
      <w:pPr>
        <w:widowControl w:val="0"/>
        <w:spacing w:after="120"/>
        <w:ind w:left="576"/>
      </w:pPr>
      <w:r w:rsidRPr="00867444">
        <w:rPr>
          <w:i/>
        </w:rPr>
        <w:t>How far back do we go in looking for the “origin” of a cost?</w:t>
      </w:r>
      <w:r w:rsidR="007A364B">
        <w:t xml:space="preserve"> ………………………625</w:t>
      </w:r>
    </w:p>
    <w:p w:rsidR="0078310B" w:rsidRPr="00867444" w:rsidRDefault="0078310B" w:rsidP="0078310B">
      <w:pPr>
        <w:widowControl w:val="0"/>
        <w:ind w:left="576"/>
        <w:rPr>
          <w:i/>
        </w:rPr>
      </w:pPr>
      <w:r w:rsidRPr="00867444">
        <w:rPr>
          <w:i/>
        </w:rPr>
        <w:t xml:space="preserve">The origin of commuting, clothing, and meal costs unconnected to travel </w:t>
      </w:r>
    </w:p>
    <w:p w:rsidR="0078310B" w:rsidRPr="00867444" w:rsidRDefault="0078310B" w:rsidP="0078310B">
      <w:pPr>
        <w:widowControl w:val="0"/>
        <w:spacing w:after="120"/>
        <w:ind w:left="576"/>
      </w:pPr>
      <w:r w:rsidRPr="00867444">
        <w:rPr>
          <w:i/>
        </w:rPr>
        <w:t xml:space="preserve">or entertainment </w:t>
      </w:r>
      <w:r w:rsidR="007A364B">
        <w:t>……………………………………………………………………...626</w:t>
      </w:r>
    </w:p>
    <w:p w:rsidR="0078310B" w:rsidRPr="00867444" w:rsidRDefault="0078310B" w:rsidP="0078310B">
      <w:pPr>
        <w:widowControl w:val="0"/>
        <w:spacing w:after="120"/>
        <w:ind w:left="576"/>
      </w:pPr>
      <w:r w:rsidRPr="00867444">
        <w:t>PEVSNER v. COMM</w:t>
      </w:r>
      <w:r w:rsidR="007A364B">
        <w:t>ISSIONER ……………………………………………………626</w:t>
      </w:r>
    </w:p>
    <w:p w:rsidR="0078310B" w:rsidRPr="00867444" w:rsidRDefault="0078310B" w:rsidP="0078310B">
      <w:pPr>
        <w:widowControl w:val="0"/>
        <w:spacing w:after="120"/>
        <w:ind w:left="576"/>
      </w:pPr>
      <w:r w:rsidRPr="00867444">
        <w:t>MOSS v. COMMISSI</w:t>
      </w:r>
      <w:r w:rsidR="007A364B">
        <w:t>ONER ………………………………………………………...629</w:t>
      </w:r>
    </w:p>
    <w:p w:rsidR="0078310B" w:rsidRPr="00867444" w:rsidRDefault="0078310B" w:rsidP="0078310B">
      <w:pPr>
        <w:widowControl w:val="0"/>
        <w:spacing w:after="120"/>
        <w:ind w:left="576"/>
      </w:pPr>
      <w:r w:rsidRPr="00867444">
        <w:t>Problems ………………</w:t>
      </w:r>
      <w:r w:rsidR="007A364B">
        <w:t>……………………………………………………………...635</w:t>
      </w:r>
    </w:p>
    <w:p w:rsidR="0078310B" w:rsidRPr="00867444" w:rsidRDefault="0078310B" w:rsidP="0078310B">
      <w:pPr>
        <w:widowControl w:val="0"/>
        <w:spacing w:after="120"/>
        <w:ind w:left="288"/>
      </w:pPr>
      <w:r w:rsidRPr="00867444">
        <w:t>C. Travel and entertainment costs ………………………………………………....</w:t>
      </w:r>
      <w:r>
        <w:t>........</w:t>
      </w:r>
      <w:r w:rsidR="007A364B">
        <w:t>.636</w:t>
      </w:r>
    </w:p>
    <w:p w:rsidR="0078310B" w:rsidRPr="00867444" w:rsidRDefault="0078310B" w:rsidP="0078310B">
      <w:pPr>
        <w:widowControl w:val="0"/>
        <w:spacing w:after="120"/>
        <w:ind w:left="576"/>
      </w:pPr>
      <w:r w:rsidRPr="00867444">
        <w:rPr>
          <w:i/>
        </w:rPr>
        <w:t xml:space="preserve">“Away from home in pursuit of a trade or business” </w:t>
      </w:r>
      <w:r w:rsidR="007A364B">
        <w:t>………………………………..636</w:t>
      </w:r>
    </w:p>
    <w:p w:rsidR="0078310B" w:rsidRPr="00867444" w:rsidRDefault="0078310B" w:rsidP="0078310B">
      <w:pPr>
        <w:widowControl w:val="0"/>
        <w:spacing w:after="120"/>
        <w:ind w:left="576"/>
      </w:pPr>
      <w:r w:rsidRPr="00867444">
        <w:t>COMMISSIONER v. F</w:t>
      </w:r>
      <w:r w:rsidR="007A364B">
        <w:t>LOWERS …………………………………………………...638</w:t>
      </w:r>
    </w:p>
    <w:p w:rsidR="0078310B" w:rsidRPr="00867444" w:rsidRDefault="0078310B" w:rsidP="0078310B">
      <w:pPr>
        <w:widowControl w:val="0"/>
        <w:spacing w:after="120"/>
        <w:ind w:left="576"/>
      </w:pPr>
      <w:r w:rsidRPr="00867444">
        <w:t>REVENUE RULING 93-86 ……………</w:t>
      </w:r>
      <w:r w:rsidR="007A364B">
        <w:t>……………………………………………641</w:t>
      </w:r>
    </w:p>
    <w:p w:rsidR="0078310B" w:rsidRPr="00867444" w:rsidRDefault="0078310B" w:rsidP="0078310B">
      <w:pPr>
        <w:widowControl w:val="0"/>
        <w:spacing w:after="120"/>
        <w:ind w:left="576"/>
      </w:pPr>
      <w:r w:rsidRPr="00867444">
        <w:t>HENDERSON v. COMM</w:t>
      </w:r>
      <w:r w:rsidR="007A364B">
        <w:t>ISSIONER ………………………………………………..644</w:t>
      </w:r>
    </w:p>
    <w:p w:rsidR="0078310B" w:rsidRPr="00867444" w:rsidRDefault="0078310B" w:rsidP="0078310B">
      <w:pPr>
        <w:widowControl w:val="0"/>
        <w:spacing w:after="120"/>
        <w:ind w:left="576"/>
      </w:pPr>
      <w:r w:rsidRPr="00867444">
        <w:rPr>
          <w:i/>
        </w:rPr>
        <w:t>Mixed trips</w:t>
      </w:r>
      <w:r w:rsidRPr="00867444">
        <w:t xml:space="preserve"> ……</w:t>
      </w:r>
      <w:r>
        <w:t>………………………………………………………</w:t>
      </w:r>
      <w:r w:rsidR="007A364B">
        <w:t>……………...649</w:t>
      </w:r>
    </w:p>
    <w:p w:rsidR="0078310B" w:rsidRPr="00867444" w:rsidRDefault="0078310B" w:rsidP="0078310B">
      <w:pPr>
        <w:widowControl w:val="0"/>
        <w:spacing w:after="120"/>
        <w:ind w:left="576"/>
      </w:pPr>
      <w:r w:rsidRPr="00867444">
        <w:rPr>
          <w:i/>
        </w:rPr>
        <w:t>§ 274: entertainment</w:t>
      </w:r>
      <w:r w:rsidRPr="00867444">
        <w:t xml:space="preserve"> </w:t>
      </w:r>
      <w:r w:rsidR="007A364B">
        <w:t>…………………………………………………………………650</w:t>
      </w:r>
    </w:p>
    <w:p w:rsidR="0078310B" w:rsidRPr="00867444" w:rsidRDefault="0078310B" w:rsidP="0078310B">
      <w:pPr>
        <w:widowControl w:val="0"/>
        <w:spacing w:after="120"/>
        <w:ind w:left="576"/>
      </w:pPr>
      <w:r w:rsidRPr="00867444">
        <w:rPr>
          <w:i/>
        </w:rPr>
        <w:t>§ 274: business meals</w:t>
      </w:r>
      <w:r w:rsidRPr="00867444">
        <w:t xml:space="preserve"> </w:t>
      </w:r>
      <w:r w:rsidR="007A364B">
        <w:t>………………………………………………………………..653</w:t>
      </w:r>
    </w:p>
    <w:p w:rsidR="0078310B" w:rsidRPr="00867444" w:rsidRDefault="0078310B" w:rsidP="0078310B">
      <w:pPr>
        <w:widowControl w:val="0"/>
        <w:spacing w:after="120"/>
        <w:ind w:left="576"/>
      </w:pPr>
      <w:r w:rsidRPr="00867444">
        <w:rPr>
          <w:i/>
        </w:rPr>
        <w:t>Substantiation of costs</w:t>
      </w:r>
      <w:r w:rsidRPr="00867444">
        <w:t xml:space="preserve"> ………………………………</w:t>
      </w:r>
      <w:r w:rsidR="007A364B">
        <w:t>……………………………….653</w:t>
      </w:r>
    </w:p>
    <w:p w:rsidR="0078310B" w:rsidRPr="00867444" w:rsidRDefault="0078310B" w:rsidP="0078310B">
      <w:pPr>
        <w:widowControl w:val="0"/>
        <w:spacing w:after="120"/>
        <w:ind w:left="576"/>
      </w:pPr>
      <w:r w:rsidRPr="00867444">
        <w:t>Problems ……</w:t>
      </w:r>
      <w:r w:rsidR="007A364B">
        <w:t>………………………………………………………………………..654</w:t>
      </w:r>
    </w:p>
    <w:p w:rsidR="0078310B" w:rsidRPr="00867444" w:rsidRDefault="0078310B" w:rsidP="0078310B">
      <w:pPr>
        <w:widowControl w:val="0"/>
        <w:spacing w:after="120"/>
        <w:ind w:left="288"/>
      </w:pPr>
      <w:r w:rsidRPr="00867444">
        <w:t>D. Use of a personal residence for income production ………………………</w:t>
      </w:r>
      <w:r w:rsidR="007A364B">
        <w:t>………….655</w:t>
      </w:r>
    </w:p>
    <w:p w:rsidR="0078310B" w:rsidRPr="00867444" w:rsidRDefault="0078310B" w:rsidP="0078310B">
      <w:pPr>
        <w:widowControl w:val="0"/>
        <w:spacing w:after="120"/>
        <w:ind w:left="576"/>
      </w:pPr>
      <w:r w:rsidRPr="00867444">
        <w:rPr>
          <w:i/>
        </w:rPr>
        <w:t xml:space="preserve">Converting a former personal residence wholly to income production </w:t>
      </w:r>
      <w:r w:rsidR="007A364B">
        <w:t>……………..655</w:t>
      </w:r>
    </w:p>
    <w:p w:rsidR="0078310B" w:rsidRPr="00867444" w:rsidRDefault="0078310B" w:rsidP="0078310B">
      <w:pPr>
        <w:widowControl w:val="0"/>
        <w:spacing w:after="120"/>
        <w:ind w:left="576"/>
      </w:pPr>
      <w:r w:rsidRPr="00867444">
        <w:rPr>
          <w:i/>
        </w:rPr>
        <w:t xml:space="preserve">The so-called home office deduction </w:t>
      </w:r>
      <w:r w:rsidRPr="00867444">
        <w:t>…………………………</w:t>
      </w:r>
      <w:r w:rsidR="007A364B">
        <w:t>……………………....656</w:t>
      </w:r>
    </w:p>
    <w:p w:rsidR="0078310B" w:rsidRPr="00867444" w:rsidRDefault="0078310B" w:rsidP="0078310B">
      <w:pPr>
        <w:widowControl w:val="0"/>
        <w:spacing w:after="120"/>
        <w:ind w:left="576"/>
      </w:pPr>
      <w:r w:rsidRPr="00867444">
        <w:t>RAYDEN v. COMMI</w:t>
      </w:r>
      <w:r w:rsidR="007A364B">
        <w:t>SSIONER …………………………………………………….658</w:t>
      </w:r>
    </w:p>
    <w:p w:rsidR="0078310B" w:rsidRPr="00867444" w:rsidRDefault="0078310B" w:rsidP="0078310B">
      <w:pPr>
        <w:widowControl w:val="0"/>
        <w:spacing w:after="120"/>
        <w:ind w:left="288"/>
      </w:pPr>
      <w:r w:rsidRPr="00867444">
        <w:t>E. Distinguishing between “business” and “investment” ……………………</w:t>
      </w:r>
      <w:r w:rsidR="007A364B">
        <w:t>………….667</w:t>
      </w:r>
    </w:p>
    <w:p w:rsidR="0078310B" w:rsidRPr="00867444" w:rsidRDefault="0078310B" w:rsidP="0078310B">
      <w:pPr>
        <w:widowControl w:val="0"/>
        <w:spacing w:after="120"/>
        <w:ind w:left="576"/>
      </w:pPr>
      <w:r w:rsidRPr="00867444">
        <w:t>UNITED STATES v.</w:t>
      </w:r>
      <w:r w:rsidR="007A364B">
        <w:t xml:space="preserve"> GENERES ……………………………………………………668</w:t>
      </w:r>
    </w:p>
    <w:p w:rsidR="0078310B" w:rsidRPr="000A5F08" w:rsidRDefault="0078310B" w:rsidP="0078310B">
      <w:pPr>
        <w:widowControl w:val="0"/>
        <w:spacing w:after="120"/>
        <w:jc w:val="center"/>
        <w:rPr>
          <w:sz w:val="28"/>
          <w:szCs w:val="28"/>
        </w:rPr>
      </w:pPr>
      <w:r w:rsidRPr="000A5F08">
        <w:rPr>
          <w:b/>
          <w:sz w:val="28"/>
          <w:szCs w:val="28"/>
        </w:rPr>
        <w:t>Unit VII: The Taxable Year and Methods of Accounting</w:t>
      </w:r>
    </w:p>
    <w:p w:rsidR="0078310B" w:rsidRPr="00867444" w:rsidRDefault="0078310B" w:rsidP="0078310B">
      <w:pPr>
        <w:widowControl w:val="0"/>
        <w:spacing w:after="120"/>
      </w:pPr>
      <w:r w:rsidRPr="00867444">
        <w:t>Introduction to Chapters 21 and 22 ………………………………………………......</w:t>
      </w:r>
      <w:r w:rsidR="007A364B">
        <w:t>.........676</w:t>
      </w:r>
    </w:p>
    <w:p w:rsidR="0078310B" w:rsidRPr="00867444" w:rsidRDefault="0078310B" w:rsidP="0078310B">
      <w:pPr>
        <w:widowControl w:val="0"/>
        <w:spacing w:after="120"/>
      </w:pPr>
      <w:r w:rsidRPr="000A5F08">
        <w:rPr>
          <w:b/>
          <w:sz w:val="28"/>
          <w:szCs w:val="28"/>
        </w:rPr>
        <w:t>Chapter 21: The Taxable Year</w:t>
      </w:r>
      <w:r w:rsidRPr="00867444">
        <w:t xml:space="preserve"> ………………………………………………</w:t>
      </w:r>
      <w:r w:rsidR="007A364B">
        <w:t>…......677</w:t>
      </w:r>
    </w:p>
    <w:p w:rsidR="0078310B" w:rsidRPr="00867444" w:rsidRDefault="0078310B" w:rsidP="0078310B">
      <w:pPr>
        <w:widowControl w:val="0"/>
        <w:spacing w:after="120"/>
        <w:ind w:left="288"/>
      </w:pPr>
      <w:r w:rsidRPr="00867444">
        <w:t>A. The annual accounting principle in general …………………………………</w:t>
      </w:r>
      <w:r w:rsidR="007A364B">
        <w:t>……….677</w:t>
      </w:r>
    </w:p>
    <w:p w:rsidR="0078310B" w:rsidRPr="00867444" w:rsidRDefault="0078310B" w:rsidP="0078310B">
      <w:pPr>
        <w:widowControl w:val="0"/>
        <w:spacing w:after="120"/>
        <w:ind w:left="576"/>
      </w:pPr>
      <w:r w:rsidRPr="00867444">
        <w:rPr>
          <w:i/>
        </w:rPr>
        <w:t xml:space="preserve">The borrowing exclusion </w:t>
      </w:r>
      <w:r w:rsidR="007A364B">
        <w:t>……………………………………………………………..677</w:t>
      </w:r>
    </w:p>
    <w:p w:rsidR="0078310B" w:rsidRPr="00867444" w:rsidRDefault="0078310B" w:rsidP="0078310B">
      <w:pPr>
        <w:widowControl w:val="0"/>
        <w:spacing w:after="120"/>
        <w:ind w:left="576"/>
      </w:pPr>
      <w:r w:rsidRPr="00867444">
        <w:rPr>
          <w:i/>
        </w:rPr>
        <w:t xml:space="preserve">§ 61(a)(12) debt-discharge income </w:t>
      </w:r>
      <w:r w:rsidR="007A364B">
        <w:t>………………………………………………......678</w:t>
      </w:r>
    </w:p>
    <w:p w:rsidR="0078310B" w:rsidRPr="00867444" w:rsidRDefault="0078310B" w:rsidP="0078310B">
      <w:pPr>
        <w:widowControl w:val="0"/>
        <w:spacing w:after="120"/>
        <w:ind w:left="576"/>
      </w:pPr>
      <w:r w:rsidRPr="00867444">
        <w:rPr>
          <w:i/>
        </w:rPr>
        <w:t xml:space="preserve">Receipts subject to a contingent obligation to repay </w:t>
      </w:r>
      <w:r w:rsidR="007A364B">
        <w:t>………………………………...678</w:t>
      </w:r>
    </w:p>
    <w:p w:rsidR="0078310B" w:rsidRPr="00867444" w:rsidRDefault="0078310B" w:rsidP="0078310B">
      <w:pPr>
        <w:widowControl w:val="0"/>
        <w:spacing w:after="120"/>
        <w:ind w:left="576"/>
      </w:pPr>
      <w:r w:rsidRPr="00867444">
        <w:rPr>
          <w:i/>
        </w:rPr>
        <w:t xml:space="preserve">Depreciation recapture and the Arrowsmith doctrine </w:t>
      </w:r>
      <w:r w:rsidR="007A364B">
        <w:t>……………………………….679</w:t>
      </w:r>
    </w:p>
    <w:p w:rsidR="0078310B" w:rsidRPr="00867444" w:rsidRDefault="0078310B" w:rsidP="0078310B">
      <w:pPr>
        <w:widowControl w:val="0"/>
        <w:spacing w:after="120"/>
        <w:ind w:left="288"/>
      </w:pPr>
      <w:r w:rsidRPr="00867444">
        <w:t>B. The tax benefit rule ………………………………………………………………</w:t>
      </w:r>
      <w:r w:rsidR="007A364B">
        <w:t>…...679</w:t>
      </w:r>
    </w:p>
    <w:p w:rsidR="0078310B" w:rsidRPr="00867444" w:rsidRDefault="0078310B" w:rsidP="0078310B">
      <w:pPr>
        <w:widowControl w:val="0"/>
        <w:spacing w:after="120"/>
        <w:ind w:left="576"/>
      </w:pPr>
      <w:r w:rsidRPr="00867444">
        <w:t xml:space="preserve">REVENUE RULING 92-91 </w:t>
      </w:r>
      <w:r w:rsidR="007A364B">
        <w:t>………………………………………………………….681</w:t>
      </w:r>
    </w:p>
    <w:p w:rsidR="0078310B" w:rsidRPr="00867444" w:rsidRDefault="0078310B" w:rsidP="0078310B">
      <w:pPr>
        <w:widowControl w:val="0"/>
        <w:spacing w:after="120"/>
        <w:ind w:left="576"/>
      </w:pPr>
      <w:r w:rsidRPr="00867444">
        <w:t>Problem …………………………………………</w:t>
      </w:r>
      <w:r w:rsidR="007A364B">
        <w:t>……………………………………685</w:t>
      </w:r>
    </w:p>
    <w:p w:rsidR="0078310B" w:rsidRPr="00867444" w:rsidRDefault="0078310B" w:rsidP="0078310B">
      <w:pPr>
        <w:widowControl w:val="0"/>
        <w:spacing w:after="120"/>
        <w:ind w:left="288"/>
      </w:pPr>
      <w:r w:rsidRPr="00867444">
        <w:t>C. Net operating losses ……………………………………………………………...</w:t>
      </w:r>
      <w:r w:rsidR="007A364B">
        <w:t>......685</w:t>
      </w:r>
    </w:p>
    <w:p w:rsidR="0078310B" w:rsidRPr="00867444" w:rsidRDefault="0078310B" w:rsidP="0078310B">
      <w:pPr>
        <w:widowControl w:val="0"/>
        <w:spacing w:after="120"/>
        <w:ind w:left="576"/>
      </w:pPr>
      <w:r w:rsidRPr="00867444">
        <w:t>BURNET v. SANFORD &amp;</w:t>
      </w:r>
      <w:r w:rsidR="007A364B">
        <w:t xml:space="preserve"> BROOKS CO. ………………………………………….685</w:t>
      </w:r>
    </w:p>
    <w:p w:rsidR="0078310B" w:rsidRPr="00867444" w:rsidRDefault="0078310B" w:rsidP="0078310B">
      <w:pPr>
        <w:widowControl w:val="0"/>
        <w:spacing w:after="120"/>
        <w:ind w:left="576"/>
      </w:pPr>
      <w:r w:rsidRPr="00867444">
        <w:t>Problem …</w:t>
      </w:r>
      <w:r w:rsidR="007A364B">
        <w:t>……………………………………………………………………………689</w:t>
      </w:r>
    </w:p>
    <w:p w:rsidR="0078310B" w:rsidRPr="00867444" w:rsidRDefault="0078310B" w:rsidP="0078310B">
      <w:pPr>
        <w:widowControl w:val="0"/>
        <w:spacing w:after="120"/>
      </w:pPr>
      <w:r w:rsidRPr="000A5F08">
        <w:rPr>
          <w:b/>
          <w:sz w:val="28"/>
          <w:szCs w:val="28"/>
        </w:rPr>
        <w:t>Chapter 22: Methods of Accounting</w:t>
      </w:r>
      <w:r w:rsidRPr="00867444">
        <w:t xml:space="preserve"> ………………………………………</w:t>
      </w:r>
      <w:r w:rsidR="007A364B">
        <w:t>………690</w:t>
      </w:r>
    </w:p>
    <w:p w:rsidR="0078310B" w:rsidRPr="00867444" w:rsidRDefault="0078310B" w:rsidP="0078310B">
      <w:pPr>
        <w:widowControl w:val="0"/>
        <w:spacing w:after="120"/>
        <w:ind w:left="288"/>
      </w:pPr>
      <w:r w:rsidRPr="00867444">
        <w:t>A. The cash method of accounting ………………………………………………</w:t>
      </w:r>
      <w:r w:rsidR="007A364B">
        <w:t>………690</w:t>
      </w:r>
    </w:p>
    <w:p w:rsidR="0078310B" w:rsidRPr="00867444" w:rsidRDefault="0078310B" w:rsidP="0078310B">
      <w:pPr>
        <w:widowControl w:val="0"/>
        <w:spacing w:after="120"/>
        <w:ind w:left="576"/>
      </w:pPr>
      <w:r w:rsidRPr="00867444">
        <w:rPr>
          <w:i/>
        </w:rPr>
        <w:t xml:space="preserve">The constructive receipt doctrine </w:t>
      </w:r>
      <w:r w:rsidR="007A364B">
        <w:t>………………………………………………….....692</w:t>
      </w:r>
    </w:p>
    <w:p w:rsidR="0078310B" w:rsidRPr="00867444" w:rsidRDefault="0078310B" w:rsidP="0078310B">
      <w:pPr>
        <w:widowControl w:val="0"/>
        <w:spacing w:after="120"/>
        <w:ind w:left="576"/>
      </w:pPr>
      <w:r w:rsidRPr="00867444">
        <w:rPr>
          <w:i/>
        </w:rPr>
        <w:t xml:space="preserve">Deferred compensation, the economic benefit doctrine, rabbi trusts, and § 409A </w:t>
      </w:r>
      <w:r w:rsidRPr="00867444">
        <w:t>….</w:t>
      </w:r>
      <w:r w:rsidR="007A364B">
        <w:t>.692</w:t>
      </w:r>
    </w:p>
    <w:p w:rsidR="0078310B" w:rsidRPr="00867444" w:rsidRDefault="0078310B" w:rsidP="0078310B">
      <w:pPr>
        <w:widowControl w:val="0"/>
        <w:spacing w:after="120"/>
        <w:ind w:left="576"/>
      </w:pPr>
      <w:r w:rsidRPr="00867444">
        <w:t>SPROULL v. COMMISSIONER ……</w:t>
      </w:r>
      <w:r w:rsidR="007A364B">
        <w:t>………………………………………………694</w:t>
      </w:r>
    </w:p>
    <w:p w:rsidR="0078310B" w:rsidRPr="00867444" w:rsidRDefault="0078310B" w:rsidP="0078310B">
      <w:pPr>
        <w:widowControl w:val="0"/>
        <w:spacing w:after="120"/>
        <w:ind w:left="576"/>
      </w:pPr>
      <w:r w:rsidRPr="00867444">
        <w:t>PRIVATE LETTER RULING 88113107 ………………………</w:t>
      </w:r>
      <w:r w:rsidR="007A364B">
        <w:t>……………………697</w:t>
      </w:r>
    </w:p>
    <w:p w:rsidR="0078310B" w:rsidRPr="00867444" w:rsidRDefault="0078310B" w:rsidP="0078310B">
      <w:pPr>
        <w:widowControl w:val="0"/>
        <w:spacing w:after="120"/>
        <w:ind w:left="576"/>
      </w:pPr>
      <w:r w:rsidRPr="00867444">
        <w:t>Problem …</w:t>
      </w:r>
      <w:r>
        <w:t>…………………………</w:t>
      </w:r>
      <w:r w:rsidR="007A364B">
        <w:t>…………………………………………………699</w:t>
      </w:r>
    </w:p>
    <w:p w:rsidR="0078310B" w:rsidRPr="00867444" w:rsidRDefault="0078310B" w:rsidP="0078310B">
      <w:pPr>
        <w:widowControl w:val="0"/>
        <w:spacing w:after="120"/>
        <w:ind w:left="288"/>
      </w:pPr>
      <w:r w:rsidRPr="00867444">
        <w:t>B. The accrual method of accounting ……………………………………………</w:t>
      </w:r>
      <w:r w:rsidR="007A364B">
        <w:t>………700</w:t>
      </w:r>
    </w:p>
    <w:p w:rsidR="0078310B" w:rsidRPr="00867444" w:rsidRDefault="0078310B" w:rsidP="0078310B">
      <w:pPr>
        <w:widowControl w:val="0"/>
        <w:ind w:left="576"/>
        <w:rPr>
          <w:i/>
        </w:rPr>
      </w:pPr>
      <w:r w:rsidRPr="00867444">
        <w:rPr>
          <w:i/>
        </w:rPr>
        <w:t>Accrual accounting in financial reporting and the divergence of financial accounting</w:t>
      </w:r>
    </w:p>
    <w:p w:rsidR="0078310B" w:rsidRPr="00867444" w:rsidRDefault="0078310B" w:rsidP="0078310B">
      <w:pPr>
        <w:widowControl w:val="0"/>
        <w:spacing w:after="120"/>
        <w:ind w:left="576"/>
      </w:pPr>
      <w:r w:rsidRPr="00867444">
        <w:rPr>
          <w:i/>
        </w:rPr>
        <w:t xml:space="preserve">and income tax values </w:t>
      </w:r>
      <w:r w:rsidR="007A364B">
        <w:t>………………………………………………………………..701</w:t>
      </w:r>
    </w:p>
    <w:p w:rsidR="0078310B" w:rsidRPr="00867444" w:rsidRDefault="0078310B" w:rsidP="0078310B">
      <w:pPr>
        <w:widowControl w:val="0"/>
        <w:spacing w:after="120"/>
        <w:ind w:left="576"/>
      </w:pPr>
      <w:r w:rsidRPr="00867444">
        <w:t>THOR POWER TOOL CO. v</w:t>
      </w:r>
      <w:r>
        <w:t xml:space="preserve">. COMMISSIONER </w:t>
      </w:r>
      <w:r w:rsidR="007A364B">
        <w:t>………………………………….703</w:t>
      </w:r>
    </w:p>
    <w:p w:rsidR="0078310B" w:rsidRPr="00867444" w:rsidRDefault="0078310B" w:rsidP="0078310B">
      <w:pPr>
        <w:widowControl w:val="0"/>
        <w:spacing w:after="120"/>
        <w:ind w:left="576"/>
      </w:pPr>
      <w:r w:rsidRPr="00867444">
        <w:rPr>
          <w:i/>
        </w:rPr>
        <w:t xml:space="preserve">The all-events test and its use as a tool for diverging from GAAP </w:t>
      </w:r>
      <w:r w:rsidR="007A364B">
        <w:t>…………………..712</w:t>
      </w:r>
    </w:p>
    <w:p w:rsidR="0078310B" w:rsidRPr="00867444" w:rsidRDefault="0078310B" w:rsidP="0078310B">
      <w:pPr>
        <w:widowControl w:val="0"/>
        <w:spacing w:after="120"/>
        <w:ind w:left="576"/>
      </w:pPr>
      <w:r w:rsidRPr="00867444">
        <w:rPr>
          <w:i/>
        </w:rPr>
        <w:t xml:space="preserve">The accrual (deduction) of expenses not yet paid </w:t>
      </w:r>
      <w:r w:rsidR="007A364B">
        <w:t>……………………………………714</w:t>
      </w:r>
    </w:p>
    <w:p w:rsidR="0078310B" w:rsidRPr="00867444" w:rsidRDefault="0078310B" w:rsidP="0078310B">
      <w:pPr>
        <w:widowControl w:val="0"/>
        <w:spacing w:after="120"/>
        <w:ind w:left="576"/>
      </w:pPr>
      <w:r w:rsidRPr="00867444">
        <w:t xml:space="preserve">FORD MOTOR CO. v. </w:t>
      </w:r>
      <w:r w:rsidR="007A364B">
        <w:t>COMMISSIONER …………………………………………715</w:t>
      </w:r>
    </w:p>
    <w:p w:rsidR="0078310B" w:rsidRPr="00867444" w:rsidRDefault="0078310B" w:rsidP="0078310B">
      <w:pPr>
        <w:widowControl w:val="0"/>
        <w:spacing w:after="120"/>
        <w:ind w:left="576"/>
      </w:pPr>
      <w:r w:rsidRPr="00867444">
        <w:rPr>
          <w:i/>
        </w:rPr>
        <w:t xml:space="preserve">The accrual (inclusion) of prepaid income (advance payments) </w:t>
      </w:r>
      <w:r w:rsidR="007A364B">
        <w:t>…………………….724</w:t>
      </w:r>
    </w:p>
    <w:p w:rsidR="0078310B" w:rsidRPr="00867444" w:rsidRDefault="0078310B" w:rsidP="0078310B">
      <w:pPr>
        <w:widowControl w:val="0"/>
        <w:spacing w:after="120"/>
        <w:ind w:left="576"/>
      </w:pPr>
      <w:r w:rsidRPr="00867444">
        <w:t xml:space="preserve">REVENUE PROCEDURE 2004-34 </w:t>
      </w:r>
      <w:r w:rsidR="007A364B">
        <w:t>…………………………………………………727</w:t>
      </w:r>
    </w:p>
    <w:p w:rsidR="0078310B" w:rsidRPr="00867444" w:rsidRDefault="0078310B" w:rsidP="0078310B">
      <w:pPr>
        <w:widowControl w:val="0"/>
        <w:ind w:left="576"/>
        <w:rPr>
          <w:i/>
        </w:rPr>
      </w:pPr>
      <w:r w:rsidRPr="00867444">
        <w:rPr>
          <w:i/>
        </w:rPr>
        <w:t>Back to our roots and the elimination of accrual accounting for § 61 Gross Income</w:t>
      </w:r>
    </w:p>
    <w:p w:rsidR="0078310B" w:rsidRPr="00867444" w:rsidRDefault="0078310B" w:rsidP="0078310B">
      <w:pPr>
        <w:widowControl w:val="0"/>
        <w:spacing w:after="120"/>
        <w:ind w:left="576"/>
      </w:pPr>
      <w:r w:rsidRPr="00867444">
        <w:rPr>
          <w:i/>
        </w:rPr>
        <w:t>And expenses for income tax purposes?</w:t>
      </w:r>
      <w:r>
        <w:t xml:space="preserve"> …………………………………</w:t>
      </w:r>
      <w:r w:rsidR="007A364B">
        <w:t>…………...732</w:t>
      </w:r>
    </w:p>
    <w:p w:rsidR="0078310B" w:rsidRDefault="0078310B" w:rsidP="0078310B">
      <w:pPr>
        <w:widowControl w:val="0"/>
        <w:spacing w:after="120"/>
        <w:ind w:left="576"/>
      </w:pPr>
      <w:r w:rsidRPr="00867444">
        <w:t>Problem …</w:t>
      </w:r>
      <w:r w:rsidR="007A364B">
        <w:t>……………………………………………………………………………734</w:t>
      </w:r>
    </w:p>
    <w:p w:rsidR="0078310B" w:rsidRDefault="0078310B" w:rsidP="0078310B">
      <w:pPr>
        <w:widowControl w:val="0"/>
        <w:spacing w:after="120"/>
        <w:ind w:left="576"/>
      </w:pPr>
    </w:p>
    <w:p w:rsidR="0078310B" w:rsidRDefault="0078310B" w:rsidP="0078310B">
      <w:pPr>
        <w:widowControl w:val="0"/>
        <w:spacing w:after="120"/>
      </w:pPr>
    </w:p>
    <w:p w:rsidR="0078310B" w:rsidRDefault="0078310B" w:rsidP="0078310B">
      <w:pPr>
        <w:widowControl w:val="0"/>
        <w:spacing w:after="120"/>
      </w:pPr>
    </w:p>
    <w:p w:rsidR="0078310B" w:rsidRDefault="0078310B" w:rsidP="0078310B">
      <w:pPr>
        <w:widowControl w:val="0"/>
        <w:spacing w:after="120"/>
        <w:sectPr w:rsidR="0078310B" w:rsidSect="005337BA">
          <w:type w:val="continuous"/>
          <w:pgSz w:w="12240" w:h="15840"/>
          <w:pgMar w:top="1440" w:right="1440" w:bottom="1440" w:left="1440" w:header="1008" w:footer="720" w:gutter="0"/>
          <w:pgNumType w:fmt="lowerRoman" w:start="10"/>
          <w:cols w:space="720"/>
          <w:docGrid w:linePitch="360"/>
        </w:sectPr>
      </w:pPr>
    </w:p>
    <w:p w:rsidR="0078310B" w:rsidRDefault="0078310B" w:rsidP="0078310B">
      <w:pPr>
        <w:widowControl w:val="0"/>
        <w:ind w:firstLine="288"/>
        <w:jc w:val="both"/>
        <w:sectPr w:rsidR="0078310B" w:rsidSect="005337BA">
          <w:headerReference w:type="first" r:id="rId21"/>
          <w:pgSz w:w="12240" w:h="15840"/>
          <w:pgMar w:top="1440" w:right="1440" w:bottom="1440" w:left="1440" w:header="1008" w:footer="720" w:gutter="0"/>
          <w:pgNumType w:fmt="lowerRoman"/>
          <w:cols w:space="720"/>
          <w:docGrid w:linePitch="360"/>
        </w:sectPr>
      </w:pPr>
    </w:p>
    <w:p w:rsidR="0078310B" w:rsidRPr="000B65F6" w:rsidRDefault="0078310B" w:rsidP="0078310B">
      <w:pPr>
        <w:pStyle w:val="Heading1"/>
        <w:spacing w:before="0"/>
        <w:jc w:val="left"/>
        <w:rPr>
          <w:sz w:val="36"/>
          <w:szCs w:val="36"/>
        </w:rPr>
      </w:pPr>
      <w:bookmarkStart w:id="4" w:name="_Toc395790319"/>
      <w:r w:rsidRPr="000B65F6">
        <w:rPr>
          <w:sz w:val="36"/>
          <w:szCs w:val="36"/>
        </w:rPr>
        <w:t>Introduction</w:t>
      </w:r>
      <w:bookmarkEnd w:id="4"/>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rsidR="0078310B" w:rsidRDefault="0078310B" w:rsidP="0078310B">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rsidR="0078310B" w:rsidRDefault="0078310B" w:rsidP="0078310B">
      <w:pPr>
        <w:widowControl w:val="0"/>
        <w:spacing w:after="120"/>
        <w:ind w:left="720" w:right="720"/>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8"/>
      </w:r>
    </w:p>
    <w:p w:rsidR="0078310B" w:rsidRDefault="0078310B" w:rsidP="0078310B">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and I know some tax lawyers who do not even do that.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rsidR="0078310B" w:rsidRDefault="0078310B" w:rsidP="0078310B">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 Registered Nurse in Maternity Surgery for seven years, as well.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actually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“income” statement for financial accounting purposes can violate fundamental income tax principles 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Some of the best tax law students, in my opinion, are English majors because they have had lengthy practice in </w:t>
      </w:r>
      <w:r>
        <w:rPr>
          <w:i/>
          <w:iCs/>
        </w:rPr>
        <w:t>reading language carefully</w:t>
      </w:r>
      <w:r>
        <w:t>, which brings me to my next point.</w:t>
      </w:r>
    </w:p>
    <w:p w:rsidR="0078310B" w:rsidRDefault="0078310B" w:rsidP="0078310B">
      <w:pPr>
        <w:widowControl w:val="0"/>
        <w:spacing w:after="120"/>
        <w:ind w:firstLine="288"/>
        <w:jc w:val="both"/>
      </w:pPr>
      <w:r>
        <w:t xml:space="preserve">One of the best reasons to take tax (even if you have absolutely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actually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current legislator today. </w:t>
      </w:r>
    </w:p>
    <w:p w:rsidR="0078310B" w:rsidRDefault="0078310B" w:rsidP="0078310B">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considerations to take into account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rsidR="0078310B" w:rsidRPr="003051CB" w:rsidRDefault="0078310B" w:rsidP="0078310B">
      <w:pPr>
        <w:widowControl w:val="0"/>
        <w:spacing w:after="120"/>
        <w:ind w:firstLine="288"/>
        <w:jc w:val="both"/>
      </w:pPr>
      <w:r>
        <w:t>This textbook focuses on the Federal income tax as it applies to the individual, whether that individual is an employee of another,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did not create the state law entity but rather runs the business directly as a sole proprietor. In tax jargon, single-owner LLCs are “disregarded entities.” Thus, the LLC’s Gross Income and allowable deductions appear on the sole owner’s individual tax return.</w:t>
      </w:r>
    </w:p>
    <w:p w:rsidR="0078310B" w:rsidRPr="009B6786" w:rsidRDefault="0078310B" w:rsidP="0078310B">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Some will take the course examining tax procedures, penalties, and crimes or the course considering the taxation of tax-exempt organizations. This course provides the solid foundation for them all (and others). </w:t>
      </w:r>
    </w:p>
    <w:p w:rsidR="0078310B" w:rsidRDefault="0078310B" w:rsidP="0078310B">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rsidR="0078310B" w:rsidRDefault="0078310B" w:rsidP="0078310B">
      <w:pPr>
        <w:widowControl w:val="0"/>
        <w:spacing w:after="120"/>
        <w:ind w:left="720" w:right="720"/>
        <w:jc w:val="both"/>
      </w:pPr>
      <w:r>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9"/>
      </w:r>
    </w:p>
    <w:p w:rsidR="0078310B" w:rsidRDefault="0078310B" w:rsidP="0078310B">
      <w:pPr>
        <w:widowControl w:val="0"/>
        <w:jc w:val="both"/>
      </w:pPr>
      <w:r>
        <w:t xml:space="preserve">Although written in 1944, the sentiment is truer today than ever before in “the modern field of tax law.” </w:t>
      </w:r>
    </w:p>
    <w:p w:rsidR="0078310B" w:rsidRDefault="0078310B" w:rsidP="0078310B">
      <w:pPr>
        <w:widowControl w:val="0"/>
        <w:jc w:val="center"/>
      </w:pPr>
      <w:r>
        <w:t>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Federal tax law involves all three branches of government, which means that the study of tax law is a study in administrative law, as well. </w:t>
      </w:r>
    </w:p>
    <w:p w:rsidR="0078310B" w:rsidRPr="00387DE6" w:rsidRDefault="0078310B" w:rsidP="0078310B">
      <w:pPr>
        <w:pStyle w:val="Heading3"/>
        <w:spacing w:before="0" w:beforeAutospacing="0" w:after="120" w:afterAutospacing="0"/>
        <w:rPr>
          <w:i/>
        </w:rPr>
      </w:pPr>
      <w:bookmarkStart w:id="5" w:name="_Toc395790320"/>
      <w:r w:rsidRPr="00387DE6">
        <w:rPr>
          <w:i/>
        </w:rPr>
        <w:t>The legislative branch</w:t>
      </w:r>
      <w:bookmarkEnd w:id="5"/>
      <w:r w:rsidRPr="00387DE6">
        <w:rPr>
          <w:i/>
        </w:rPr>
        <w:t xml:space="preserve"> </w:t>
      </w:r>
    </w:p>
    <w:p w:rsidR="0078310B" w:rsidRDefault="0078310B" w:rsidP="0078310B">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 xml:space="preserve">of 1986, as amended </w:t>
      </w:r>
      <w:r>
        <w:t>(though a few non-codified tax statutes can be found outside Title 26).</w:t>
      </w:r>
      <w:r>
        <w:rPr>
          <w:rStyle w:val="FootnoteReference"/>
        </w:rPr>
        <w:footnoteReference w:id="10"/>
      </w:r>
      <w:r>
        <w:t xml:space="preserve"> Under the origination clause of the U.S. constitution,</w:t>
      </w:r>
      <w:r>
        <w:rPr>
          <w:rStyle w:val="FootnoteReference"/>
        </w:rPr>
        <w:footnoteReference w:id="11"/>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2"/>
      </w:r>
      <w:r>
        <w:t xml:space="preserve"> Thus, today the origination clause may mean little more than that the bill must have an H.R. number (for House of Representatives) rather than an S. number (for Senate). </w:t>
      </w:r>
    </w:p>
    <w:p w:rsidR="0078310B" w:rsidRDefault="0078310B" w:rsidP="0078310B">
      <w:pPr>
        <w:widowControl w:val="0"/>
        <w:spacing w:after="120"/>
        <w:ind w:firstLine="288"/>
        <w:jc w:val="both"/>
      </w:pPr>
      <w:r>
        <w:t xml:space="preserve">The most important (and powerful) Congressional committees when it comes to tax matters are the Ways and Means Committee in the House and the Finance Committee in the Senate, both of which have jurisdiction over tax matters. If the bills passed by the House and Senate, respectively, differ (as they virtually always do), a Conference Committee is appointed to hammer out the differences. Once the conference bill is passed by both houses and signed by the President, it becomes law. </w:t>
      </w:r>
    </w:p>
    <w:p w:rsidR="0078310B" w:rsidRPr="00FA6109" w:rsidRDefault="0078310B" w:rsidP="0078310B">
      <w:pPr>
        <w:pStyle w:val="Heading3"/>
        <w:spacing w:before="0" w:beforeAutospacing="0" w:after="120" w:afterAutospacing="0"/>
      </w:pPr>
      <w:bookmarkStart w:id="6" w:name="_Toc395790321"/>
      <w:r>
        <w:rPr>
          <w:i/>
        </w:rPr>
        <w:t>The executive branch</w:t>
      </w:r>
      <w:bookmarkEnd w:id="6"/>
    </w:p>
    <w:p w:rsidR="0078310B" w:rsidRDefault="0078310B" w:rsidP="0078310B">
      <w:pPr>
        <w:widowControl w:val="0"/>
        <w:spacing w:after="120"/>
        <w:ind w:firstLine="288"/>
        <w:jc w:val="both"/>
      </w:pPr>
      <w:r>
        <w:t xml:space="preserve">The law that Congress enacts is not self-executing but rather must be administered by the executive branch, primarily through the Treasury Department and the Internal Revenue Service, 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rsidR="0078310B" w:rsidRDefault="0078310B" w:rsidP="0078310B">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further define “convenience of the employer” in the statute. Thus, Treasury defines those terms in Treas. Reg. § 1.119-1 and provides several examples. </w:t>
      </w:r>
    </w:p>
    <w:p w:rsidR="0078310B" w:rsidRPr="00BE10E6" w:rsidRDefault="0078310B" w:rsidP="0078310B">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broad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rsidR="0078310B" w:rsidRDefault="0078310B" w:rsidP="0078310B">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rsidR="0078310B" w:rsidRDefault="0078310B" w:rsidP="0078310B">
      <w:pPr>
        <w:widowControl w:val="0"/>
        <w:spacing w:after="120"/>
        <w:ind w:firstLine="288"/>
        <w:jc w:val="both"/>
      </w:pPr>
      <w:r>
        <w:t>Treasury r</w:t>
      </w:r>
      <w:r w:rsidRPr="009E1DE3">
        <w:t>egulations</w:t>
      </w:r>
      <w:r>
        <w:t xml:space="preserve"> are often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rsidR="0078310B" w:rsidRDefault="0078310B" w:rsidP="0078310B">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they automatically sunset in three years under § 7805(e)(2) if not made final by then. Temporary regulations are indicated with the letter T in its notation, such as § 1.263(a)-2T—a regulation that lost its “T” in 2013 when it was made final.  </w:t>
      </w:r>
    </w:p>
    <w:p w:rsidR="0078310B" w:rsidRDefault="0078310B" w:rsidP="0078310B">
      <w:pPr>
        <w:widowControl w:val="0"/>
        <w:spacing w:after="120"/>
        <w:ind w:firstLine="288"/>
        <w:jc w:val="both"/>
      </w:pPr>
      <w:r>
        <w:t xml:space="preserve">While the statute enacted by Congress is the supreme source of legal authority (and thus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3"/>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rsidR="0078310B" w:rsidRPr="00AC13EC" w:rsidRDefault="0078310B" w:rsidP="0078310B">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4"/>
      </w:r>
      <w:r>
        <w:t xml:space="preserve"> some academics and practitioners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5"/>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6"/>
      </w:r>
      <w:r>
        <w:t xml:space="preserve"> Thus, it is now fairly clear that </w:t>
      </w:r>
      <w:r>
        <w:rPr>
          <w:i/>
        </w:rPr>
        <w:t xml:space="preserve">Chevron’s </w:t>
      </w:r>
      <w:r>
        <w:t xml:space="preserve">two-step analysis governs judicial review of the validity of a Treasury regulation. </w:t>
      </w:r>
    </w:p>
    <w:p w:rsidR="0078310B" w:rsidRDefault="0078310B" w:rsidP="0078310B">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rsidR="0078310B" w:rsidRPr="003B39C8" w:rsidRDefault="0078310B" w:rsidP="0078310B">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 Revenue Procedures, among other roles, provide guidance regarding the representations that taxpayers must make in requesting a Private Letter Ruling for a particular type of transaction. For example, you will read about Revenue Procedure 2001-28 in Chapter 16, which contains the guidelines that the IRS will use for purposes of issuing private letter rulings to taxpayers requesting assurance that a proposed sale/leaseback transaction will be respected for Federal income tax purposes.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7"/>
      </w:r>
      <w:r>
        <w:t xml:space="preserve"> Thus, you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rsidR="0078310B" w:rsidRDefault="0078310B" w:rsidP="0078310B">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8"/>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9"/>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20"/>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1"/>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2"/>
      </w:r>
      <w:r>
        <w:rPr>
          <w:rStyle w:val="term"/>
        </w:rPr>
        <w:t xml:space="preserve"> though these pronouncements preceded </w:t>
      </w:r>
      <w:r>
        <w:rPr>
          <w:rStyle w:val="term"/>
          <w:i/>
        </w:rPr>
        <w:t xml:space="preserve">Mayo </w:t>
      </w:r>
      <w:r>
        <w:t xml:space="preserve">and </w:t>
      </w:r>
      <w:r>
        <w:rPr>
          <w:i/>
        </w:rPr>
        <w:t>Mead.</w:t>
      </w:r>
    </w:p>
    <w:p w:rsidR="0078310B" w:rsidRPr="009808C5" w:rsidRDefault="0078310B" w:rsidP="0078310B">
      <w:pPr>
        <w:widowControl w:val="0"/>
        <w:spacing w:after="120"/>
        <w:ind w:firstLine="288"/>
        <w:jc w:val="both"/>
      </w:pPr>
      <w:r>
        <w:t>Revenue Rulings and Revenue Procedures appear in the Internal Revenue Bulletin, which is issued weekly and which is semi-annually bound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rulings is through an online database.</w:t>
      </w:r>
    </w:p>
    <w:p w:rsidR="0078310B" w:rsidRDefault="0078310B" w:rsidP="0078310B">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particular transaction may want advanced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 as planned.</w:t>
      </w:r>
    </w:p>
    <w:p w:rsidR="0078310B" w:rsidRDefault="0078310B" w:rsidP="0078310B">
      <w:pPr>
        <w:widowControl w:val="0"/>
        <w:spacing w:after="120"/>
        <w:ind w:firstLine="288"/>
        <w:jc w:val="both"/>
      </w:pPr>
      <w:r>
        <w:t>Significant IRS budget cuts made by Congress has forced the IRS to reduce the issuance of private letter rulings. Moreover, the cost and delay inherent in requesting a Private Letter Ruling from the IRS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3"/>
      </w:r>
    </w:p>
    <w:p w:rsidR="0078310B" w:rsidRDefault="0078310B" w:rsidP="0078310B">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regarding the proper analysis. The resulting answer is referred to as a TAM.</w:t>
      </w:r>
    </w:p>
    <w:p w:rsidR="0078310B" w:rsidRDefault="0078310B" w:rsidP="0078310B">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4"/>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rsidR="0078310B" w:rsidRDefault="0078310B" w:rsidP="0078310B">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rsidR="0078310B" w:rsidRDefault="0078310B" w:rsidP="0078310B">
      <w:pPr>
        <w:widowControl w:val="0"/>
        <w:spacing w:after="120"/>
        <w:ind w:firstLine="288"/>
        <w:jc w:val="both"/>
      </w:pPr>
      <w:r>
        <w:t xml:space="preserve">Notices are issued by the IRS when immediate guidance is needed. Chapter 6, for example, contains Notice 99-3, which was the third Notice issued in 1999. </w:t>
      </w:r>
    </w:p>
    <w:p w:rsidR="0078310B" w:rsidRDefault="0078310B" w:rsidP="0078310B">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5"/>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6"/>
      </w:r>
    </w:p>
    <w:p w:rsidR="0078310B" w:rsidRDefault="0078310B" w:rsidP="0078310B">
      <w:pPr>
        <w:widowControl w:val="0"/>
        <w:spacing w:after="120"/>
        <w:ind w:firstLine="288"/>
        <w:jc w:val="both"/>
      </w:pPr>
      <w:r>
        <w:t xml:space="preserve">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Today (which also links to PLRs and other forms of Chief Counsel Advice). </w:t>
      </w:r>
    </w:p>
    <w:p w:rsidR="00F942D4" w:rsidRDefault="0078310B" w:rsidP="0078310B">
      <w:pPr>
        <w:widowControl w:val="0"/>
        <w:spacing w:after="120"/>
        <w:ind w:firstLine="288"/>
        <w:jc w:val="both"/>
      </w:pPr>
      <w:r>
        <w:t xml:space="preserve">Here is a good place to introduce Tax Analysts publications. </w:t>
      </w:r>
      <w:r w:rsidR="00F942D4">
        <w:t xml:space="preserve">Tax Notes is published in hard copy weekly and is likely available at your law library. It contains the weekly tax news on many fronts, as well as descriptions of new cases and short law-review-type articles on hot tax topics. It is a great resource for students looking to learn more about tax practice and what is going on in the tax world. </w:t>
      </w:r>
    </w:p>
    <w:p w:rsidR="00F942D4" w:rsidRDefault="00F942D4" w:rsidP="00F942D4">
      <w:pPr>
        <w:spacing w:after="120"/>
        <w:ind w:firstLine="288"/>
      </w:pPr>
      <w:r>
        <w:t xml:space="preserve">Tax Notes Today </w:t>
      </w:r>
      <w:r w:rsidR="004D0DC5">
        <w:t xml:space="preserve">(TNT) </w:t>
      </w:r>
      <w:r>
        <w:t>is a daily dose of tax news that can be accessed on Lexis</w:t>
      </w:r>
      <w:r w:rsidR="004D0DC5">
        <w:t xml:space="preserve"> Advance</w:t>
      </w:r>
      <w:r>
        <w:t xml:space="preserve">. </w:t>
      </w:r>
      <w:r w:rsidR="004D0DC5">
        <w:t>C</w:t>
      </w:r>
      <w:r>
        <w:t>lick the pull-down menu at the top left next to “Lexis Advance Research” and click on “Lexis Advance Tax.” At the bottom right of that page, click on “Tax Analysts Tax Notes Today” and then on “Get all documents for this source.” It brings up the current date’s Tax Notes Today (in reverse chronological order, so you’ll eventually get to yesterday’</w:t>
      </w:r>
      <w:r w:rsidR="00056BCE">
        <w:t>s Tax Notes Today, and so on). C</w:t>
      </w:r>
      <w:r>
        <w:t>lick by several pages</w:t>
      </w:r>
      <w:r w:rsidR="00056BCE">
        <w:t xml:space="preserve"> until you reach “Table of Contents” </w:t>
      </w:r>
      <w:r>
        <w:t xml:space="preserve">followed by “Summaries of Today’s Important Tax Items.” I suggest clicking on “Summaries” first, which </w:t>
      </w:r>
      <w:r w:rsidR="00056BCE">
        <w:t xml:space="preserve">summarizes the important news items. </w:t>
      </w:r>
      <w:r>
        <w:t xml:space="preserve">If any interest you, you can click further for the full story on the item. After working your way through the “Summaries” page, go back and click on the “Table of Contents” page, which will first list the tax headlines </w:t>
      </w:r>
      <w:r w:rsidR="004D0DC5">
        <w:t xml:space="preserve">that you </w:t>
      </w:r>
      <w:r w:rsidR="00C85B84">
        <w:t xml:space="preserve">just </w:t>
      </w:r>
      <w:r w:rsidR="004D0DC5">
        <w:t xml:space="preserve">read </w:t>
      </w:r>
      <w:r>
        <w:t xml:space="preserve">(without the accompanying summaries) but then will go on to list tax cases of the day, </w:t>
      </w:r>
      <w:r w:rsidR="004D0DC5">
        <w:t xml:space="preserve">I.R.S. guidance, and links to third-party documents, such as reports drafted by the Congressional Budget Office, the Congressional Research Service, business and consumer groups, and think tanks (of various stripes) that focus on tax issues. </w:t>
      </w:r>
      <w:r>
        <w:t xml:space="preserve">You can click on anything that piques your interest. </w:t>
      </w:r>
      <w:r w:rsidR="00056BCE">
        <w:t>P</w:t>
      </w:r>
      <w:r w:rsidR="004D0DC5">
        <w:t xml:space="preserve">ractitioners </w:t>
      </w:r>
      <w:r w:rsidR="00056BCE">
        <w:t xml:space="preserve">often </w:t>
      </w:r>
      <w:r w:rsidR="004D0DC5">
        <w:t xml:space="preserve">begin their day by perusing </w:t>
      </w:r>
      <w:r w:rsidR="00056BCE">
        <w:t xml:space="preserve">these two levels of </w:t>
      </w:r>
      <w:r w:rsidR="004D0DC5">
        <w:t>TNT.</w:t>
      </w:r>
    </w:p>
    <w:p w:rsidR="0078310B" w:rsidRDefault="0078310B" w:rsidP="0078310B">
      <w:pPr>
        <w:widowControl w:val="0"/>
        <w:spacing w:after="120"/>
        <w:ind w:firstLine="288"/>
        <w:jc w:val="both"/>
      </w:pPr>
      <w:r>
        <w:t xml:space="preserve">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 which you can find at </w:t>
      </w:r>
      <w:r w:rsidRPr="00AD29E5">
        <w:t>http://apps.irs.gov/app/picklist/list/actionsOnDecisions.html</w:t>
      </w:r>
      <w:r>
        <w:t>.</w:t>
      </w:r>
    </w:p>
    <w:p w:rsidR="0078310B" w:rsidRPr="00A9503B" w:rsidRDefault="0078310B" w:rsidP="0078310B">
      <w:pPr>
        <w:pStyle w:val="Heading3"/>
        <w:spacing w:before="0" w:beforeAutospacing="0" w:after="120" w:afterAutospacing="0"/>
      </w:pPr>
      <w:bookmarkStart w:id="7" w:name="_Toc395790322"/>
      <w:r>
        <w:rPr>
          <w:i/>
        </w:rPr>
        <w:t>Tax procedure overview</w:t>
      </w:r>
      <w:bookmarkEnd w:id="7"/>
    </w:p>
    <w:p w:rsidR="0078310B" w:rsidRDefault="0078310B" w:rsidP="0078310B">
      <w:pPr>
        <w:widowControl w:val="0"/>
        <w:spacing w:after="120"/>
        <w:ind w:firstLine="288"/>
        <w:jc w:val="both"/>
      </w:pPr>
      <w:r>
        <w:t>Some of you will undoubtedly take the course on tax procedures, penalties, and crimes, but I want to provide a cursory overview of the basic civil tax procedural mechanisms that arise from the filing of a tax return to the initiation of litigation, if necessary.</w:t>
      </w:r>
    </w:p>
    <w:p w:rsidR="0078310B" w:rsidRDefault="0078310B" w:rsidP="0078310B">
      <w:pPr>
        <w:widowControl w:val="0"/>
        <w:spacing w:after="120"/>
        <w:ind w:firstLine="288"/>
        <w:jc w:val="both"/>
      </w:pPr>
      <w:r>
        <w:t>For virtually all individual taxpayers, the taxable year (considered in Chapter 21)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actually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rsidR="0078310B" w:rsidRDefault="0078310B" w:rsidP="0078310B">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draft a document often referred to as a “30-day letter” that contains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rsidR="0078310B" w:rsidRDefault="0078310B" w:rsidP="0078310B">
      <w:pPr>
        <w:widowControl w:val="0"/>
        <w:spacing w:after="120"/>
        <w:ind w:firstLine="288"/>
        <w:jc w:val="both"/>
      </w:pPr>
      <w:r>
        <w:t>During the appeals process, the taxpayer’s representative will meet with the appeals officer assigned to the case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7"/>
      </w:r>
      <w:r>
        <w:t xml:space="preserve"> A “closing agreement” to memorialize the settlement, which is generally binding on both parties, can be entered under § 7121. Arbitration or mediation is also a possibility. </w:t>
      </w:r>
    </w:p>
    <w:p w:rsidR="0078310B" w:rsidRDefault="0078310B" w:rsidP="0078310B">
      <w:pPr>
        <w:widowControl w:val="0"/>
        <w:spacing w:after="120"/>
        <w:ind w:firstLine="288"/>
        <w:jc w:val="both"/>
      </w:pPr>
      <w:r>
        <w:t xml:space="preserve">If the taxpayer fails to request the appeals process within the required time (or the appeals process does not result in settlement), the IRS will issue a statutory notice of deficiency, often referred to as the “90-day letter.” The 90-day nomenclature arises from the fact that the taxpayer has 90 days from the date of issuance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90-day period. </w:t>
      </w:r>
    </w:p>
    <w:p w:rsidR="0078310B" w:rsidRDefault="0078310B" w:rsidP="0078310B">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w:t>
      </w:r>
    </w:p>
    <w:p w:rsidR="0078310B" w:rsidRDefault="0078310B" w:rsidP="0078310B">
      <w:pPr>
        <w:widowControl w:val="0"/>
        <w:spacing w:after="120"/>
        <w:ind w:firstLine="288"/>
        <w:jc w:val="both"/>
      </w:pPr>
      <w:r>
        <w:t>A few of the more important penalty provisions are discussed in Chapter 16.</w:t>
      </w:r>
    </w:p>
    <w:p w:rsidR="0078310B" w:rsidRPr="00AE3EFD" w:rsidRDefault="0078310B" w:rsidP="0078310B">
      <w:pPr>
        <w:pStyle w:val="Heading3"/>
        <w:spacing w:before="0" w:beforeAutospacing="0" w:after="120" w:afterAutospacing="0"/>
      </w:pPr>
      <w:bookmarkStart w:id="8" w:name="_Toc395790323"/>
      <w:r>
        <w:rPr>
          <w:i/>
        </w:rPr>
        <w:t>The judicial branch</w:t>
      </w:r>
      <w:bookmarkEnd w:id="8"/>
    </w:p>
    <w:p w:rsidR="0078310B" w:rsidRDefault="0078310B" w:rsidP="0078310B">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that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Office of Chief Counsel represent the government before the Tax Court.</w:t>
      </w:r>
    </w:p>
    <w:p w:rsidR="0078310B" w:rsidRDefault="0078310B" w:rsidP="0078310B">
      <w:pPr>
        <w:widowControl w:val="0"/>
        <w:spacing w:after="120"/>
        <w:ind w:firstLine="288"/>
        <w:jc w:val="both"/>
      </w:pPr>
      <w:r>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18).</w:t>
      </w:r>
    </w:p>
    <w:p w:rsidR="0078310B" w:rsidRDefault="0078310B" w:rsidP="0078310B">
      <w:pPr>
        <w:widowControl w:val="0"/>
        <w:spacing w:after="120"/>
        <w:ind w:firstLine="288"/>
        <w:jc w:val="both"/>
      </w:pPr>
      <w:r>
        <w:t>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w:t>
      </w:r>
      <w:r>
        <w:rPr>
          <w:i/>
        </w:rPr>
        <w:t>e.g.</w:t>
      </w:r>
      <w:r>
        <w:t xml:space="preserve">, </w:t>
      </w:r>
      <w:r>
        <w:rPr>
          <w:i/>
        </w:rPr>
        <w:t>Berry v. Commissioner</w:t>
      </w:r>
      <w:r>
        <w:t xml:space="preserve">, T.C. Memo. 2000-373, cited in Chapter 9).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 at </w:t>
      </w:r>
      <w:r w:rsidRPr="005D4935">
        <w:t>www.ustaxcourt.gov</w:t>
      </w:r>
      <w:r>
        <w:t xml:space="preserve">.  </w:t>
      </w:r>
    </w:p>
    <w:p w:rsidR="0078310B" w:rsidRDefault="0078310B" w:rsidP="0078310B">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28"/>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cash.</w:t>
      </w:r>
    </w:p>
    <w:p w:rsidR="0078310B" w:rsidRPr="002951B8" w:rsidRDefault="0078310B" w:rsidP="0078310B">
      <w:pPr>
        <w:widowControl w:val="0"/>
        <w:spacing w:after="120"/>
        <w:ind w:firstLine="288"/>
        <w:jc w:val="both"/>
      </w:pPr>
      <w:r>
        <w:t xml:space="preserve">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generally within the </w:t>
      </w:r>
      <w:r w:rsidRPr="00C87EC7">
        <w:rPr>
          <w:i/>
        </w:rPr>
        <w:t>later</w:t>
      </w:r>
      <w:r>
        <w:t xml:space="preserve"> of three years from the time the return is filed or two years from the time the tax was paid.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rsidR="0078310B" w:rsidRDefault="0078310B" w:rsidP="0078310B">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rsidR="0078310B" w:rsidRDefault="0078310B" w:rsidP="0078310B">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w:t>
      </w:r>
    </w:p>
    <w:p w:rsidR="0078310B" w:rsidRDefault="0078310B" w:rsidP="0078310B">
      <w:pPr>
        <w:widowControl w:val="0"/>
        <w:spacing w:after="120"/>
        <w:ind w:firstLine="288"/>
        <w:jc w:val="both"/>
      </w:pPr>
      <w:r>
        <w:t xml:space="preserve">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29"/>
      </w:r>
    </w:p>
    <w:p w:rsidR="0078310B" w:rsidRDefault="0078310B" w:rsidP="0078310B">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rsidR="0078310B" w:rsidRDefault="0078310B" w:rsidP="0078310B">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that was contrary to the Tax Court’s view of the issue. Because this stance imposed unnecessary costs on such taxpayers, the Tax Court announced a change of heart in </w:t>
      </w:r>
      <w:r>
        <w:rPr>
          <w:i/>
        </w:rPr>
        <w:t>Golsen v. Commissioner.</w:t>
      </w:r>
      <w:r w:rsidRPr="005B3D03">
        <w:rPr>
          <w:rStyle w:val="FootnoteReference"/>
        </w:rPr>
        <w:footnoteReference w:id="30"/>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As you can imagine, whether a particular precedent is directly on point or is distinguishable in a relevant respect remains an issue, however.</w:t>
      </w:r>
    </w:p>
    <w:p w:rsidR="0078310B" w:rsidRDefault="0078310B" w:rsidP="0078310B">
      <w:pPr>
        <w:widowControl w:val="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9"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1"/>
      </w:r>
      <w:r w:rsidRPr="00B547A5">
        <w:t xml:space="preserve"> </w:t>
      </w:r>
    </w:p>
    <w:p w:rsidR="0078310B" w:rsidRDefault="0078310B" w:rsidP="0078310B">
      <w:pPr>
        <w:pStyle w:val="Heading3"/>
        <w:spacing w:before="0" w:beforeAutospacing="0" w:after="0" w:afterAutospacing="0"/>
        <w:jc w:val="center"/>
        <w:rPr>
          <w:b w:val="0"/>
        </w:rPr>
      </w:pPr>
      <w:r w:rsidRPr="00BA7E58">
        <w:rPr>
          <w:b w:val="0"/>
        </w:rPr>
        <w:t>Erik M. Jensen</w:t>
      </w:r>
      <w:bookmarkEnd w:id="9"/>
    </w:p>
    <w:p w:rsidR="0078310B" w:rsidRPr="00B547A5" w:rsidRDefault="0078310B" w:rsidP="0078310B">
      <w:pPr>
        <w:pStyle w:val="Heading3"/>
        <w:spacing w:before="0" w:beforeAutospacing="0" w:after="0" w:afterAutospacing="0"/>
        <w:jc w:val="center"/>
      </w:pPr>
    </w:p>
    <w:p w:rsidR="0078310B" w:rsidRDefault="0078310B" w:rsidP="0078310B">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2"/>
        <w:t>[1]</w:t>
      </w:r>
    </w:p>
    <w:p w:rsidR="0078310B" w:rsidRDefault="0078310B" w:rsidP="0078310B">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3"/>
        <w:t>[2]</w:t>
      </w:r>
    </w:p>
    <w:p w:rsidR="0078310B" w:rsidRDefault="0078310B" w:rsidP="0078310B">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4"/>
        <w:t>[3]</w:t>
      </w:r>
    </w:p>
    <w:p w:rsidR="0078310B" w:rsidRDefault="0078310B" w:rsidP="0078310B">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5"/>
        <w:t>[4]</w:t>
      </w:r>
    </w:p>
    <w:p w:rsidR="0078310B" w:rsidRDefault="0078310B" w:rsidP="0078310B">
      <w:pPr>
        <w:widowControl w:val="0"/>
        <w:spacing w:after="120"/>
        <w:jc w:val="center"/>
      </w:pPr>
      <w:r>
        <w:t>_______________________________________</w:t>
      </w:r>
    </w:p>
    <w:p w:rsidR="0078310B" w:rsidRDefault="0078310B" w:rsidP="0078310B">
      <w:pPr>
        <w:widowControl w:val="0"/>
        <w:spacing w:after="120"/>
        <w:ind w:firstLine="288"/>
        <w:jc w:val="both"/>
      </w:pPr>
      <w:r>
        <w:t xml:space="preserve">Add to the list above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rsidR="0078310B" w:rsidRDefault="0078310B" w:rsidP="0078310B">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6"/>
      </w:r>
    </w:p>
    <w:p w:rsidR="0078310B" w:rsidRDefault="0078310B" w:rsidP="0078310B">
      <w:pPr>
        <w:widowControl w:val="0"/>
        <w:spacing w:after="120"/>
        <w:jc w:val="both"/>
      </w:pPr>
      <w:r>
        <w:t xml:space="preserve">The 1970 case was </w:t>
      </w:r>
      <w:r>
        <w:rPr>
          <w:i/>
        </w:rPr>
        <w:t>Moritz v. Commissioner</w:t>
      </w:r>
      <w:r>
        <w:t>,</w:t>
      </w:r>
      <w:r>
        <w:rPr>
          <w:rStyle w:val="FootnoteReference"/>
        </w:rPr>
        <w:footnoteReference w:id="37"/>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rsidR="0078310B" w:rsidRDefault="0078310B" w:rsidP="0078310B">
      <w:pPr>
        <w:widowControl w:val="0"/>
        <w:spacing w:after="120"/>
        <w:ind w:left="720" w:right="720"/>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rsidR="0078310B" w:rsidRDefault="0078310B" w:rsidP="0078310B">
      <w:pPr>
        <w:widowControl w:val="0"/>
        <w:spacing w:after="120"/>
        <w:ind w:left="720" w:right="720"/>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rsidR="0078310B" w:rsidRDefault="0078310B" w:rsidP="0078310B">
      <w:pPr>
        <w:widowControl w:val="0"/>
        <w:ind w:left="720" w:right="720"/>
        <w:jc w:val="both"/>
      </w:pPr>
      <w:r>
        <w:t>All in all, great achievements from a tax case with an amount in controversy that totaled exactly $296.70.</w:t>
      </w:r>
      <w:r>
        <w:rPr>
          <w:rStyle w:val="FootnoteReference"/>
        </w:rPr>
        <w:footnoteReference w:id="38"/>
      </w:r>
    </w:p>
    <w:p w:rsidR="0078310B" w:rsidRDefault="0078310B" w:rsidP="0078310B">
      <w:pPr>
        <w:widowControl w:val="0"/>
        <w:sectPr w:rsidR="0078310B" w:rsidSect="005337BA">
          <w:headerReference w:type="even" r:id="rId22"/>
          <w:headerReference w:type="default" r:id="rId23"/>
          <w:footerReference w:type="even" r:id="rId24"/>
          <w:headerReference w:type="first" r:id="rId25"/>
          <w:footerReference w:type="first" r:id="rId26"/>
          <w:footnotePr>
            <w:numRestart w:val="eachSect"/>
          </w:footnotePr>
          <w:type w:val="continuous"/>
          <w:pgSz w:w="12240" w:h="15840" w:code="1"/>
          <w:pgMar w:top="1440" w:right="1440" w:bottom="1440" w:left="1440" w:header="1008" w:footer="720" w:gutter="0"/>
          <w:pgNumType w:fmt="lowerRoman"/>
          <w:cols w:space="720"/>
          <w:titlePg/>
          <w:docGrid w:linePitch="360"/>
        </w:sectPr>
      </w:pPr>
    </w:p>
    <w:p w:rsidR="0078310B" w:rsidRDefault="0078310B" w:rsidP="0078310B">
      <w:pPr>
        <w:widowControl w:val="0"/>
        <w:sectPr w:rsidR="0078310B" w:rsidSect="005337BA">
          <w:headerReference w:type="default" r:id="rId27"/>
          <w:footerReference w:type="default" r:id="rId28"/>
          <w:footerReference w:type="first" r:id="rId29"/>
          <w:footnotePr>
            <w:numRestart w:val="eachSect"/>
          </w:footnotePr>
          <w:pgSz w:w="12240" w:h="15840" w:code="1"/>
          <w:pgMar w:top="1440" w:right="1440" w:bottom="1440" w:left="1440" w:header="1008" w:footer="720" w:gutter="0"/>
          <w:pgNumType w:start="1"/>
          <w:cols w:space="720"/>
          <w:docGrid w:linePitch="360"/>
        </w:sectPr>
      </w:pPr>
    </w:p>
    <w:p w:rsidR="0078310B" w:rsidRDefault="0078310B" w:rsidP="0078310B">
      <w:pPr>
        <w:pStyle w:val="Heading1"/>
        <w:spacing w:before="0"/>
        <w:rPr>
          <w:sz w:val="40"/>
          <w:szCs w:val="40"/>
          <w:u w:val="none"/>
        </w:rPr>
      </w:pPr>
      <w:bookmarkStart w:id="10" w:name="_Toc395790325"/>
      <w:r w:rsidRPr="00EB3A43">
        <w:rPr>
          <w:sz w:val="40"/>
          <w:szCs w:val="40"/>
          <w:u w:val="none"/>
        </w:rPr>
        <w:t>Unit I</w:t>
      </w:r>
      <w:r>
        <w:rPr>
          <w:sz w:val="40"/>
          <w:szCs w:val="40"/>
          <w:u w:val="none"/>
        </w:rPr>
        <w:t>:</w:t>
      </w:r>
    </w:p>
    <w:p w:rsidR="0078310B" w:rsidRPr="00EB3A43" w:rsidRDefault="0078310B" w:rsidP="0078310B">
      <w:pPr>
        <w:rPr>
          <w:sz w:val="36"/>
          <w:szCs w:val="36"/>
        </w:rPr>
      </w:pPr>
    </w:p>
    <w:p w:rsidR="0078310B" w:rsidRPr="00EB3A43" w:rsidRDefault="0078310B" w:rsidP="0078310B">
      <w:pPr>
        <w:pStyle w:val="Heading1"/>
        <w:spacing w:before="0"/>
        <w:rPr>
          <w:sz w:val="36"/>
          <w:szCs w:val="36"/>
          <w:u w:val="none"/>
        </w:rPr>
      </w:pPr>
      <w:r w:rsidRPr="00EB3A43">
        <w:rPr>
          <w:sz w:val="36"/>
          <w:szCs w:val="36"/>
          <w:u w:val="none"/>
        </w:rPr>
        <w:t xml:space="preserve">The Core Structures of Income </w:t>
      </w:r>
    </w:p>
    <w:p w:rsidR="0078310B" w:rsidRPr="005125AE" w:rsidRDefault="0078310B" w:rsidP="0078310B">
      <w:pPr>
        <w:pStyle w:val="Heading1"/>
        <w:spacing w:before="0"/>
      </w:pPr>
      <w:r w:rsidRPr="00EB3A43">
        <w:rPr>
          <w:sz w:val="36"/>
          <w:szCs w:val="36"/>
        </w:rPr>
        <w:t>and Consumption Taxation and Tax Policy</w:t>
      </w:r>
      <w:bookmarkEnd w:id="10"/>
    </w:p>
    <w:p w:rsidR="0078310B" w:rsidRPr="00EB3A43" w:rsidRDefault="0078310B" w:rsidP="0078310B">
      <w:pPr>
        <w:widowControl w:val="0"/>
        <w:spacing w:after="120"/>
        <w:jc w:val="center"/>
        <w:rPr>
          <w:b/>
        </w:rPr>
      </w:pPr>
    </w:p>
    <w:p w:rsidR="0078310B" w:rsidRDefault="0078310B" w:rsidP="0078310B">
      <w:pPr>
        <w:pStyle w:val="Heading2"/>
        <w:spacing w:before="0"/>
        <w:rPr>
          <w:b w:val="0"/>
        </w:rPr>
      </w:pPr>
      <w:bookmarkStart w:id="11" w:name="_Toc395790326"/>
      <w:r w:rsidRPr="00810CB1">
        <w:rPr>
          <w:u w:val="single"/>
        </w:rPr>
        <w:t>Introduction to Chapters 1 through 4</w:t>
      </w:r>
      <w:bookmarkEnd w:id="11"/>
    </w:p>
    <w:p w:rsidR="0078310B" w:rsidRPr="00571A54" w:rsidRDefault="0078310B" w:rsidP="0078310B"/>
    <w:p w:rsidR="0078310B" w:rsidRDefault="0078310B" w:rsidP="0078310B">
      <w:pPr>
        <w:widowControl w:val="0"/>
        <w:spacing w:after="120"/>
        <w:ind w:firstLine="288"/>
        <w:jc w:val="both"/>
      </w:pPr>
      <w:r>
        <w:t>Taxation is the means by which all governments, including our Federal government, raise revenue to pay for the costs of government, including the military, infrastructure, court system, Federal agencies, Medicare, Social Security, basic research that the private sector cannot accommoda</w:t>
      </w:r>
      <w:r w:rsidR="00D26980">
        <w:t>te</w:t>
      </w:r>
      <w:r>
        <w:t xml:space="preserv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rsidR="0078310B" w:rsidRDefault="0078310B" w:rsidP="0078310B">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rsidR="0078310B" w:rsidRPr="00775B7F" w:rsidRDefault="0078310B" w:rsidP="0078310B">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consumption—and not amounts saved. </w:t>
      </w:r>
    </w:p>
    <w:p w:rsidR="0078310B" w:rsidRDefault="0078310B" w:rsidP="0078310B">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rsidR="0078310B" w:rsidRPr="00633E63" w:rsidRDefault="0078310B" w:rsidP="0078310B">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regarding how to tax, say, multinational corporations affect not only the shareholders of multinational corporations (and their workers) but also the barista at the local coffee shop. </w:t>
      </w:r>
    </w:p>
    <w:p w:rsidR="0078310B" w:rsidRPr="006866FB" w:rsidRDefault="0078310B" w:rsidP="0078310B">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(and thus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rsidR="0078310B" w:rsidRDefault="0078310B" w:rsidP="0078310B">
      <w:pPr>
        <w:widowControl w:val="0"/>
        <w:spacing w:after="120"/>
        <w:ind w:firstLine="288"/>
        <w:jc w:val="both"/>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ectPr w:rsidR="0078310B" w:rsidSect="005337BA">
          <w:headerReference w:type="default" r:id="rId30"/>
          <w:footerReference w:type="default" r:id="rId31"/>
          <w:footnotePr>
            <w:numRestart w:val="eachSect"/>
          </w:footnotePr>
          <w:type w:val="continuous"/>
          <w:pgSz w:w="12240" w:h="15840" w:code="1"/>
          <w:pgMar w:top="1440" w:right="1440" w:bottom="1440" w:left="1440" w:header="1008" w:footer="720" w:gutter="0"/>
          <w:pgNumType w:start="1"/>
          <w:cols w:space="720"/>
          <w:titlePg/>
          <w:docGrid w:linePitch="360"/>
        </w:sectPr>
      </w:pPr>
    </w:p>
    <w:p w:rsidR="0078310B" w:rsidRDefault="0078310B" w:rsidP="0078310B">
      <w:pPr>
        <w:widowControl w:val="0"/>
        <w:sectPr w:rsidR="0078310B" w:rsidSect="005337BA">
          <w:footnotePr>
            <w:numRestart w:val="eachSect"/>
          </w:footnotePr>
          <w:pgSz w:w="12240" w:h="15840" w:code="1"/>
          <w:pgMar w:top="1440" w:right="1440" w:bottom="1440" w:left="1440" w:header="1008" w:footer="720" w:gutter="0"/>
          <w:pgNumType w:fmt="lowerRoman"/>
          <w:cols w:space="720"/>
          <w:titlePg/>
          <w:docGrid w:linePitch="360"/>
        </w:sectPr>
      </w:pPr>
    </w:p>
    <w:p w:rsidR="0078310B" w:rsidRPr="00EB3A43" w:rsidRDefault="0078310B" w:rsidP="0078310B">
      <w:pPr>
        <w:pStyle w:val="Heading2"/>
        <w:spacing w:before="0"/>
        <w:rPr>
          <w:sz w:val="36"/>
          <w:szCs w:val="36"/>
          <w:u w:val="single"/>
        </w:rPr>
      </w:pPr>
      <w:bookmarkStart w:id="12" w:name="_Toc395790327"/>
      <w:r w:rsidRPr="00EB3A43">
        <w:rPr>
          <w:sz w:val="36"/>
          <w:szCs w:val="36"/>
          <w:u w:val="single"/>
        </w:rPr>
        <w:t>Chapter 1: The Essential Structure of the Income Tax</w:t>
      </w:r>
      <w:bookmarkEnd w:id="12"/>
    </w:p>
    <w:p w:rsidR="0078310B" w:rsidRPr="00F3672D" w:rsidRDefault="0078310B" w:rsidP="0078310B">
      <w:pPr>
        <w:widowControl w:val="0"/>
        <w:spacing w:after="120"/>
        <w:jc w:val="both"/>
      </w:pPr>
    </w:p>
    <w:p w:rsidR="0078310B" w:rsidRDefault="0078310B" w:rsidP="0078310B">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theory. </w:t>
      </w:r>
    </w:p>
    <w:p w:rsidR="0078310B" w:rsidRDefault="0078310B" w:rsidP="0078310B">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given precedence over others), and (3) the difference between marginal tax rates and effective tax rates.</w:t>
      </w:r>
    </w:p>
    <w:p w:rsidR="0078310B" w:rsidRDefault="0078310B" w:rsidP="0078310B">
      <w:pPr>
        <w:widowControl w:val="0"/>
        <w:ind w:firstLine="288"/>
        <w:jc w:val="both"/>
      </w:pPr>
    </w:p>
    <w:p w:rsidR="0078310B" w:rsidRPr="00EB3A43" w:rsidRDefault="0078310B" w:rsidP="0078310B">
      <w:pPr>
        <w:pStyle w:val="Heading2"/>
        <w:spacing w:before="0"/>
        <w:rPr>
          <w:sz w:val="32"/>
          <w:szCs w:val="32"/>
        </w:rPr>
      </w:pPr>
      <w:bookmarkStart w:id="13" w:name="_Toc395790328"/>
      <w:r w:rsidRPr="00EB3A43">
        <w:rPr>
          <w:sz w:val="32"/>
          <w:szCs w:val="32"/>
        </w:rPr>
        <w:t xml:space="preserve">A. The theoretical core structure of a tax on </w:t>
      </w:r>
    </w:p>
    <w:p w:rsidR="0078310B" w:rsidRPr="00EB3A43" w:rsidRDefault="0078310B" w:rsidP="0078310B">
      <w:pPr>
        <w:pStyle w:val="Heading2"/>
        <w:spacing w:before="0"/>
        <w:rPr>
          <w:sz w:val="32"/>
          <w:szCs w:val="32"/>
          <w:u w:val="single"/>
        </w:rPr>
      </w:pPr>
      <w:r w:rsidRPr="00EB3A43">
        <w:rPr>
          <w:sz w:val="32"/>
          <w:szCs w:val="32"/>
          <w:u w:val="single"/>
        </w:rPr>
        <w:t>“income” and how it is implemented in positive law</w:t>
      </w:r>
      <w:bookmarkEnd w:id="13"/>
    </w:p>
    <w:p w:rsidR="0078310B" w:rsidRPr="00C30BB4" w:rsidRDefault="0078310B" w:rsidP="0078310B">
      <w:pPr>
        <w:widowControl w:val="0"/>
        <w:jc w:val="both"/>
      </w:pPr>
    </w:p>
    <w:p w:rsidR="0078310B" w:rsidRDefault="0078310B" w:rsidP="0078310B">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rsidR="0078310B" w:rsidRDefault="0078310B" w:rsidP="0078310B">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rsidR="0078310B" w:rsidRDefault="0078310B" w:rsidP="0078310B">
      <w:pPr>
        <w:widowControl w:val="0"/>
        <w:spacing w:after="120"/>
        <w:ind w:firstLine="288"/>
        <w:jc w:val="both"/>
      </w:pPr>
      <w:r>
        <w:t xml:space="preserve">Under trust law at the time, the rent collected from the tenant farmers would be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w:t>
      </w:r>
      <w:r w:rsidR="003F5530">
        <w:t xml:space="preserve">some continue to argue that such </w:t>
      </w:r>
      <w:r>
        <w:t>profit should not be taxed. Stay tuned.)</w:t>
      </w:r>
    </w:p>
    <w:p w:rsidR="0078310B" w:rsidRPr="0037107F" w:rsidRDefault="0078310B" w:rsidP="0078310B">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rsidR="0078310B" w:rsidRDefault="0078310B" w:rsidP="0078310B">
      <w:pPr>
        <w:widowControl w:val="0"/>
        <w:spacing w:after="120"/>
        <w:ind w:firstLine="288"/>
        <w:jc w:val="both"/>
      </w:pPr>
      <w:r>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rsidR="0078310B" w:rsidRPr="00A30F2F" w:rsidRDefault="0078310B" w:rsidP="0078310B">
      <w:pPr>
        <w:widowControl w:val="0"/>
        <w:spacing w:after="120"/>
        <w:ind w:left="720" w:right="720"/>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39"/>
      </w:r>
    </w:p>
    <w:p w:rsidR="0078310B" w:rsidRDefault="0078310B" w:rsidP="0078310B">
      <w:pPr>
        <w:widowControl w:val="0"/>
        <w:spacing w:after="120"/>
        <w:jc w:val="both"/>
      </w:pPr>
      <w:r>
        <w:t xml:space="preserve">While “the period in question” could theoretically be one’s entire life, with no tax due until death, for administrative ease (and the regular collection of tax) the “period in question” is usually one year. </w:t>
      </w:r>
    </w:p>
    <w:p w:rsidR="0078310B" w:rsidRDefault="0078310B" w:rsidP="0078310B">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rsidR="0078310B" w:rsidRDefault="0078310B" w:rsidP="0078310B">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rsidR="0078310B" w:rsidRDefault="0078310B" w:rsidP="0078310B">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rsidR="0078310B" w:rsidRDefault="0078310B" w:rsidP="0078310B">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SHS income.</w:t>
      </w:r>
    </w:p>
    <w:p w:rsidR="0078310B" w:rsidRDefault="0078310B" w:rsidP="0078310B">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 xml:space="preserve">Internal Revenue Code. As mentioned above, the idea is to </w:t>
      </w:r>
      <w:r w:rsidRPr="00FC1C5D">
        <w:t>demys</w:t>
      </w:r>
      <w:r>
        <w:t xml:space="preserve">tify the Code: a lot of what is </w:t>
      </w:r>
      <w:r w:rsidRPr="00FC1C5D">
        <w:t>in the Code—</w:t>
      </w:r>
      <w:r w:rsidRPr="00EE6D38">
        <w:t xml:space="preserve">at least with the respect to its </w:t>
      </w:r>
      <w:r>
        <w:t xml:space="preserve">normative, </w:t>
      </w:r>
      <w:r w:rsidRPr="00EE6D38">
        <w:t xml:space="preserve">core provisions </w:t>
      </w:r>
      <w:r>
        <w:t xml:space="preserve">(those that seek to properly measure “income” as a theoretical matter) as opposed to </w:t>
      </w:r>
      <w:r w:rsidRPr="00EE6D38">
        <w:t>all the bells and whistles that then clutter it up—</w:t>
      </w:r>
      <w:r w:rsidRPr="00FC1C5D">
        <w:t xml:space="preserve">is what you would expect to find there, once you understand the underlying </w:t>
      </w:r>
      <w:r>
        <w:t xml:space="preserve">normative </w:t>
      </w:r>
      <w:r w:rsidRPr="00FC1C5D">
        <w:t>concepts</w:t>
      </w:r>
      <w:r>
        <w:t xml:space="preserve"> that define an income tax. This exercise not only helps to rationalize the core structure of an income tax for you; the best tax lawyers are those whose knowledge of the underlying core concepts helps them to advise a client on the likely outcome when positive law is ambiguous.</w:t>
      </w:r>
    </w:p>
    <w:p w:rsidR="0078310B" w:rsidRDefault="0078310B" w:rsidP="0078310B">
      <w:pPr>
        <w:widowControl w:val="0"/>
        <w:spacing w:after="120"/>
        <w:ind w:left="720" w:right="720"/>
        <w:jc w:val="both"/>
        <w:rPr>
          <w:b/>
        </w:rPr>
      </w:pPr>
      <w:r w:rsidRPr="00202006">
        <w:rPr>
          <w:b/>
        </w:rPr>
        <w:t>John and Mary are married and have two minor children, Oliver (age 1</w:t>
      </w:r>
      <w:r>
        <w:rPr>
          <w:b/>
        </w:rPr>
        <w:t>0) and Sophie (age 7). Mary is the CEO of a mid-size corporation and receives an annual salary of $1 million. John is a dentist and the sole owner of an LLC that houses his dental practice</w:t>
      </w:r>
      <w:r w:rsidRPr="00202006">
        <w:rPr>
          <w:b/>
        </w:rPr>
        <w:t xml:space="preserve">. </w:t>
      </w:r>
      <w:r>
        <w:rPr>
          <w:b/>
        </w:rPr>
        <w:t>As described in the Introduction, a single-owner LLC is a disregarded entity for Federal income tax purposes, which means that its Gross Income and any allowable deductions will appear on John’s and Mary’s joint income tax return.</w:t>
      </w:r>
      <w:r>
        <w:rPr>
          <w:rStyle w:val="FootnoteReference"/>
          <w:b/>
        </w:rPr>
        <w:footnoteReference w:id="40"/>
      </w:r>
    </w:p>
    <w:p w:rsidR="0078310B" w:rsidRPr="00202006" w:rsidRDefault="0078310B" w:rsidP="0078310B">
      <w:pPr>
        <w:widowControl w:val="0"/>
        <w:spacing w:after="120"/>
        <w:ind w:left="720" w:right="720"/>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rsidR="0078310B" w:rsidRPr="002B301F" w:rsidRDefault="0078310B" w:rsidP="0078310B">
      <w:pPr>
        <w:widowControl w:val="0"/>
        <w:spacing w:after="120"/>
        <w:ind w:left="720" w:right="720"/>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rsidR="0078310B" w:rsidRDefault="0078310B" w:rsidP="0078310B">
      <w:pPr>
        <w:widowControl w:val="0"/>
        <w:spacing w:after="120"/>
        <w:ind w:left="720" w:right="720"/>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rsidR="0078310B" w:rsidRPr="002B301F" w:rsidRDefault="0078310B" w:rsidP="0078310B">
      <w:pPr>
        <w:widowControl w:val="0"/>
        <w:spacing w:after="120"/>
        <w:ind w:left="720" w:right="720"/>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rsidR="0078310B" w:rsidRPr="002B301F" w:rsidRDefault="0078310B" w:rsidP="0078310B">
      <w:pPr>
        <w:widowControl w:val="0"/>
        <w:spacing w:after="120"/>
        <w:ind w:firstLine="288"/>
        <w:jc w:val="both"/>
      </w:pPr>
      <w:r w:rsidRPr="002B301F">
        <w:t xml:space="preserve">Turning for a moment to positive </w:t>
      </w:r>
      <w:r>
        <w:t xml:space="preserve">law, </w:t>
      </w:r>
      <w:r w:rsidRPr="002B301F">
        <w:t xml:space="preserve">look at </w:t>
      </w:r>
      <w:hyperlink r:id="rId32" w:history="1">
        <w:r w:rsidRPr="00E006AC">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rsidR="0078310B" w:rsidRDefault="0078310B" w:rsidP="0078310B">
      <w:pPr>
        <w:widowControl w:val="0"/>
        <w:spacing w:after="120"/>
        <w:ind w:firstLine="288"/>
        <w:jc w:val="both"/>
      </w:pPr>
      <w:r>
        <w:t xml:space="preserve">For now, Taxable Income </w:t>
      </w:r>
      <w:r w:rsidRPr="002B301F">
        <w:t>is “</w:t>
      </w:r>
      <w:r>
        <w:t>Gross Income</w:t>
      </w:r>
      <w:r w:rsidRPr="002B301F">
        <w:t xml:space="preserve">” less </w:t>
      </w:r>
      <w:r>
        <w:t>allowable “</w:t>
      </w:r>
      <w:r w:rsidRPr="002B301F">
        <w:t>deductions.</w:t>
      </w:r>
      <w:r>
        <w:t xml:space="preserve">” Gross Income pertains to a </w:t>
      </w:r>
      <w:r w:rsidRPr="00977CA3">
        <w:rPr>
          <w:i/>
        </w:rPr>
        <w:t>wealth increase</w:t>
      </w:r>
      <w:r>
        <w:t xml:space="preserve">, whereas deductions pertain to certain </w:t>
      </w:r>
      <w:r>
        <w:rPr>
          <w:i/>
        </w:rPr>
        <w:t xml:space="preserve">wealth </w:t>
      </w:r>
      <w:r w:rsidRPr="00D55EA3">
        <w:rPr>
          <w:i/>
        </w:rPr>
        <w:t>reductions</w:t>
      </w:r>
      <w:r>
        <w:t xml:space="preserve">.  </w:t>
      </w:r>
    </w:p>
    <w:p w:rsidR="0078310B" w:rsidRDefault="0078310B" w:rsidP="0078310B">
      <w:pPr>
        <w:widowControl w:val="0"/>
        <w:jc w:val="both"/>
      </w:pPr>
      <w:r>
        <w:t xml:space="preserve">                                    Gross Income (wealth increases)</w:t>
      </w:r>
    </w:p>
    <w:p w:rsidR="0078310B" w:rsidRPr="005D3907" w:rsidRDefault="0078310B" w:rsidP="0078310B">
      <w:pPr>
        <w:widowControl w:val="0"/>
        <w:spacing w:after="120"/>
        <w:jc w:val="both"/>
      </w:pPr>
      <w:r>
        <w:t xml:space="preserve">                            </w:t>
      </w:r>
      <w:r>
        <w:rPr>
          <w:i/>
        </w:rPr>
        <w:t>Less</w:t>
      </w:r>
      <w:r>
        <w:t xml:space="preserve"> </w:t>
      </w:r>
      <w:r w:rsidRPr="005D3907">
        <w:rPr>
          <w:u w:val="single"/>
        </w:rPr>
        <w:t>Deductions</w:t>
      </w:r>
      <w:r>
        <w:t xml:space="preserve"> (certain wealth reductions)</w:t>
      </w:r>
    </w:p>
    <w:p w:rsidR="0078310B" w:rsidRDefault="0078310B" w:rsidP="0078310B">
      <w:pPr>
        <w:widowControl w:val="0"/>
        <w:spacing w:before="120" w:after="120"/>
        <w:jc w:val="both"/>
      </w:pPr>
      <w:r>
        <w:t xml:space="preserve">                                    Taxable Income (the tax base—what is ultimately taxed)</w:t>
      </w:r>
    </w:p>
    <w:p w:rsidR="0078310B" w:rsidRPr="009912DA" w:rsidRDefault="0078310B" w:rsidP="0078310B">
      <w:pPr>
        <w:pStyle w:val="Heading3"/>
        <w:spacing w:before="0" w:beforeAutospacing="0" w:after="120" w:afterAutospacing="0"/>
        <w:rPr>
          <w:i/>
        </w:rPr>
      </w:pPr>
      <w:bookmarkStart w:id="14" w:name="_Toc395790329"/>
      <w:r w:rsidRPr="009912DA">
        <w:rPr>
          <w:i/>
        </w:rPr>
        <w:t>Introduction to § 61 “Gross Income”</w:t>
      </w:r>
      <w:bookmarkEnd w:id="14"/>
      <w:r w:rsidRPr="009912DA">
        <w:rPr>
          <w:i/>
        </w:rPr>
        <w:t xml:space="preserve"> </w:t>
      </w:r>
    </w:p>
    <w:p w:rsidR="0078310B" w:rsidRDefault="0078310B" w:rsidP="0078310B">
      <w:pPr>
        <w:widowControl w:val="0"/>
        <w:spacing w:after="120"/>
        <w:ind w:firstLine="288"/>
        <w:jc w:val="both"/>
      </w:pPr>
      <w:r>
        <w:t xml:space="preserve">Gross Income under the Code is defined in </w:t>
      </w:r>
      <w:hyperlink r:id="rId33" w:history="1">
        <w:r w:rsidRPr="004D4AC4">
          <w:rPr>
            <w:rStyle w:val="Hyperlink"/>
          </w:rPr>
          <w:t>§ 61</w:t>
        </w:r>
      </w:hyperlink>
      <w:r>
        <w:t xml:space="preserve">: “Gross Income means </w:t>
      </w:r>
      <w:r w:rsidR="005475AE">
        <w:t xml:space="preserve">all </w:t>
      </w:r>
      <w:r>
        <w:t xml:space="preserve">income from whatever source derived, including (but not limited to)” fifteen listed items. Notice how open-ended it is (even circular, by referencing “income” in defining “Gross Income”). Notice also that the fifteen listed items do not exhaust the outer reaches of Gross Income because Congress included that crucial parenthetical: “(but not limited to).” In other words, Congress clearly contemplated that items of Gross Income exist in the world that are not specifically found in that list of fifteen items. In Chapter 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rsidR="0078310B" w:rsidRDefault="0078310B" w:rsidP="0078310B">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rsidR="0078310B" w:rsidRDefault="0078310B" w:rsidP="0078310B">
      <w:pPr>
        <w:widowControl w:val="0"/>
        <w:spacing w:after="120"/>
        <w:ind w:firstLine="288"/>
        <w:jc w:val="both"/>
      </w:pPr>
      <w:r>
        <w:t xml:space="preserve">So let’s return to Mary and John. Mary’s $1 million in wages is clearly listed in § 61(a)(1) and thus is clearly includable in Gross Income, as is true for the interest generated by their savings account and the rent that they receive from their tenant farmers. The $500,000 that John receives from his patients for performing dental services is also described in § 61(a)(1) or § 61(a)(2) (“Gross Income derived from business”), as this amount constitutes fees for services that he performs for his patients in his sole proprietor business. </w:t>
      </w:r>
    </w:p>
    <w:p w:rsidR="0078310B" w:rsidRPr="00F170E8" w:rsidRDefault="0078310B" w:rsidP="0078310B">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actually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rsidR="0078310B" w:rsidRDefault="0078310B" w:rsidP="0078310B">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and should include that $10,000 in the tax base.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4" w:history="1">
        <w:r w:rsidRPr="00D670CE">
          <w:rPr>
            <w:rStyle w:val="Hyperlink"/>
          </w:rPr>
          <w:t>§ 102</w:t>
        </w:r>
      </w:hyperlink>
      <w:r w:rsidRPr="00D670CE">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rsidRPr="00E85F5D">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does not enter into</w:t>
      </w:r>
      <w:r w:rsidRPr="00A56399">
        <w:rPr>
          <w:b/>
        </w:rPr>
        <w:t xml:space="preserve"> </w:t>
      </w:r>
      <w:r>
        <w:rPr>
          <w:b/>
        </w:rPr>
        <w:t>§ 61 Gross Income.</w:t>
      </w:r>
      <w:r>
        <w:t xml:space="preserve"> The “whys” and “wherefores” will have to wait. </w:t>
      </w:r>
    </w:p>
    <w:p w:rsidR="0078310B" w:rsidRPr="00A56399" w:rsidRDefault="0078310B" w:rsidP="0078310B">
      <w:pPr>
        <w:widowControl w:val="0"/>
        <w:spacing w:after="120"/>
        <w:ind w:firstLine="288"/>
        <w:jc w:val="both"/>
      </w:pPr>
      <w:r>
        <w:t xml:space="preserve">So we can amend our little formula from above. </w:t>
      </w:r>
    </w:p>
    <w:p w:rsidR="0078310B" w:rsidRDefault="0078310B" w:rsidP="0078310B">
      <w:pPr>
        <w:widowControl w:val="0"/>
        <w:jc w:val="both"/>
      </w:pPr>
      <w:r>
        <w:t xml:space="preserve">                                        Gross Income (wealth increases: </w:t>
      </w:r>
      <w:r>
        <w:rPr>
          <w:b/>
        </w:rPr>
        <w:t>exclusion available?</w:t>
      </w:r>
      <w:r>
        <w:t>)</w:t>
      </w:r>
    </w:p>
    <w:p w:rsidR="0078310B" w:rsidRPr="005D3907" w:rsidRDefault="0078310B" w:rsidP="0078310B">
      <w:pPr>
        <w:widowControl w:val="0"/>
        <w:spacing w:after="120"/>
        <w:jc w:val="both"/>
      </w:pPr>
      <w:r>
        <w:t xml:space="preserve">                                </w:t>
      </w:r>
      <w:r>
        <w:rPr>
          <w:i/>
        </w:rPr>
        <w:t>Less</w:t>
      </w:r>
      <w:r>
        <w:t xml:space="preserve"> </w:t>
      </w:r>
      <w:r w:rsidRPr="005D3907">
        <w:rPr>
          <w:u w:val="single"/>
        </w:rPr>
        <w:t>Deductions</w:t>
      </w:r>
      <w:r>
        <w:t xml:space="preserve"> (certain wealth reductions)</w:t>
      </w:r>
    </w:p>
    <w:p w:rsidR="0078310B" w:rsidRPr="005D3907" w:rsidRDefault="0078310B" w:rsidP="0078310B">
      <w:pPr>
        <w:widowControl w:val="0"/>
        <w:spacing w:before="120" w:after="120"/>
        <w:jc w:val="both"/>
      </w:pPr>
      <w:r>
        <w:t xml:space="preserve">                                        Taxable Income (the tax base—what is ultimately taxed)</w:t>
      </w:r>
    </w:p>
    <w:p w:rsidR="0078310B" w:rsidRDefault="0078310B" w:rsidP="0078310B">
      <w:pPr>
        <w:widowControl w:val="0"/>
        <w:spacing w:after="120"/>
        <w:jc w:val="both"/>
      </w:pPr>
      <w:r>
        <w:t xml:space="preserve">Notice that “exclusion” is not the same thing as “deduction.” Although both have the same economic effect of reducing the tax base (what is ultimately taxed), one (exclusions) pertain to 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 from Gross Income in reaching Taxable Income.</w:t>
      </w:r>
    </w:p>
    <w:p w:rsidR="0078310B" w:rsidRPr="009912DA" w:rsidRDefault="0078310B" w:rsidP="0078310B">
      <w:pPr>
        <w:pStyle w:val="Heading3"/>
        <w:spacing w:before="0" w:beforeAutospacing="0" w:after="120" w:afterAutospacing="0"/>
        <w:rPr>
          <w:i/>
          <w:sz w:val="32"/>
          <w:szCs w:val="32"/>
          <w:u w:val="single"/>
        </w:rPr>
      </w:pPr>
      <w:bookmarkStart w:id="15" w:name="_Toc395790330"/>
      <w:r w:rsidRPr="009912DA">
        <w:rPr>
          <w:i/>
        </w:rPr>
        <w:t>Deductions (part 1): nondeductible “capital expenditures” vs. potentially deductible “expenses”</w:t>
      </w:r>
      <w:bookmarkEnd w:id="15"/>
      <w:r w:rsidRPr="009912DA">
        <w:rPr>
          <w:i/>
          <w:sz w:val="32"/>
          <w:szCs w:val="32"/>
          <w:u w:val="single"/>
        </w:rPr>
        <w:t xml:space="preserve">                                              </w:t>
      </w:r>
    </w:p>
    <w:p w:rsidR="0078310B" w:rsidRDefault="0078310B" w:rsidP="0078310B">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rsidR="0078310B" w:rsidRDefault="0078310B" w:rsidP="0078310B">
      <w:pPr>
        <w:widowControl w:val="0"/>
        <w:spacing w:after="120"/>
        <w:ind w:firstLine="288"/>
        <w:jc w:val="both"/>
      </w:pPr>
      <w:r>
        <w:t>Recall our restatement of the SHS conception of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rsidR="0078310B" w:rsidRDefault="0078310B" w:rsidP="0078310B">
      <w:pPr>
        <w:widowControl w:val="0"/>
        <w:spacing w:after="120"/>
        <w:ind w:left="720" w:right="720"/>
        <w:jc w:val="both"/>
        <w:rPr>
          <w:b/>
        </w:rPr>
      </w:pPr>
      <w:r>
        <w:rPr>
          <w:b/>
        </w:rPr>
        <w:t xml:space="preserve">To be deductible under SHS principles, </w:t>
      </w:r>
    </w:p>
    <w:p w:rsidR="0078310B" w:rsidRDefault="0078310B" w:rsidP="0078310B">
      <w:pPr>
        <w:widowControl w:val="0"/>
        <w:spacing w:after="120"/>
        <w:ind w:left="720" w:right="720"/>
        <w:jc w:val="both"/>
        <w:rPr>
          <w:b/>
          <w:i/>
        </w:rPr>
      </w:pPr>
      <w:r>
        <w:rPr>
          <w:b/>
        </w:rPr>
        <w:t xml:space="preserve">(1) the outlay or event must decrease wealth; </w:t>
      </w:r>
      <w:r>
        <w:rPr>
          <w:b/>
          <w:i/>
        </w:rPr>
        <w:t xml:space="preserve">AND </w:t>
      </w:r>
    </w:p>
    <w:p w:rsidR="0078310B" w:rsidRDefault="0078310B" w:rsidP="0078310B">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rsidR="0078310B" w:rsidRDefault="0078310B" w:rsidP="0078310B">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Thus, their cash outlay to purchase the land should not generate a deduction (reducing their Gross Income in reaching Taxable Income).</w:t>
      </w:r>
    </w:p>
    <w:p w:rsidR="0078310B" w:rsidRPr="00EC758C" w:rsidRDefault="0078310B" w:rsidP="0078310B">
      <w:pPr>
        <w:widowControl w:val="0"/>
        <w:spacing w:after="120"/>
        <w:ind w:firstLine="288"/>
        <w:jc w:val="both"/>
      </w:pPr>
      <w:r>
        <w:t xml:space="preserve">In general, the nomenclature for an outlay that does not </w:t>
      </w:r>
      <w:r>
        <w:rPr>
          <w:i/>
        </w:rPr>
        <w:t xml:space="preserve">reduce </w:t>
      </w:r>
      <w:r>
        <w:t xml:space="preserve">wealth but rather merely </w:t>
      </w:r>
      <w:r w:rsidRPr="00EC758C">
        <w:rPr>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Pr>
          <w:i/>
        </w:rPr>
        <w:t>immediately reduces wealth</w:t>
      </w:r>
      <w:r>
        <w:t xml:space="preserve">. In other words, a capital expenditure is the opposite of an expense (and vice versa). Notice, by the way, that “expense” is thus a defined word of tax art. You must not make the mistake of using the word casually to mean any old outlay, even though the word “expense” is common and used outside of tax every day (whereas “capital expenditure” rarely comes up in casual conversation). </w:t>
      </w:r>
    </w:p>
    <w:p w:rsidR="0078310B" w:rsidRPr="007632CB" w:rsidRDefault="0078310B" w:rsidP="0078310B">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deduction” and satisfy each and every requirement contained in that Code section. Even if you satisfy this Code section, you must then consider whether another, different Code section steps in to take away an “otherwise allowable” deduction.</w:t>
      </w:r>
      <w:r w:rsidRPr="007632CB">
        <w:rPr>
          <w:b/>
        </w:rPr>
        <w:t xml:space="preserve"> </w:t>
      </w:r>
    </w:p>
    <w:p w:rsidR="0078310B" w:rsidRDefault="0078310B" w:rsidP="0078310B">
      <w:pPr>
        <w:widowControl w:val="0"/>
        <w:spacing w:after="120"/>
        <w:ind w:firstLine="288"/>
        <w:jc w:val="both"/>
      </w:pPr>
      <w:r>
        <w:t xml:space="preserve">Is there a Code section that says “there shall be allowed a deduction for capital expenditures”? No, there is not. Indeed, </w:t>
      </w:r>
      <w:hyperlink r:id="rId35" w:history="1">
        <w:r w:rsidRPr="006D6FEA">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rsidR="0078310B" w:rsidRDefault="0078310B" w:rsidP="0078310B">
      <w:pPr>
        <w:widowControl w:val="0"/>
        <w:spacing w:after="120"/>
        <w:ind w:firstLine="288"/>
        <w:jc w:val="both"/>
      </w:pPr>
      <w:r>
        <w:t>For examp</w:t>
      </w:r>
      <w:r w:rsidR="00C87B4A">
        <w:t xml:space="preserve">le, take a sneak peek at </w:t>
      </w:r>
      <w:hyperlink r:id="rId36" w:history="1">
        <w:r w:rsidRPr="00025269">
          <w:rPr>
            <w:rStyle w:val="Hyperlink"/>
          </w:rPr>
          <w:t>Treas. Reg. § 1.263(a)-2</w:t>
        </w:r>
      </w:hyperlink>
      <w:r w:rsidRPr="00025269">
        <w:t>(d)</w:t>
      </w:r>
      <w:r>
        <w:t>(1)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rsidR="0078310B" w:rsidRDefault="0078310B" w:rsidP="0078310B">
      <w:pPr>
        <w:widowControl w:val="0"/>
        <w:spacing w:after="120"/>
        <w:ind w:firstLine="288"/>
        <w:jc w:val="both"/>
      </w:pPr>
      <w:r>
        <w:t>Thus, 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and they cannot deduct the purchase price of their new personal residence. None of these outlays reduce Joh</w:t>
      </w:r>
      <w:r w:rsidR="00EF7EDE">
        <w:t xml:space="preserve">n’s and Mary’s wealth immediately </w:t>
      </w:r>
      <w:r>
        <w:t xml:space="preserve">but rather merely change the form in which they hold their wealth. </w:t>
      </w:r>
    </w:p>
    <w:p w:rsidR="0078310B" w:rsidRDefault="0078310B" w:rsidP="0078310B">
      <w:pPr>
        <w:widowControl w:val="0"/>
        <w:spacing w:after="120"/>
        <w:ind w:firstLine="288"/>
        <w:jc w:val="both"/>
      </w:pPr>
      <w:r>
        <w:t>The same would have been true if they had decided to purchase shares of corporate stock (intangible property) instead of land, equipment, or a personal residence (tan</w:t>
      </w:r>
      <w:r w:rsidR="00C87B4A">
        <w:t xml:space="preserve">gible property). Look at </w:t>
      </w:r>
      <w:hyperlink r:id="rId37" w:history="1">
        <w:r w:rsidRPr="00C87B4A">
          <w:rPr>
            <w:rStyle w:val="Hyperlink"/>
          </w:rPr>
          <w:t>Treas. Reg. § 1.263(a)-4</w:t>
        </w:r>
      </w:hyperlink>
      <w:r>
        <w:t xml:space="preserve">(b)(1) and (c)(1)(i). Together, they provide that “a taxpayer must capitalize an amount paid to acquire an intangible,” such as an ownership interest in a corporation, partnership, or limited liability company, among other items. </w:t>
      </w:r>
    </w:p>
    <w:p w:rsidR="0078310B" w:rsidRDefault="0078310B" w:rsidP="0078310B">
      <w:pPr>
        <w:widowControl w:val="0"/>
        <w:spacing w:after="120"/>
        <w:ind w:firstLine="288"/>
        <w:jc w:val="both"/>
      </w:pPr>
      <w:r>
        <w:t>By being denied deductions for the land, dental equipment, and personal residence purchased in Year 1, John and Mary are indirectly taxed on these business, investment, and personal purchases of long-lived property in the year of purchase.</w:t>
      </w:r>
      <w:r w:rsidRPr="00807A97">
        <w:rPr>
          <w:b/>
          <w:i/>
        </w:rPr>
        <w:t xml:space="preserve"> A SHS income tax taxes additions to savings (such as stock purchases, land purchases, purchases of business equipment, purchases of personal residences, additions to a savings account, etc.) by denying deductions </w:t>
      </w:r>
      <w:r>
        <w:rPr>
          <w:b/>
          <w:i/>
        </w:rPr>
        <w:t xml:space="preserve">for these “capital expenditures” </w:t>
      </w:r>
      <w:r w:rsidRPr="00807A97">
        <w:rPr>
          <w:b/>
          <w:i/>
        </w:rPr>
        <w:t>(mere changes in the form in which wealth is held as opposed to a reduction in wealth).</w:t>
      </w:r>
      <w:r>
        <w:t xml:space="preserve"> </w:t>
      </w:r>
    </w:p>
    <w:p w:rsidR="0078310B" w:rsidRPr="001F0A32" w:rsidRDefault="0078310B" w:rsidP="0078310B">
      <w:pPr>
        <w:pStyle w:val="Heading3"/>
        <w:spacing w:before="0" w:beforeAutospacing="0" w:after="120" w:afterAutospacing="0"/>
        <w:rPr>
          <w:i/>
        </w:rPr>
      </w:pPr>
      <w:bookmarkStart w:id="16" w:name="_Toc395790331"/>
      <w:r w:rsidRPr="001F0A32">
        <w:rPr>
          <w:i/>
        </w:rPr>
        <w:t>§ 61(a)(3) “gains derived from dealings in property” and the critical role of “basis”</w:t>
      </w:r>
      <w:bookmarkEnd w:id="16"/>
    </w:p>
    <w:p w:rsidR="0078310B" w:rsidRDefault="0078310B" w:rsidP="0078310B">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rsidR="0078310B" w:rsidRDefault="0078310B" w:rsidP="0078310B">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rsidR="0078310B" w:rsidRDefault="0078310B" w:rsidP="0078310B">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 increase in wealth. Do not make the mistake of thinking that “income” means “cash.” (Notice that the SHS formulation does not mention cash but, rather, asks only whether the taxpayer’s wealth has increased.) Indeed, if Mary is paid her $1 million salary one-half in cash and one-half in shares of corporate stock, the shares of stock usually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rsidR="0078310B" w:rsidRDefault="0078310B" w:rsidP="0078310B">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7A3A20">
        <w:rPr>
          <w:i/>
        </w:rPr>
        <w:t>take each year as it comes</w:t>
      </w:r>
      <w:r>
        <w:t xml:space="preserve">, and the realization principle is a major and important deviation from the annual accounting principle. To be administrable, the tax system must artificially compartmentalize our lives into annual units. Indeed, compensation, interest, rents, </w:t>
      </w:r>
      <w:r>
        <w:rPr>
          <w:i/>
        </w:rPr>
        <w:t>etc</w:t>
      </w:r>
      <w:r>
        <w:t>., are all taxed on an annual basis, whether paid in cash or in kind. Why should increases in property value be different?</w:t>
      </w:r>
    </w:p>
    <w:p w:rsidR="0078310B" w:rsidRDefault="0078310B" w:rsidP="0078310B">
      <w:pPr>
        <w:widowControl w:val="0"/>
        <w:spacing w:after="120"/>
        <w:ind w:firstLine="288"/>
        <w:jc w:val="both"/>
      </w:pPr>
      <w:r>
        <w:t xml:space="preserve">The obvious answer is administrative concerns, as it would be an administrative nightmare for every taxpayer to value each and every piece of property at the beginning and end of each year in order to pay tax on the net increase in wealth (or perhaps to deduct the net reduction in wealth).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165(c),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rsidR="0078310B" w:rsidRDefault="0078310B" w:rsidP="0078310B">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rsidR="0078310B" w:rsidRDefault="0078310B" w:rsidP="0078310B">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xml:space="preserve">,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simply by delaying the sale until then. How much would the current cost be for John and Mary—measured at the end of Year 1—if they could earn, say, 3% (after-tax) interest on their wealth increase in the meantime? The “present value”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rsidR="0078310B" w:rsidRPr="00F57AFD" w:rsidRDefault="0078310B" w:rsidP="0078310B">
      <w:pPr>
        <w:pStyle w:val="Heading6"/>
        <w:keepNext w:val="0"/>
        <w:keepLines w:val="0"/>
        <w:widowControl w:val="0"/>
        <w:spacing w:after="0"/>
        <w:jc w:val="both"/>
        <w:rPr>
          <w:sz w:val="24"/>
          <w:szCs w:val="24"/>
        </w:rPr>
      </w:pPr>
    </w:p>
    <w:p w:rsidR="0078310B" w:rsidRPr="00F57AFD" w:rsidRDefault="0078310B" w:rsidP="0078310B">
      <w:pPr>
        <w:pStyle w:val="Heading6"/>
        <w:keepNext w:val="0"/>
        <w:keepLines w:val="0"/>
        <w:widowControl w:val="0"/>
        <w:spacing w:after="120"/>
        <w:rPr>
          <w:sz w:val="24"/>
          <w:szCs w:val="24"/>
        </w:rPr>
      </w:pPr>
      <w:r w:rsidRPr="00F57AFD">
        <w:rPr>
          <w:sz w:val="24"/>
          <w:szCs w:val="24"/>
        </w:rPr>
        <w:t>Table A:  Compound Interest</w:t>
      </w:r>
    </w:p>
    <w:p w:rsidR="0078310B" w:rsidRDefault="0078310B" w:rsidP="0078310B">
      <w:pPr>
        <w:pStyle w:val="BodyText"/>
        <w:widowControl w:val="0"/>
        <w:jc w:val="center"/>
        <w:rPr>
          <w:b/>
          <w:sz w:val="24"/>
          <w:szCs w:val="24"/>
        </w:rPr>
      </w:pPr>
      <w:r w:rsidRPr="00F57AFD">
        <w:rPr>
          <w:b/>
          <w:sz w:val="24"/>
          <w:szCs w:val="24"/>
        </w:rPr>
        <w:t xml:space="preserve">Amount to Which $1 Now Will Grow by </w:t>
      </w:r>
    </w:p>
    <w:p w:rsidR="0078310B" w:rsidRPr="00F57AFD" w:rsidRDefault="0078310B" w:rsidP="0078310B">
      <w:pPr>
        <w:pStyle w:val="BodyText"/>
        <w:widowControl w:val="0"/>
        <w:jc w:val="center"/>
        <w:rPr>
          <w:b/>
        </w:rPr>
      </w:pPr>
      <w:r w:rsidRPr="00F57AFD">
        <w:rPr>
          <w:b/>
          <w:sz w:val="24"/>
          <w:szCs w:val="24"/>
        </w:rPr>
        <w:t>End of Specified Year at</w:t>
      </w:r>
      <w:r>
        <w:rPr>
          <w:b/>
          <w:sz w:val="24"/>
          <w:szCs w:val="24"/>
        </w:rPr>
        <w:t xml:space="preserve"> </w:t>
      </w:r>
      <w:r w:rsidRPr="00F57AFD">
        <w:rPr>
          <w:b/>
        </w:rPr>
        <w:t>Compounded Interest</w:t>
      </w:r>
    </w:p>
    <w:p w:rsidR="0078310B" w:rsidRPr="00F57AFD" w:rsidRDefault="0078310B" w:rsidP="0078310B">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78310B" w:rsidRPr="00F57AFD" w:rsidTr="005337BA">
        <w:trPr>
          <w:cantSplit/>
          <w:trHeight w:val="693"/>
          <w:jc w:val="center"/>
        </w:trPr>
        <w:tc>
          <w:tcPr>
            <w:tcW w:w="567" w:type="dxa"/>
          </w:tcPr>
          <w:p w:rsidR="0078310B" w:rsidRPr="00F57AFD" w:rsidRDefault="0078310B" w:rsidP="005337BA">
            <w:pPr>
              <w:pStyle w:val="BodyText"/>
              <w:widowControl w:val="0"/>
              <w:spacing w:after="90" w:line="240" w:lineRule="exact"/>
              <w:rPr>
                <w:sz w:val="24"/>
                <w:szCs w:val="24"/>
              </w:rPr>
            </w:pPr>
            <w:r w:rsidRPr="00F57AFD">
              <w:rPr>
                <w:b/>
                <w:sz w:val="24"/>
                <w:szCs w:val="24"/>
              </w:rPr>
              <w:t>Year</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xml:space="preserve">    3%</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xml:space="preserve">    4%</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xml:space="preserve">   5%</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xml:space="preserve">   6%</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7%</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8%</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12%</w:t>
            </w:r>
          </w:p>
        </w:tc>
        <w:tc>
          <w:tcPr>
            <w:tcW w:w="840" w:type="dxa"/>
          </w:tcPr>
          <w:p w:rsidR="0078310B" w:rsidRPr="00F57AFD" w:rsidRDefault="0078310B" w:rsidP="005337BA">
            <w:pPr>
              <w:pStyle w:val="BodyText"/>
              <w:widowControl w:val="0"/>
              <w:spacing w:line="240" w:lineRule="exact"/>
              <w:rPr>
                <w:sz w:val="24"/>
                <w:szCs w:val="24"/>
              </w:rPr>
            </w:pPr>
            <w:r w:rsidRPr="00F57AFD">
              <w:rPr>
                <w:b/>
                <w:sz w:val="24"/>
                <w:szCs w:val="24"/>
              </w:rPr>
              <w:t>     15%</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19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20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25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30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78310B" w:rsidRPr="00F57AFD" w:rsidTr="005337BA">
        <w:trPr>
          <w:cantSplit/>
          <w:trHeight w:val="292"/>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40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78310B" w:rsidRPr="00F57AFD" w:rsidTr="005337BA">
        <w:trPr>
          <w:cantSplit/>
          <w:trHeight w:val="584"/>
          <w:jc w:val="center"/>
        </w:trPr>
        <w:tc>
          <w:tcPr>
            <w:tcW w:w="567" w:type="dxa"/>
          </w:tcPr>
          <w:p w:rsidR="0078310B" w:rsidRPr="00F57AFD" w:rsidRDefault="0078310B" w:rsidP="005337BA">
            <w:pPr>
              <w:pStyle w:val="BodyText"/>
              <w:widowControl w:val="0"/>
              <w:spacing w:line="240" w:lineRule="exact"/>
              <w:rPr>
                <w:sz w:val="24"/>
                <w:szCs w:val="24"/>
              </w:rPr>
            </w:pPr>
            <w:r w:rsidRPr="00F57AFD">
              <w:rPr>
                <w:sz w:val="24"/>
                <w:szCs w:val="24"/>
              </w:rPr>
              <w:t xml:space="preserve">  50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rsidR="0078310B" w:rsidRPr="00F57AFD"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rsidR="0078310B" w:rsidRPr="00F57AFD" w:rsidRDefault="0078310B" w:rsidP="005337BA">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rsidR="0078310B" w:rsidRDefault="0078310B" w:rsidP="0078310B">
      <w:pPr>
        <w:widowControl w:val="0"/>
        <w:spacing w:after="120"/>
        <w:jc w:val="center"/>
        <w:rPr>
          <w:b/>
        </w:rPr>
      </w:pPr>
      <w:r w:rsidRPr="00F57AFD">
        <w:rPr>
          <w:b/>
        </w:rPr>
        <w:t>Table B:  Present Value</w:t>
      </w:r>
    </w:p>
    <w:p w:rsidR="0078310B" w:rsidRPr="00F57AFD" w:rsidRDefault="0078310B" w:rsidP="0078310B">
      <w:pPr>
        <w:widowControl w:val="0"/>
        <w:spacing w:after="120"/>
        <w:jc w:val="center"/>
        <w:rPr>
          <w:b/>
        </w:rPr>
      </w:pPr>
      <w:r>
        <w:rPr>
          <w:b/>
        </w:rPr>
        <w:t>What $1 at End of Specified Future Year Is Worth Today</w:t>
      </w:r>
    </w:p>
    <w:p w:rsidR="0078310B" w:rsidRPr="00F57AFD" w:rsidRDefault="0078310B" w:rsidP="0078310B">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78310B" w:rsidRPr="005B621B" w:rsidTr="005337BA">
        <w:trPr>
          <w:cantSplit/>
          <w:trHeight w:val="681"/>
          <w:jc w:val="center"/>
        </w:trPr>
        <w:tc>
          <w:tcPr>
            <w:tcW w:w="564" w:type="dxa"/>
          </w:tcPr>
          <w:p w:rsidR="0078310B" w:rsidRPr="005B621B" w:rsidRDefault="0078310B" w:rsidP="005337BA">
            <w:pPr>
              <w:pStyle w:val="BodyText"/>
              <w:widowControl w:val="0"/>
              <w:spacing w:after="90" w:line="240" w:lineRule="exact"/>
              <w:rPr>
                <w:sz w:val="24"/>
                <w:szCs w:val="24"/>
              </w:rPr>
            </w:pPr>
            <w:r w:rsidRPr="005B621B">
              <w:rPr>
                <w:b/>
                <w:sz w:val="24"/>
                <w:szCs w:val="24"/>
              </w:rPr>
              <w:t>Year</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3%</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4%</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5%</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6%</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7%</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8%</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10%</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xml:space="preserve">  12%</w:t>
            </w:r>
          </w:p>
        </w:tc>
        <w:tc>
          <w:tcPr>
            <w:tcW w:w="836" w:type="dxa"/>
          </w:tcPr>
          <w:p w:rsidR="0078310B" w:rsidRPr="005B621B" w:rsidRDefault="0078310B" w:rsidP="005337BA">
            <w:pPr>
              <w:pStyle w:val="BodyText"/>
              <w:widowControl w:val="0"/>
              <w:spacing w:line="240" w:lineRule="exact"/>
              <w:rPr>
                <w:sz w:val="24"/>
                <w:szCs w:val="24"/>
              </w:rPr>
            </w:pPr>
            <w:r w:rsidRPr="005B621B">
              <w:rPr>
                <w:b/>
                <w:sz w:val="24"/>
                <w:szCs w:val="24"/>
              </w:rPr>
              <w:t>  15%</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78310B" w:rsidRPr="005B621B" w:rsidTr="005337BA">
        <w:trPr>
          <w:cantSplit/>
          <w:trHeight w:val="286"/>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78310B" w:rsidRPr="005B621B" w:rsidTr="005337BA">
        <w:trPr>
          <w:cantSplit/>
          <w:trHeight w:val="573"/>
          <w:jc w:val="center"/>
        </w:trPr>
        <w:tc>
          <w:tcPr>
            <w:tcW w:w="564"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rsidR="0078310B" w:rsidRPr="005B621B" w:rsidRDefault="0078310B" w:rsidP="005337BA">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rsidR="0078310B" w:rsidRDefault="0078310B" w:rsidP="0078310B">
      <w:pPr>
        <w:widowControl w:val="0"/>
        <w:spacing w:after="120"/>
        <w:jc w:val="both"/>
      </w:pPr>
      <w:r>
        <w:t>Similarly, John and Mary would have liked to deduct the loss in value of their land in Year 2 when it occurred because of the time value of money, as deducting $1 today is worth more than deducting $1 in a future year. They are prohibited from doing so, however, under the realization requirement.</w:t>
      </w:r>
    </w:p>
    <w:p w:rsidR="0078310B" w:rsidRDefault="0078310B" w:rsidP="0078310B">
      <w:pPr>
        <w:widowControl w:val="0"/>
        <w:spacing w:after="120"/>
        <w:ind w:firstLine="288"/>
        <w:jc w:val="both"/>
        <w:rPr>
          <w:bCs/>
        </w:rPr>
      </w:pPr>
      <w:r>
        <w:t>While you may never be asked to calculate the precise time-value-of-money benefit of being able to defer inclusion of a wealth increase (or being able to accelerate a deduction to an earlier 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 accelerate deductions—all because of the </w:t>
      </w:r>
      <w:r>
        <w:rPr>
          <w:i/>
        </w:rPr>
        <w:t>time value of money</w:t>
      </w:r>
      <w:r>
        <w:t>.</w:t>
      </w:r>
    </w:p>
    <w:p w:rsidR="0078310B" w:rsidRDefault="0078310B" w:rsidP="0078310B">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38" w:history="1">
        <w:r w:rsidRPr="00D670CE">
          <w:rPr>
            <w:rStyle w:val="Hyperlink"/>
            <w:bCs/>
          </w:rPr>
          <w:t>Section 61</w:t>
        </w:r>
      </w:hyperlink>
      <w:r>
        <w:rPr>
          <w:bCs/>
        </w:rPr>
        <w:t xml:space="preserve">(a)(3) requires that they include “gains derived from dealings in property” in Gross Income. </w:t>
      </w:r>
    </w:p>
    <w:p w:rsidR="0078310B" w:rsidRDefault="0078310B" w:rsidP="0078310B">
      <w:pPr>
        <w:widowControl w:val="0"/>
        <w:spacing w:after="120"/>
        <w:ind w:firstLine="288"/>
        <w:jc w:val="both"/>
        <w:rPr>
          <w:bCs/>
        </w:rPr>
      </w:pPr>
      <w:r>
        <w:rPr>
          <w:bCs/>
        </w:rPr>
        <w:t>What does the word “gains” mean in § 61(a)(3)? The facts state that Mary and John sell the land for $14,000. Is $14,000 thus their “gain” that must be included in their Gross Income? After all, they now have $14,000 in cold, hard cash in hand after the sale. But you have already learned that “income” is not the same as “cash” (remember our CEO who was paid her salary partly in shares of stock). Indeed, John and Mary should not include the entire $14,000 in cash received if we want to conform to normative income tax principles because $12,000 of that cash was made part of the tax base in Year 1 (the purchase year) through deduction denial. Only $2,000 is new wealth that has never been included in their tax base before.</w:t>
      </w:r>
    </w:p>
    <w:p w:rsidR="0078310B" w:rsidRDefault="0078310B" w:rsidP="0078310B">
      <w:pPr>
        <w:widowControl w:val="0"/>
        <w:spacing w:after="120"/>
        <w:ind w:left="720" w:right="720"/>
        <w:jc w:val="both"/>
        <w:rPr>
          <w:b/>
          <w:bCs/>
        </w:rPr>
      </w:pPr>
      <w:r>
        <w:rPr>
          <w:b/>
          <w:bCs/>
        </w:rPr>
        <w:t>Two fundamental precepts underlying a tax on “income” are:</w:t>
      </w:r>
    </w:p>
    <w:p w:rsidR="0078310B" w:rsidRDefault="0078310B" w:rsidP="0078310B">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rsidR="0078310B" w:rsidRPr="00886C08" w:rsidRDefault="0078310B" w:rsidP="0078310B">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rsidR="0078310B" w:rsidRDefault="0078310B" w:rsidP="0078310B">
      <w:pPr>
        <w:widowControl w:val="0"/>
        <w:spacing w:after="120"/>
        <w:ind w:firstLine="288"/>
        <w:jc w:val="both"/>
        <w:rPr>
          <w:bCs/>
        </w:rPr>
      </w:pPr>
      <w:r>
        <w:rPr>
          <w:bCs/>
        </w:rPr>
        <w:t xml:space="preserve">How do we know that $12,000 of the $14,000 that they receive on the sale has already been taxed to John and Mary? Recall the earlier discussion that determined that they were </w:t>
      </w:r>
      <w:r w:rsidRPr="00534E28">
        <w:rPr>
          <w:bCs/>
          <w:i/>
        </w:rPr>
        <w:t>prohibited from deducting the $12,000 outlay when they purchased the land because it was a nondeductible capital expenditure</w:t>
      </w:r>
      <w:r>
        <w:rPr>
          <w:bCs/>
        </w:rPr>
        <w:t xml:space="preserve">. Recall that the denial of a deduction in the year of purchase meant that the $12,000 was effectively taxed to them in that year by remaining within their tax base. If we had allowed them to deduct the $12,000 cost of the land in Year 1—contrary to current law—that $12,000 would have been removed from their tax base in Year 1, and the entire $14,000 received in Year 3 would then properly constitute amounts that have never been taxed to them before.  Because Mary and John were already effectively taxed on that $12,000 in Year 1 through deduction denial, however, they cannot now be taxed on that same $12,000 a second time without violating fundamental precept (1), above. </w:t>
      </w:r>
    </w:p>
    <w:p w:rsidR="0078310B" w:rsidRDefault="0078310B" w:rsidP="0078310B">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than a wealth tax in that a $1 increase in wealth is taxed only once to the same taxpayer (in the year in which that $1 wealth increase is realized) rather than again and again, year after year. </w:t>
      </w:r>
    </w:p>
    <w:p w:rsidR="0078310B" w:rsidRPr="001D53F2" w:rsidRDefault="0078310B" w:rsidP="0078310B">
      <w:pPr>
        <w:widowControl w:val="0"/>
        <w:spacing w:after="120"/>
        <w:ind w:firstLine="288"/>
        <w:jc w:val="both"/>
      </w:pPr>
      <w:r>
        <w:rPr>
          <w:bCs/>
        </w:rPr>
        <w:t xml:space="preserve">So how does the Internal Revenue Code implement these precepts to ensure that only $2,000 of the $14,000 received on the sale is included in their Gross Income under § 61(a)(3)? While “gain” is another term (like “expense”) that you might use casually in nontax contexts, the Internal Revenue Code defines it precisely as a tax term of art in </w:t>
      </w:r>
      <w:hyperlink r:id="rId39" w:history="1">
        <w:r w:rsidRPr="009324F1">
          <w:rPr>
            <w:rStyle w:val="Hyperlink"/>
            <w:bCs/>
          </w:rPr>
          <w:t>§ 1001</w:t>
        </w:r>
      </w:hyperlink>
      <w:r>
        <w:rPr>
          <w:bCs/>
        </w:rPr>
        <w:t>(a),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and “loss”</w:t>
      </w:r>
      <w:r>
        <w:rPr>
          <w:bCs/>
        </w:rPr>
        <w:t xml:space="preserve"> as the excess of adjusted 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instead received $9,000 in cash plus shares of corporate stock with a fair market value (FMV) of $5,000, their amount realized would have remained $14,000 (the sum of the $9,000 cash and the $5,000 FMV of the stock received in exchange for the land). If they had exchanged their land entirely for stock worth $14,000 (and no cash), their amount realized would, once again, have remained $14,000 (the sum of $0 cash and the $14,000 FMV of the stock received in exchange for the land). </w:t>
      </w:r>
    </w:p>
    <w:p w:rsidR="0078310B" w:rsidRDefault="0078310B" w:rsidP="0078310B">
      <w:pPr>
        <w:widowControl w:val="0"/>
        <w:spacing w:after="120"/>
        <w:ind w:firstLine="288"/>
        <w:jc w:val="both"/>
      </w:pPr>
      <w:r>
        <w:t xml:space="preserve">What is John’s and Mary’s “adjusted basis” (A/B for short) in the land that they sold for $14,000? Section 1001(a) refers to </w:t>
      </w:r>
      <w:hyperlink r:id="rId40" w:history="1">
        <w:r w:rsidRPr="00D670CE">
          <w:rPr>
            <w:rStyle w:val="Hyperlink"/>
          </w:rPr>
          <w:t>§ 1011</w:t>
        </w:r>
      </w:hyperlink>
      <w:r>
        <w:t xml:space="preserve">, which provides that “basis” is determined under </w:t>
      </w:r>
      <w:hyperlink r:id="rId41" w:history="1">
        <w:r w:rsidRPr="00D670CE">
          <w:rPr>
            <w:rStyle w:val="Hyperlink"/>
          </w:rPr>
          <w:t>§ 1012</w:t>
        </w:r>
      </w:hyperlink>
      <w:r>
        <w:t xml:space="preserve"> or any other relevant basis section in the Internal Revenue Code, “adjusted as provided in § 1016.” </w:t>
      </w:r>
      <w:r w:rsidRPr="00D670CE">
        <w:t>Section 1012</w:t>
      </w:r>
      <w:r>
        <w:t xml:space="preserve">, in turn, provides that the basis of property shall be “the cost of such property,” unless another Code section governs the basis of the particular property at issue. Because John and Mary purchased the land, § 1012 does provide them with a $12,000 “cost basis” in the land. </w:t>
      </w:r>
    </w:p>
    <w:p w:rsidR="0078310B" w:rsidRDefault="0078310B" w:rsidP="0078310B">
      <w:pPr>
        <w:widowControl w:val="0"/>
        <w:spacing w:after="120"/>
        <w:ind w:firstLine="288"/>
        <w:jc w:val="both"/>
      </w:pPr>
      <w:r>
        <w:t xml:space="preserve">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 is easy to determine, though. Because they did, in fact, purchase the land, we know that § 1012 (as opposed to some other Code section) governs their initial basis in the property at its $12,000 “cost.” </w:t>
      </w:r>
    </w:p>
    <w:p w:rsidR="0078310B" w:rsidRDefault="0078310B" w:rsidP="0078310B">
      <w:pPr>
        <w:widowControl w:val="0"/>
        <w:spacing w:after="120"/>
        <w:ind w:firstLine="288"/>
        <w:jc w:val="both"/>
      </w:pPr>
      <w:r>
        <w:t xml:space="preserve">Moreover, you will have to take my word for it for now that none of the adjustments listed in § 1016 (which we shall examine shortly) would have affected their initial $12,000 cost basis, which means that their “adjusted basis” at the time of the sale in Year 3 remains $12,000. Thus,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 1001(b) and is $14,000 on our facts. I do appreciate that these terms of art are very confusing at first, but you must get comfortable in using them or communication chaos results.) </w:t>
      </w:r>
    </w:p>
    <w:p w:rsidR="0078310B" w:rsidRDefault="0078310B" w:rsidP="0078310B">
      <w:pPr>
        <w:widowControl w:val="0"/>
        <w:spacing w:after="120"/>
        <w:ind w:firstLine="288"/>
        <w:jc w:val="both"/>
      </w:pPr>
      <w:r>
        <w:rPr>
          <w:b/>
        </w:rPr>
        <w:t xml:space="preserve">Notice that “basis” is the mechanism that 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rsidRPr="00385FF0">
        <w:t>Thus, basis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rsidR="0078310B" w:rsidRPr="00385FF0" w:rsidRDefault="0078310B" w:rsidP="0078310B">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taxed”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w:t>
      </w:r>
      <w:r w:rsidRPr="00385FF0">
        <w:t xml:space="preserve"> realized (includable) “gain” would </w:t>
      </w:r>
      <w:r>
        <w:t xml:space="preserve">again </w:t>
      </w:r>
      <w:r w:rsidRPr="00385FF0">
        <w:t xml:space="preserve">equal $2,000. </w:t>
      </w:r>
    </w:p>
    <w:p w:rsidR="0078310B" w:rsidRDefault="0078310B" w:rsidP="0078310B">
      <w:pPr>
        <w:widowControl w:val="0"/>
        <w:spacing w:after="120"/>
        <w:ind w:firstLine="288"/>
        <w:jc w:val="both"/>
      </w:pPr>
      <w:r>
        <w:t xml:space="preserve">Let’s return to Mary and consider again the variant in which she receives her $1 million salary one-half in $500,000 cash and one-half in shares of corporate stock worth $500,000. We have already determined that Mary must include the entire $1 million in Gross Income under § 61(a)(1), </w:t>
      </w:r>
      <w:r>
        <w:rPr>
          <w:i/>
        </w:rPr>
        <w:t>i.e.</w:t>
      </w:r>
      <w:r>
        <w:t>, not only the $500,000 in cash but also the shares received as compensation in kind with an FMV of $500,000. What is her § 1001 realized gain if she later sells the shares for, say, $700,000? Under § 1001(b), her amount realized (A/R) is the $700,000 sales proceeds. What is her adjusted basis (A/B) in the shares?</w:t>
      </w:r>
    </w:p>
    <w:p w:rsidR="0078310B" w:rsidRDefault="0078310B" w:rsidP="0078310B">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without tax.  </w:t>
      </w:r>
    </w:p>
    <w:p w:rsidR="0078310B" w:rsidRDefault="009324F1" w:rsidP="0078310B">
      <w:pPr>
        <w:widowControl w:val="0"/>
        <w:spacing w:after="120"/>
        <w:ind w:firstLine="288"/>
        <w:jc w:val="both"/>
      </w:pPr>
      <w:r>
        <w:t xml:space="preserve">As expected, </w:t>
      </w:r>
      <w:hyperlink r:id="rId42" w:history="1">
        <w:r w:rsidR="008F0B02" w:rsidRPr="00D670CE">
          <w:rPr>
            <w:rStyle w:val="Hyperlink"/>
          </w:rPr>
          <w:t xml:space="preserve">Treas. Reg. </w:t>
        </w:r>
        <w:r w:rsidR="00D670CE" w:rsidRPr="00D670CE">
          <w:rPr>
            <w:rStyle w:val="Hyperlink"/>
          </w:rPr>
          <w:t>§ 1.61</w:t>
        </w:r>
      </w:hyperlink>
      <w:r w:rsidR="00D670CE">
        <w:t>-</w:t>
      </w:r>
      <w:r w:rsidR="0078310B">
        <w:t>(2)</w:t>
      </w:r>
      <w:r w:rsidR="00D670CE">
        <w:t>(d)(2)</w:t>
      </w:r>
      <w:r w:rsidR="0078310B">
        <w:t xml:space="preserve"> provides that Mary’s “cost basis” in the property received as compensation for services rendered equals any amount that she paid for the shares ($0 on our facts) </w:t>
      </w:r>
      <w:r w:rsidR="0078310B">
        <w:rPr>
          <w:i/>
        </w:rPr>
        <w:t>plus</w:t>
      </w:r>
      <w:r w:rsidR="0078310B">
        <w:t xml:space="preserve"> the amount that she included in Gross Income as compensation for services rendered under § 61(a)(1) ($500,000). Thus, her initial basis in the shares is $500,000, and her § 1001 realized gain on the later sale for $700,000 is $200,000 ($700,000 A/R </w:t>
      </w:r>
      <w:r w:rsidR="0078310B">
        <w:rPr>
          <w:i/>
        </w:rPr>
        <w:t>less</w:t>
      </w:r>
      <w:r w:rsidR="0078310B">
        <w:t xml:space="preserve"> $500,000 A/B). </w:t>
      </w:r>
    </w:p>
    <w:p w:rsidR="0078310B" w:rsidRDefault="0078310B" w:rsidP="0078310B">
      <w:pPr>
        <w:widowControl w:val="0"/>
        <w:spacing w:after="120"/>
        <w:ind w:firstLine="288"/>
        <w:jc w:val="both"/>
        <w:rPr>
          <w:b/>
        </w:rPr>
      </w:pPr>
      <w:r>
        <w:rPr>
          <w:b/>
        </w:rPr>
        <w:t xml:space="preserve">Basis can generally be created in one of two ways: (1) the making of a nondeductible capital expenditure or (2) a Gross Income inclusion. </w:t>
      </w:r>
    </w:p>
    <w:p w:rsidR="0078310B" w:rsidRDefault="0078310B" w:rsidP="0078310B">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Thus, when they sell the land for $14,000, they can recover their $12,000 basis tax-free under § 1001(a). Only the excess of the $14,000 A/R over their $12,000 A/B is § 1001 “gain” that is includable in Gross Income under § 61(a)(3). </w:t>
      </w:r>
    </w:p>
    <w:p w:rsidR="0078310B" w:rsidRDefault="0078310B" w:rsidP="0078310B">
      <w:pPr>
        <w:widowControl w:val="0"/>
        <w:spacing w:after="120"/>
        <w:ind w:firstLine="288"/>
        <w:jc w:val="both"/>
      </w:pPr>
      <w:r>
        <w:t xml:space="preserve">An example of (2) is the receipt by Mary of corporate shares worth $500,000 as compensation for services rendered. Because Mary must include the $500,000 FMV of the shares in her Gross Income under § 61(a)(1) upon receipt, she takes an immediate “cost basis” of $500,000 in those shares to reflect the fact that she includes that $500,000 in Gross Income in the year of the share receipt. She should not be taxed a second time on that same $500,000. Thus, if she sells the shares for $700,000, she can recover her $500,000 basis tax-free under § 1001(a). Only the excess of the $700,000 A/R over her $500,000 A/B would be § 1001 “gain” that would be includable in Gross Income under § 61(a)(3). </w:t>
      </w:r>
    </w:p>
    <w:p w:rsidR="0078310B" w:rsidRPr="001F0A32" w:rsidRDefault="0078310B" w:rsidP="0078310B">
      <w:pPr>
        <w:pStyle w:val="Heading3"/>
        <w:spacing w:before="0" w:beforeAutospacing="0" w:after="120" w:afterAutospacing="0"/>
        <w:rPr>
          <w:i/>
        </w:rPr>
      </w:pPr>
      <w:bookmarkStart w:id="17" w:name="_Toc395790332"/>
      <w:r w:rsidRPr="001F0A32">
        <w:rPr>
          <w:i/>
        </w:rPr>
        <w:t>Deductions (part 2): which “expenses” are deductible and why?</w:t>
      </w:r>
      <w:bookmarkEnd w:id="17"/>
    </w:p>
    <w:p w:rsidR="0078310B" w:rsidRDefault="0078310B" w:rsidP="0078310B">
      <w:pPr>
        <w:widowControl w:val="0"/>
        <w:spacing w:after="120"/>
        <w:ind w:firstLine="288"/>
        <w:jc w:val="both"/>
      </w:pPr>
      <w:r>
        <w:t xml:space="preserve">You have learned a lot already! You have learned, for example, that “capital expenditures,” as mere changes in the form in which wealth is held (rather than </w:t>
      </w:r>
      <w:r w:rsidR="00623C36">
        <w:t xml:space="preserve">immediate </w:t>
      </w:r>
      <w:r>
        <w:t xml:space="preserve">wealth reductions), are not deductible under SHS income principles because they fail to satisfy the first requirement reviewed below (with a new, clarifying parenthesis). </w:t>
      </w:r>
    </w:p>
    <w:p w:rsidR="0078310B" w:rsidRPr="0022377C" w:rsidRDefault="0078310B" w:rsidP="0078310B">
      <w:pPr>
        <w:widowControl w:val="0"/>
        <w:spacing w:after="120"/>
        <w:ind w:left="720" w:right="720"/>
        <w:jc w:val="both"/>
        <w:rPr>
          <w:b/>
        </w:rPr>
      </w:pPr>
      <w:r w:rsidRPr="0022377C">
        <w:rPr>
          <w:b/>
        </w:rPr>
        <w:t xml:space="preserve">To be deductible under SHS principles, </w:t>
      </w:r>
    </w:p>
    <w:p w:rsidR="0078310B" w:rsidRPr="0022377C" w:rsidRDefault="0078310B" w:rsidP="0078310B">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rsidR="0078310B" w:rsidRPr="0022377C" w:rsidRDefault="0078310B" w:rsidP="0078310B">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rsidR="0078310B" w:rsidRDefault="0078310B" w:rsidP="0078310B">
      <w:pPr>
        <w:widowControl w:val="0"/>
        <w:spacing w:after="120"/>
        <w:ind w:firstLine="288"/>
        <w:jc w:val="both"/>
      </w:pPr>
      <w:r>
        <w:t>Thus, you now know that Mary and John cannot deduct the cost of the investment land, the business equipment (the new dental chair and X-Ray machine), or the personal residence that they purchased. Each of these purchases constitutes nondeductible “capital expenditures” rather than potentially deductible current “expenses.” In order to keep track of the fact that John and Mary were indirectly taxed on these outlays (via deduction denial) at the time of purchase, they take a § 1012 cost basis in these properties, which can be recovered free of tax under § 1001 if and when they dispose of these properties.</w:t>
      </w:r>
    </w:p>
    <w:p w:rsidR="0078310B" w:rsidRDefault="0078310B" w:rsidP="0078310B">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t>“</w:t>
      </w:r>
      <w:r w:rsidRPr="006C2920">
        <w:rPr>
          <w:b/>
        </w:rPr>
        <w:t>expenses</w:t>
      </w:r>
      <w:r>
        <w:t>”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w:t>
      </w:r>
      <w:r w:rsidR="001F7B0B">
        <w:t xml:space="preserve">ch of these outlays represent an immediate </w:t>
      </w:r>
      <w:r w:rsidRPr="006C2920">
        <w:t>wealth decrease rather than a mere change in form in which wealth is held</w:t>
      </w:r>
      <w:r>
        <w:t>, they are</w:t>
      </w:r>
      <w:r w:rsidRPr="006C2920">
        <w:t xml:space="preserve"> properly categorized as </w:t>
      </w:r>
      <w:r>
        <w:t>“</w:t>
      </w:r>
      <w:r w:rsidRPr="006C2920">
        <w:t>expenses</w:t>
      </w:r>
      <w:r>
        <w:t xml:space="preserve">” instead of “capital expenditures,” thus surviving the step-1 inquiry noted above. </w:t>
      </w:r>
    </w:p>
    <w:p w:rsidR="0078310B" w:rsidRDefault="0078310B" w:rsidP="0078310B">
      <w:pPr>
        <w:widowControl w:val="0"/>
        <w:spacing w:after="120"/>
        <w:ind w:firstLine="288"/>
        <w:jc w:val="both"/>
      </w:pPr>
      <w:r>
        <w:t xml:space="preserve">On to step 2! Recall our earlier point that even a current wealth decrease should not reduce the tax base under SHS normative principles if the wealth decrease represents the purchase of personal consumption in order to ensure that personal consumption costs remain in the tax base and are thus indirectly taxed. When we turn to positive law, we find that </w:t>
      </w:r>
      <w:hyperlink r:id="rId43" w:history="1">
        <w:r w:rsidRPr="008A7749">
          <w:rPr>
            <w:rStyle w:val="Hyperlink"/>
            <w:b/>
          </w:rPr>
          <w:t>§ 262</w:t>
        </w:r>
      </w:hyperlink>
      <w:r w:rsidRPr="00C8058E">
        <w:rPr>
          <w:b/>
        </w:rPr>
        <w:t xml:space="preserve"> confirms that “no deduction shall be allowed for personal, living, or family </w:t>
      </w:r>
      <w:r w:rsidRPr="009D53D2">
        <w:rPr>
          <w:b/>
          <w:i/>
        </w:rPr>
        <w:t>expenses</w:t>
      </w:r>
      <w:r w:rsidRPr="00C8058E">
        <w:rPr>
          <w:b/>
        </w:rPr>
        <w:t>”</w:t>
      </w:r>
      <w:r>
        <w:t xml:space="preserve"> (using that t</w:t>
      </w:r>
      <w:r w:rsidR="001552A8">
        <w:t xml:space="preserve">ax term of </w:t>
      </w:r>
      <w:r>
        <w:t xml:space="preserve">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rsidR="0078310B" w:rsidRDefault="0078310B" w:rsidP="0078310B">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a provision that deviates from a pure, normative SHS income tax</w:t>
      </w:r>
      <w:r>
        <w:t xml:space="preserve"> is “</w:t>
      </w:r>
      <w:r w:rsidRPr="00287096">
        <w:rPr>
          <w:b/>
        </w:rPr>
        <w:t>tax expenditure</w:t>
      </w:r>
      <w:r>
        <w:t xml:space="preserve">,” and we shall examine the concept of tax expenditures more closely in Chapter 3. Because none of John’s and Mary’s personal expenses are of this type, they cannot deduct any of their personal expenses. </w:t>
      </w:r>
    </w:p>
    <w:p w:rsidR="0078310B" w:rsidRDefault="0078310B" w:rsidP="0078310B">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rsidR="0078310B" w:rsidRDefault="0078310B" w:rsidP="0078310B">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4" w:history="1">
        <w:r w:rsidRPr="008A7749">
          <w:rPr>
            <w:rStyle w:val="Hyperlink"/>
            <w:b/>
          </w:rPr>
          <w:t>§ 162</w:t>
        </w:r>
      </w:hyperlink>
      <w:r w:rsidRPr="00C8058E">
        <w:rPr>
          <w:b/>
        </w:rPr>
        <w:t>,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rsidR="0078310B" w:rsidRDefault="0078310B" w:rsidP="0078310B">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in a very real sense (equal to the undeducted costs), violating fundamental precept (1).</w:t>
      </w:r>
    </w:p>
    <w:p w:rsidR="0078310B" w:rsidRDefault="0078310B" w:rsidP="0078310B">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(“gains derived from dealings in property”). Thus, we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rsidR="0078310B" w:rsidRPr="00DA577D" w:rsidRDefault="0078310B" w:rsidP="0078310B">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Gross Income in the first place regarding the land sale. Congress could have reached the same end result by requiring John and Mary to include the entire “amount realized” of $14,000 (the entire sales proceeds) in § 61 Gross Income and then creating a new “deduction” (not actually found in the Code) of $12,000 equal to their basis in the land in arriving at $2,000 of Taxable Income (the tax base). But because the undeducted purchase price of the land is so obviously a cost of the later profit on the sale of that very land, basis is created in the land directly and offset against the amount realized directly under § 1001 in arriving at § 61 Gross Income in the first place. </w:t>
      </w:r>
    </w:p>
    <w:p w:rsidR="0078310B" w:rsidRDefault="0078310B" w:rsidP="0078310B">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rsidR="0078310B" w:rsidRDefault="0078310B" w:rsidP="0078310B">
      <w:pPr>
        <w:widowControl w:val="0"/>
        <w:spacing w:after="120"/>
        <w:ind w:firstLine="288"/>
        <w:jc w:val="both"/>
      </w:pPr>
      <w:r>
        <w:t xml:space="preserve">For this reason, Congress requires John to include every dollar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just as John and Mary were taxed only on their net profit from the land ownership. </w:t>
      </w:r>
    </w:p>
    <w:p w:rsidR="0078310B" w:rsidRDefault="0078310B" w:rsidP="0078310B">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1"/>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xml:space="preserve">, the $20 safety deposit box fee could not be deducted under § 162—even though the lottery proceeds are clearly wealth accessions that are includable in Gross Income—because collecting lottery winnings does not comprise operating a “trade or business.” </w:t>
      </w:r>
    </w:p>
    <w:p w:rsidR="0078310B" w:rsidRDefault="0078310B" w:rsidP="0078310B">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(such as his employee salaries, office rent, </w:t>
      </w:r>
      <w:r>
        <w:rPr>
          <w:i/>
        </w:rPr>
        <w:t>etc.</w:t>
      </w:r>
      <w:r>
        <w:t xml:space="preserve">)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rsidR="0078310B" w:rsidRPr="0005263F" w:rsidRDefault="0078310B" w:rsidP="0078310B">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5" w:history="1">
        <w:r w:rsidRPr="00FF54F4">
          <w:rPr>
            <w:rStyle w:val="Hyperlink"/>
          </w:rPr>
          <w:t xml:space="preserve">Section </w:t>
        </w:r>
        <w:r w:rsidR="00FF54F4" w:rsidRPr="00FF54F4">
          <w:rPr>
            <w:rStyle w:val="Hyperlink"/>
          </w:rPr>
          <w:t>212</w:t>
        </w:r>
      </w:hyperlink>
      <w:r>
        <w:t>(1) and (2) allow the deduction of expenses incurred in an income-producing activity not rising to the level of a “trade or business.”</w:t>
      </w:r>
      <w:r>
        <w:rPr>
          <w:rStyle w:val="FootnoteReference"/>
        </w:rPr>
        <w:footnoteReference w:id="42"/>
      </w:r>
      <w:r>
        <w:t xml:space="preserve"> </w:t>
      </w:r>
    </w:p>
    <w:p w:rsidR="0078310B" w:rsidRPr="001F0A32" w:rsidRDefault="0078310B" w:rsidP="0078310B">
      <w:pPr>
        <w:pStyle w:val="Heading3"/>
        <w:spacing w:before="0" w:beforeAutospacing="0" w:after="120" w:afterAutospacing="0"/>
        <w:rPr>
          <w:i/>
        </w:rPr>
      </w:pPr>
      <w:bookmarkStart w:id="18" w:name="_Toc395790333"/>
      <w:r w:rsidRPr="001F0A32">
        <w:rPr>
          <w:i/>
        </w:rPr>
        <w:t>Deductions (part 3): § 1001 “loss” (and more on normative income tax theory)</w:t>
      </w:r>
      <w:bookmarkEnd w:id="18"/>
    </w:p>
    <w:p w:rsidR="0078310B" w:rsidRDefault="0078310B" w:rsidP="0078310B">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and would not be included in § 61 Gross Income. But what about the $2,000 of </w:t>
      </w:r>
      <w:r w:rsidRPr="00696AF2">
        <w:rPr>
          <w:i/>
        </w:rPr>
        <w:t>unrecovered basis</w:t>
      </w:r>
      <w:r>
        <w:t xml:space="preserve">? They would have obtained a tax benefit from that basis if they had been able to sell the land for more (in the form of tax-free recovery of basis), but the land is now sold. Can they obtain any tax benefit for their </w:t>
      </w:r>
      <w:r w:rsidRPr="00743F5B">
        <w:rPr>
          <w:i/>
        </w:rPr>
        <w:t>unrecovered</w:t>
      </w:r>
      <w:r>
        <w:t xml:space="preserve"> basis? </w:t>
      </w:r>
    </w:p>
    <w:p w:rsidR="0078310B" w:rsidRDefault="0078310B" w:rsidP="0078310B">
      <w:pPr>
        <w:widowControl w:val="0"/>
        <w:spacing w:after="120"/>
        <w:ind w:firstLine="288"/>
        <w:jc w:val="both"/>
      </w:pPr>
      <w:r>
        <w:t>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“loss” rather than a “gain” (both defined terms of tax art in § 1001(a)) if they had sold their property with a basis of $12,000 for an amount realized of only $10,000. Their realized “loss” would have been the $2,000 of unrecovered basis. In other words, by definition a “loss” </w:t>
      </w:r>
      <w:r w:rsidRPr="00FB481C">
        <w:rPr>
          <w:i/>
        </w:rPr>
        <w:t xml:space="preserve">is </w:t>
      </w:r>
      <w:r>
        <w:t xml:space="preserve">unrecovered basis. </w:t>
      </w:r>
    </w:p>
    <w:p w:rsidR="0078310B" w:rsidRDefault="0078310B" w:rsidP="0078310B">
      <w:pPr>
        <w:pStyle w:val="ListParagraph"/>
        <w:widowControl w:val="0"/>
        <w:spacing w:after="120"/>
        <w:ind w:left="0" w:firstLine="288"/>
        <w:contextualSpacing w:val="0"/>
        <w:jc w:val="both"/>
      </w:pPr>
      <w:r>
        <w:t xml:space="preserve">We now have a clear (and realized) wealth decrease (basis that we now know will never be recovered), satisfying the first requirement in our SHS inquiry regarding deductions.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rsidR="0078310B" w:rsidRDefault="0078310B" w:rsidP="0078310B">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6" w:history="1">
        <w:r w:rsidRPr="00FF54F4">
          <w:rPr>
            <w:rStyle w:val="Hyperlink"/>
          </w:rPr>
          <w:t>§</w:t>
        </w:r>
        <w:r w:rsidR="00FF54F4" w:rsidRPr="00FF54F4">
          <w:rPr>
            <w:rStyle w:val="Hyperlink"/>
          </w:rPr>
          <w:t xml:space="preserve"> 165</w:t>
        </w:r>
      </w:hyperlink>
      <w:r>
        <w:t xml:space="preserve">(a) and (c). Consistent with SHS principles, we see authorization to deduct business and investment losses in §§ 165(a) and (c)(1)-(2), but losses realized with respect to personal consumption property are generally disallowed under § 165(c)(3) (with minor exceptions in §§ 165(c)(3) and (h), which we shall peruse in Chapter 18). </w:t>
      </w:r>
    </w:p>
    <w:p w:rsidR="0078310B" w:rsidRDefault="0078310B" w:rsidP="0078310B">
      <w:pPr>
        <w:widowControl w:val="0"/>
        <w:spacing w:after="120"/>
        <w:ind w:firstLine="288"/>
        <w:jc w:val="both"/>
      </w:pPr>
      <w:r>
        <w:t xml:space="preserve">We can now go a step further in defining what we really mean by a “wealth reduction” in the normative SHS income tax sense. To illustrate, suppose that Becky owns an art gallery and that she purchases a painting for $10,000 (its FMV)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rsidR="0078310B" w:rsidRDefault="0078310B" w:rsidP="0078310B">
      <w:pPr>
        <w:widowControl w:val="0"/>
        <w:spacing w:after="120"/>
        <w:ind w:firstLine="288"/>
        <w:jc w:val="both"/>
      </w:pPr>
      <w:r>
        <w:t xml:space="preserve">If you ask the hypothetical “man on the street” the amount of Becky’s “loss” on these facts, the likely response would be $50,000 because Becky clearly lost $50,000 of </w:t>
      </w:r>
      <w:r w:rsidRPr="00C45C5D">
        <w:rPr>
          <w:i/>
        </w:rPr>
        <w:t>economic</w:t>
      </w:r>
      <w:r>
        <w:t xml:space="preserve"> wealth. Before the theft, she owned a sketch that was demonstrably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Becky to deduct her full $50,000 economic loss (rather than a deduction limited to her $10,000 basis)? </w:t>
      </w:r>
    </w:p>
    <w:p w:rsidR="0078310B" w:rsidRDefault="0078310B" w:rsidP="0078310B">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sketch),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rsidR="0078310B" w:rsidRDefault="0078310B" w:rsidP="0078310B">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Code (not just “los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rsidR="0078310B" w:rsidRPr="00EB7D95" w:rsidRDefault="0078310B" w:rsidP="0078310B">
      <w:pPr>
        <w:widowControl w:val="0"/>
        <w:spacing w:after="120"/>
        <w:ind w:firstLine="288"/>
        <w:jc w:val="both"/>
        <w:rPr>
          <w:b/>
        </w:rPr>
      </w:pPr>
      <w:r>
        <w:t xml:space="preserve">This outcome is explicit under §§ 1001 and 165(b) with respect to “loss” deductions (because a § 165 loss deduction is explicitly limited to unrecovered “basis”), but it is equally true with respect to any other deduction that is premised on normative income tax principles, </w:t>
      </w:r>
      <w:r>
        <w:rPr>
          <w:i/>
        </w:rPr>
        <w:t>i.e.</w:t>
      </w:r>
      <w:r>
        <w:t xml:space="preserve">, those deductions that are necessary to properly measure “income” in the SHS sense. Thus, § 162 business “expense” deductions and § 212 investment “expense” deductions are allowed </w:t>
      </w:r>
      <w:r>
        <w:rPr>
          <w:i/>
        </w:rPr>
        <w:t xml:space="preserve">only </w:t>
      </w:r>
      <w:r>
        <w:t xml:space="preserve">because they represent outlays stemming from </w:t>
      </w:r>
      <w:r w:rsidRPr="00BD439B">
        <w:rPr>
          <w:i/>
        </w:rPr>
        <w:t>includable</w:t>
      </w:r>
      <w:r>
        <w:t xml:space="preserve"> Gross Income, usually in the same year. </w:t>
      </w:r>
    </w:p>
    <w:p w:rsidR="0078310B" w:rsidRDefault="0078310B" w:rsidP="0078310B">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rsidR="0078310B" w:rsidRPr="001F0A32" w:rsidRDefault="0078310B" w:rsidP="0078310B">
      <w:pPr>
        <w:pStyle w:val="Heading3"/>
        <w:spacing w:before="0" w:beforeAutospacing="0" w:after="120" w:afterAutospacing="0"/>
        <w:rPr>
          <w:i/>
        </w:rPr>
      </w:pPr>
      <w:bookmarkStart w:id="19" w:name="_Toc395790334"/>
      <w:r w:rsidRPr="001F0A32">
        <w:rPr>
          <w:i/>
        </w:rPr>
        <w:t>Deductions (part 4): depreciation</w:t>
      </w:r>
      <w:bookmarkEnd w:id="19"/>
    </w:p>
    <w:p w:rsidR="0078310B" w:rsidRDefault="0078310B" w:rsidP="0078310B">
      <w:pPr>
        <w:pStyle w:val="ListParagraph"/>
        <w:widowControl w:val="0"/>
        <w:spacing w:after="120"/>
        <w:ind w:left="0" w:firstLine="288"/>
        <w:contextualSpacing w:val="0"/>
        <w:jc w:val="both"/>
      </w:pPr>
      <w:r>
        <w:t xml:space="preserve">We have seen that John and Mary are not permitted to deduct the acquisition costs of their land or personal residence and that John is not permitted to deduct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as when John and Mary sell their land, producing either a “gain” or “loss” under § 1001. But can this basis be recovered earlier—before sale or other disposition? </w:t>
      </w:r>
    </w:p>
    <w:p w:rsidR="0078310B" w:rsidRDefault="0078310B" w:rsidP="0078310B">
      <w:pPr>
        <w:pStyle w:val="ListParagraph"/>
        <w:widowControl w:val="0"/>
        <w:spacing w:after="120"/>
        <w:ind w:left="0" w:firstLine="288"/>
        <w:contextualSpacing w:val="0"/>
        <w:jc w:val="both"/>
      </w:pPr>
      <w:r>
        <w:t xml:space="preserve">Read </w:t>
      </w:r>
      <w:hyperlink r:id="rId47" w:history="1">
        <w:r w:rsidRPr="00FF54F4">
          <w:rPr>
            <w:rStyle w:val="Hyperlink"/>
          </w:rPr>
          <w:t>§ 167</w:t>
        </w:r>
      </w:hyperlink>
      <w:r>
        <w:t>(a).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xml:space="preserve">. Notice that no depreciation deductions are allowed with </w:t>
      </w:r>
      <w:r w:rsidR="00006A1B">
        <w:t xml:space="preserve">respect to personal-use </w:t>
      </w:r>
      <w:r>
        <w:t xml:space="preserve">property, consistent with the SHS principle that property used to provide personal consumption (as opposed to producing Gross Income) should not reduce the tax base. The “wear and tear” requirement—explored in Chapter 14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rsidR="0078310B" w:rsidRDefault="0078310B" w:rsidP="0078310B">
      <w:pPr>
        <w:pStyle w:val="ListParagraph"/>
        <w:widowControl w:val="0"/>
        <w:spacing w:after="120"/>
        <w:ind w:left="0" w:firstLine="288"/>
        <w:contextualSpacing w:val="0"/>
        <w:jc w:val="both"/>
      </w:pPr>
      <w:r>
        <w:t xml:space="preserve">Thus, 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14. For now, it is enough to know that John will be able to accelerate the tax benefits of his basis in the business equipment. Why does John like this result? All together now: </w:t>
      </w:r>
      <w:r w:rsidRPr="007974B6">
        <w:rPr>
          <w:i/>
        </w:rPr>
        <w:t>because of the time value of money</w:t>
      </w:r>
      <w:r>
        <w:t xml:space="preserve">. Deducting his basis beginning in the year of acquisition (instead of waiting until he either sells it or junks it and recovers his basis tax-free or takes a “loss” deduction under §§ 1001 and 165) has real </w:t>
      </w:r>
      <w:r w:rsidR="004F62D7">
        <w:t xml:space="preserve">economic </w:t>
      </w:r>
      <w:r>
        <w:t>value to John!</w:t>
      </w:r>
    </w:p>
    <w:p w:rsidR="0078310B" w:rsidRDefault="0078310B" w:rsidP="0078310B">
      <w:pPr>
        <w:pStyle w:val="ListParagraph"/>
        <w:widowControl w:val="0"/>
        <w:spacing w:after="120"/>
        <w:ind w:left="0" w:firstLine="288"/>
        <w:contextualSpacing w:val="0"/>
        <w:jc w:val="both"/>
      </w:pPr>
      <w:r>
        <w:t>Some may think that allowing deduction of property basis prior to a sale, exchange, or destruction of the property (where the basis would offset amount realized, if any, under § 1001) is inconsistent with the realization principle. A fuller discussion of this issue must await Chapter 14,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absolutely critical in determining which properties should properly be depreciable in the first place. Stay tuned!</w:t>
      </w:r>
    </w:p>
    <w:p w:rsidR="0078310B" w:rsidRPr="001F0A32" w:rsidRDefault="0078310B" w:rsidP="0078310B">
      <w:pPr>
        <w:pStyle w:val="Heading3"/>
        <w:spacing w:before="0" w:beforeAutospacing="0" w:after="120" w:afterAutospacing="0"/>
        <w:rPr>
          <w:i/>
        </w:rPr>
      </w:pPr>
      <w:bookmarkStart w:id="20" w:name="_Toc395790335"/>
      <w:r w:rsidRPr="001F0A32">
        <w:rPr>
          <w:i/>
        </w:rPr>
        <w:t>§ 1016 basis adjustments</w:t>
      </w:r>
      <w:bookmarkEnd w:id="20"/>
    </w:p>
    <w:p w:rsidR="0078310B" w:rsidRDefault="0078310B" w:rsidP="0078310B">
      <w:pPr>
        <w:pStyle w:val="ListParagraph"/>
        <w:widowControl w:val="0"/>
        <w:spacing w:after="120"/>
        <w:ind w:left="0" w:firstLine="288"/>
        <w:contextualSpacing w:val="0"/>
        <w:jc w:val="both"/>
      </w:pPr>
      <w:r>
        <w:t>Suppose, for the purpose of illustration only, that John’s new dental chair cost $10,000 (producing an initial cost basis under § 1012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t>
      </w:r>
      <w:r w:rsidR="004F62D7">
        <w:t xml:space="preserve">w edition. The sale </w:t>
      </w:r>
      <w:r>
        <w:t>triggers § 1001</w:t>
      </w:r>
      <w:r w:rsidR="004F62D7">
        <w:t>, of course</w:t>
      </w:r>
      <w:r>
        <w:t xml:space="preserve">. Because he sold the chair for $8,500, the “amount realized” within the meaning of § 1001(b) is $8,500. What is John’s “adjusted basis” in the chair at the time of sale, which will be used as an offset against the amount realized under § 1001(a) in determining his “gain” or “loss”? </w:t>
      </w:r>
    </w:p>
    <w:p w:rsidR="0078310B" w:rsidRDefault="0078310B" w:rsidP="0078310B">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Thus, </w:t>
      </w:r>
      <w:hyperlink r:id="rId48"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gain under § 1001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rsidR="0078310B" w:rsidRPr="00422DB1" w:rsidRDefault="0078310B" w:rsidP="0078310B">
      <w:pPr>
        <w:pStyle w:val="ListParagraph"/>
        <w:widowControl w:val="0"/>
        <w:spacing w:after="120"/>
        <w:ind w:left="0" w:firstLine="288"/>
        <w:contextualSpacing w:val="0"/>
        <w:jc w:val="both"/>
        <w:rPr>
          <w:b/>
          <w:bCs/>
        </w:rPr>
      </w:pPr>
      <w:r>
        <w:rPr>
          <w:b/>
          <w:bCs/>
        </w:rPr>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rsidR="0078310B" w:rsidRDefault="00320551" w:rsidP="0078310B">
      <w:pPr>
        <w:pStyle w:val="ListParagraph"/>
        <w:widowControl w:val="0"/>
        <w:spacing w:after="120"/>
        <w:ind w:left="0" w:firstLine="288"/>
        <w:contextualSpacing w:val="0"/>
        <w:jc w:val="both"/>
        <w:rPr>
          <w:bCs/>
        </w:rPr>
      </w:pPr>
      <w:r>
        <w:rPr>
          <w:bCs/>
        </w:rPr>
        <w:t xml:space="preserve">While we are considering adjustments to basis under § 1016, let’s </w:t>
      </w:r>
      <w:r w:rsidR="0078310B">
        <w:rPr>
          <w:bCs/>
        </w:rPr>
        <w:t xml:space="preserve">consider another </w:t>
      </w:r>
      <w:r>
        <w:rPr>
          <w:bCs/>
        </w:rPr>
        <w:t>one. S</w:t>
      </w:r>
      <w:r w:rsidR="0078310B">
        <w:rPr>
          <w:bCs/>
        </w:rPr>
        <w:t>uppose that Donald has long owned a hotel called Trumptown and that its current A/B is $400,000 (after reduction for depreciation deductions under § 1016(a)(2)). He decides to construct a major addition to the hotel, doubling its square footage, at a cost of $500,000. Can Donald immediately deduct this cost under § 162? While incurred in business (rather than for personal consumption), is the $500,000 outlay an “expense” (as required</w:t>
      </w:r>
      <w:r w:rsidR="000C6A34">
        <w:rPr>
          <w:bCs/>
        </w:rPr>
        <w:t xml:space="preserve"> for immediate deduction</w:t>
      </w:r>
      <w:r w:rsidR="0078310B">
        <w:rPr>
          <w:bCs/>
        </w:rPr>
        <w:t xml:space="preserve"> under § 162) or a “capital expenditure” (nondeductib</w:t>
      </w:r>
      <w:r w:rsidR="000C6A34">
        <w:rPr>
          <w:bCs/>
        </w:rPr>
        <w:t xml:space="preserve">le under § 263)? Compare </w:t>
      </w:r>
      <w:hyperlink r:id="rId49" w:history="1">
        <w:r w:rsidR="0078310B" w:rsidRPr="000C6A34">
          <w:rPr>
            <w:rStyle w:val="Hyperlink"/>
            <w:bCs/>
          </w:rPr>
          <w:t>Treas. Reg. § 1.162-4</w:t>
        </w:r>
      </w:hyperlink>
      <w:r w:rsidR="000C6A34">
        <w:rPr>
          <w:bCs/>
        </w:rPr>
        <w:t xml:space="preserve">(a) with </w:t>
      </w:r>
      <w:hyperlink r:id="rId50" w:history="1">
        <w:r w:rsidR="0078310B" w:rsidRPr="000C6A34">
          <w:rPr>
            <w:rStyle w:val="Hyperlink"/>
            <w:bCs/>
          </w:rPr>
          <w:t>Treas. Reg. § 1.263(a)-1(</w:t>
        </w:r>
      </w:hyperlink>
      <w:r w:rsidR="0078310B">
        <w:rPr>
          <w:bCs/>
        </w:rPr>
        <w:t>a) and (d)(2). We shall spend all of Chapter 4 examining the capitalization rules in more detail, including the ever-difficult line between a “repair” (a current “expense”) and an “improvement” (a nondeductible “capital expenditure”), but this is an easy case. The $500,000 expansion is an “improvement” rather than a mere “repair” and must be capitalized. How do we do that with respect to property that is already owned by the taxpayer?</w:t>
      </w:r>
    </w:p>
    <w:p w:rsidR="0078310B" w:rsidRDefault="0078310B" w:rsidP="0078310B">
      <w:pPr>
        <w:pStyle w:val="ListParagraph"/>
        <w:widowControl w:val="0"/>
        <w:spacing w:after="120"/>
        <w:ind w:left="0" w:firstLine="288"/>
        <w:contextualSpacing w:val="0"/>
        <w:jc w:val="both"/>
      </w:pPr>
      <w:r>
        <w:rPr>
          <w:bCs/>
          <w:i/>
        </w:rPr>
        <w:t>See</w:t>
      </w:r>
      <w:r>
        <w:t xml:space="preserve"> </w:t>
      </w:r>
      <w:hyperlink r:id="rId51" w:history="1">
        <w:r w:rsidRPr="00434479">
          <w:rPr>
            <w:rStyle w:val="Hyperlink"/>
          </w:rPr>
          <w:t>§ 1016</w:t>
        </w:r>
      </w:hyperlink>
      <w:r>
        <w:t xml:space="preserve">(a)(1).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his original basis. Again, stay tuned. </w:t>
      </w:r>
    </w:p>
    <w:p w:rsidR="0078310B" w:rsidRPr="001F0A32" w:rsidRDefault="0078310B" w:rsidP="0078310B">
      <w:pPr>
        <w:pStyle w:val="Heading3"/>
        <w:spacing w:before="0" w:beforeAutospacing="0" w:after="120" w:afterAutospacing="0"/>
        <w:rPr>
          <w:i/>
        </w:rPr>
      </w:pPr>
      <w:bookmarkStart w:id="21" w:name="_Toc395790336"/>
      <w:r w:rsidRPr="001F0A32">
        <w:rPr>
          <w:i/>
        </w:rPr>
        <w:t>A brief introduction to the concept of “capital” gains and losses</w:t>
      </w:r>
      <w:bookmarkEnd w:id="21"/>
    </w:p>
    <w:p w:rsidR="0078310B" w:rsidRDefault="0078310B" w:rsidP="0078310B">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15)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reasons that we shall explore in Chapter 15.  </w:t>
      </w:r>
    </w:p>
    <w:p w:rsidR="0078310B" w:rsidRDefault="0078310B" w:rsidP="0078310B">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w:t>
      </w:r>
      <w:r w:rsidRPr="00D424D0">
        <w:rPr>
          <w:b/>
        </w:rPr>
        <w:t>§ 1001 gain or loss is “capital” (rather than “ordinary”) if the requirements found in § 1222 are satisfied.</w:t>
      </w:r>
      <w:r>
        <w:t xml:space="preserve"> Let’s use a series of examples to illustrate the requirements in </w:t>
      </w:r>
      <w:hyperlink r:id="rId52" w:history="1">
        <w:r w:rsidR="00514F9D" w:rsidRPr="00025269">
          <w:rPr>
            <w:rStyle w:val="Hyperlink"/>
          </w:rPr>
          <w:t>§ 12</w:t>
        </w:r>
        <w:r w:rsidR="00BF0B31" w:rsidRPr="00025269">
          <w:rPr>
            <w:rStyle w:val="Hyperlink"/>
          </w:rPr>
          <w:t>22</w:t>
        </w:r>
      </w:hyperlink>
      <w:r>
        <w:t>.</w:t>
      </w:r>
    </w:p>
    <w:p w:rsidR="0078310B" w:rsidRDefault="0078310B" w:rsidP="0078310B">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rsidR="0078310B" w:rsidRPr="00663DA4" w:rsidRDefault="0078310B" w:rsidP="0078310B">
      <w:pPr>
        <w:pStyle w:val="ListParagraph"/>
        <w:widowControl w:val="0"/>
        <w:spacing w:after="120"/>
        <w:ind w:left="0" w:firstLine="288"/>
        <w:contextualSpacing w:val="0"/>
        <w:jc w:val="both"/>
      </w:pPr>
      <w:r>
        <w:t xml:space="preserve">Steve cannot deduct the $7,000 cost of the necklace as a business “expense” under § 162 when he purchases it from the wholesaler because the $7,000 outlay fails to qualify as an “expense.” Rather, the purchase is a nondeductible “capital expenditure” under § 263, and he takes a $7,000 cost basis in the necklace under § 1012. When he sells the necklace for $12,000 to Ellen, Steve realizes a $5,000 gain under § 1001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$15,000 to Marty, Ellen realizes a $3,000 gain under § 1001 ($15,000 A/R </w:t>
      </w:r>
      <w:r>
        <w:rPr>
          <w:i/>
        </w:rPr>
        <w:t>less</w:t>
      </w:r>
      <w:r>
        <w:t xml:space="preserve"> $12,000 A/B). Even though both Steve’s and Ellen’s purchases of the necklace are categorized as “capital expenditures,” Steve’s § 1001 gain of $5,000 is </w:t>
      </w:r>
      <w:r>
        <w:rPr>
          <w:i/>
        </w:rPr>
        <w:t>not</w:t>
      </w:r>
      <w:r>
        <w:t xml:space="preserve"> characterized as “capital” gain, while Ellen’s § 1001 gain of $3,000 </w:t>
      </w:r>
      <w:r>
        <w:rPr>
          <w:i/>
        </w:rPr>
        <w:t>is</w:t>
      </w:r>
      <w:r>
        <w:t xml:space="preserve"> characterized as</w:t>
      </w:r>
      <w:r>
        <w:rPr>
          <w:i/>
        </w:rPr>
        <w:t xml:space="preserve"> </w:t>
      </w:r>
      <w:r>
        <w:t>“capital” gain. Why? And what difference does it make?</w:t>
      </w:r>
    </w:p>
    <w:p w:rsidR="0078310B" w:rsidRPr="00903E25" w:rsidRDefault="0078310B" w:rsidP="0078310B">
      <w:pPr>
        <w:pStyle w:val="ListParagraph"/>
        <w:widowControl w:val="0"/>
        <w:spacing w:after="120"/>
        <w:ind w:left="0" w:firstLine="288"/>
        <w:contextualSpacing w:val="0"/>
        <w:jc w:val="both"/>
        <w:rPr>
          <w:b/>
        </w:rPr>
      </w:pPr>
      <w:r>
        <w:t xml:space="preserve">A § 1001 gain or loss that is realized with respect to property is characterized as “capital” (instead of “ordinary”) if the three requirements repeated in </w:t>
      </w:r>
      <w:hyperlink r:id="rId53" w:history="1">
        <w:r w:rsidRPr="00514F9D">
          <w:rPr>
            <w:rStyle w:val="Hyperlink"/>
          </w:rPr>
          <w:t>§§ 1222</w:t>
        </w:r>
      </w:hyperlink>
      <w:r>
        <w:t xml:space="preserve">(1) through (4) are satisfied. If you peruse those subsections of § 1222, you will note three common features. </w:t>
      </w:r>
      <w:r w:rsidRPr="00903E25">
        <w:rPr>
          <w:b/>
        </w:rPr>
        <w:t>T</w:t>
      </w:r>
      <w:r>
        <w:rPr>
          <w:b/>
        </w:rPr>
        <w:t>o be “capital”:</w:t>
      </w:r>
    </w:p>
    <w:p w:rsidR="0078310B" w:rsidRPr="00903E25" w:rsidRDefault="0078310B" w:rsidP="0078310B">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rsidR="0078310B" w:rsidRPr="00903E25" w:rsidRDefault="0078310B" w:rsidP="0078310B">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rsidR="0078310B" w:rsidRDefault="0078310B" w:rsidP="0078310B">
      <w:pPr>
        <w:pStyle w:val="ListParagraph"/>
        <w:widowControl w:val="0"/>
        <w:numPr>
          <w:ilvl w:val="0"/>
          <w:numId w:val="3"/>
        </w:numPr>
        <w:spacing w:after="120"/>
        <w:contextualSpacing w:val="0"/>
        <w:jc w:val="both"/>
      </w:pPr>
      <w:r w:rsidRPr="00903E25">
        <w:rPr>
          <w:b/>
        </w:rPr>
        <w:t>the realized gain or loss must have arisen from a “sale or exchange” (as opposed to, for example, a theft or destruction).</w:t>
      </w:r>
      <w:r>
        <w:t xml:space="preserve"> </w:t>
      </w:r>
    </w:p>
    <w:p w:rsidR="0078310B" w:rsidRDefault="0078310B" w:rsidP="0078310B">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such gains and losses are “unrecognized.” (A realized gain or loss that </w:t>
      </w:r>
      <w:r w:rsidRPr="00116E2F">
        <w:rPr>
          <w:i/>
        </w:rPr>
        <w:t>is</w:t>
      </w:r>
      <w:r>
        <w:t xml:space="preserve"> “recognized” is one that </w:t>
      </w:r>
      <w:r w:rsidRPr="00116E2F">
        <w:rPr>
          <w:i/>
        </w:rPr>
        <w:t>is</w:t>
      </w:r>
      <w:r>
        <w:t xml:space="preserve"> taken into account now.) We shall examine some “nonrecognition” provisions in later chapters. For current purposes, it makes sense to stop the analysis regarding whether a realized gain or loss is “capital” or “ordinary” if the gain or loss is not going to show up on the tax return in any event because of a nonrecognition provision. You will have to take my word for it (for now) that no nonrecognition provision would permit Steve’s and Ellen’s realized gain on their sales for cash to go unrecognized. Those gains will, indeed, appear on their tax returns in the sale year. Thus, the first requirement for both Steve’s and Ellen’s § 1001 gain to be characterized as “capital” gain is satisfied. </w:t>
      </w:r>
    </w:p>
    <w:p w:rsidR="0078310B" w:rsidRDefault="0078310B" w:rsidP="0078310B">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exchange” requirement would similarly have been satisfied. </w:t>
      </w:r>
    </w:p>
    <w:p w:rsidR="0078310B" w:rsidRDefault="0078310B" w:rsidP="0078310B">
      <w:pPr>
        <w:pStyle w:val="ListParagraph"/>
        <w:widowControl w:val="0"/>
        <w:spacing w:after="120"/>
        <w:ind w:left="0" w:firstLine="288"/>
        <w:contextualSpacing w:val="0"/>
        <w:jc w:val="both"/>
      </w:pPr>
      <w:r>
        <w:t xml:space="preserve">The necklace is not, however, a “capital asset” as defined in </w:t>
      </w:r>
      <w:r w:rsidRPr="00D7011F">
        <w:t>§ 1221</w:t>
      </w:r>
      <w:r>
        <w:t xml:space="preserve"> in Steve’s hands, though it </w:t>
      </w:r>
      <w:r>
        <w:rPr>
          <w:i/>
        </w:rPr>
        <w:t xml:space="preserve">is </w:t>
      </w:r>
      <w:r>
        <w:t xml:space="preserve">a “capital asset” in the hands of Ellen. Thus, the second requirement, above, is failed and the gain is characterized as “ordinary” instead of “capital” with respect to Steve’s sale only. We shall examine § 1221 in greater detail in Chapter 15, but do read </w:t>
      </w:r>
      <w:hyperlink r:id="rId54"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Thus, if the necklace </w:t>
      </w:r>
      <w:r>
        <w:rPr>
          <w:i/>
        </w:rPr>
        <w:t xml:space="preserve">is </w:t>
      </w:r>
      <w:r>
        <w:t xml:space="preserve">described in one of the paragraphs in § 1221(a), it is </w:t>
      </w:r>
      <w:r>
        <w:rPr>
          <w:i/>
        </w:rPr>
        <w:t xml:space="preserve">not </w:t>
      </w:r>
      <w:r>
        <w:t xml:space="preserve">a capital asset, and the necklace in the hands of Steve is, in fact, described in the “inventory”  or “dealer” exception found in § 1221(a)(1). Because Ellen, unlike Steve, does not hold the necklace as inventory, it </w:t>
      </w:r>
      <w:r>
        <w:rPr>
          <w:i/>
        </w:rPr>
        <w:t xml:space="preserve">is </w:t>
      </w:r>
      <w:r>
        <w:t xml:space="preserve">a “capital asset” in her hands. In short, you cannot simply conclude that gold necklaces are—or are not—capital assets. They are capital assets in the hands of some taxpayers (if they are </w:t>
      </w:r>
      <w:r>
        <w:rPr>
          <w:i/>
        </w:rPr>
        <w:t xml:space="preserve">not </w:t>
      </w:r>
      <w:r>
        <w:t xml:space="preserve">held as inventory to sell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rsidR="0078310B" w:rsidRDefault="0078310B" w:rsidP="0078310B">
      <w:pPr>
        <w:pStyle w:val="ListParagraph"/>
        <w:widowControl w:val="0"/>
        <w:spacing w:after="120"/>
        <w:ind w:left="0" w:firstLine="288"/>
        <w:contextualSpacing w:val="0"/>
        <w:jc w:val="both"/>
      </w:pPr>
      <w:r>
        <w:t xml:space="preserve">So Steve’s § 1001 gain is “ordinary,” but Ellen’s § 1001 gain is “capital.” Why does that matter? Certain kinds of capital gain, called “net capital gain” (defined in § 1222(11)), is subject to a reduced tax rate under § 1(h), whereas ordinary gain is not. We shall tease apart the definition of “net capital gain” in Chapter 15,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3"/>
      </w:r>
      <w:r w:rsidRPr="006D43E4">
        <w:t xml:space="preserve"> </w:t>
      </w:r>
      <w:r>
        <w:t xml:space="preserve">Net capital gain falling within Taxable Income of $400,000 ($450,000 for married couples filing jointly) or less is generally taxed at 15% (0% for taxpayers whose ordinary income is otherwise taxed at 15% or less). Net capital gain falling within Taxable Income exceeding the $400,000 (or $450,000) threshold is generally taxed at 20%. In contrast, the top tax rate on ordinary gain and ordinary income is 39.6%.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rsidR="0078310B" w:rsidRDefault="0078310B" w:rsidP="0078310B">
      <w:pPr>
        <w:pStyle w:val="ListParagraph"/>
        <w:widowControl w:val="0"/>
        <w:spacing w:after="120"/>
        <w:ind w:left="0" w:firstLine="288"/>
        <w:contextualSpacing w:val="0"/>
        <w:jc w:val="both"/>
      </w:pPr>
      <w:r>
        <w:t xml:space="preserve">What if Ellen had sold the jewelry, which she had purchased for $12,000, for only $5,000 (instead of $15,000) because the price of gold had fallen during her ownership period? Instead of realizing a gain under § 1001, she would have realized a § 1001 </w:t>
      </w:r>
      <w:r w:rsidRPr="00126786">
        <w:rPr>
          <w:i/>
        </w:rPr>
        <w:t>loss</w:t>
      </w:r>
      <w:r>
        <w:t xml:space="preserve"> of $7,000 ($5,000 A/R </w:t>
      </w:r>
      <w:r>
        <w:rPr>
          <w:i/>
        </w:rPr>
        <w:t>less</w:t>
      </w:r>
      <w:r>
        <w:t xml:space="preserve"> $12,000 A/B). Could Ellen deduct this loss under </w:t>
      </w:r>
      <w:hyperlink r:id="rId55"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rsidR="0078310B" w:rsidRDefault="0078310B" w:rsidP="0078310B">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w:t>
      </w:r>
      <w:r w:rsidRPr="00625334">
        <w:t>§ 165</w:t>
      </w:r>
      <w:r>
        <w:t xml:space="preserve">(c)(2), and all three requirements found in </w:t>
      </w:r>
      <w:hyperlink r:id="rId56" w:history="1">
        <w:r w:rsidRPr="00025269">
          <w:rPr>
            <w:rStyle w:val="Hyperlink"/>
          </w:rPr>
          <w:t>§ 1222</w:t>
        </w:r>
      </w:hyperlink>
      <w:r>
        <w:t xml:space="preserve"> are satisfied. Thus, her deductible loss is a “capital” loss. Why does that matter? </w:t>
      </w:r>
    </w:p>
    <w:p w:rsidR="0078310B" w:rsidRDefault="0078310B" w:rsidP="0078310B">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57" w:history="1">
        <w:r w:rsidRPr="00FF24F1">
          <w:rPr>
            <w:rStyle w:val="Hyperlink"/>
          </w:rPr>
          <w:t>§ 165</w:t>
        </w:r>
      </w:hyperlink>
      <w:r>
        <w:t xml:space="preserve">(f), which refers her to § 1211 because her deductible loss is capital. Read </w:t>
      </w:r>
      <w:hyperlink r:id="rId58" w:history="1">
        <w:r w:rsidRPr="00FF24F1">
          <w:rPr>
            <w:rStyle w:val="Hyperlink"/>
          </w:rPr>
          <w:t>§ 1211</w:t>
        </w:r>
      </w:hyperlink>
      <w:r>
        <w:t xml:space="preserve">(b) now. Notice that § 1211 does not contain the magic words “there shall be allowed a deduction.” Section 165 is the Code section that authorizes deduction of Ellen’s loss.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otherwise allowable deduction. </w:t>
      </w:r>
    </w:p>
    <w:p w:rsidR="0078310B" w:rsidRPr="00487DFC" w:rsidRDefault="0078310B" w:rsidP="0078310B">
      <w:pPr>
        <w:pStyle w:val="ListParagraph"/>
        <w:widowControl w:val="0"/>
        <w:spacing w:after="120"/>
        <w:ind w:left="0" w:firstLine="288"/>
        <w:contextualSpacing w:val="0"/>
        <w:jc w:val="both"/>
        <w:rPr>
          <w:b/>
        </w:rPr>
      </w:pPr>
      <w:r w:rsidRPr="00487DFC">
        <w:rPr>
          <w:b/>
        </w:rPr>
        <w:t xml:space="preserve">With respect to capital losses that are otherwise deductible under the authority of § 165, § 1211(b) limits the amount of deductible capital losses (whether short-term or long-term) that can be taken in any year to the amount of realized and included capital gains (whether 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rsidR="0078310B" w:rsidRDefault="0078310B" w:rsidP="0078310B">
      <w:pPr>
        <w:pStyle w:val="ListParagraph"/>
        <w:widowControl w:val="0"/>
        <w:spacing w:after="120"/>
        <w:ind w:left="0" w:firstLine="288"/>
        <w:contextualSpacing w:val="0"/>
        <w:jc w:val="both"/>
      </w:pPr>
      <w:r w:rsidRPr="00230A86">
        <w:t>For</w:t>
      </w:r>
      <w:r>
        <w:t xml:space="preserve"> example, if Ellen also owns shares of stock in Realty, Inc., with an unrealized capital gain (which we can refer to as built-in gain) of $9,000, and she sells that Realty stock this year, realizing and including that $9,000 capital gain, she could then deduct her entire $7,000 realized and deductible capital loss on the sale of the Gaggle stock under §§ 165 and 1211(b). If however,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rsidR="0078310B" w:rsidRDefault="0078310B" w:rsidP="0078310B">
      <w:pPr>
        <w:pStyle w:val="ListParagraph"/>
        <w:widowControl w:val="0"/>
        <w:spacing w:after="120"/>
        <w:ind w:left="0" w:firstLine="288"/>
        <w:contextualSpacing w:val="0"/>
        <w:jc w:val="both"/>
      </w:pPr>
      <w:r>
        <w:t xml:space="preserve">The § 1211 capital loss limitation rule stems chiefly from the realization requirement (coupled with the special, reduced tax rate under § 1(h) for “net capital gain”) and the “cherry picking” that could result without § 1211(b). Without § 1211(b), the taxpayer could choose to sell only properties with deductible, unrealized loss (built-in loss) and choose not to sell properties with built-in gain, thus making it appear as though the taxpayer lost wealth for the year under SHS notions of income when, she is, on net, actually 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rsidR="0078310B" w:rsidRDefault="0078310B" w:rsidP="0078310B">
      <w:pPr>
        <w:pStyle w:val="ListParagraph"/>
        <w:widowControl w:val="0"/>
        <w:spacing w:after="120"/>
        <w:ind w:left="0" w:firstLine="288"/>
        <w:contextualSpacing w:val="0"/>
        <w:jc w:val="both"/>
      </w:pPr>
      <w:r>
        <w:t xml:space="preserve">Note that only “capital” losses are subject to the limitation in § 1211(b), while ordinary losses that are deductible under § 165 are not so limited. For example, if Steve, our jewelry shop owner, sells the gold necklace to Ellen for less than he purchased it, his § 1001 loss is both deductible under § 165(c)(1) and ordinary (not capital) because the necklace is not a capital asset in his hands under the § 1221(a)(1) inventory exception. Thus, his loss deduction is allowable without limit, unconstrained by § 1211(b). </w:t>
      </w:r>
    </w:p>
    <w:p w:rsidR="0078310B" w:rsidRDefault="0078310B" w:rsidP="0078310B">
      <w:pPr>
        <w:pStyle w:val="ListParagraph"/>
        <w:widowControl w:val="0"/>
        <w:ind w:left="0" w:firstLine="288"/>
        <w:contextualSpacing w:val="0"/>
        <w:jc w:val="both"/>
      </w:pPr>
      <w:r>
        <w:rPr>
          <w:b/>
        </w:rPr>
        <w:t xml:space="preserve">In short, capital gains are treated favorably when compared to ordinary gains and ordinary income because capital gains may be taxed at a special, reduced tax rate. Capital losses are treated unfavorably when compared to ordinary losses because otherwise deductible capital losses are subject to deduction restrictions in § 1211(b) that do not apply to ordinary losses. </w:t>
      </w:r>
    </w:p>
    <w:p w:rsidR="0078310B" w:rsidRPr="00F65A1E" w:rsidRDefault="0078310B" w:rsidP="0078310B">
      <w:pPr>
        <w:pStyle w:val="ListParagraph"/>
        <w:widowControl w:val="0"/>
        <w:ind w:left="0" w:firstLine="288"/>
        <w:contextualSpacing w:val="0"/>
        <w:jc w:val="both"/>
      </w:pPr>
    </w:p>
    <w:p w:rsidR="0078310B" w:rsidRDefault="0078310B" w:rsidP="0078310B">
      <w:pPr>
        <w:pStyle w:val="Heading3"/>
        <w:spacing w:before="0" w:beforeAutospacing="0" w:after="0" w:afterAutospacing="0"/>
        <w:jc w:val="center"/>
        <w:rPr>
          <w:b w:val="0"/>
        </w:rPr>
      </w:pPr>
      <w:bookmarkStart w:id="22" w:name="_Toc395790337"/>
      <w:r w:rsidRPr="008A513C">
        <w:rPr>
          <w:u w:val="single"/>
        </w:rPr>
        <w:t>Problems</w:t>
      </w:r>
      <w:bookmarkEnd w:id="22"/>
    </w:p>
    <w:p w:rsidR="0078310B" w:rsidRPr="00F65A1E"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rsidR="0078310B" w:rsidRDefault="0078310B" w:rsidP="0078310B">
      <w:pPr>
        <w:widowControl w:val="0"/>
        <w:spacing w:after="120"/>
        <w:ind w:left="288"/>
        <w:jc w:val="both"/>
      </w:pPr>
      <w:r>
        <w:rPr>
          <w:b/>
        </w:rPr>
        <w:t>a.</w:t>
      </w:r>
      <w:r>
        <w:t xml:space="preserve"> What does Rachel include in Gross Income (or deduct in reaching Taxable Income) in each of Years 1, 2, and 3 under current law? </w:t>
      </w:r>
    </w:p>
    <w:p w:rsidR="0078310B" w:rsidRDefault="0078310B" w:rsidP="0078310B">
      <w:pPr>
        <w:widowControl w:val="0"/>
        <w:spacing w:after="120"/>
        <w:ind w:left="288"/>
        <w:jc w:val="both"/>
      </w:pPr>
      <w:r>
        <w:rPr>
          <w:b/>
        </w:rPr>
        <w:t>b.</w:t>
      </w:r>
      <w:r>
        <w:t xml:space="preserve"> What would Rachel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rsidR="0078310B" w:rsidRDefault="0078310B" w:rsidP="0078310B">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rsidR="0078310B" w:rsidRPr="002D78D6" w:rsidRDefault="0078310B" w:rsidP="0078310B">
      <w:pPr>
        <w:widowControl w:val="0"/>
        <w:spacing w:after="120"/>
        <w:ind w:left="288"/>
        <w:jc w:val="both"/>
      </w:pPr>
      <w:r>
        <w:rPr>
          <w:b/>
        </w:rPr>
        <w:t>d.</w:t>
      </w:r>
      <w:r>
        <w:t xml:space="preserve"> In </w:t>
      </w:r>
      <w:r>
        <w:rPr>
          <w:b/>
        </w:rPr>
        <w:t>a.</w:t>
      </w:r>
      <w:r>
        <w:t>, what is the character of Rachel’s § 1001 realized gain: capital or ordinary? Why does Rachel care?</w:t>
      </w:r>
    </w:p>
    <w:p w:rsidR="0078310B" w:rsidRPr="00EE4F20" w:rsidRDefault="0078310B" w:rsidP="0078310B">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rsidR="0078310B" w:rsidRDefault="0078310B" w:rsidP="0078310B">
      <w:pPr>
        <w:widowControl w:val="0"/>
        <w:jc w:val="both"/>
        <w:rPr>
          <w:b/>
        </w:rPr>
      </w:pPr>
    </w:p>
    <w:p w:rsidR="0078310B" w:rsidRDefault="0078310B" w:rsidP="0078310B">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rsidR="0078310B" w:rsidRDefault="0078310B" w:rsidP="0078310B">
      <w:pPr>
        <w:widowControl w:val="0"/>
        <w:spacing w:after="120"/>
        <w:ind w:firstLine="288"/>
        <w:jc w:val="both"/>
      </w:pPr>
      <w:r>
        <w:rPr>
          <w:b/>
        </w:rPr>
        <w:t>a.</w:t>
      </w:r>
      <w:r>
        <w:t xml:space="preserve"> take a trip to Paris? </w:t>
      </w:r>
    </w:p>
    <w:p w:rsidR="0078310B" w:rsidRDefault="0078310B" w:rsidP="0078310B">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rsidR="0078310B" w:rsidRDefault="0078310B" w:rsidP="0078310B">
      <w:pPr>
        <w:widowControl w:val="0"/>
        <w:jc w:val="both"/>
        <w:rPr>
          <w:b/>
        </w:rPr>
      </w:pPr>
    </w:p>
    <w:p w:rsidR="0078310B" w:rsidRDefault="0078310B" w:rsidP="0078310B">
      <w:pPr>
        <w:widowControl w:val="0"/>
        <w:ind w:firstLine="288"/>
        <w:jc w:val="both"/>
      </w:pPr>
      <w:r>
        <w:rPr>
          <w:b/>
        </w:rPr>
        <w:t>3.</w:t>
      </w:r>
      <w:r>
        <w:t xml:space="preserve"> Tired of all of the clutter in her home, Rachel holds a garage sale where she sells a bunch of old furniture, clothes, dishes, toys, small appliances, </w:t>
      </w:r>
      <w:r>
        <w:rPr>
          <w:i/>
        </w:rPr>
        <w:t>etc.</w:t>
      </w:r>
      <w:r>
        <w:t xml:space="preserve">, which she had used in her home over the years. Nothing that she sold was valuable. When she counted the money in her till at the end of the day, she had $300 in cash. Does Rachel include this $300 in her Gross Income under current law? Why or why not? </w:t>
      </w:r>
    </w:p>
    <w:p w:rsidR="0078310B" w:rsidRDefault="0078310B" w:rsidP="0078310B">
      <w:pPr>
        <w:widowControl w:val="0"/>
        <w:jc w:val="both"/>
        <w:rPr>
          <w:b/>
        </w:rPr>
      </w:pPr>
    </w:p>
    <w:p w:rsidR="0078310B" w:rsidRDefault="0078310B" w:rsidP="0078310B">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a new patient examining table for $10,000. Describe Rachel’s tax consequences under both SHS notions of income and current law for each of these outlays. (Do not worry about figuring out actual depreciation deductions, if any, to which she is entitled. Just note whether or not she would be entitled to take any.)  </w:t>
      </w:r>
    </w:p>
    <w:p w:rsidR="0078310B" w:rsidRDefault="0078310B" w:rsidP="0078310B">
      <w:pPr>
        <w:widowControl w:val="0"/>
        <w:jc w:val="both"/>
        <w:rPr>
          <w:b/>
        </w:rPr>
      </w:pPr>
    </w:p>
    <w:p w:rsidR="0078310B" w:rsidRPr="00343247" w:rsidRDefault="0078310B" w:rsidP="0078310B">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rsidR="0078310B" w:rsidRDefault="0078310B" w:rsidP="0078310B">
      <w:pPr>
        <w:widowControl w:val="0"/>
        <w:jc w:val="both"/>
        <w:rPr>
          <w:b/>
        </w:rPr>
      </w:pPr>
    </w:p>
    <w:p w:rsidR="0078310B" w:rsidRDefault="0078310B" w:rsidP="0078310B">
      <w:pPr>
        <w:widowControl w:val="0"/>
        <w:ind w:firstLine="288"/>
        <w:jc w:val="both"/>
      </w:pPr>
      <w:r>
        <w:rPr>
          <w:b/>
        </w:rPr>
        <w:t>6.</w:t>
      </w:r>
      <w:r>
        <w:t xml:space="preserve"> Ryan, a lawyer, purchases shares of corporate stock for $20,000 in December of Year 1. At the end of Year 2, they are worth $17,000. He sells the shares in October of Year 3 for $13,000. Describe Ryan’s tax consequences with respect to the purchase and ownership of the shares under both SHS notions of income and under current law.</w:t>
      </w:r>
    </w:p>
    <w:p w:rsidR="0078310B" w:rsidRDefault="0078310B" w:rsidP="0078310B">
      <w:pPr>
        <w:widowControl w:val="0"/>
        <w:jc w:val="both"/>
      </w:pPr>
    </w:p>
    <w:p w:rsidR="0078310B" w:rsidRPr="00C72621" w:rsidRDefault="0078310B" w:rsidP="0078310B">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Take my word for it that they were 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rsidR="0078310B" w:rsidRDefault="0078310B" w:rsidP="0078310B">
      <w:pPr>
        <w:widowControl w:val="0"/>
        <w:jc w:val="both"/>
      </w:pPr>
    </w:p>
    <w:p w:rsidR="0078310B" w:rsidRPr="005A7F56" w:rsidRDefault="0078310B" w:rsidP="0078310B">
      <w:pPr>
        <w:widowControl w:val="0"/>
        <w:ind w:firstLine="288"/>
        <w:jc w:val="both"/>
      </w:pPr>
      <w:r>
        <w:rPr>
          <w:b/>
        </w:rPr>
        <w:t>8.</w:t>
      </w:r>
      <w:r>
        <w:t xml:space="preserve"> Doug purchases a boat in Year 1 for $200,000</w:t>
      </w:r>
      <w:r w:rsidR="00B25300">
        <w:t xml:space="preserve"> for use in his business as a fisherman</w:t>
      </w:r>
      <w:r>
        <w:t xml:space="preserve">. In Year 2, Doug spends $30,000 to fix the boat up. Explain why Doug would like to categorize the $30,000 outlay as a mere “repair” (an “expense” under </w:t>
      </w:r>
      <w:hyperlink r:id="rId59" w:history="1">
        <w:r w:rsidRPr="00025269">
          <w:rPr>
            <w:rStyle w:val="Hyperlink"/>
            <w:bCs/>
          </w:rPr>
          <w:t>Treas. Reg. § 1.162-4</w:t>
        </w:r>
      </w:hyperlink>
      <w:r>
        <w:rPr>
          <w:bCs/>
        </w:rPr>
        <w:t xml:space="preserve">) rather than an “improvement” (a </w:t>
      </w:r>
      <w:r w:rsidR="00B052C8">
        <w:rPr>
          <w:bCs/>
        </w:rPr>
        <w:t xml:space="preserve"> </w:t>
      </w:r>
      <w:r>
        <w:rPr>
          <w:bCs/>
        </w:rPr>
        <w:t xml:space="preserve">”capital expenditure” under </w:t>
      </w:r>
      <w:hyperlink r:id="rId60" w:history="1">
        <w:r w:rsidRPr="00025269">
          <w:rPr>
            <w:rStyle w:val="Hyperlink"/>
            <w:bCs/>
          </w:rPr>
          <w:t>Treas. Reg. § 1.263(a)-1</w:t>
        </w:r>
      </w:hyperlink>
      <w:r>
        <w:rPr>
          <w:bCs/>
        </w:rPr>
        <w:t>(d) and -3</w:t>
      </w:r>
      <w:r w:rsidR="00B25300">
        <w:rPr>
          <w:bCs/>
        </w:rPr>
        <w:t>).</w:t>
      </w:r>
    </w:p>
    <w:p w:rsidR="0078310B" w:rsidRDefault="0078310B" w:rsidP="0078310B">
      <w:pPr>
        <w:widowControl w:val="0"/>
        <w:jc w:val="center"/>
      </w:pPr>
      <w:r>
        <w:t>_______________________________________</w:t>
      </w:r>
    </w:p>
    <w:p w:rsidR="0078310B" w:rsidRDefault="0078310B" w:rsidP="0078310B">
      <w:pPr>
        <w:widowControl w:val="0"/>
        <w:ind w:firstLine="288"/>
        <w:jc w:val="both"/>
      </w:pPr>
    </w:p>
    <w:p w:rsidR="0078310B" w:rsidRDefault="0078310B" w:rsidP="0078310B">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rsidR="0078310B" w:rsidRPr="00236B47" w:rsidRDefault="0078310B" w:rsidP="0078310B">
      <w:pPr>
        <w:widowControl w:val="0"/>
        <w:ind w:firstLine="288"/>
        <w:jc w:val="both"/>
      </w:pPr>
    </w:p>
    <w:p w:rsidR="0078310B" w:rsidRPr="00B516B0" w:rsidRDefault="0078310B" w:rsidP="0078310B">
      <w:pPr>
        <w:pStyle w:val="Heading2"/>
        <w:spacing w:before="0"/>
        <w:rPr>
          <w:sz w:val="32"/>
          <w:szCs w:val="32"/>
          <w:u w:val="single"/>
        </w:rPr>
      </w:pPr>
      <w:bookmarkStart w:id="23" w:name="_Toc395790338"/>
      <w:r w:rsidRPr="00B516B0">
        <w:rPr>
          <w:sz w:val="32"/>
          <w:szCs w:val="32"/>
          <w:u w:val="single"/>
        </w:rPr>
        <w:t>B. The tax rate structure, marginal vs. effective rates, and more</w:t>
      </w:r>
      <w:bookmarkEnd w:id="23"/>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As noted earlier, the highest marginal tax rate on ordinary income is 39.6%, but a graduated rate structure begins at 10% and rises to 39.6% on each chunk of “Taxable Income.” Recall from Part A. that Taxable Income is, generally speaking, § 61 Gross Income </w:t>
      </w:r>
      <w:r>
        <w:rPr>
          <w:i/>
        </w:rPr>
        <w:t xml:space="preserve">less </w:t>
      </w:r>
      <w:r>
        <w:t xml:space="preserve">any allowable deductions. The first chunk of Taxable Income is taxed at 10%, the next chunk at 15%, and so on at rates of 25%, 28%, 33%, 35%, and 39.6%. </w:t>
      </w:r>
    </w:p>
    <w:p w:rsidR="0078310B" w:rsidRDefault="0078310B" w:rsidP="0078310B">
      <w:pPr>
        <w:widowControl w:val="0"/>
        <w:tabs>
          <w:tab w:val="left" w:pos="3150"/>
        </w:tabs>
        <w:ind w:firstLine="288"/>
        <w:jc w:val="both"/>
      </w:pPr>
      <w:r>
        <w:t>Moreover, we have different rate schedules that apply in different household circumstances, and the beginning and end of each rate threshold are indexed for inflation so that they rise each year, ensuring that mere inflation gain (rather than a real gain in purchasing power) does not cause income to creep up into the next higher tax bracket (formerly known as “bracket creep” before the inflation adjustments were adopted in 1986). The two most common rate schedul</w:t>
      </w:r>
      <w:r w:rsidR="003E4133">
        <w:t>es are reproduced below for 2017</w:t>
      </w:r>
      <w:r>
        <w:t>.</w:t>
      </w:r>
      <w:r w:rsidRPr="00103AF8">
        <w:rPr>
          <w:rStyle w:val="FootnoteReference"/>
        </w:rPr>
        <w:footnoteReference w:id="44"/>
      </w:r>
    </w:p>
    <w:p w:rsidR="0078310B" w:rsidRDefault="0078310B" w:rsidP="0078310B">
      <w:pPr>
        <w:widowControl w:val="0"/>
        <w:tabs>
          <w:tab w:val="left" w:pos="3150"/>
        </w:tabs>
        <w:jc w:val="both"/>
      </w:pPr>
    </w:p>
    <w:p w:rsidR="0078310B" w:rsidRPr="00486FDE" w:rsidRDefault="0078310B" w:rsidP="0078310B">
      <w:pPr>
        <w:pStyle w:val="BodyText"/>
        <w:widowControl w:val="0"/>
        <w:tabs>
          <w:tab w:val="left" w:pos="3150"/>
        </w:tabs>
        <w:jc w:val="center"/>
        <w:rPr>
          <w:sz w:val="24"/>
          <w:szCs w:val="24"/>
        </w:rPr>
      </w:pPr>
      <w:r w:rsidRPr="00486FDE">
        <w:rPr>
          <w:b/>
          <w:bCs/>
          <w:sz w:val="24"/>
          <w:szCs w:val="24"/>
          <w:u w:val="single"/>
        </w:rPr>
        <w:t>20</w:t>
      </w:r>
      <w:r w:rsidR="00E47548">
        <w:rPr>
          <w:b/>
          <w:bCs/>
          <w:sz w:val="24"/>
          <w:szCs w:val="24"/>
          <w:u w:val="single"/>
        </w:rPr>
        <w:t>17</w:t>
      </w:r>
      <w:r w:rsidRPr="00486FDE">
        <w:rPr>
          <w:b/>
          <w:bCs/>
          <w:sz w:val="24"/>
          <w:szCs w:val="24"/>
          <w:u w:val="single"/>
        </w:rPr>
        <w:t xml:space="preserve"> Table for Unmarried Individuals</w:t>
      </w:r>
    </w:p>
    <w:p w:rsidR="0078310B" w:rsidRPr="00486FDE" w:rsidRDefault="0078310B" w:rsidP="0078310B">
      <w:pPr>
        <w:pStyle w:val="BodyText"/>
        <w:widowControl w:val="0"/>
        <w:tabs>
          <w:tab w:val="left" w:pos="3150"/>
        </w:tabs>
        <w:rPr>
          <w:iCs/>
          <w:sz w:val="24"/>
          <w:szCs w:val="24"/>
        </w:rPr>
      </w:pPr>
    </w:p>
    <w:p w:rsidR="0078310B" w:rsidRPr="00486FDE" w:rsidRDefault="0078310B" w:rsidP="0078310B">
      <w:pPr>
        <w:pStyle w:val="BodyText"/>
        <w:widowControl w:val="0"/>
        <w:tabs>
          <w:tab w:val="left" w:pos="3150"/>
        </w:tabs>
        <w:spacing w:after="120"/>
        <w:rPr>
          <w:sz w:val="24"/>
          <w:szCs w:val="24"/>
        </w:rPr>
      </w:pPr>
      <w:r w:rsidRPr="00486FDE">
        <w:rPr>
          <w:i/>
          <w:iCs/>
          <w:sz w:val="24"/>
          <w:szCs w:val="24"/>
        </w:rPr>
        <w:t>If Taxable Income is:                                    The tax is:</w:t>
      </w:r>
    </w:p>
    <w:p w:rsidR="0078310B" w:rsidRPr="00486FDE" w:rsidRDefault="003E4133" w:rsidP="0078310B">
      <w:pPr>
        <w:pStyle w:val="BodyText"/>
        <w:widowControl w:val="0"/>
        <w:tabs>
          <w:tab w:val="left" w:pos="3150"/>
        </w:tabs>
        <w:rPr>
          <w:sz w:val="24"/>
          <w:szCs w:val="24"/>
        </w:rPr>
      </w:pPr>
      <w:r>
        <w:rPr>
          <w:sz w:val="24"/>
          <w:szCs w:val="24"/>
        </w:rPr>
        <w:t>Not over $9,32</w:t>
      </w:r>
      <w:r w:rsidR="0078310B">
        <w:rPr>
          <w:sz w:val="24"/>
          <w:szCs w:val="24"/>
        </w:rPr>
        <w:t>5</w:t>
      </w:r>
      <w:r w:rsidR="0078310B" w:rsidRPr="00486FDE">
        <w:rPr>
          <w:sz w:val="24"/>
          <w:szCs w:val="24"/>
        </w:rPr>
        <w:t xml:space="preserve"> …………………………. 10% of Taxable Income</w:t>
      </w:r>
    </w:p>
    <w:p w:rsidR="0078310B" w:rsidRPr="00486FDE" w:rsidRDefault="003E4133" w:rsidP="0078310B">
      <w:pPr>
        <w:pStyle w:val="BodyText"/>
        <w:widowControl w:val="0"/>
        <w:tabs>
          <w:tab w:val="left" w:pos="3150"/>
        </w:tabs>
        <w:rPr>
          <w:sz w:val="24"/>
          <w:szCs w:val="24"/>
        </w:rPr>
      </w:pPr>
      <w:r>
        <w:rPr>
          <w:sz w:val="24"/>
          <w:szCs w:val="24"/>
        </w:rPr>
        <w:t>Over $9,325 but not over $37,950 ………..$932</w:t>
      </w:r>
      <w:r w:rsidR="0078310B" w:rsidRPr="00486FDE">
        <w:rPr>
          <w:sz w:val="24"/>
          <w:szCs w:val="24"/>
        </w:rPr>
        <w:t>.</w:t>
      </w:r>
      <w:r>
        <w:rPr>
          <w:sz w:val="24"/>
          <w:szCs w:val="24"/>
        </w:rPr>
        <w:t>50 plus 15% of excess over $9,32</w:t>
      </w:r>
      <w:r w:rsidR="0078310B" w:rsidRPr="00486FDE">
        <w:rPr>
          <w:sz w:val="24"/>
          <w:szCs w:val="24"/>
        </w:rPr>
        <w:t>5</w:t>
      </w:r>
    </w:p>
    <w:p w:rsidR="0078310B" w:rsidRPr="00486FDE" w:rsidRDefault="003E4133" w:rsidP="0078310B">
      <w:pPr>
        <w:pStyle w:val="BodyText"/>
        <w:widowControl w:val="0"/>
        <w:tabs>
          <w:tab w:val="left" w:pos="3150"/>
        </w:tabs>
        <w:rPr>
          <w:sz w:val="24"/>
          <w:szCs w:val="24"/>
        </w:rPr>
      </w:pPr>
      <w:r>
        <w:rPr>
          <w:sz w:val="24"/>
          <w:szCs w:val="24"/>
        </w:rPr>
        <w:t>Over $37,9</w:t>
      </w:r>
      <w:r w:rsidR="0078310B">
        <w:rPr>
          <w:sz w:val="24"/>
          <w:szCs w:val="24"/>
        </w:rPr>
        <w:t>5</w:t>
      </w:r>
      <w:r w:rsidR="0078310B" w:rsidRPr="00486FDE">
        <w:rPr>
          <w:sz w:val="24"/>
          <w:szCs w:val="24"/>
        </w:rPr>
        <w:t xml:space="preserve">0 but not </w:t>
      </w:r>
      <w:r>
        <w:rPr>
          <w:sz w:val="24"/>
          <w:szCs w:val="24"/>
        </w:rPr>
        <w:t>over $91,900 ………$5,226.2</w:t>
      </w:r>
      <w:r w:rsidR="0078310B">
        <w:rPr>
          <w:sz w:val="24"/>
          <w:szCs w:val="24"/>
        </w:rPr>
        <w:t>5 plus 25% of excess over $</w:t>
      </w:r>
      <w:r>
        <w:rPr>
          <w:sz w:val="24"/>
          <w:szCs w:val="24"/>
        </w:rPr>
        <w:t>37,9</w:t>
      </w:r>
      <w:r w:rsidR="0078310B">
        <w:rPr>
          <w:sz w:val="24"/>
          <w:szCs w:val="24"/>
        </w:rPr>
        <w:t>50</w:t>
      </w:r>
    </w:p>
    <w:p w:rsidR="0078310B" w:rsidRPr="00486FDE" w:rsidRDefault="003E4133" w:rsidP="0078310B">
      <w:pPr>
        <w:pStyle w:val="BodyText"/>
        <w:widowControl w:val="0"/>
        <w:tabs>
          <w:tab w:val="left" w:pos="3150"/>
        </w:tabs>
        <w:rPr>
          <w:sz w:val="24"/>
          <w:szCs w:val="24"/>
        </w:rPr>
      </w:pPr>
      <w:r>
        <w:rPr>
          <w:sz w:val="24"/>
          <w:szCs w:val="24"/>
        </w:rPr>
        <w:t>Over $91,900 but not over $191,650 ……..$18,713</w:t>
      </w:r>
      <w:r w:rsidR="0078310B">
        <w:rPr>
          <w:sz w:val="24"/>
          <w:szCs w:val="24"/>
        </w:rPr>
        <w:t>.</w:t>
      </w:r>
      <w:r>
        <w:rPr>
          <w:sz w:val="24"/>
          <w:szCs w:val="24"/>
        </w:rPr>
        <w:t>75 plus 28% of excess over $91,90</w:t>
      </w:r>
      <w:r w:rsidR="0078310B" w:rsidRPr="00486FDE">
        <w:rPr>
          <w:sz w:val="24"/>
          <w:szCs w:val="24"/>
        </w:rPr>
        <w:t>0</w:t>
      </w:r>
    </w:p>
    <w:p w:rsidR="0078310B" w:rsidRPr="00486FDE" w:rsidRDefault="003E4133" w:rsidP="0078310B">
      <w:pPr>
        <w:pStyle w:val="BodyText"/>
        <w:widowControl w:val="0"/>
        <w:tabs>
          <w:tab w:val="left" w:pos="3150"/>
        </w:tabs>
        <w:rPr>
          <w:sz w:val="24"/>
          <w:szCs w:val="24"/>
        </w:rPr>
      </w:pPr>
      <w:r>
        <w:rPr>
          <w:sz w:val="24"/>
          <w:szCs w:val="24"/>
        </w:rPr>
        <w:t>Over $191,650 but not over $416,700 …... $46,643</w:t>
      </w:r>
      <w:r w:rsidR="0078310B">
        <w:rPr>
          <w:sz w:val="24"/>
          <w:szCs w:val="24"/>
        </w:rPr>
        <w:t>.7</w:t>
      </w:r>
      <w:r w:rsidR="0078310B" w:rsidRPr="00486FDE">
        <w:rPr>
          <w:sz w:val="24"/>
          <w:szCs w:val="24"/>
        </w:rPr>
        <w:t>5</w:t>
      </w:r>
      <w:r>
        <w:rPr>
          <w:sz w:val="24"/>
          <w:szCs w:val="24"/>
        </w:rPr>
        <w:t xml:space="preserve"> plus 33% of excess over $191,650</w:t>
      </w:r>
    </w:p>
    <w:p w:rsidR="0078310B" w:rsidRPr="00486FDE" w:rsidRDefault="003E4133" w:rsidP="0078310B">
      <w:pPr>
        <w:pStyle w:val="BodyText"/>
        <w:widowControl w:val="0"/>
        <w:tabs>
          <w:tab w:val="left" w:pos="3150"/>
        </w:tabs>
        <w:rPr>
          <w:sz w:val="24"/>
          <w:szCs w:val="24"/>
        </w:rPr>
      </w:pPr>
      <w:r>
        <w:rPr>
          <w:sz w:val="24"/>
          <w:szCs w:val="24"/>
        </w:rPr>
        <w:t>Over $416,700 but not over $418,400 ……$120,910.2</w:t>
      </w:r>
      <w:r w:rsidR="0078310B">
        <w:rPr>
          <w:sz w:val="24"/>
          <w:szCs w:val="24"/>
        </w:rPr>
        <w:t>5</w:t>
      </w:r>
      <w:r>
        <w:rPr>
          <w:sz w:val="24"/>
          <w:szCs w:val="24"/>
        </w:rPr>
        <w:t xml:space="preserve"> plus 35% of excess over $416,70</w:t>
      </w:r>
      <w:r w:rsidR="0078310B" w:rsidRPr="00486FDE">
        <w:rPr>
          <w:sz w:val="24"/>
          <w:szCs w:val="24"/>
        </w:rPr>
        <w:t>0</w:t>
      </w:r>
    </w:p>
    <w:p w:rsidR="0078310B" w:rsidRPr="00486FDE" w:rsidRDefault="003E4133" w:rsidP="0078310B">
      <w:pPr>
        <w:pStyle w:val="BodyText"/>
        <w:widowControl w:val="0"/>
        <w:tabs>
          <w:tab w:val="left" w:pos="3150"/>
        </w:tabs>
        <w:rPr>
          <w:sz w:val="24"/>
          <w:szCs w:val="24"/>
        </w:rPr>
      </w:pPr>
      <w:r>
        <w:rPr>
          <w:sz w:val="24"/>
          <w:szCs w:val="24"/>
        </w:rPr>
        <w:t>Over $418,400 …………………………....$121,505.2</w:t>
      </w:r>
      <w:r w:rsidR="0078310B" w:rsidRPr="00486FDE">
        <w:rPr>
          <w:sz w:val="24"/>
          <w:szCs w:val="24"/>
        </w:rPr>
        <w:t>5 p</w:t>
      </w:r>
      <w:r>
        <w:rPr>
          <w:sz w:val="24"/>
          <w:szCs w:val="24"/>
        </w:rPr>
        <w:t>lus 39.6% of excess over $418,40</w:t>
      </w:r>
      <w:r w:rsidR="0078310B" w:rsidRPr="00486FDE">
        <w:rPr>
          <w:sz w:val="24"/>
          <w:szCs w:val="24"/>
        </w:rPr>
        <w:t>0</w:t>
      </w:r>
    </w:p>
    <w:p w:rsidR="0078310B" w:rsidRPr="00486FDE" w:rsidRDefault="0078310B" w:rsidP="0078310B">
      <w:pPr>
        <w:pStyle w:val="BodyText"/>
        <w:widowControl w:val="0"/>
        <w:tabs>
          <w:tab w:val="left" w:pos="3150"/>
        </w:tabs>
        <w:rPr>
          <w:sz w:val="24"/>
          <w:szCs w:val="24"/>
        </w:rPr>
      </w:pPr>
    </w:p>
    <w:p w:rsidR="0078310B" w:rsidRPr="00486FDE" w:rsidRDefault="00E47548" w:rsidP="0078310B">
      <w:pPr>
        <w:pStyle w:val="BodyText"/>
        <w:widowControl w:val="0"/>
        <w:tabs>
          <w:tab w:val="left" w:pos="3150"/>
        </w:tabs>
        <w:jc w:val="center"/>
        <w:rPr>
          <w:sz w:val="24"/>
          <w:szCs w:val="24"/>
        </w:rPr>
      </w:pPr>
      <w:r>
        <w:rPr>
          <w:b/>
          <w:bCs/>
          <w:sz w:val="24"/>
          <w:szCs w:val="24"/>
          <w:u w:val="single"/>
        </w:rPr>
        <w:t>2017</w:t>
      </w:r>
      <w:r w:rsidR="0078310B" w:rsidRPr="00486FDE">
        <w:rPr>
          <w:b/>
          <w:bCs/>
          <w:sz w:val="24"/>
          <w:szCs w:val="24"/>
          <w:u w:val="single"/>
        </w:rPr>
        <w:t xml:space="preserve"> Table for Married Couples Filing a Joint Return</w:t>
      </w:r>
    </w:p>
    <w:p w:rsidR="0078310B" w:rsidRPr="00486FDE" w:rsidRDefault="0078310B" w:rsidP="0078310B">
      <w:pPr>
        <w:pStyle w:val="BodyText"/>
        <w:widowControl w:val="0"/>
        <w:tabs>
          <w:tab w:val="left" w:pos="3150"/>
        </w:tabs>
        <w:rPr>
          <w:iCs/>
          <w:sz w:val="24"/>
          <w:szCs w:val="24"/>
        </w:rPr>
      </w:pPr>
    </w:p>
    <w:p w:rsidR="0078310B" w:rsidRPr="00486FDE" w:rsidRDefault="0078310B" w:rsidP="0078310B">
      <w:pPr>
        <w:pStyle w:val="BodyText"/>
        <w:widowControl w:val="0"/>
        <w:tabs>
          <w:tab w:val="left" w:pos="3150"/>
        </w:tabs>
        <w:spacing w:after="120"/>
        <w:rPr>
          <w:sz w:val="24"/>
          <w:szCs w:val="24"/>
        </w:rPr>
      </w:pPr>
      <w:r w:rsidRPr="00486FDE">
        <w:rPr>
          <w:i/>
          <w:iCs/>
          <w:sz w:val="24"/>
          <w:szCs w:val="24"/>
        </w:rPr>
        <w:t>If Taxable Income is:                                    The tax is:</w:t>
      </w:r>
    </w:p>
    <w:p w:rsidR="0078310B" w:rsidRPr="00486FDE" w:rsidRDefault="0078310B" w:rsidP="0078310B">
      <w:pPr>
        <w:pStyle w:val="BodyText"/>
        <w:widowControl w:val="0"/>
        <w:tabs>
          <w:tab w:val="left" w:pos="3150"/>
        </w:tabs>
        <w:rPr>
          <w:sz w:val="24"/>
          <w:szCs w:val="24"/>
        </w:rPr>
      </w:pPr>
      <w:r w:rsidRPr="00486FDE">
        <w:rPr>
          <w:sz w:val="24"/>
          <w:szCs w:val="24"/>
        </w:rPr>
        <w:t>Not o</w:t>
      </w:r>
      <w:r w:rsidR="00E47548">
        <w:rPr>
          <w:sz w:val="24"/>
          <w:szCs w:val="24"/>
        </w:rPr>
        <w:t>ver $18,6</w:t>
      </w:r>
      <w:r w:rsidRPr="00486FDE">
        <w:rPr>
          <w:sz w:val="24"/>
          <w:szCs w:val="24"/>
        </w:rPr>
        <w:t>50 …………………………10% of Taxable Income</w:t>
      </w:r>
    </w:p>
    <w:p w:rsidR="0078310B" w:rsidRPr="00486FDE" w:rsidRDefault="0078310B" w:rsidP="0078310B">
      <w:pPr>
        <w:pStyle w:val="BodyText"/>
        <w:widowControl w:val="0"/>
        <w:tabs>
          <w:tab w:val="left" w:pos="3150"/>
        </w:tabs>
        <w:rPr>
          <w:sz w:val="24"/>
          <w:szCs w:val="24"/>
        </w:rPr>
      </w:pPr>
      <w:r>
        <w:rPr>
          <w:sz w:val="24"/>
          <w:szCs w:val="24"/>
        </w:rPr>
        <w:t>Over $1</w:t>
      </w:r>
      <w:r w:rsidR="00E47548">
        <w:rPr>
          <w:sz w:val="24"/>
          <w:szCs w:val="24"/>
        </w:rPr>
        <w:t>8,650 but not over $75,900 ………$1,865 plus 15% of excess over $18,6</w:t>
      </w:r>
      <w:r w:rsidRPr="00486FDE">
        <w:rPr>
          <w:sz w:val="24"/>
          <w:szCs w:val="24"/>
        </w:rPr>
        <w:t>50</w:t>
      </w:r>
    </w:p>
    <w:p w:rsidR="0078310B" w:rsidRPr="00486FDE" w:rsidRDefault="00E47548" w:rsidP="0078310B">
      <w:pPr>
        <w:pStyle w:val="BodyText"/>
        <w:widowControl w:val="0"/>
        <w:tabs>
          <w:tab w:val="left" w:pos="3150"/>
        </w:tabs>
        <w:rPr>
          <w:sz w:val="24"/>
          <w:szCs w:val="24"/>
        </w:rPr>
      </w:pPr>
      <w:r>
        <w:rPr>
          <w:sz w:val="24"/>
          <w:szCs w:val="24"/>
        </w:rPr>
        <w:t>Over $75,900 but not over $153,100 ……..$10,452</w:t>
      </w:r>
      <w:r w:rsidR="0078310B" w:rsidRPr="00486FDE">
        <w:rPr>
          <w:sz w:val="24"/>
          <w:szCs w:val="24"/>
        </w:rPr>
        <w:t>.</w:t>
      </w:r>
      <w:r>
        <w:rPr>
          <w:sz w:val="24"/>
          <w:szCs w:val="24"/>
        </w:rPr>
        <w:t>50 plus 25% of excess over $75,9</w:t>
      </w:r>
      <w:r w:rsidR="0078310B" w:rsidRPr="00486FDE">
        <w:rPr>
          <w:sz w:val="24"/>
          <w:szCs w:val="24"/>
        </w:rPr>
        <w:t>00</w:t>
      </w:r>
    </w:p>
    <w:p w:rsidR="0078310B" w:rsidRPr="00486FDE" w:rsidRDefault="00E47548" w:rsidP="0078310B">
      <w:pPr>
        <w:pStyle w:val="BodyText"/>
        <w:widowControl w:val="0"/>
        <w:tabs>
          <w:tab w:val="left" w:pos="3150"/>
        </w:tabs>
        <w:rPr>
          <w:sz w:val="24"/>
          <w:szCs w:val="24"/>
        </w:rPr>
      </w:pPr>
      <w:r>
        <w:rPr>
          <w:sz w:val="24"/>
          <w:szCs w:val="24"/>
        </w:rPr>
        <w:t>Over $153,100 but not over $233,350 ……$29,752</w:t>
      </w:r>
      <w:r w:rsidR="0078310B">
        <w:rPr>
          <w:sz w:val="24"/>
          <w:szCs w:val="24"/>
        </w:rPr>
        <w:t>.50</w:t>
      </w:r>
      <w:r w:rsidR="0078310B" w:rsidRPr="00486FDE">
        <w:rPr>
          <w:sz w:val="24"/>
          <w:szCs w:val="24"/>
        </w:rPr>
        <w:t xml:space="preserve"> plus 28%</w:t>
      </w:r>
      <w:r>
        <w:rPr>
          <w:sz w:val="24"/>
          <w:szCs w:val="24"/>
        </w:rPr>
        <w:t xml:space="preserve"> of excess over $153,1</w:t>
      </w:r>
      <w:r w:rsidR="0078310B">
        <w:rPr>
          <w:sz w:val="24"/>
          <w:szCs w:val="24"/>
        </w:rPr>
        <w:t>0</w:t>
      </w:r>
      <w:r w:rsidR="0078310B" w:rsidRPr="00486FDE">
        <w:rPr>
          <w:sz w:val="24"/>
          <w:szCs w:val="24"/>
        </w:rPr>
        <w:t>0</w:t>
      </w:r>
    </w:p>
    <w:p w:rsidR="0078310B" w:rsidRPr="00486FDE" w:rsidRDefault="00E47548" w:rsidP="0078310B">
      <w:pPr>
        <w:pStyle w:val="BodyText"/>
        <w:widowControl w:val="0"/>
        <w:tabs>
          <w:tab w:val="left" w:pos="3150"/>
        </w:tabs>
        <w:rPr>
          <w:sz w:val="24"/>
          <w:szCs w:val="24"/>
        </w:rPr>
      </w:pPr>
      <w:r>
        <w:rPr>
          <w:sz w:val="24"/>
          <w:szCs w:val="24"/>
        </w:rPr>
        <w:t>Over $233,3</w:t>
      </w:r>
      <w:r w:rsidR="0078310B">
        <w:rPr>
          <w:sz w:val="24"/>
          <w:szCs w:val="24"/>
        </w:rPr>
        <w:t>50 but not o</w:t>
      </w:r>
      <w:r>
        <w:rPr>
          <w:sz w:val="24"/>
          <w:szCs w:val="24"/>
        </w:rPr>
        <w:t>ver $416,700 …... $52,222</w:t>
      </w:r>
      <w:r w:rsidR="0078310B">
        <w:rPr>
          <w:sz w:val="24"/>
          <w:szCs w:val="24"/>
        </w:rPr>
        <w:t>.5</w:t>
      </w:r>
      <w:r w:rsidR="003A6551">
        <w:rPr>
          <w:sz w:val="24"/>
          <w:szCs w:val="24"/>
        </w:rPr>
        <w:t>0 plus 33% of excess over $233,3</w:t>
      </w:r>
      <w:r w:rsidR="0078310B" w:rsidRPr="00486FDE">
        <w:rPr>
          <w:sz w:val="24"/>
          <w:szCs w:val="24"/>
        </w:rPr>
        <w:t>50</w:t>
      </w:r>
    </w:p>
    <w:p w:rsidR="0078310B" w:rsidRPr="00486FDE" w:rsidRDefault="00E47548" w:rsidP="0078310B">
      <w:pPr>
        <w:pStyle w:val="BodyText"/>
        <w:widowControl w:val="0"/>
        <w:tabs>
          <w:tab w:val="left" w:pos="3150"/>
        </w:tabs>
        <w:rPr>
          <w:sz w:val="24"/>
          <w:szCs w:val="24"/>
        </w:rPr>
      </w:pPr>
      <w:r>
        <w:rPr>
          <w:sz w:val="24"/>
          <w:szCs w:val="24"/>
        </w:rPr>
        <w:t>Over $416,700 but not over $470,70</w:t>
      </w:r>
      <w:r w:rsidR="003A6551">
        <w:rPr>
          <w:sz w:val="24"/>
          <w:szCs w:val="24"/>
        </w:rPr>
        <w:t>0 …... $112,728 plus 35% of excess over $416,70</w:t>
      </w:r>
      <w:r w:rsidR="0078310B" w:rsidRPr="00486FDE">
        <w:rPr>
          <w:sz w:val="24"/>
          <w:szCs w:val="24"/>
        </w:rPr>
        <w:t>0</w:t>
      </w:r>
    </w:p>
    <w:p w:rsidR="0078310B" w:rsidRPr="00486FDE" w:rsidRDefault="00E47548" w:rsidP="0078310B">
      <w:pPr>
        <w:pStyle w:val="BodyText"/>
        <w:widowControl w:val="0"/>
        <w:tabs>
          <w:tab w:val="left" w:pos="3150"/>
        </w:tabs>
        <w:rPr>
          <w:sz w:val="24"/>
          <w:szCs w:val="24"/>
        </w:rPr>
      </w:pPr>
      <w:r>
        <w:rPr>
          <w:sz w:val="24"/>
          <w:szCs w:val="24"/>
        </w:rPr>
        <w:t>Over $470,70</w:t>
      </w:r>
      <w:r w:rsidR="003A6551">
        <w:rPr>
          <w:sz w:val="24"/>
          <w:szCs w:val="24"/>
        </w:rPr>
        <w:t>0 …………………………... $131,628</w:t>
      </w:r>
      <w:r w:rsidR="0078310B" w:rsidRPr="00486FDE">
        <w:rPr>
          <w:sz w:val="24"/>
          <w:szCs w:val="24"/>
        </w:rPr>
        <w:t xml:space="preserve"> plus 39.6% of excess ov</w:t>
      </w:r>
      <w:r w:rsidR="003A6551">
        <w:rPr>
          <w:sz w:val="24"/>
          <w:szCs w:val="24"/>
        </w:rPr>
        <w:t>er $470,70</w:t>
      </w:r>
      <w:r w:rsidR="0078310B">
        <w:rPr>
          <w:sz w:val="24"/>
          <w:szCs w:val="24"/>
        </w:rPr>
        <w:t>0</w:t>
      </w:r>
    </w:p>
    <w:p w:rsidR="0078310B" w:rsidRPr="00486FDE" w:rsidRDefault="0078310B" w:rsidP="0078310B">
      <w:pPr>
        <w:widowControl w:val="0"/>
        <w:tabs>
          <w:tab w:val="left" w:pos="3150"/>
        </w:tabs>
        <w:jc w:val="both"/>
      </w:pPr>
    </w:p>
    <w:p w:rsidR="0078310B" w:rsidRPr="00486FDE" w:rsidRDefault="0078310B" w:rsidP="0078310B">
      <w:pPr>
        <w:widowControl w:val="0"/>
        <w:spacing w:after="120"/>
        <w:ind w:firstLine="288"/>
        <w:jc w:val="both"/>
      </w:pPr>
      <w:r>
        <w:t xml:space="preserve">We must </w:t>
      </w:r>
      <w:r w:rsidRPr="00486FDE">
        <w:t xml:space="preserve">distinguish between the “marginal” rate and the “effective” (or average) rate. The </w:t>
      </w:r>
      <w:r w:rsidRPr="00486FDE">
        <w:rPr>
          <w:b/>
        </w:rPr>
        <w:t>marginal rate</w:t>
      </w:r>
      <w:r w:rsidRPr="00486FDE">
        <w:t xml:space="preserve"> is </w:t>
      </w:r>
      <w:r w:rsidRPr="00486FDE">
        <w:rPr>
          <w:b/>
        </w:rPr>
        <w:t xml:space="preserve">the rate at which the taxpayer’s </w:t>
      </w:r>
      <w:r w:rsidRPr="00486FDE">
        <w:rPr>
          <w:b/>
          <w:i/>
        </w:rPr>
        <w:t>last</w:t>
      </w:r>
      <w:r w:rsidRPr="00486FDE">
        <w:rPr>
          <w:b/>
        </w:rPr>
        <w:t xml:space="preserve"> (or marginal) dollar is taxed</w:t>
      </w:r>
      <w:r w:rsidRPr="00486FDE">
        <w:t xml:space="preserve">. The </w:t>
      </w:r>
      <w:r w:rsidRPr="00486FDE">
        <w:rPr>
          <w:b/>
        </w:rPr>
        <w:t>effective or average rate</w:t>
      </w:r>
      <w:r w:rsidRPr="00486FDE">
        <w:t xml:space="preserve">, in contrast, is </w:t>
      </w:r>
      <w:r w:rsidRPr="00486FDE">
        <w:rPr>
          <w:b/>
        </w:rPr>
        <w:t xml:space="preserve">the percentage of total </w:t>
      </w:r>
      <w:r>
        <w:rPr>
          <w:b/>
        </w:rPr>
        <w:t xml:space="preserve">economic </w:t>
      </w:r>
      <w:r w:rsidRPr="00486FDE">
        <w:rPr>
          <w:b/>
        </w:rPr>
        <w:t>income (or Adjusted Gross Income, described below) paid in tax</w:t>
      </w:r>
      <w:r w:rsidRPr="00486FDE">
        <w:t xml:space="preserve">. </w:t>
      </w:r>
    </w:p>
    <w:p w:rsidR="0078310B" w:rsidRDefault="0078310B" w:rsidP="0078310B">
      <w:pPr>
        <w:widowControl w:val="0"/>
        <w:spacing w:after="120"/>
        <w:ind w:firstLine="288"/>
        <w:jc w:val="both"/>
      </w:pPr>
      <w:r>
        <w:t>For example, if Paul is unmarried and has $40,000 of Taxable Income (Gross Income less allowable deductions), he is said to be “in” the 25% marginal tax bracket because his last dollars of Taxable Income would be taxed at 25%. But this phrasing does not mean that Paul pays 25% of his $40,000 of Taxable Income ($10,000) to the Federal Treasury. Rat</w:t>
      </w:r>
      <w:r w:rsidR="00A71D90">
        <w:t>her, Paul would send only $5,738</w:t>
      </w:r>
      <w:r>
        <w:t>.</w:t>
      </w:r>
      <w:r w:rsidR="00A71D90">
        <w:t>7</w:t>
      </w:r>
      <w:r>
        <w:t>5 to the Federal Treasury. Examine the third line of the table for unmarried individuals to see why this statement is true. That line provi</w:t>
      </w:r>
      <w:r w:rsidR="00A71D90">
        <w:t>des that Paul’s tax is $5,226.25</w:t>
      </w:r>
      <w:r>
        <w:t xml:space="preserve"> plus 25% of the excess of his $</w:t>
      </w:r>
      <w:r w:rsidR="00A71D90">
        <w:t>40,000 Taxable Income over $37,950, or 25% of $2,050 ($512</w:t>
      </w:r>
      <w:r>
        <w:t xml:space="preserve">.50). Nor does it mean that Paul’s salary is $40,000. To have $40,000 of Taxable Income, his Gross Income and Adjusted Gross Income (or AGI, defined below) would have been much higher because of several deductions described below. </w:t>
      </w:r>
    </w:p>
    <w:p w:rsidR="0078310B" w:rsidRDefault="0078310B" w:rsidP="0078310B">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8 and 9 (examining income-shifting possibilities among family members). </w:t>
      </w:r>
    </w:p>
    <w:p w:rsidR="0078310B" w:rsidRDefault="0078310B" w:rsidP="0078310B">
      <w:pPr>
        <w:widowControl w:val="0"/>
        <w:ind w:firstLine="288"/>
        <w:jc w:val="both"/>
      </w:pPr>
      <w:r>
        <w:t xml:space="preserve">In measuring the fairness of the distribution of the tax burden over the members of the population, however, the important parameter is the effective (or average) tax rate. While Paul’s marginal rate is 25%, what is his effective rate? We </w:t>
      </w:r>
      <w:r w:rsidR="00722114">
        <w:t>know that we should put $5,738.7</w:t>
      </w:r>
      <w:r>
        <w:t>5 in the numerator, but what should we put in the denominator? If we put Taxable Income in the denominator, Paul’s effective t</w:t>
      </w:r>
      <w:r w:rsidR="00722114">
        <w:t>ax rate is about 14.3% ($5,738.7</w:t>
      </w:r>
      <w:r>
        <w:t xml:space="preserve">5/$40,000). But the most usual measure is AGI because it more nearly measures </w:t>
      </w:r>
      <w:r w:rsidRPr="006E4037">
        <w:rPr>
          <w:i/>
        </w:rPr>
        <w:t xml:space="preserve">economic </w:t>
      </w:r>
      <w:r>
        <w:t xml:space="preserve">income, which is the ideal denominator. Using </w:t>
      </w:r>
      <w:r w:rsidRPr="00572699">
        <w:rPr>
          <w:i/>
        </w:rPr>
        <w:t>real</w:t>
      </w:r>
      <w:r>
        <w:t xml:space="preserve"> </w:t>
      </w:r>
      <w:r w:rsidRPr="00572699">
        <w:t>economic</w:t>
      </w:r>
      <w:r>
        <w:t xml:space="preserve"> income would require Paul to add to the denominator some items that increase Paul’s wealth but are nevertheless excludable from Gross Income (such as gifts, which are excludable under § 102, or the increase in value of his assets that are ignored under the realization requirement) in determining his effective tax rate. If we used either AGI or real economic income (instead of Taxable Income), Paul’s effective tax rate would </w:t>
      </w:r>
      <w:r w:rsidR="00722114">
        <w:t>be significantly lower than 14.3</w:t>
      </w:r>
      <w:r>
        <w:t xml:space="preserve">%. Let’s see why. And let’s start with a more detailed flow chart from Gross Income to tax due. (It is important to appreciate how items </w:t>
      </w:r>
      <w:r>
        <w:rPr>
          <w:i/>
        </w:rPr>
        <w:t>affect</w:t>
      </w:r>
      <w:r>
        <w:t xml:space="preserve"> the bottom-line tax owed in order to engage in effective tax planning.)</w:t>
      </w:r>
    </w:p>
    <w:p w:rsidR="0078310B" w:rsidRPr="00951D6C" w:rsidRDefault="0078310B" w:rsidP="0078310B">
      <w:pPr>
        <w:widowControl w:val="0"/>
        <w:ind w:firstLine="288"/>
        <w:jc w:val="both"/>
      </w:pPr>
    </w:p>
    <w:p w:rsidR="0078310B" w:rsidRPr="00B516B0" w:rsidRDefault="0078310B" w:rsidP="0078310B">
      <w:pPr>
        <w:widowControl w:val="0"/>
        <w:spacing w:after="240"/>
        <w:jc w:val="center"/>
        <w:rPr>
          <w:b/>
        </w:rPr>
      </w:pPr>
      <w:r w:rsidRPr="00B516B0">
        <w:rPr>
          <w:b/>
          <w:u w:val="single"/>
        </w:rPr>
        <w:t>Computation of Tax</w:t>
      </w:r>
    </w:p>
    <w:p w:rsidR="0078310B" w:rsidRDefault="0078310B" w:rsidP="0078310B">
      <w:pPr>
        <w:widowControl w:val="0"/>
        <w:spacing w:after="120"/>
        <w:jc w:val="both"/>
      </w:pPr>
      <w:r>
        <w:t xml:space="preserve">           </w:t>
      </w:r>
      <w:r>
        <w:rPr>
          <w:b/>
        </w:rPr>
        <w:t>Gross Income</w:t>
      </w:r>
      <w:r>
        <w:t xml:space="preserve">  - - - - - - - - - - - [§ 61, case law; statutory exclusion available?]</w:t>
      </w:r>
    </w:p>
    <w:p w:rsidR="0078310B" w:rsidRDefault="0078310B" w:rsidP="0078310B">
      <w:pPr>
        <w:widowControl w:val="0"/>
        <w:jc w:val="both"/>
        <w:rPr>
          <w:b/>
        </w:rPr>
      </w:pPr>
      <w:r>
        <w:rPr>
          <w:u w:val="single"/>
        </w:rPr>
        <w:t>Minus</w:t>
      </w:r>
      <w:r>
        <w:t xml:space="preserve"> </w:t>
      </w:r>
      <w:r>
        <w:rPr>
          <w:b/>
        </w:rPr>
        <w:t>Deductions from</w:t>
      </w:r>
    </w:p>
    <w:p w:rsidR="0078310B" w:rsidRDefault="0078310B" w:rsidP="0078310B">
      <w:pPr>
        <w:widowControl w:val="0"/>
        <w:jc w:val="both"/>
      </w:pPr>
      <w:r>
        <w:rPr>
          <w:b/>
        </w:rPr>
        <w:t xml:space="preserve">           Gross Income</w:t>
      </w:r>
      <w:r>
        <w:t xml:space="preserve"> - - - - - - - - - - -  [deductions </w:t>
      </w:r>
      <w:r>
        <w:rPr>
          <w:u w:val="single"/>
        </w:rPr>
        <w:t>listed</w:t>
      </w:r>
      <w:r>
        <w:t xml:space="preserve"> in § 62 but </w:t>
      </w:r>
      <w:r>
        <w:rPr>
          <w:u w:val="single"/>
        </w:rPr>
        <w:t>allowed</w:t>
      </w:r>
      <w:r>
        <w:t xml:space="preserve"> by a </w:t>
      </w:r>
    </w:p>
    <w:p w:rsidR="0078310B" w:rsidRDefault="0078310B" w:rsidP="0078310B">
      <w:pPr>
        <w:widowControl w:val="0"/>
        <w:jc w:val="both"/>
      </w:pPr>
      <w:r>
        <w:t xml:space="preserve">                                                              Code section that says “there shall be allowed</w:t>
      </w:r>
    </w:p>
    <w:p w:rsidR="0078310B" w:rsidRDefault="0078310B" w:rsidP="0078310B">
      <w:pPr>
        <w:widowControl w:val="0"/>
        <w:spacing w:after="120"/>
        <w:jc w:val="both"/>
      </w:pPr>
      <w:r>
        <w:t xml:space="preserve">                                                               a deduction ….”]</w:t>
      </w:r>
    </w:p>
    <w:p w:rsidR="0078310B" w:rsidRPr="004F4725" w:rsidRDefault="0078310B" w:rsidP="0078310B">
      <w:pPr>
        <w:widowControl w:val="0"/>
        <w:jc w:val="both"/>
      </w:pPr>
      <w:r>
        <w:rPr>
          <w:u w:val="single"/>
        </w:rPr>
        <w:t xml:space="preserve">Equals </w:t>
      </w:r>
      <w:r>
        <w:rPr>
          <w:b/>
        </w:rPr>
        <w:t xml:space="preserve">Adjusted Gross </w:t>
      </w:r>
    </w:p>
    <w:p w:rsidR="0078310B" w:rsidRDefault="0078310B" w:rsidP="0078310B">
      <w:pPr>
        <w:widowControl w:val="0"/>
        <w:spacing w:after="120"/>
        <w:jc w:val="both"/>
      </w:pPr>
      <w:r>
        <w:rPr>
          <w:b/>
        </w:rPr>
        <w:t xml:space="preserve">            Income</w:t>
      </w:r>
      <w:r>
        <w:t xml:space="preserve"> (Individuals)  - - - - - -  [defined by § 62]</w:t>
      </w:r>
    </w:p>
    <w:p w:rsidR="0078310B" w:rsidRDefault="0078310B" w:rsidP="0078310B">
      <w:pPr>
        <w:widowControl w:val="0"/>
        <w:jc w:val="both"/>
      </w:pPr>
      <w:r>
        <w:rPr>
          <w:u w:val="single"/>
        </w:rPr>
        <w:t>Minus</w:t>
      </w:r>
      <w:r>
        <w:t xml:space="preserve"> </w:t>
      </w:r>
      <w:r>
        <w:rPr>
          <w:b/>
        </w:rPr>
        <w:t>Personal Exemptions</w:t>
      </w:r>
      <w:r>
        <w:t xml:space="preserve"> - - - - - -  [§§ 151 and 152, as reduced under § 151(d)(3) if </w:t>
      </w:r>
    </w:p>
    <w:p w:rsidR="0078310B" w:rsidRDefault="0078310B" w:rsidP="0078310B">
      <w:pPr>
        <w:widowControl w:val="0"/>
        <w:jc w:val="both"/>
      </w:pPr>
      <w:r>
        <w:t xml:space="preserve">                                                                applicable]</w:t>
      </w:r>
    </w:p>
    <w:p w:rsidR="0078310B" w:rsidRDefault="0078310B" w:rsidP="0078310B">
      <w:pPr>
        <w:widowControl w:val="0"/>
        <w:jc w:val="both"/>
        <w:rPr>
          <w:b/>
        </w:rPr>
      </w:pPr>
      <w:r>
        <w:t xml:space="preserve">      and </w:t>
      </w:r>
      <w:r>
        <w:rPr>
          <w:u w:val="single"/>
        </w:rPr>
        <w:t>either</w:t>
      </w:r>
      <w:r>
        <w:t xml:space="preserve"> </w:t>
      </w:r>
      <w:r>
        <w:rPr>
          <w:b/>
        </w:rPr>
        <w:t>Standard</w:t>
      </w:r>
    </w:p>
    <w:p w:rsidR="0078310B" w:rsidRDefault="0078310B" w:rsidP="0078310B">
      <w:pPr>
        <w:widowControl w:val="0"/>
        <w:jc w:val="both"/>
      </w:pPr>
      <w:r>
        <w:rPr>
          <w:b/>
        </w:rPr>
        <w:t xml:space="preserve">                       Deduction</w:t>
      </w:r>
      <w:r>
        <w:t xml:space="preserve"> - - - - - - - - -  [§ 63]</w:t>
      </w:r>
    </w:p>
    <w:p w:rsidR="0078310B" w:rsidRDefault="0078310B" w:rsidP="0078310B">
      <w:pPr>
        <w:widowControl w:val="0"/>
        <w:jc w:val="both"/>
        <w:rPr>
          <w:b/>
        </w:rPr>
      </w:pPr>
      <w:r>
        <w:t xml:space="preserve">                       </w:t>
      </w:r>
      <w:r>
        <w:rPr>
          <w:u w:val="single"/>
        </w:rPr>
        <w:t>or</w:t>
      </w:r>
      <w:r>
        <w:t xml:space="preserve"> </w:t>
      </w:r>
      <w:r>
        <w:rPr>
          <w:b/>
        </w:rPr>
        <w:t>Itemized</w:t>
      </w:r>
    </w:p>
    <w:p w:rsidR="0078310B" w:rsidRDefault="0078310B" w:rsidP="0078310B">
      <w:pPr>
        <w:widowControl w:val="0"/>
        <w:jc w:val="both"/>
      </w:pPr>
      <w:r>
        <w:rPr>
          <w:b/>
        </w:rPr>
        <w:t xml:space="preserve">                       Deductions</w:t>
      </w:r>
      <w:r>
        <w:t xml:space="preserve"> - - - - - - - -  [deductions </w:t>
      </w:r>
      <w:r>
        <w:rPr>
          <w:u w:val="single"/>
        </w:rPr>
        <w:t>other</w:t>
      </w:r>
      <w:r>
        <w:t xml:space="preserve"> than those listed in § 62, the </w:t>
      </w:r>
    </w:p>
    <w:p w:rsidR="0078310B" w:rsidRDefault="0078310B" w:rsidP="0078310B">
      <w:pPr>
        <w:widowControl w:val="0"/>
        <w:jc w:val="both"/>
      </w:pPr>
      <w:r>
        <w:t xml:space="preserve">                                                               Standard Deduction, and the Personal Exemption and</w:t>
      </w:r>
    </w:p>
    <w:p w:rsidR="0078310B" w:rsidRDefault="0078310B" w:rsidP="0078310B">
      <w:pPr>
        <w:widowControl w:val="0"/>
        <w:jc w:val="both"/>
      </w:pPr>
      <w:r>
        <w:t xml:space="preserve">                                                               Dependent Deductions, as limited by §§ 67 &amp; 68 if </w:t>
      </w:r>
    </w:p>
    <w:p w:rsidR="0078310B" w:rsidRDefault="0078310B" w:rsidP="0078310B">
      <w:pPr>
        <w:widowControl w:val="0"/>
        <w:spacing w:after="120"/>
        <w:jc w:val="both"/>
      </w:pPr>
      <w:r>
        <w:t xml:space="preserve">                                                               applicable]</w:t>
      </w:r>
    </w:p>
    <w:p w:rsidR="0078310B" w:rsidRDefault="0078310B" w:rsidP="0078310B">
      <w:pPr>
        <w:widowControl w:val="0"/>
        <w:spacing w:after="120"/>
        <w:jc w:val="both"/>
      </w:pPr>
      <w:r>
        <w:rPr>
          <w:u w:val="single"/>
        </w:rPr>
        <w:t>Equals</w:t>
      </w:r>
      <w:r>
        <w:t xml:space="preserve"> </w:t>
      </w:r>
      <w:r>
        <w:rPr>
          <w:b/>
        </w:rPr>
        <w:t>Taxable Income</w:t>
      </w:r>
      <w:r>
        <w:t xml:space="preserve"> - - - - - - - - -  [defined by § 63]</w:t>
      </w:r>
    </w:p>
    <w:p w:rsidR="0078310B" w:rsidRDefault="0078310B" w:rsidP="0078310B">
      <w:pPr>
        <w:widowControl w:val="0"/>
        <w:spacing w:after="120"/>
        <w:jc w:val="both"/>
      </w:pPr>
      <w:r>
        <w:rPr>
          <w:u w:val="single"/>
        </w:rPr>
        <w:t>Apply</w:t>
      </w:r>
      <w:r>
        <w:t xml:space="preserve"> </w:t>
      </w:r>
      <w:r>
        <w:rPr>
          <w:b/>
        </w:rPr>
        <w:t xml:space="preserve">Tax Rates or Tax Tables </w:t>
      </w:r>
      <w:r>
        <w:t>- - -  [§§ 1 and 3]</w:t>
      </w:r>
    </w:p>
    <w:p w:rsidR="0078310B" w:rsidRDefault="0078310B" w:rsidP="0078310B">
      <w:pPr>
        <w:widowControl w:val="0"/>
        <w:spacing w:after="120"/>
        <w:jc w:val="both"/>
      </w:pPr>
      <w:r>
        <w:rPr>
          <w:u w:val="single"/>
        </w:rPr>
        <w:t>Yields</w:t>
      </w:r>
      <w:r>
        <w:t xml:space="preserve"> </w:t>
      </w:r>
      <w:r>
        <w:rPr>
          <w:b/>
        </w:rPr>
        <w:t>Tax Before Credits</w:t>
      </w:r>
    </w:p>
    <w:p w:rsidR="0078310B" w:rsidRDefault="0078310B" w:rsidP="0078310B">
      <w:pPr>
        <w:widowControl w:val="0"/>
        <w:spacing w:after="120"/>
        <w:jc w:val="both"/>
      </w:pPr>
      <w:r>
        <w:rPr>
          <w:u w:val="single"/>
        </w:rPr>
        <w:t>Minus</w:t>
      </w:r>
      <w:r>
        <w:t xml:space="preserve"> </w:t>
      </w:r>
      <w:r>
        <w:rPr>
          <w:b/>
        </w:rPr>
        <w:t>Tax Credits</w:t>
      </w:r>
      <w:r>
        <w:t xml:space="preserve"> - - - - - - - - - - - - - -[§§ 21-42, 53, and 6315]</w:t>
      </w:r>
    </w:p>
    <w:p w:rsidR="0078310B" w:rsidRDefault="0078310B" w:rsidP="0078310B">
      <w:pPr>
        <w:widowControl w:val="0"/>
        <w:spacing w:after="120"/>
        <w:jc w:val="both"/>
      </w:pPr>
      <w:r>
        <w:rPr>
          <w:u w:val="single"/>
        </w:rPr>
        <w:t>Equals</w:t>
      </w:r>
      <w:r>
        <w:t xml:space="preserve"> </w:t>
      </w:r>
      <w:r>
        <w:rPr>
          <w:b/>
        </w:rPr>
        <w:t>Tax Due</w:t>
      </w:r>
    </w:p>
    <w:p w:rsidR="0078310B" w:rsidRDefault="0078310B" w:rsidP="0078310B">
      <w:pPr>
        <w:pStyle w:val="Footer"/>
        <w:widowControl w:val="0"/>
        <w:jc w:val="both"/>
      </w:pPr>
      <w:r>
        <w:t>(Alternative Minimum Tax?) - - - - - - - -[§§ 55-59]</w:t>
      </w:r>
    </w:p>
    <w:p w:rsidR="0078310B" w:rsidRDefault="0078310B" w:rsidP="0078310B">
      <w:pPr>
        <w:widowControl w:val="0"/>
        <w:ind w:left="720" w:right="720" w:firstLine="288"/>
        <w:jc w:val="both"/>
        <w:rPr>
          <w:b/>
        </w:rPr>
      </w:pPr>
    </w:p>
    <w:p w:rsidR="0078310B" w:rsidRPr="003973AC" w:rsidRDefault="0078310B" w:rsidP="0078310B">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w:t>
      </w:r>
      <w:r w:rsidR="000E326F">
        <w:rPr>
          <w:b/>
        </w:rPr>
        <w:t>eacher who earns $60,000 in 2017</w:t>
      </w:r>
      <w:r w:rsidRPr="003973AC">
        <w:rPr>
          <w:b/>
        </w:rPr>
        <w:t>,</w:t>
      </w:r>
      <w:r>
        <w:rPr>
          <w:b/>
        </w:rPr>
        <w:t xml:space="preserve"> and Jim is a construction worker who earns $50,000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rsidR="0078310B" w:rsidRDefault="0078310B" w:rsidP="0078310B">
      <w:pPr>
        <w:widowControl w:val="0"/>
        <w:spacing w:after="120"/>
        <w:ind w:firstLine="288"/>
        <w:jc w:val="both"/>
      </w:pPr>
      <w:r>
        <w:t xml:space="preserve">The first step in the chart listed above is to determine the </w:t>
      </w:r>
      <w:hyperlink r:id="rId61" w:history="1">
        <w:r w:rsidRPr="00A63DB0">
          <w:rPr>
            <w:rStyle w:val="Hyperlink"/>
          </w:rPr>
          <w:t>§ 61</w:t>
        </w:r>
      </w:hyperlink>
      <w:r>
        <w:t xml:space="preserve"> Gross Income that Joan and Jim must include on their joint tax return.</w:t>
      </w:r>
      <w:r>
        <w:rPr>
          <w:rStyle w:val="FootnoteReference"/>
        </w:rPr>
        <w:footnoteReference w:id="45"/>
      </w:r>
      <w:r>
        <w:t xml:space="preserve"> They must include their $110,000 in aggregate salary under § 61(a)(1), but the $10,000 that they receive as a gift is excludable from their Gross Income under the authority of </w:t>
      </w:r>
      <w:hyperlink r:id="rId62" w:history="1">
        <w:r w:rsidRPr="00A63DB0">
          <w:rPr>
            <w:rStyle w:val="Hyperlink"/>
          </w:rPr>
          <w:t>§ 102</w:t>
        </w:r>
      </w:hyperlink>
      <w:r>
        <w:t xml:space="preserve">, even though it represents </w:t>
      </w:r>
      <w:r w:rsidRPr="004A4D79">
        <w:rPr>
          <w:i/>
        </w:rPr>
        <w:t>economic</w:t>
      </w:r>
      <w:r>
        <w:t xml:space="preserve"> income to them. </w:t>
      </w:r>
    </w:p>
    <w:p w:rsidR="0078310B" w:rsidRPr="00473823" w:rsidRDefault="0078310B" w:rsidP="0078310B">
      <w:pPr>
        <w:pStyle w:val="Heading3"/>
        <w:spacing w:before="0" w:beforeAutospacing="0" w:after="120" w:afterAutospacing="0"/>
        <w:rPr>
          <w:i/>
        </w:rPr>
      </w:pPr>
      <w:bookmarkStart w:id="24" w:name="_Toc395790339"/>
      <w:r>
        <w:rPr>
          <w:i/>
        </w:rPr>
        <w:t>§ 62 a</w:t>
      </w:r>
      <w:r w:rsidRPr="00473823">
        <w:rPr>
          <w:i/>
        </w:rPr>
        <w:t>bove-the-</w:t>
      </w:r>
      <w:r>
        <w:rPr>
          <w:i/>
        </w:rPr>
        <w:t>l</w:t>
      </w:r>
      <w:r w:rsidRPr="00473823">
        <w:rPr>
          <w:i/>
        </w:rPr>
        <w:t xml:space="preserve">ine </w:t>
      </w:r>
      <w:r>
        <w:rPr>
          <w:i/>
        </w:rPr>
        <w:t>d</w:t>
      </w:r>
      <w:r w:rsidRPr="00473823">
        <w:rPr>
          <w:i/>
        </w:rPr>
        <w:t>eductions</w:t>
      </w:r>
      <w:bookmarkEnd w:id="24"/>
    </w:p>
    <w:p w:rsidR="0078310B" w:rsidRPr="00B03B08" w:rsidRDefault="0078310B" w:rsidP="0078310B">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 typically referred to as Above-the-Line Deductions in tax jargon. Thus, AGI is Gross Income </w:t>
      </w:r>
      <w:r w:rsidRPr="006857B7">
        <w:rPr>
          <w:b/>
          <w:i/>
        </w:rPr>
        <w:t>less</w:t>
      </w:r>
      <w:r w:rsidRPr="006857B7">
        <w:rPr>
          <w:b/>
        </w:rPr>
        <w:t xml:space="preserve"> the Above-the-Line Deductions.</w:t>
      </w:r>
      <w:r>
        <w:t xml:space="preserve"> </w:t>
      </w:r>
    </w:p>
    <w:p w:rsidR="0078310B" w:rsidRDefault="0078310B" w:rsidP="0078310B">
      <w:pPr>
        <w:widowControl w:val="0"/>
        <w:spacing w:after="120"/>
        <w:ind w:firstLine="288"/>
        <w:jc w:val="both"/>
      </w:pPr>
      <w:r>
        <w:t xml:space="preserve">Note that </w:t>
      </w:r>
      <w:hyperlink r:id="rId63"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rsidR="0078310B" w:rsidRDefault="0078310B" w:rsidP="0078310B">
      <w:pPr>
        <w:widowControl w:val="0"/>
        <w:spacing w:after="120"/>
        <w:ind w:firstLine="288"/>
        <w:jc w:val="both"/>
      </w:pPr>
      <w:r>
        <w:t xml:space="preserve">You can think of the Above-the-Line Deductions as the most preferred deductions because, unlike Itemized Deductions (considered below), they are not limited in any way. The first item on this preferred list of deductions is business deductions (such as ordinary and necessary business expenses under § 162 and depreciation deductions under §§ 167 and 168 of assets used in the business) so long as these business deductions are incurred by the self-employed rather than in one’s capacity as an employee of another. </w:t>
      </w:r>
      <w:r>
        <w:rPr>
          <w:i/>
        </w:rPr>
        <w:t xml:space="preserve">See </w:t>
      </w:r>
      <w:hyperlink r:id="rId64" w:history="1">
        <w:r w:rsidRPr="00A63DB0">
          <w:rPr>
            <w:rStyle w:val="Hyperlink"/>
          </w:rPr>
          <w:t>§ 62</w:t>
        </w:r>
      </w:hyperlink>
      <w:r>
        <w:t xml:space="preserve">(a)(1). A good example of these deductions would be the ones incurred by our dentist John in Part A. Recall that he paid his dental assistant and receptionist a salary, paid rent and utility costs for his office, and incurred depreciation deductions for his new dental chair and X-ray machine. These deductions would be taken above the line, directly from Gross Income in reaching AGI. </w:t>
      </w:r>
    </w:p>
    <w:p w:rsidR="0078310B" w:rsidRDefault="0078310B" w:rsidP="0078310B">
      <w:pPr>
        <w:widowControl w:val="0"/>
        <w:spacing w:after="120"/>
        <w:ind w:firstLine="288"/>
        <w:jc w:val="both"/>
      </w:pPr>
      <w:r>
        <w:t xml:space="preserve">Losses incurred on the sale of property, such as capital losses, are listed in § 62(a)(3). All deductions attributable to property that produces rents or royalties are listed in § 62(a)(4), and alimony (studied in Chapter 9) is found in § 62(a)(10). </w:t>
      </w:r>
    </w:p>
    <w:p w:rsidR="0078310B" w:rsidRPr="00700A77" w:rsidRDefault="0078310B" w:rsidP="0078310B">
      <w:pPr>
        <w:widowControl w:val="0"/>
        <w:spacing w:after="120"/>
        <w:ind w:firstLine="288"/>
        <w:jc w:val="both"/>
      </w:pPr>
      <w:r>
        <w:t xml:space="preserve">Notice that business deductions of </w:t>
      </w:r>
      <w:r>
        <w:rPr>
          <w:i/>
        </w:rPr>
        <w:t>employees</w:t>
      </w:r>
      <w:r>
        <w:t xml:space="preserve"> are taken above the line </w:t>
      </w:r>
      <w:r>
        <w:rPr>
          <w:i/>
        </w:rPr>
        <w:t xml:space="preserve">only </w:t>
      </w:r>
      <w:r>
        <w:t xml:space="preserve">in certain limited circumstances. The most important of these is the first: business deductions incurred by employees that are </w:t>
      </w:r>
      <w:r>
        <w:rPr>
          <w:i/>
        </w:rPr>
        <w:t>reimbursed</w:t>
      </w:r>
      <w:r>
        <w:t xml:space="preserve"> by their employers under what have come to be called “accountable plans,” as defined in § 62(c). </w:t>
      </w:r>
      <w:r w:rsidRPr="00FD53EB">
        <w:rPr>
          <w:i/>
        </w:rPr>
        <w:t>See</w:t>
      </w:r>
      <w:r>
        <w:t xml:space="preserve"> </w:t>
      </w:r>
      <w:hyperlink r:id="rId65"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Because the inclusion in Gross Income under § 61(a)(1) would exactly offset the Above-the-Line business expense deduction un</w:t>
      </w:r>
      <w:r w:rsidR="00A63DB0">
        <w:t xml:space="preserve">der §§ 162 and 62(a)(1), </w:t>
      </w:r>
      <w:hyperlink r:id="rId66"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rsidR="0078310B" w:rsidRDefault="0078310B" w:rsidP="0078310B">
      <w:pPr>
        <w:widowControl w:val="0"/>
        <w:spacing w:after="120"/>
        <w:ind w:firstLine="288"/>
        <w:jc w:val="both"/>
      </w:pPr>
      <w:r>
        <w:t>Because Joan and Jim have no deductions that are listed in § 62 (</w:t>
      </w:r>
      <w:r>
        <w:rPr>
          <w:i/>
        </w:rPr>
        <w:t>i.e.</w:t>
      </w:r>
      <w:r>
        <w:t xml:space="preserve">, no Above-the-Line Deductions), their AGI is also $110,000. </w:t>
      </w:r>
    </w:p>
    <w:p w:rsidR="0078310B" w:rsidRPr="00473823" w:rsidRDefault="0078310B" w:rsidP="0078310B">
      <w:pPr>
        <w:pStyle w:val="Heading3"/>
        <w:spacing w:before="0" w:beforeAutospacing="0" w:after="120" w:afterAutospacing="0"/>
        <w:rPr>
          <w:i/>
        </w:rPr>
      </w:pPr>
      <w:bookmarkStart w:id="25" w:name="_Toc395790340"/>
      <w:r w:rsidRPr="00473823">
        <w:rPr>
          <w:i/>
        </w:rPr>
        <w:t>Personal an</w:t>
      </w:r>
      <w:r>
        <w:rPr>
          <w:i/>
        </w:rPr>
        <w:t>d d</w:t>
      </w:r>
      <w:r w:rsidRPr="00473823">
        <w:rPr>
          <w:i/>
        </w:rPr>
        <w:t>epe</w:t>
      </w:r>
      <w:r>
        <w:rPr>
          <w:i/>
        </w:rPr>
        <w:t>ndent exemption deduction</w:t>
      </w:r>
      <w:bookmarkEnd w:id="25"/>
      <w:r>
        <w:rPr>
          <w:i/>
        </w:rPr>
        <w:t>s</w:t>
      </w:r>
    </w:p>
    <w:p w:rsidR="0078310B" w:rsidRDefault="0078310B" w:rsidP="0078310B">
      <w:pPr>
        <w:widowControl w:val="0"/>
        <w:spacing w:after="120"/>
        <w:ind w:firstLine="288"/>
        <w:jc w:val="both"/>
      </w:pPr>
      <w:r>
        <w:t xml:space="preserve">The next item listed on the flow chart, above, is the </w:t>
      </w:r>
      <w:r w:rsidRPr="007B6E9F">
        <w:rPr>
          <w:b/>
        </w:rPr>
        <w:t>Personal and Dependent Exemption Deductions</w:t>
      </w:r>
      <w:r>
        <w:t xml:space="preserve"> under </w:t>
      </w:r>
      <w:hyperlink r:id="rId67" w:history="1">
        <w:r w:rsidRPr="005C7BFC">
          <w:rPr>
            <w:rStyle w:val="Hyperlink"/>
          </w:rPr>
          <w:t>§§ 151</w:t>
        </w:r>
      </w:hyperlink>
      <w:r>
        <w:t xml:space="preserve"> and </w:t>
      </w:r>
      <w:hyperlink r:id="rId68" w:history="1">
        <w:r w:rsidRPr="005C7BFC">
          <w:rPr>
            <w:rStyle w:val="Hyperlink"/>
          </w:rPr>
          <w:t>152</w:t>
        </w:r>
      </w:hyperlink>
      <w:r>
        <w:t>. 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 to pay fairness norm is discussed in Chapter 3.) Congress effectuates this zero bracket through several means. The first is by allowing taxpayers to deduct under § </w:t>
      </w:r>
      <w:r w:rsidRPr="00473165">
        <w:t>151 a flat amount</w:t>
      </w:r>
      <w:r>
        <w:t xml:space="preserve"> called the “Personal Exemption.” Additional deductions equal to the Personal Exemption amount can be deducted for each “Dependent,” as defined in § 152. While § 151(d)(1) lists the Personal Exemption amount as $2,000, § 151(d)(4) requires that this amount be increased for inflation fo</w:t>
      </w:r>
      <w:r w:rsidR="000E326F">
        <w:t>r each year since 1989. For 2017</w:t>
      </w:r>
      <w:r>
        <w:t xml:space="preserve">, the Personal and Dependent Exemption Deduction for each person is $4,050. Thus, Joan and Jim can deduct $16,200 ($4,050 x 4) under §§ 151 and 152 from their AGI. </w:t>
      </w:r>
    </w:p>
    <w:p w:rsidR="0078310B" w:rsidRDefault="002B3596" w:rsidP="0078310B">
      <w:pPr>
        <w:widowControl w:val="0"/>
        <w:spacing w:after="120"/>
        <w:ind w:firstLine="288"/>
        <w:jc w:val="both"/>
      </w:pPr>
      <w:hyperlink r:id="rId69" w:history="1">
        <w:r w:rsidR="0078310B" w:rsidRPr="005C7BFC">
          <w:rPr>
            <w:rStyle w:val="Hyperlink"/>
          </w:rPr>
          <w:t>Section 151</w:t>
        </w:r>
      </w:hyperlink>
      <w:r w:rsidR="0078310B">
        <w:t>(d)(3) phases out the Personal and Dependent Exemption Deductions for high-income taxpayers (often referred to as “PEP” for “</w:t>
      </w:r>
      <w:r w:rsidR="0078310B" w:rsidRPr="00865DC2">
        <w:rPr>
          <w:b/>
        </w:rPr>
        <w:t>P</w:t>
      </w:r>
      <w:r w:rsidR="0078310B">
        <w:t xml:space="preserve">ersonal </w:t>
      </w:r>
      <w:r w:rsidR="0078310B" w:rsidRPr="00865DC2">
        <w:rPr>
          <w:b/>
        </w:rPr>
        <w:t>E</w:t>
      </w:r>
      <w:r w:rsidR="0078310B">
        <w:t xml:space="preserve">xemption </w:t>
      </w:r>
      <w:r w:rsidR="0078310B" w:rsidRPr="00865DC2">
        <w:rPr>
          <w:b/>
        </w:rPr>
        <w:t>P</w:t>
      </w:r>
      <w:r w:rsidR="0078310B">
        <w:t>hase-out”) by reducing the aggregate amount by 2% for every $2,500 (or fraction</w:t>
      </w:r>
      <w:r w:rsidR="000E326F">
        <w:t xml:space="preserve"> thereof) that exceeds (for 2017</w:t>
      </w:r>
      <w:r w:rsidR="003C7614">
        <w:t>) $261,5</w:t>
      </w:r>
      <w:r w:rsidR="0078310B">
        <w:t xml:space="preserve">00 of AGI </w:t>
      </w:r>
      <w:r w:rsidR="003C7614">
        <w:t>for individuals ($313,8</w:t>
      </w:r>
      <w:r w:rsidR="0078310B">
        <w:t>00 for a married couple filing jointly). These phase-out thresholds are an odd number because they are indexed for inflation each year. Joan and Jim’s AGI is too low to trigger the phase-out, but we can illustrate how it works by considering a married, childless couple with a $400,000 AGI. Before applying the phase-out rule, their aggregate Personal and Dependent Exemption Deductions woul</w:t>
      </w:r>
      <w:r w:rsidR="003C7614">
        <w:t>d be $8,100 ($4,050 x 2) in 2017</w:t>
      </w:r>
      <w:r w:rsidR="0078310B">
        <w:t>. Because the couple’s</w:t>
      </w:r>
      <w:r w:rsidR="003C7614">
        <w:t xml:space="preserve"> $400,000 AGI exceeds $313,800 by $86,2</w:t>
      </w:r>
      <w:r w:rsidR="0078310B">
        <w:t xml:space="preserve">00, however, they would lose </w:t>
      </w:r>
      <w:r w:rsidR="003C7614">
        <w:t>70% of this amount because $86,200 divided by $2,500 is 34.48, and 35 reductions of 2% equals a 70</w:t>
      </w:r>
      <w:r w:rsidR="0078310B">
        <w:t>% reduction. Thus, they would be</w:t>
      </w:r>
      <w:r w:rsidR="003C7614">
        <w:t xml:space="preserve"> permitted to deduct only $2,430</w:t>
      </w:r>
      <w:r w:rsidR="0078310B">
        <w:t xml:space="preserve"> in the aggregate ($8,100 </w:t>
      </w:r>
      <w:r w:rsidR="0078310B">
        <w:rPr>
          <w:i/>
        </w:rPr>
        <w:t xml:space="preserve">less </w:t>
      </w:r>
      <w:r w:rsidR="003C7614">
        <w:t>$5,670</w:t>
      </w:r>
      <w:r w:rsidR="0078310B">
        <w:t>).</w:t>
      </w:r>
      <w:r w:rsidR="0078310B">
        <w:rPr>
          <w:rStyle w:val="FootnoteReference"/>
        </w:rPr>
        <w:footnoteReference w:id="46"/>
      </w:r>
      <w:r w:rsidR="0078310B">
        <w:t xml:space="preserve"> </w:t>
      </w:r>
    </w:p>
    <w:p w:rsidR="0078310B" w:rsidRPr="00FB37E5" w:rsidRDefault="0078310B" w:rsidP="0078310B">
      <w:pPr>
        <w:widowControl w:val="0"/>
        <w:spacing w:after="120"/>
        <w:jc w:val="both"/>
        <w:rPr>
          <w:b/>
          <w:i/>
        </w:rPr>
      </w:pPr>
      <w:r>
        <w:rPr>
          <w:b/>
          <w:i/>
        </w:rPr>
        <w:t>Standard deduction versus itemized deductions</w:t>
      </w:r>
    </w:p>
    <w:p w:rsidR="0078310B" w:rsidRDefault="0078310B" w:rsidP="0078310B">
      <w:pPr>
        <w:widowControl w:val="0"/>
        <w:spacing w:after="120"/>
        <w:ind w:firstLine="288"/>
        <w:jc w:val="both"/>
      </w:pPr>
      <w:r>
        <w:t xml:space="preserve">Next, Joan and Jim would be entitled to deduct </w:t>
      </w:r>
      <w:r>
        <w:rPr>
          <w:i/>
        </w:rPr>
        <w:t>either</w:t>
      </w:r>
      <w:r>
        <w:t xml:space="preserve"> the Standard Deduction under </w:t>
      </w:r>
      <w:hyperlink r:id="rId70" w:history="1">
        <w:r w:rsidRPr="005C7BFC">
          <w:rPr>
            <w:rStyle w:val="Hyperlink"/>
          </w:rPr>
          <w:t>§ 63</w:t>
        </w:r>
      </w:hyperlink>
      <w:r>
        <w:t xml:space="preserve">(b)(1) </w:t>
      </w:r>
      <w:r>
        <w:rPr>
          <w:i/>
        </w:rPr>
        <w:t xml:space="preserve">or </w:t>
      </w:r>
      <w:r>
        <w:t xml:space="preserve">the aggregate of their so-called Itemized Deductions. </w:t>
      </w:r>
      <w:r w:rsidRPr="00AA7316">
        <w:rPr>
          <w:b/>
        </w:rPr>
        <w:t>The Standard Deduction is a flat amount</w:t>
      </w:r>
      <w:r>
        <w:t xml:space="preserve"> available to individual taxpayers that is, like the Personal and Dependent Exemption Deduction, indexed for inflation each year. </w:t>
      </w:r>
      <w:r>
        <w:rPr>
          <w:i/>
        </w:rPr>
        <w:t xml:space="preserve">See </w:t>
      </w:r>
      <w:r w:rsidR="00495EFA">
        <w:t>§ 63(c)(4). For 2017</w:t>
      </w:r>
      <w:r>
        <w:t>, the Standard Deduction for a married couple filing a jo</w:t>
      </w:r>
      <w:r w:rsidR="00495EFA">
        <w:t>int tax return is $12,700 ($6,35</w:t>
      </w:r>
      <w:r>
        <w:t xml:space="preserve">0 for single individuals). </w:t>
      </w:r>
      <w:r w:rsidRPr="00E031AA">
        <w:rPr>
          <w:b/>
        </w:rPr>
        <w:t xml:space="preserve">Itemized Deductions consist of the universe of all deductions </w:t>
      </w:r>
      <w:r w:rsidRPr="00E031AA">
        <w:rPr>
          <w:b/>
          <w:i/>
        </w:rPr>
        <w:t>except</w:t>
      </w:r>
      <w:r w:rsidRPr="00E031AA">
        <w:rPr>
          <w:b/>
        </w:rPr>
        <w:t xml:space="preserve"> </w:t>
      </w:r>
      <w:r>
        <w:rPr>
          <w:b/>
        </w:rPr>
        <w:t>(1) Above-the-Line Deductions (</w:t>
      </w:r>
      <w:r w:rsidRPr="007B6E9F">
        <w:rPr>
          <w:b/>
          <w:i/>
        </w:rPr>
        <w:t>i.e.</w:t>
      </w:r>
      <w:r>
        <w:rPr>
          <w:b/>
        </w:rPr>
        <w:t xml:space="preserve">, those listed in § 62), (2) </w:t>
      </w:r>
      <w:r w:rsidRPr="00E031AA">
        <w:rPr>
          <w:b/>
        </w:rPr>
        <w:t xml:space="preserve">the Personal and </w:t>
      </w:r>
      <w:r>
        <w:rPr>
          <w:b/>
        </w:rPr>
        <w:t>Dependent Exemption Deductions, and (3) the Standard Deduction.</w:t>
      </w:r>
      <w:r>
        <w:t xml:space="preserve"> </w:t>
      </w:r>
    </w:p>
    <w:p w:rsidR="0078310B" w:rsidRDefault="0078310B" w:rsidP="0078310B">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7"/>
      </w:r>
      <w:r>
        <w:t xml:space="preserve"> The new Standard Deduction allowed taxpayers who did not wish to keep track of the individual Itemized Deductions to which they would otherwise be entitled to simply take the Standard Deduction, instead. The Standard Deduction, in other words, is intended to represent an amount that the average taxpayer might otherwise incur in Itemized Deductions. Of course, in the real world, most taxpayers </w:t>
      </w:r>
      <w:r>
        <w:rPr>
          <w:i/>
        </w:rPr>
        <w:t>will</w:t>
      </w:r>
      <w:r>
        <w:t xml:space="preserve">, in fact, keep track of their Itemized Deductions and take whichever amount (the total of Itemized Deductions or the Standard Deduction) is larger. Thus, in a nontrivial way, the Standard Deduction represents an additional amount of tax-free subsistence spending available to all taxpayers (in addition to the Personal and Dependent Exemption Deduction) because every taxpayer is entitled to it simply for existing. </w:t>
      </w:r>
    </w:p>
    <w:p w:rsidR="0078310B" w:rsidRDefault="0078310B" w:rsidP="0078310B">
      <w:pPr>
        <w:widowControl w:val="0"/>
        <w:spacing w:after="120"/>
        <w:ind w:firstLine="288"/>
        <w:jc w:val="both"/>
      </w:pPr>
      <w:r>
        <w:t>Itemized Deductions consist chiefly of the personal deductions that would not be allowed under a pure SHS income tax (</w:t>
      </w:r>
      <w:r>
        <w:rPr>
          <w:i/>
        </w:rPr>
        <w:t>i.e.</w:t>
      </w:r>
      <w:r>
        <w:t>, they are “tax expenditures”), as well as a limited category of business and investment expenses, discussed shortly. A large majority of individual taxpayers—approximately 70% of all individual filers—take the Standard Deduction instead of their aggregate of Itemized Deductions. Only about 12% of taxpayers earning less than $63,000 itemize. Higher income taxpayers, in contrast, virtually all itemize, with 90% of those earning more than $150,000 itemizing.</w:t>
      </w:r>
      <w:r>
        <w:rPr>
          <w:rStyle w:val="FootnoteReference"/>
        </w:rPr>
        <w:footnoteReference w:id="48"/>
      </w:r>
      <w:r>
        <w:t xml:space="preserve"> </w:t>
      </w:r>
    </w:p>
    <w:p w:rsidR="0078310B" w:rsidRDefault="0078310B" w:rsidP="0078310B">
      <w:pPr>
        <w:widowControl w:val="0"/>
        <w:spacing w:after="120"/>
        <w:ind w:firstLine="288"/>
        <w:jc w:val="both"/>
      </w:pPr>
      <w:r>
        <w:t xml:space="preserve">The only possible Itemized Deductions on these facts would be the $2,000 in charitable contributions </w:t>
      </w:r>
      <w:hyperlink r:id="rId71" w:history="1">
        <w:r w:rsidRPr="0053129C">
          <w:rPr>
            <w:rStyle w:val="Hyperlink"/>
          </w:rPr>
          <w:t>(§ 170</w:t>
        </w:r>
      </w:hyperlink>
      <w:r>
        <w:t xml:space="preserve">(a)) and the $3,000 paid in state and local income taxes </w:t>
      </w:r>
      <w:r w:rsidRPr="00025269">
        <w:t>(</w:t>
      </w:r>
      <w:hyperlink r:id="rId72" w:history="1">
        <w:r w:rsidRPr="00025269">
          <w:rPr>
            <w:rStyle w:val="Hyperlink"/>
          </w:rPr>
          <w:t>§ 164</w:t>
        </w:r>
      </w:hyperlink>
      <w:r>
        <w:t xml:space="preserve">(a)(3)). We know that these are Itemized Deductions because they are </w:t>
      </w:r>
      <w:r>
        <w:rPr>
          <w:i/>
        </w:rPr>
        <w:t xml:space="preserve">not </w:t>
      </w:r>
      <w:r>
        <w:t xml:space="preserve">listed in </w:t>
      </w:r>
      <w:hyperlink r:id="rId73" w:history="1">
        <w:r w:rsidRPr="00FC2E6E">
          <w:rPr>
            <w:rStyle w:val="Hyperlink"/>
          </w:rPr>
          <w:t>§ 62</w:t>
        </w:r>
      </w:hyperlink>
      <w:r>
        <w:t>. Because this total ($5,000) i</w:t>
      </w:r>
      <w:r w:rsidR="00495EFA">
        <w:t>s less than Joan and Jim’s $12,7</w:t>
      </w:r>
      <w:r>
        <w:t xml:space="preserve">00 Standard Deduction, they will definitely take the Standard Deduction instead of itemizing.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6461B4">
        <w:rPr>
          <w:b/>
        </w:rPr>
        <w:t>only</w:t>
      </w:r>
      <w:r w:rsidRPr="00E54A6D">
        <w:rPr>
          <w:b/>
        </w:rPr>
        <w:t xml:space="preserve"> to the extent of the</w:t>
      </w:r>
      <w:r>
        <w:rPr>
          <w:b/>
        </w:rPr>
        <w:t>ir</w:t>
      </w:r>
      <w:r w:rsidRPr="00E54A6D">
        <w:rPr>
          <w:b/>
        </w:rPr>
        <w:t xml:space="preserve"> aggregate </w:t>
      </w:r>
      <w:r w:rsidRPr="006461B4">
        <w:rPr>
          <w:b/>
          <w:i/>
        </w:rPr>
        <w:t>excess</w:t>
      </w:r>
      <w:r w:rsidRPr="00E54A6D">
        <w:rPr>
          <w:b/>
        </w:rPr>
        <w:t xml:space="preserve"> over the St</w:t>
      </w:r>
      <w:r>
        <w:rPr>
          <w:b/>
        </w:rPr>
        <w:t>andard Deduction. Thus</w:t>
      </w:r>
      <w:r w:rsidRPr="00E54A6D">
        <w:rPr>
          <w:b/>
        </w:rPr>
        <w:t>, Itemized Deductio</w:t>
      </w:r>
      <w:r>
        <w:rPr>
          <w:b/>
        </w:rPr>
        <w:t>ns are less valuable than Above-the-</w:t>
      </w:r>
      <w:r w:rsidRPr="00E54A6D">
        <w:rPr>
          <w:b/>
        </w:rPr>
        <w:t>Line Deductions—the preferred deduction</w:t>
      </w:r>
      <w:r>
        <w:rPr>
          <w:b/>
        </w:rPr>
        <w:t>s—where each dollar does, in fact</w:t>
      </w:r>
      <w:r w:rsidRPr="00E54A6D">
        <w:rPr>
          <w:b/>
        </w:rPr>
        <w:t>, o</w:t>
      </w:r>
      <w:r>
        <w:rPr>
          <w:b/>
        </w:rPr>
        <w:t>ffset Gross Income in reaching Taxable Income</w:t>
      </w:r>
      <w:r>
        <w:t>. Joan and Jim’s Taxable Income within the meaning of § 63 is:</w:t>
      </w:r>
    </w:p>
    <w:p w:rsidR="0078310B" w:rsidRDefault="0078310B" w:rsidP="0078310B">
      <w:pPr>
        <w:widowControl w:val="0"/>
        <w:jc w:val="both"/>
      </w:pPr>
      <w:r>
        <w:t xml:space="preserve"> </w:t>
      </w:r>
      <w:r>
        <w:tab/>
      </w:r>
      <w:r>
        <w:tab/>
      </w:r>
      <w:r>
        <w:tab/>
      </w:r>
      <w:r>
        <w:tab/>
        <w:t xml:space="preserve">           $110,000 Gross Income</w:t>
      </w:r>
      <w:r w:rsidR="002B3596">
        <w:t xml:space="preserve"> (also their AGI)</w:t>
      </w:r>
      <w:bookmarkStart w:id="26" w:name="_GoBack"/>
      <w:bookmarkEnd w:id="26"/>
    </w:p>
    <w:p w:rsidR="0078310B" w:rsidRDefault="0078310B" w:rsidP="0078310B">
      <w:pPr>
        <w:widowControl w:val="0"/>
        <w:jc w:val="both"/>
      </w:pPr>
      <w:r>
        <w:t xml:space="preserve">                                                     </w:t>
      </w:r>
      <w:r>
        <w:rPr>
          <w:i/>
        </w:rPr>
        <w:t>Less</w:t>
      </w:r>
      <w:r>
        <w:t xml:space="preserve">   16,200 Personal and Dependent Exemption Deductions</w:t>
      </w:r>
    </w:p>
    <w:p w:rsidR="0078310B" w:rsidRDefault="0078310B" w:rsidP="0078310B">
      <w:pPr>
        <w:widowControl w:val="0"/>
        <w:spacing w:after="120"/>
        <w:jc w:val="both"/>
      </w:pPr>
      <w:r>
        <w:t xml:space="preserve">                                                     </w:t>
      </w:r>
      <w:r w:rsidRPr="000614A8">
        <w:rPr>
          <w:i/>
          <w:u w:val="single"/>
        </w:rPr>
        <w:t>Less</w:t>
      </w:r>
      <w:r w:rsidR="009F464F">
        <w:rPr>
          <w:u w:val="single"/>
        </w:rPr>
        <w:t xml:space="preserve">   12,7</w:t>
      </w:r>
      <w:r w:rsidRPr="000614A8">
        <w:rPr>
          <w:u w:val="single"/>
        </w:rPr>
        <w:t>00</w:t>
      </w:r>
      <w:r>
        <w:t xml:space="preserve"> Standard Deduction</w:t>
      </w:r>
    </w:p>
    <w:p w:rsidR="0078310B" w:rsidRPr="000614A8" w:rsidRDefault="0078310B" w:rsidP="0078310B">
      <w:pPr>
        <w:widowControl w:val="0"/>
        <w:spacing w:after="120"/>
        <w:jc w:val="both"/>
      </w:pPr>
      <w:r>
        <w:t xml:space="preserve">                                  </w:t>
      </w:r>
      <w:r w:rsidR="009F464F">
        <w:t xml:space="preserve">                           $81,1</w:t>
      </w:r>
      <w:r>
        <w:t>00 Taxable Income</w:t>
      </w:r>
    </w:p>
    <w:p w:rsidR="0078310B" w:rsidRDefault="0078310B" w:rsidP="0078310B">
      <w:pPr>
        <w:widowControl w:val="0"/>
        <w:spacing w:after="120"/>
        <w:ind w:firstLine="288"/>
        <w:jc w:val="both"/>
      </w:pPr>
      <w:r>
        <w:t xml:space="preserve">Because Joan and Jim are not itemizing their deductions but rather taking the Standard Deduction, §§ 67 and 68 are irrelevant to them, but we need to talk about these provisions here. Let’s talk about § 68 first. </w:t>
      </w:r>
    </w:p>
    <w:p w:rsidR="0078310B" w:rsidRPr="00473823" w:rsidRDefault="0078310B" w:rsidP="0078310B">
      <w:pPr>
        <w:pStyle w:val="Heading3"/>
        <w:spacing w:before="0" w:beforeAutospacing="0" w:after="120" w:afterAutospacing="0"/>
        <w:rPr>
          <w:i/>
        </w:rPr>
      </w:pPr>
      <w:bookmarkStart w:id="27" w:name="_Toc395790341"/>
      <w:r w:rsidRPr="00473823">
        <w:rPr>
          <w:i/>
        </w:rPr>
        <w:t>§ 68: the partial phase</w:t>
      </w:r>
      <w:r>
        <w:rPr>
          <w:i/>
        </w:rPr>
        <w:t>-</w:t>
      </w:r>
      <w:r w:rsidRPr="00473823">
        <w:rPr>
          <w:i/>
        </w:rPr>
        <w:t>out of itemized deductions</w:t>
      </w:r>
      <w:bookmarkEnd w:id="27"/>
    </w:p>
    <w:p w:rsidR="0078310B" w:rsidRDefault="002B3596" w:rsidP="0078310B">
      <w:pPr>
        <w:widowControl w:val="0"/>
        <w:spacing w:after="120"/>
        <w:ind w:firstLine="288"/>
        <w:jc w:val="both"/>
      </w:pPr>
      <w:hyperlink r:id="rId74" w:history="1">
        <w:r w:rsidR="0078310B" w:rsidRPr="005F7D7C">
          <w:rPr>
            <w:rStyle w:val="Hyperlink"/>
          </w:rPr>
          <w:t>Section 68</w:t>
        </w:r>
      </w:hyperlink>
      <w:r w:rsidR="0078310B">
        <w:t xml:space="preserve"> reduces the aggregate amount of otherwise allowable Itemized Deductions by 3% of the amount by which it exceeds the same threshold amounts described above with respect to the Personal and Dependent Exemption Deduction phase-out rule, </w:t>
      </w:r>
      <w:r w:rsidR="0078310B">
        <w:rPr>
          <w:i/>
        </w:rPr>
        <w:t>i.e.</w:t>
      </w:r>
      <w:r w:rsidR="009F464F">
        <w:t>, $261,500 for individuals in 2017 ($313,8</w:t>
      </w:r>
      <w:r w:rsidR="0078310B">
        <w:t>00 for married couples filing jointly). Unlike the Personal and Dependent Exemption Deduction, however, which can be fully phased out, Itemized Deductions cannot be reduced by more than 80% under § 68.</w:t>
      </w:r>
      <w:r w:rsidR="0078310B">
        <w:rPr>
          <w:rStyle w:val="FootnoteReference"/>
        </w:rPr>
        <w:footnoteReference w:id="49"/>
      </w:r>
      <w:r w:rsidR="0078310B">
        <w:t xml:space="preserve"> For example, a married couple with a $400,000 AGI and $50,000 in allowable Itemized Deductions would see their Itemized Deductions re</w:t>
      </w:r>
      <w:r w:rsidR="009F464F">
        <w:t>duced by $2,586 (3% of the $86,2</w:t>
      </w:r>
      <w:r w:rsidR="0078310B">
        <w:t>0</w:t>
      </w:r>
      <w:r w:rsidR="009F464F">
        <w:t>0 excess of $400,000 over $313,8</w:t>
      </w:r>
      <w:r w:rsidR="0078310B">
        <w:t xml:space="preserve">00) to $47,339. </w:t>
      </w:r>
    </w:p>
    <w:p w:rsidR="0078310B" w:rsidRPr="00473823" w:rsidRDefault="0078310B" w:rsidP="0078310B">
      <w:pPr>
        <w:pStyle w:val="Heading3"/>
        <w:spacing w:before="0" w:beforeAutospacing="0" w:after="120" w:afterAutospacing="0"/>
        <w:rPr>
          <w:i/>
        </w:rPr>
      </w:pPr>
      <w:bookmarkStart w:id="28" w:name="_Toc395790342"/>
      <w:r w:rsidRPr="00473823">
        <w:rPr>
          <w:i/>
        </w:rPr>
        <w:t>§ 67: the 2% floor under “miscellaneous itemized deductions”</w:t>
      </w:r>
      <w:bookmarkEnd w:id="28"/>
    </w:p>
    <w:p w:rsidR="0078310B" w:rsidRDefault="0078310B" w:rsidP="0078310B">
      <w:pPr>
        <w:widowControl w:val="0"/>
        <w:spacing w:after="120"/>
        <w:ind w:firstLine="288"/>
        <w:jc w:val="both"/>
      </w:pPr>
      <w:r>
        <w:t xml:space="preserve">Before applying § 68, however, § 67 may reduce some Itemized Deductions for those who (unlike Joan and Jim) itemize. Under </w:t>
      </w:r>
      <w:hyperlink r:id="rId75" w:history="1">
        <w:r w:rsidRPr="005F7D7C">
          <w:rPr>
            <w:rStyle w:val="Hyperlink"/>
          </w:rPr>
          <w:t>§ 67</w:t>
        </w:r>
      </w:hyperlink>
      <w:r>
        <w:t>, the aggregate of “</w:t>
      </w:r>
      <w:r w:rsidRPr="00DA0872">
        <w:rPr>
          <w:b/>
        </w:rPr>
        <w:t>Miscellaneous Itemized Deductions</w:t>
      </w:r>
      <w:r>
        <w:t xml:space="preserve">,” or MIDs, which are </w:t>
      </w:r>
      <w:r w:rsidRPr="00DA0872">
        <w:rPr>
          <w:b/>
        </w:rPr>
        <w:t xml:space="preserve">a </w:t>
      </w:r>
      <w:r w:rsidRPr="00DA0872">
        <w:rPr>
          <w:b/>
          <w:i/>
        </w:rPr>
        <w:t>subset</w:t>
      </w:r>
      <w:r w:rsidRPr="00DA0872">
        <w:rPr>
          <w:b/>
        </w:rPr>
        <w:t xml:space="preserve"> of all Itemized Deductions</w:t>
      </w:r>
      <w:r>
        <w:t xml:space="preserve">, are deductible </w:t>
      </w:r>
      <w:r>
        <w:rPr>
          <w:i/>
        </w:rPr>
        <w:t>only</w:t>
      </w:r>
      <w:r>
        <w:t xml:space="preserve"> to the extent that their aggregate exceeds 2% of AGI. If, for example, the aggregate of MIDs is $2,500 and the taxpayer’s AGI is $100,000, the taxpayer could deduct only $500 of the total MIDs—not the entire $2,500. If the taxpayer’s MIDs totaled only $1,500, none of the $1,500 would be deductible. You will often hear this rule referred to as the </w:t>
      </w:r>
      <w:r w:rsidRPr="00DA0872">
        <w:rPr>
          <w:i/>
        </w:rPr>
        <w:t>2% floor</w:t>
      </w:r>
      <w:r>
        <w:t xml:space="preserve"> under MIDs or the § 67 haircut. </w:t>
      </w:r>
    </w:p>
    <w:p w:rsidR="0078310B" w:rsidRDefault="0078310B" w:rsidP="0078310B">
      <w:pPr>
        <w:widowControl w:val="0"/>
        <w:spacing w:after="120"/>
        <w:ind w:firstLine="288"/>
        <w:jc w:val="both"/>
      </w:pPr>
      <w:r w:rsidRPr="00666E99">
        <w:rPr>
          <w:b/>
        </w:rPr>
        <w:t xml:space="preserve">MIDs </w:t>
      </w:r>
      <w:r>
        <w:rPr>
          <w:b/>
        </w:rPr>
        <w:t xml:space="preserve">are all </w:t>
      </w:r>
      <w:r w:rsidRPr="00666E99">
        <w:rPr>
          <w:b/>
        </w:rPr>
        <w:t xml:space="preserve">Itemized Deductions </w:t>
      </w:r>
      <w:r w:rsidRPr="00666E99">
        <w:rPr>
          <w:b/>
          <w:i/>
        </w:rPr>
        <w:t>except</w:t>
      </w:r>
      <w:r>
        <w:rPr>
          <w:b/>
        </w:rPr>
        <w:t xml:space="preserve"> those </w:t>
      </w:r>
      <w:r w:rsidRPr="00666E99">
        <w:rPr>
          <w:b/>
        </w:rPr>
        <w:t>listed in § 67(b)</w:t>
      </w:r>
      <w:r>
        <w:t xml:space="preserve">, which is why MIDs are accurately described as </w:t>
      </w:r>
      <w:r w:rsidRPr="00814783">
        <w:t>a subset</w:t>
      </w:r>
      <w:r>
        <w:t xml:space="preserve"> of the universe of all Itemized Deductions. Stated another way, the Itemized Deductions listed in § 67(b) are those that are </w:t>
      </w:r>
      <w:r>
        <w:rPr>
          <w:i/>
        </w:rPr>
        <w:t xml:space="preserve">free </w:t>
      </w:r>
      <w:r>
        <w:t xml:space="preserve">of the aggregate 2% floor and can be deducted in full by any taxpayer that elects to itemize instead of taking the Standard Deduction. </w:t>
      </w:r>
    </w:p>
    <w:p w:rsidR="0078310B" w:rsidRDefault="0078310B" w:rsidP="0078310B">
      <w:pPr>
        <w:widowControl w:val="0"/>
        <w:spacing w:after="120"/>
        <w:ind w:firstLine="288"/>
        <w:jc w:val="both"/>
      </w:pPr>
      <w:r>
        <w:t xml:space="preserve">Notice that most of the personal (tax expenditure) deductions are found in the § 67(b) list and thus are free from the 2% floor, including the charitable contribution deduction under § 170, the deduction for qualified residence interest under § 163, and the deduction for state and local property and income taxes under § 164. Obviously missing from that list are §§ 162 (pertaining to business expenses) and 212 (pertaining to investment expenses). The § 162 business expense deductions of the self-employed are not Itemized Deductions in the first place but rather are Above-the-Line Deductions, as described above. </w:t>
      </w:r>
      <w:r>
        <w:rPr>
          <w:i/>
        </w:rPr>
        <w:t>See</w:t>
      </w:r>
      <w:r>
        <w:t xml:space="preserve"> § 62(a)(1). Similarly some § 212 deductions are also taken above the line if they pertain to property that produces rents or royalties. </w:t>
      </w:r>
      <w:r>
        <w:rPr>
          <w:i/>
        </w:rPr>
        <w:t xml:space="preserve">See </w:t>
      </w:r>
      <w:r>
        <w:t xml:space="preserve">§ 62(a)(4). But consider the § 162 </w:t>
      </w:r>
      <w:r w:rsidRPr="004F5AE7">
        <w:rPr>
          <w:i/>
        </w:rPr>
        <w:t>unreimbursed business expenses of an employee</w:t>
      </w:r>
      <w:r>
        <w:t xml:space="preserve">. Because they are not reimbursed, they are not Above-the-Line Deductions listed in § 62(a)(2)(A) but rather are Itemized Deductions. Moreover, because § 67(b) does not list § 162 in any of its subsections, they are also MIDs. In addition, any § 212 deduction that does not pertain to the production of rents or royalties—and thus are not Above-the-Line Deductions under § 62(a)(4)—are both Itemized Deductions and, because also not listed in § 67(b), MIDs. </w:t>
      </w:r>
    </w:p>
    <w:p w:rsidR="0078310B" w:rsidRDefault="0078310B" w:rsidP="0078310B">
      <w:pPr>
        <w:widowControl w:val="0"/>
        <w:spacing w:after="120"/>
        <w:ind w:firstLine="288"/>
        <w:jc w:val="both"/>
      </w:pPr>
      <w:r>
        <w:t xml:space="preserve">Most employees (unlike sole proprietors) will not incur significant deductible business expenses, but a few will. For example, suppose that Ellen is a lawyer working as in-house corporate counsel for Expo, Inc., that she pays $100 in annual American Bar Association dues (clearly an expense that would satisfy § 162), and that Expo, Inc., refuses to reimburse Ellen’s business expense. When Ellen attempts to deduct this $100 on her own tax return, she will be hampered first by her ability to itemize (will she have enough Itemized Deductions to allow her to itemize, or will she take the Standard Deduction, instead?) and second by the 2% floor found in § 67. Even if she itemizes, the $100 expense, though technically deductible under § 162, would be nondeductible in fact if this is her only MID. In this manner, MIDs are the least favored deductions. (The most favored are the Above-the-Line Deductions, and the second most favored are Itemized Deductions that are free of the 2% floor because listed in § 67(b).) </w:t>
      </w:r>
    </w:p>
    <w:p w:rsidR="0078310B" w:rsidRDefault="0078310B" w:rsidP="0078310B">
      <w:pPr>
        <w:widowControl w:val="0"/>
        <w:spacing w:after="120"/>
        <w:ind w:firstLine="288"/>
        <w:jc w:val="both"/>
      </w:pPr>
      <w:r>
        <w:t>Indeed, § 162 unreimbursed business expenses of employees and § 212 deductions (other than those pertaining to the production of rents or royalties that are deductible above the line under § 62(a)(4)) were the prime targets in the crosshairs of Congress when it first enacted § 67 in 1986 as a base-broadening measure to help pay for the dramatic reduction in the top marginal rate from 50% to 28% (described in Chapter 3). Here is a bit of legislative history:</w:t>
      </w:r>
      <w:r>
        <w:rPr>
          <w:rStyle w:val="FootnoteReference"/>
        </w:rPr>
        <w:footnoteReference w:id="50"/>
      </w:r>
      <w:r>
        <w:t xml:space="preserve"> </w:t>
      </w:r>
    </w:p>
    <w:p w:rsidR="0078310B" w:rsidRDefault="0078310B" w:rsidP="0078310B">
      <w:pPr>
        <w:pStyle w:val="FootnoteText"/>
        <w:widowControl w:val="0"/>
        <w:spacing w:after="120"/>
        <w:ind w:left="720" w:right="720"/>
        <w:jc w:val="both"/>
        <w:rPr>
          <w:sz w:val="24"/>
        </w:rPr>
      </w:pPr>
      <w:r>
        <w:rPr>
          <w:sz w:val="24"/>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Pr>
          <w:sz w:val="24"/>
        </w:rPr>
        <w:softHyphen/>
        <w:t>neous expenses are sufficiently personal in nature that they would be incurred apart from any business or investment activities of the taxpay</w:t>
      </w:r>
      <w:r>
        <w:rPr>
          <w:sz w:val="24"/>
        </w:rPr>
        <w:softHyphen/>
        <w:t>er. For example, membership dues paid to professional associations may serve both business purposes and also have voluntary and personal aspects; similarly, subscrip</w:t>
      </w:r>
      <w:r>
        <w:rPr>
          <w:sz w:val="24"/>
        </w:rPr>
        <w:softHyphen/>
        <w:t>tions to publications may help taxpayers in conducting a profession and also may convey personal and recre</w:t>
      </w:r>
      <w:r>
        <w:rPr>
          <w:sz w:val="24"/>
        </w:rPr>
        <w:softHyphen/>
        <w:t>ational benefits. Taxpayers presumably would rent safe deposit boxes to hold personal belongings such as jewelry even if the cost, to the extent related to invest</w:t>
      </w:r>
      <w:r>
        <w:rPr>
          <w:sz w:val="24"/>
        </w:rPr>
        <w:softHyphen/>
        <w:t>ment assets such as stock certificates, were not deduct</w:t>
      </w:r>
      <w:r>
        <w:rPr>
          <w:sz w:val="24"/>
        </w:rPr>
        <w:softHyphen/>
        <w:t>ible.</w:t>
      </w:r>
    </w:p>
    <w:p w:rsidR="0078310B" w:rsidRPr="00473823" w:rsidRDefault="0078310B" w:rsidP="0078310B">
      <w:pPr>
        <w:pStyle w:val="Heading3"/>
        <w:spacing w:before="0" w:beforeAutospacing="0" w:after="120" w:afterAutospacing="0"/>
        <w:rPr>
          <w:i/>
        </w:rPr>
      </w:pPr>
      <w:bookmarkStart w:id="29" w:name="_Toc395790343"/>
      <w:r w:rsidRPr="00473823">
        <w:rPr>
          <w:i/>
        </w:rPr>
        <w:t>Alternative minimum tax</w:t>
      </w:r>
      <w:bookmarkEnd w:id="29"/>
    </w:p>
    <w:p w:rsidR="0078310B" w:rsidRDefault="0078310B" w:rsidP="0078310B">
      <w:pPr>
        <w:widowControl w:val="0"/>
        <w:spacing w:after="120"/>
        <w:ind w:firstLine="288"/>
        <w:jc w:val="both"/>
      </w:pPr>
      <w:r>
        <w:t xml:space="preserve">Moreover, MIDs are entirely nondeductible—even to the extent that their aggregate exceeds 2% of AGI—under the “Alternative Minimum Tax” (AMT). Notice that, at the bottom of the earlier flow chart from Gross Income to tax due, you see a reference to the Alternative Minimum Tax. The AMT is a parallel tax system alongside what is referred to as the “regular” tax (to distinguish it from the AMT). The AMT was originally enacted in 1969 when the front pages of the national press reported that 155 wealthy taxpayers paid no income tax, even though they realized large amounts of </w:t>
      </w:r>
      <w:r w:rsidRPr="00274B78">
        <w:rPr>
          <w:i/>
        </w:rPr>
        <w:t>economic</w:t>
      </w:r>
      <w:r>
        <w:t xml:space="preserve"> income, because deductions, exclusions, timing rules, credits, </w:t>
      </w:r>
      <w:r>
        <w:rPr>
          <w:i/>
        </w:rPr>
        <w:t>etc.</w:t>
      </w:r>
      <w:r>
        <w:t xml:space="preserve">, combined to result in zero tax due. Every taxpayer must calculate the tax due under </w:t>
      </w:r>
      <w:r>
        <w:rPr>
          <w:i/>
        </w:rPr>
        <w:t xml:space="preserve">both </w:t>
      </w:r>
      <w:r>
        <w:t xml:space="preserve">the regular tax and the AMT and pay whichever is larger. The maximum tax rate under the AMT is currently 28% for individuals, which is lower than the maximum 39.6% tax rate 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rsidR="0078310B" w:rsidRDefault="0078310B" w:rsidP="0078310B">
      <w:pPr>
        <w:widowControl w:val="0"/>
        <w:spacing w:after="120"/>
        <w:ind w:firstLine="288"/>
        <w:jc w:val="both"/>
      </w:pPr>
      <w:r>
        <w:t xml:space="preserve">Among the most important deductions that are allowed for regular tax purposes but denied for AMT purposes are the §§ 152 and 152 Personal and Dependent Exemption Deductions </w:t>
      </w:r>
      <w:hyperlink r:id="rId76" w:history="1">
        <w:r w:rsidRPr="007761FA">
          <w:rPr>
            <w:rStyle w:val="Hyperlink"/>
          </w:rPr>
          <w:t>(§ 56</w:t>
        </w:r>
      </w:hyperlink>
      <w:r>
        <w:t xml:space="preserve">(b)(1)(E)), the § 164 deduction for certain state and local income and property taxes (§ 56(b)(1)(A)(ii)), and </w:t>
      </w:r>
      <w:r>
        <w:rPr>
          <w:i/>
        </w:rPr>
        <w:t>all</w:t>
      </w:r>
      <w:r>
        <w:t xml:space="preserve"> MIDs (instead of only MIDs below the 2% floor). § 56(b)(1)(A)(i). Thus, among the taxpayers most at risk for triggering AMT liability are those with many minor children, who live in high-tax states, and who are employees that have a lot of unreimbursed § 162 business expenses or large § 212 deductions that do not pertain to the production of rents or royalties. The preferential tax rate applicable to capital gains and dividends is maintained under the AMT, so realizing a lot of low-taxed capital gains and dividends will </w:t>
      </w:r>
      <w:r w:rsidRPr="00F30808">
        <w:rPr>
          <w:i/>
        </w:rPr>
        <w:t>not</w:t>
      </w:r>
      <w:r>
        <w:t xml:space="preserve"> trigger the AMT. </w:t>
      </w:r>
    </w:p>
    <w:p w:rsidR="0078310B" w:rsidRDefault="0078310B" w:rsidP="0078310B">
      <w:pPr>
        <w:widowControl w:val="0"/>
        <w:spacing w:after="120"/>
        <w:ind w:firstLine="288"/>
        <w:jc w:val="both"/>
      </w:pPr>
      <w:r>
        <w:t>In the years between 2001 and 2013, the AMT became increasingly problematic for two reasons. The first is that the Standard Deduction that is used for AMT purposes was not indexed for inflation automatically each year</w:t>
      </w:r>
      <w:r w:rsidR="007761FA">
        <w:t xml:space="preserve"> (unlike the Standard Deduction used for purposes of the regular tax)</w:t>
      </w:r>
      <w:r>
        <w:t xml:space="preserve">. Thus, even before 2001, the number of taxpayers snared by the AMT was beginning to increase steadily. The second is that the top AMT rate of 28% was not reduced in 2001 when the top rate for regular tax purposes was reduced from 39.6% to 35% (described in Chapter 3). Thus, a far larger number of taxpayers owed more tax under the AMT after 2001 than they did before 2001. (This problem was known in 2001 when the regular tax rate reductions were being debated, but nothing was done because doing nothing reduced the revenue cost of the legislation, with the AMT taking back some of what otherwise have been lost under the new “regular” rate structure—a move many charged was misleading.) </w:t>
      </w:r>
    </w:p>
    <w:p w:rsidR="0078310B" w:rsidRDefault="0078310B" w:rsidP="0078310B">
      <w:pPr>
        <w:widowControl w:val="0"/>
        <w:spacing w:after="120"/>
        <w:ind w:firstLine="288"/>
        <w:jc w:val="both"/>
      </w:pPr>
      <w:r>
        <w:t>In response to this problem, Congress passed special legislation annually (often referred to as the “AMT patch”) to increase the AMT Standard Deduction substantially in order to reduce the number of taxpayers caught up in the AMT. But this legislation, because it lost revenue against a baseline of “current law” that assumes no patch, was never easy (and often came in December, as the IRS was finalizing tax returns for use in the new year without the AMT patch). Sometimes, the revenue-losing AMT patch was matched with offsetting revenue increases elsewhere, but often the AMT patch simply increased the annual deficit (the excess of Federal spending over Federal revenue for the year). Why was not this problem taken care of permanently</w:t>
      </w:r>
      <w:r w:rsidR="0097050B">
        <w:t xml:space="preserve"> during these years</w:t>
      </w:r>
      <w:r>
        <w:t>, you sensibly ask? Because it was very expensive (in terms of scoring the lost revenue) to do that. The Tax Policy Center observed that “a one-year patch enacted for 2012 would reduce Federal tax revenue by about $85 billion, compared with a $1.1 trillion price tag for permanently indexing the AMT exemption for inflation, and a $1.4 trillion cost of full repeal over the 2012-2022 period.”</w:t>
      </w:r>
      <w:r>
        <w:rPr>
          <w:rStyle w:val="FootnoteReference"/>
        </w:rPr>
        <w:footnoteReference w:id="51"/>
      </w:r>
      <w:r>
        <w:t xml:space="preserve"> Finally, the American Taxpayer Relief Act of 2012 permanently indexed the AMT Standard Deduction, avoiding the need for annual AMT patch legislation in the future. </w:t>
      </w:r>
    </w:p>
    <w:p w:rsidR="0078310B" w:rsidRDefault="0078310B" w:rsidP="0078310B">
      <w:pPr>
        <w:widowControl w:val="0"/>
        <w:ind w:firstLine="288"/>
        <w:jc w:val="both"/>
      </w:pPr>
      <w:r>
        <w:t>Whew! We finally can summarize the status of business deductions:</w:t>
      </w:r>
    </w:p>
    <w:p w:rsidR="0078310B" w:rsidRDefault="0078310B" w:rsidP="0078310B">
      <w:pPr>
        <w:widowControl w:val="0"/>
        <w:jc w:val="both"/>
      </w:pPr>
      <w:r>
        <w:t xml:space="preserve">      </w:t>
      </w:r>
    </w:p>
    <w:p w:rsidR="0078310B" w:rsidRDefault="0078310B" w:rsidP="0078310B">
      <w:pPr>
        <w:widowControl w:val="0"/>
        <w:ind w:firstLine="288"/>
        <w:jc w:val="both"/>
      </w:pPr>
      <w:r>
        <w:t xml:space="preserve">     BUSINESS DEDUCTIONS:</w:t>
      </w:r>
    </w:p>
    <w:p w:rsidR="0078310B" w:rsidRDefault="0078310B" w:rsidP="0078310B">
      <w:pPr>
        <w:widowControl w:val="0"/>
        <w:jc w:val="both"/>
        <w:rPr>
          <w:u w:val="single"/>
        </w:rPr>
      </w:pPr>
      <w:r>
        <w:t xml:space="preserve">           /                                         \     </w:t>
      </w:r>
    </w:p>
    <w:p w:rsidR="0078310B" w:rsidRDefault="0078310B" w:rsidP="0078310B">
      <w:pPr>
        <w:widowControl w:val="0"/>
        <w:jc w:val="both"/>
      </w:pPr>
      <w:r>
        <w:rPr>
          <w:u w:val="single"/>
        </w:rPr>
        <w:t>Nonemployee</w:t>
      </w:r>
      <w:r>
        <w:t xml:space="preserve">:                               \ </w:t>
      </w:r>
    </w:p>
    <w:p w:rsidR="0078310B" w:rsidRDefault="0078310B" w:rsidP="0078310B">
      <w:pPr>
        <w:widowControl w:val="0"/>
        <w:jc w:val="both"/>
      </w:pPr>
      <w:r>
        <w:t xml:space="preserve">                                                        \</w:t>
      </w:r>
    </w:p>
    <w:p w:rsidR="0078310B" w:rsidRDefault="0078310B" w:rsidP="0078310B">
      <w:pPr>
        <w:widowControl w:val="0"/>
        <w:jc w:val="both"/>
      </w:pPr>
      <w:r>
        <w:t xml:space="preserve">Above the Line.                                 \         </w:t>
      </w:r>
    </w:p>
    <w:p w:rsidR="0078310B" w:rsidRDefault="0078310B" w:rsidP="0078310B">
      <w:pPr>
        <w:widowControl w:val="0"/>
        <w:jc w:val="both"/>
      </w:pPr>
      <w:r>
        <w:rPr>
          <w:i/>
          <w:iCs/>
        </w:rPr>
        <w:t xml:space="preserve"> See </w:t>
      </w:r>
      <w:r>
        <w:t xml:space="preserve">§ 62(a)(1).                           </w:t>
      </w:r>
      <w:r>
        <w:rPr>
          <w:u w:val="single"/>
        </w:rPr>
        <w:t>Employee</w:t>
      </w:r>
      <w:r>
        <w:t xml:space="preserve"> </w:t>
      </w:r>
    </w:p>
    <w:p w:rsidR="0078310B" w:rsidRDefault="0078310B" w:rsidP="0078310B">
      <w:pPr>
        <w:widowControl w:val="0"/>
        <w:jc w:val="both"/>
      </w:pPr>
      <w:r>
        <w:t xml:space="preserve">                                                  /                 \  </w:t>
      </w:r>
    </w:p>
    <w:p w:rsidR="0078310B" w:rsidRDefault="0078310B" w:rsidP="0078310B">
      <w:pPr>
        <w:widowControl w:val="0"/>
        <w:jc w:val="both"/>
      </w:pPr>
      <w:r>
        <w:t xml:space="preserve">                                                 /                   \</w:t>
      </w:r>
    </w:p>
    <w:p w:rsidR="0078310B" w:rsidRDefault="0078310B" w:rsidP="0078310B">
      <w:pPr>
        <w:widowControl w:val="0"/>
        <w:jc w:val="both"/>
      </w:pPr>
      <w:r>
        <w:t xml:space="preserve">                                                /                     \ </w:t>
      </w:r>
    </w:p>
    <w:p w:rsidR="0078310B" w:rsidRDefault="0078310B" w:rsidP="0078310B">
      <w:pPr>
        <w:pStyle w:val="Header"/>
        <w:widowControl w:val="0"/>
        <w:jc w:val="both"/>
      </w:pPr>
      <w:r>
        <w:t>and reimbursed under an “accountable          \</w:t>
      </w:r>
    </w:p>
    <w:p w:rsidR="0078310B" w:rsidRDefault="0078310B" w:rsidP="0078310B">
      <w:pPr>
        <w:pStyle w:val="Header"/>
        <w:widowControl w:val="0"/>
        <w:jc w:val="both"/>
      </w:pPr>
      <w:r>
        <w:t xml:space="preserve">plan” </w:t>
      </w:r>
      <w:r>
        <w:rPr>
          <w:b/>
          <w:bCs/>
        </w:rPr>
        <w:t>or</w:t>
      </w:r>
      <w:r>
        <w:t xml:space="preserve"> unreimbursed and performing           \</w:t>
      </w:r>
    </w:p>
    <w:p w:rsidR="0078310B" w:rsidRDefault="0078310B" w:rsidP="0078310B">
      <w:pPr>
        <w:pStyle w:val="Header"/>
        <w:widowControl w:val="0"/>
        <w:jc w:val="both"/>
      </w:pPr>
      <w:r>
        <w:t xml:space="preserve">artist, state government official,                       and not reimbursed  </w:t>
      </w:r>
    </w:p>
    <w:p w:rsidR="0078310B" w:rsidRDefault="0078310B" w:rsidP="0078310B">
      <w:pPr>
        <w:pStyle w:val="Header"/>
        <w:widowControl w:val="0"/>
        <w:jc w:val="both"/>
      </w:pPr>
      <w:r>
        <w:rPr>
          <w:u w:val="single"/>
        </w:rPr>
        <w:t>or primary/secondary teacher</w:t>
      </w:r>
      <w:r>
        <w:t xml:space="preserve">                           (and not performing artist, state gov.</w:t>
      </w:r>
    </w:p>
    <w:p w:rsidR="0078310B" w:rsidRDefault="0078310B" w:rsidP="0078310B">
      <w:pPr>
        <w:pStyle w:val="Header"/>
        <w:widowControl w:val="0"/>
        <w:jc w:val="both"/>
        <w:rPr>
          <w:u w:val="single"/>
        </w:rPr>
      </w:pPr>
      <w:r>
        <w:t xml:space="preserve">                                                                          </w:t>
      </w:r>
      <w:r>
        <w:rPr>
          <w:u w:val="single"/>
        </w:rPr>
        <w:t>official or primary/secondary teacher)</w:t>
      </w:r>
    </w:p>
    <w:p w:rsidR="0078310B" w:rsidRDefault="0078310B" w:rsidP="0078310B">
      <w:pPr>
        <w:widowControl w:val="0"/>
        <w:jc w:val="both"/>
      </w:pPr>
      <w:r>
        <w:t xml:space="preserve">Above the line. </w:t>
      </w:r>
      <w:r>
        <w:rPr>
          <w:i/>
          <w:iCs/>
        </w:rPr>
        <w:t>See</w:t>
      </w:r>
      <w:r>
        <w:t xml:space="preserve"> § 62(a)(2).</w:t>
      </w:r>
    </w:p>
    <w:p w:rsidR="0078310B" w:rsidRDefault="0078310B" w:rsidP="0078310B">
      <w:pPr>
        <w:widowControl w:val="0"/>
        <w:jc w:val="both"/>
      </w:pPr>
      <w:r>
        <w:rPr>
          <w:i/>
          <w:iCs/>
        </w:rPr>
        <w:t xml:space="preserve">See also </w:t>
      </w:r>
      <w:r w:rsidR="008A7C9A">
        <w:rPr>
          <w:iCs/>
        </w:rPr>
        <w:t xml:space="preserve">Treas. Reg. </w:t>
      </w:r>
      <w:r w:rsidR="008A7C9A">
        <w:t xml:space="preserve">§ 1.62-2(c)(4): </w:t>
      </w:r>
      <w:r>
        <w:t xml:space="preserve">                 Itemized Deduction</w:t>
      </w:r>
    </w:p>
    <w:p w:rsidR="0078310B" w:rsidRDefault="0078310B" w:rsidP="0078310B">
      <w:pPr>
        <w:widowControl w:val="0"/>
        <w:jc w:val="both"/>
      </w:pPr>
      <w:r>
        <w:t>ignore both inclusion and deduction,                MID under regular tax</w:t>
      </w:r>
    </w:p>
    <w:p w:rsidR="0078310B" w:rsidRDefault="0078310B" w:rsidP="0078310B">
      <w:pPr>
        <w:widowControl w:val="0"/>
        <w:jc w:val="both"/>
      </w:pPr>
      <w:r>
        <w:t>if reimbursed                                                     Disallowed entirely under AMT</w:t>
      </w:r>
    </w:p>
    <w:p w:rsidR="0078310B" w:rsidRPr="003B24F0" w:rsidRDefault="0078310B" w:rsidP="0078310B">
      <w:pPr>
        <w:widowControl w:val="0"/>
        <w:ind w:firstLine="288"/>
        <w:jc w:val="both"/>
      </w:pPr>
    </w:p>
    <w:p w:rsidR="0078310B" w:rsidRDefault="0078310B" w:rsidP="0078310B">
      <w:pPr>
        <w:widowControl w:val="0"/>
        <w:spacing w:after="120"/>
        <w:ind w:firstLine="288"/>
        <w:jc w:val="both"/>
      </w:pPr>
      <w:r>
        <w:t>We can also finally get back to Joan and Jim. Now that we have concluded th</w:t>
      </w:r>
      <w:r w:rsidR="009F464F">
        <w:t>at their Taxable Income is $81,1</w:t>
      </w:r>
      <w:r>
        <w:t>00, we can compu</w:t>
      </w:r>
      <w:r w:rsidR="009F464F">
        <w:t>te their income tax due for 2017</w:t>
      </w:r>
      <w:r>
        <w:t xml:space="preserve"> (before considering any offsetting tax credits). Notice that their Taxable Income falls within the bracket</w:t>
      </w:r>
      <w:r w:rsidR="009F464F">
        <w:t xml:space="preserve"> described in line 3 of the 2017</w:t>
      </w:r>
      <w:r>
        <w:t xml:space="preserve"> Table for Married Couples Filing a Joint Return, reproduced earlier. That line provid</w:t>
      </w:r>
      <w:r w:rsidR="009F464F">
        <w:t>es that their tax due is $10,452</w:t>
      </w:r>
      <w:r>
        <w:t xml:space="preserve">.50 </w:t>
      </w:r>
      <w:r w:rsidRPr="005B3290">
        <w:rPr>
          <w:i/>
        </w:rPr>
        <w:t>plus</w:t>
      </w:r>
      <w:r>
        <w:t xml:space="preserve"> </w:t>
      </w:r>
      <w:r w:rsidR="009F464F">
        <w:t>25% of the excess of their $81,100 Taxable Income over $75,9</w:t>
      </w:r>
      <w:r>
        <w:t>00</w:t>
      </w:r>
      <w:r w:rsidR="005B3290">
        <w:t xml:space="preserve"> (.25 x $5,200)</w:t>
      </w:r>
      <w:r>
        <w:t>, produc</w:t>
      </w:r>
      <w:r w:rsidR="005B3290">
        <w:t>ing a tax of $11,752.50 ($10,452</w:t>
      </w:r>
      <w:r>
        <w:t xml:space="preserve">.50 </w:t>
      </w:r>
      <w:r>
        <w:rPr>
          <w:i/>
        </w:rPr>
        <w:t xml:space="preserve">plus </w:t>
      </w:r>
      <w:r w:rsidR="005B3290">
        <w:t>$1,300).</w:t>
      </w:r>
      <w:r>
        <w:t xml:space="preserve"> </w:t>
      </w:r>
    </w:p>
    <w:p w:rsidR="0078310B" w:rsidRDefault="0078310B" w:rsidP="0078310B">
      <w:pPr>
        <w:widowControl w:val="0"/>
        <w:spacing w:after="120"/>
        <w:ind w:firstLine="288"/>
        <w:jc w:val="both"/>
      </w:pPr>
      <w:r>
        <w:t xml:space="preserve">Joan and Jim would next consider whether they are entitled to any </w:t>
      </w:r>
      <w:r>
        <w:rPr>
          <w:b/>
        </w:rPr>
        <w:t>tax credits</w:t>
      </w:r>
      <w:r>
        <w:t xml:space="preserve">. While a deduction reduces Gross Income in reaching Taxable Income (the tax base—what is taxed), a tax credit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t>Thus, a $1 deduction saves a taxpayer in the 39.6% bracket 39.6 cents (because, absent the deduction, the extra $1 of Taxable Income would have generated an additional 39.6 cents in tax), while the same $1 deduction saves a taxpayer in the 15% bracket only 15 cents (because, absent the deduction, the extra $1 of Taxable Income would have generated an additional 15 cents in tax.) In contrast, a $1 tax credit saves the taxpayer exactly $1 in tax, regardless of tax bracket. In other words, a tax credit has the same value to high and low bracket taxpayers alike, while a deduction is worth more to high-bracket taxpayers than to low-bracket taxpayers. For this reason, Congress will usually choose the tax credit mechanism when it intends particularly to target low-income taxpayers with a special tax benefit and a deduction when it intends particularly to target high-income taxpayers.</w:t>
      </w:r>
    </w:p>
    <w:p w:rsidR="0078310B" w:rsidRPr="00473823" w:rsidRDefault="0078310B" w:rsidP="0078310B">
      <w:pPr>
        <w:pStyle w:val="Heading3"/>
        <w:spacing w:before="0" w:beforeAutospacing="0" w:after="120" w:afterAutospacing="0"/>
        <w:rPr>
          <w:i/>
        </w:rPr>
      </w:pPr>
      <w:bookmarkStart w:id="30" w:name="_Toc395790344"/>
      <w:r w:rsidRPr="00473823">
        <w:rPr>
          <w:i/>
        </w:rPr>
        <w:t>Child tax credit and earned income tax credit</w:t>
      </w:r>
      <w:bookmarkEnd w:id="30"/>
    </w:p>
    <w:p w:rsidR="0078310B" w:rsidRDefault="0078310B" w:rsidP="0078310B">
      <w:pPr>
        <w:widowControl w:val="0"/>
        <w:spacing w:after="120"/>
        <w:ind w:firstLine="288"/>
        <w:jc w:val="both"/>
      </w:pPr>
      <w:r>
        <w:t xml:space="preserve">Taxpayers with minor children effectively have a third mechanism (in addition to the Personal and Dependent Exemption Deduction and Standard Deduction) to augment the amount of subsistence income that will be free from income tax. The child tax credit in </w:t>
      </w:r>
      <w:hyperlink r:id="rId77" w:history="1">
        <w:r w:rsidRPr="004A2B19">
          <w:rPr>
            <w:rStyle w:val="Hyperlink"/>
          </w:rPr>
          <w:t>§ 24</w:t>
        </w:r>
      </w:hyperlink>
      <w:r>
        <w:t xml:space="preserve"> is equal to $1,000 for every child under age 17 that is eligible for the Dependent Exemption Deduction on the taxpayer’s return. This $1,000 figure is not indexed for inflation. The child tax credit, aimed at low- and middle-income taxpayers, is phased out by $50 for every $1,000 of AGI for a married couple filing jointly that exceeds $110,000—another threshold that is not indexed for inflation. </w:t>
      </w:r>
      <w:r>
        <w:rPr>
          <w:i/>
        </w:rPr>
        <w:t xml:space="preserve">See </w:t>
      </w:r>
      <w:hyperlink r:id="rId78" w:history="1">
        <w:r w:rsidRPr="004A2B19">
          <w:rPr>
            <w:rStyle w:val="Hyperlink"/>
          </w:rPr>
          <w:t>§§ 24</w:t>
        </w:r>
      </w:hyperlink>
      <w:r>
        <w:t xml:space="preserve">(b)(1) and (2). Because Joan and Jim’s AGI does not exceed $110,000, their $2,000 child tax credit ($1,000 for each of their two children) </w:t>
      </w:r>
      <w:r w:rsidR="005B3290">
        <w:t>is not reduced, and their $11,75</w:t>
      </w:r>
      <w:r>
        <w:t>2.50 tax due (before credits) is reduced to $9,842.50. They are thankful that their AMT liability is less (take</w:t>
      </w:r>
      <w:r w:rsidR="005B3290">
        <w:t xml:space="preserve"> my word for it), so their $9,75</w:t>
      </w:r>
      <w:r>
        <w:t xml:space="preserve">2.50 regular tax liability is truly what they owe in Federal income tax for the year. </w:t>
      </w:r>
    </w:p>
    <w:p w:rsidR="0078310B" w:rsidRDefault="0078310B" w:rsidP="0078310B">
      <w:pPr>
        <w:widowControl w:val="0"/>
        <w:spacing w:after="120"/>
        <w:ind w:firstLine="288"/>
        <w:jc w:val="both"/>
      </w:pPr>
      <w:r>
        <w:t xml:space="preserve">Because Joan and Jim are employees, estimated Federal income taxes should have been withheld from each of their paychecks during the year by their employers, who must send the withheld amounts to the Treasury or suffer severe penalties. (Self-employed individuals must submit estimated tax payments quarterly.) Under </w:t>
      </w:r>
      <w:hyperlink r:id="rId79" w:history="1">
        <w:r w:rsidRPr="00CB1B15">
          <w:rPr>
            <w:rStyle w:val="Hyperlink"/>
          </w:rPr>
          <w:t>§ 31</w:t>
        </w:r>
      </w:hyperlink>
      <w:r>
        <w:t xml:space="preserve">, Joan and Jim will take </w:t>
      </w:r>
      <w:r w:rsidR="005B3290">
        <w:t>a tax credit against their $9,75</w:t>
      </w:r>
      <w:r>
        <w:t>2.50 tax owed for any amounts withheld by their employers. If, for example, their em</w:t>
      </w:r>
      <w:r w:rsidR="00BF306C">
        <w:t>ployers withheld a total of $9,6</w:t>
      </w:r>
      <w:r w:rsidR="005B3290">
        <w:t>00 in Federal income tax in 2017</w:t>
      </w:r>
      <w:r>
        <w:t>, they would c</w:t>
      </w:r>
      <w:r w:rsidR="00BF306C">
        <w:t>redit $9,6</w:t>
      </w:r>
      <w:r w:rsidR="005B3290">
        <w:t>00 against their $9,75</w:t>
      </w:r>
      <w:r>
        <w:t>2.50 income tax liabil</w:t>
      </w:r>
      <w:r w:rsidR="005B3290">
        <w:t>ity and remit the remaining $</w:t>
      </w:r>
      <w:r w:rsidR="00BF306C">
        <w:t>1</w:t>
      </w:r>
      <w:r w:rsidR="005B3290">
        <w:t>52</w:t>
      </w:r>
      <w:r>
        <w:t>.50 owed. If, in contrast, their employers withheld a total of, say, $12,000 from their paychecks in estimated Federal income taxes, their $12,000 tax credit would offset their entire tax liability, and they</w:t>
      </w:r>
      <w:r w:rsidR="0098697D">
        <w:t xml:space="preserve"> would receive a refund of $2,24</w:t>
      </w:r>
      <w:r>
        <w:t xml:space="preserve">7.50 from the Treasury, equal to the excess tax withheld. In other words, the § 31 credit is a so-called refundable credit, which entitles the taxpayer to a payment from the Treasury to the extent that the tax credit exceeds the tax owed. </w:t>
      </w:r>
    </w:p>
    <w:p w:rsidR="0078310B" w:rsidRDefault="0078310B" w:rsidP="0078310B">
      <w:pPr>
        <w:widowControl w:val="0"/>
        <w:spacing w:after="120"/>
        <w:ind w:firstLine="288"/>
        <w:jc w:val="both"/>
      </w:pPr>
      <w:r>
        <w:t>As an aside, many taxpayers love getting a tax refund from the Treasury each year and sometimes intentionally have their employer withhold from their paychecks more than their anticipated tax in order to ensure a large refund. In the 2015 tax season (pertaining to tax year 2014), nearly 73% of individual tax returns resulted in re</w:t>
      </w:r>
      <w:r w:rsidR="00F81981">
        <w:t>funds averaging just over $3,120</w:t>
      </w:r>
      <w:r>
        <w:t>.</w:t>
      </w:r>
      <w:r>
        <w:rPr>
          <w:rStyle w:val="FootnoteReference"/>
        </w:rPr>
        <w:footnoteReference w:id="52"/>
      </w:r>
      <w:r>
        <w:t xml:space="preserve">  Because the Federal government does not pay interest on what is essentially a loan from the taxpayer to the government (equal to the amount of the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under which people strongly prefer avoiding losses to acquiring gains. That is to say, the pain of having to make up a shortfall (if withholding falls short of the amount of tax actually owed) hurts more than the pleasure enjoyed on receiving what feels like a windfall (upon receiving a refund of one’s own money). Thus, many taxpayers are willing to make an interest-free loan to the government in order to avoid having to pay what feels like “extra” tax owed at the time the return is filed—even though the amount of tax owed, of course, does not depend on the amount withheld. In Joan and Jim’s case, they owe $9</w:t>
      </w:r>
      <w:r w:rsidR="008E5C7D">
        <w:t>,75</w:t>
      </w:r>
      <w:r>
        <w:t>2.50 this year in Federal income tax, reg</w:t>
      </w:r>
      <w:r w:rsidR="008E5C7D">
        <w:t>ardless of whether they had $9,6</w:t>
      </w:r>
      <w:r>
        <w:t xml:space="preserve">00 or $12,000 withheld from their paychecks. (If far too little tax is withheld, however, Joan and Jim can owe additional penalties.) </w:t>
      </w:r>
    </w:p>
    <w:p w:rsidR="0078310B" w:rsidRDefault="0078310B" w:rsidP="0078310B">
      <w:pPr>
        <w:widowControl w:val="0"/>
        <w:spacing w:after="120"/>
        <w:ind w:firstLine="288"/>
        <w:jc w:val="both"/>
      </w:pPr>
      <w:r>
        <w:t xml:space="preserve">Another very important tax credit for the working poor that effectively augments the amount of subsistence living expenses protected from the income tax is the earned income tax credit (EITC) under </w:t>
      </w:r>
      <w:hyperlink r:id="rId80" w:history="1">
        <w:r w:rsidRPr="00CB1B15">
          <w:rPr>
            <w:rStyle w:val="Hyperlink"/>
          </w:rPr>
          <w:t>§ 32</w:t>
        </w:r>
      </w:hyperlink>
      <w:r>
        <w:t>, which is a refundable tax credit (</w:t>
      </w:r>
      <w:r>
        <w:rPr>
          <w:i/>
        </w:rPr>
        <w:t>i.e.</w:t>
      </w:r>
      <w:r>
        <w:t>, if the EITC exceeds the Federal income tax owed, the excess is paid to the taxpayer).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not a normative tax provision geared to measuring SHS income accurately but, rather, is an anti-poverty tax expenditure aimed at the working poor.</w:t>
      </w:r>
      <w:r>
        <w:rPr>
          <w:rStyle w:val="FootnoteReference"/>
        </w:rPr>
        <w:footnoteReference w:id="53"/>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rsidR="0078310B" w:rsidRPr="00473823" w:rsidRDefault="0078310B" w:rsidP="0078310B">
      <w:pPr>
        <w:pStyle w:val="Heading3"/>
        <w:spacing w:before="0" w:beforeAutospacing="0" w:after="120" w:afterAutospacing="0"/>
        <w:rPr>
          <w:i/>
        </w:rPr>
      </w:pPr>
      <w:bookmarkStart w:id="31" w:name="_Toc395790345"/>
      <w:r w:rsidRPr="00473823">
        <w:rPr>
          <w:i/>
        </w:rPr>
        <w:t>Effective tax rate versus marginal tax rate</w:t>
      </w:r>
      <w:bookmarkEnd w:id="31"/>
    </w:p>
    <w:p w:rsidR="0078310B" w:rsidRPr="00BA369A" w:rsidRDefault="0078310B" w:rsidP="0078310B">
      <w:pPr>
        <w:widowControl w:val="0"/>
        <w:spacing w:after="120"/>
        <w:ind w:firstLine="288"/>
        <w:jc w:val="both"/>
      </w:pPr>
      <w:r w:rsidRPr="00814325">
        <w:t>So let’s finally get back to the question of Joa</w:t>
      </w:r>
      <w:r>
        <w:t>n and Jim’s</w:t>
      </w:r>
      <w:r w:rsidRPr="00814325">
        <w:t xml:space="preserve"> “effective” </w:t>
      </w:r>
      <w:r>
        <w:t xml:space="preserve">(or average) Federal income tax </w:t>
      </w:r>
      <w:r w:rsidRPr="00814325">
        <w:t>rate. W</w:t>
      </w:r>
      <w:r>
        <w:t xml:space="preserve">e saw earlier that their marginal rate is 25% because </w:t>
      </w:r>
      <w:r w:rsidRPr="00814325">
        <w:t>th</w:t>
      </w:r>
      <w:r>
        <w:t>eir last dollar falls in the 25% bracket. What is</w:t>
      </w:r>
      <w:r w:rsidRPr="00814325">
        <w:t xml:space="preserve"> their effective tax rate? We kn</w:t>
      </w:r>
      <w:r w:rsidR="00F81981">
        <w:t>ow that the numerator is $11,</w:t>
      </w:r>
      <w:r w:rsidR="008E5C7D">
        <w:t>75</w:t>
      </w:r>
      <w:r>
        <w:t>2.50 (their tax liability),</w:t>
      </w:r>
      <w:r w:rsidRPr="00814325">
        <w:t xml:space="preserve"> but what is the denominator? </w:t>
      </w:r>
      <w:r>
        <w:t xml:space="preserve">As noted earlier, Taxable Income is never used to measure effective tax rates because of all the base-narrowing measures (such as the Personal and Dependent Exemption Deductions, Standard Deduction, gift exclusion, personal deductions, </w:t>
      </w:r>
      <w:r>
        <w:rPr>
          <w:i/>
        </w:rPr>
        <w:t>etc.</w:t>
      </w:r>
      <w:r>
        <w:t xml:space="preserve">) that severely skew the measurement of wealth accessions for the year. </w:t>
      </w:r>
      <w:r w:rsidRPr="00814325">
        <w:t>If we use AGI (the most common measure),</w:t>
      </w:r>
      <w:r w:rsidR="00F81981">
        <w:t xml:space="preserve"> their effective tax rate is 10.7%</w:t>
      </w:r>
      <w:r w:rsidRPr="00814325">
        <w:t xml:space="preserve"> </w:t>
      </w:r>
      <w:r w:rsidR="00F81981">
        <w:t>($11</w:t>
      </w:r>
      <w:r w:rsidR="008E5C7D">
        <w:t>,75</w:t>
      </w:r>
      <w:r>
        <w:t xml:space="preserve">2.50/$110,000). The most accurate measure would be </w:t>
      </w:r>
      <w:r w:rsidRPr="00B42238">
        <w:rPr>
          <w:i/>
        </w:rPr>
        <w:t>economic</w:t>
      </w:r>
      <w:r w:rsidRPr="00814325">
        <w:t xml:space="preserve"> income, which would also throw into the denominator the $10,000</w:t>
      </w:r>
      <w:r>
        <w:t xml:space="preserve"> gift that </w:t>
      </w:r>
      <w:r w:rsidRPr="00814325">
        <w:t>can be spent on personal consumption or saved (and thus would constitute SHS income in the absence of § 10</w:t>
      </w:r>
      <w:r>
        <w:t>2</w:t>
      </w:r>
      <w:r w:rsidRPr="00814325">
        <w:t>)</w:t>
      </w:r>
      <w:r>
        <w:t xml:space="preserve">. Using economic income in the denominator would produce an </w:t>
      </w:r>
      <w:r w:rsidRPr="00814325">
        <w:t>effective tax r</w:t>
      </w:r>
      <w:r w:rsidR="008E5C7D">
        <w:t>a</w:t>
      </w:r>
      <w:r w:rsidR="00F81981">
        <w:t>te of 9.8% ($11,752.50/$120,000). Each (10.7% or 9.8%) is less than half t</w:t>
      </w:r>
      <w:r>
        <w:t xml:space="preserve">heir 25% marginal </w:t>
      </w:r>
      <w:r w:rsidRPr="00814325">
        <w:t xml:space="preserve">rate. </w:t>
      </w:r>
    </w:p>
    <w:p w:rsidR="0078310B" w:rsidRPr="007E0E69" w:rsidRDefault="0078310B" w:rsidP="0078310B">
      <w:pPr>
        <w:widowControl w:val="0"/>
        <w:spacing w:after="120"/>
        <w:ind w:firstLine="288"/>
        <w:jc w:val="both"/>
      </w:pPr>
      <w:r>
        <w:t>While economists are often concerned with marginal rates, 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was 26.3% while Governor Mitt Romney’s effective Federal income tax rate in 2010 was nearly half that at 13.9%, even though the Romneys’ Adjusted Gross Income was more than ten times higher than the Obamas’ income. Both of those figures used AGI. The Obamas’ AGI was $1,728,096, consisting mostly of his salary as President and substantial book royalties, both of which are taxed at ordinary income tax rates, and their tax payment was $453,770 ($453,770/$1,728,096 = 26.3%).</w:t>
      </w:r>
      <w:r>
        <w:rPr>
          <w:rStyle w:val="FootnoteReference"/>
        </w:rPr>
        <w:footnoteReference w:id="54"/>
      </w:r>
      <w:r>
        <w:t xml:space="preserve"> The Romneys’ AGI was $21,646,507, consisting mostly of capital gains and dividends taxed at 15% (which would have been 20% if current law had applied, as described in Chapter 3), but the Governor did earn some ordinary income each year from speaking fees (about $350,000 in 2010) and other forms of investment income that were not subject to the 15% rate applicable to capital gains and dividends in that year, such as interest and book royalties. The Romneys’ tax payment was $3,009,766 ($3,009,766/$21,646,507 = 13.9%).</w:t>
      </w:r>
      <w:r>
        <w:rPr>
          <w:rStyle w:val="FootnoteReference"/>
        </w:rPr>
        <w:footnoteReference w:id="55"/>
      </w:r>
      <w:r>
        <w:t xml:space="preserve"> Thus, the Romneys’ tax payment was roughly four times larger than the Obamas’ tax payment, but the Romneys’ AGI was roughly ten times higher than the Obamas’ AGI. </w:t>
      </w:r>
      <w:r>
        <w:rPr>
          <w:b/>
        </w:rPr>
        <w:t>A tax with an effective tax rate that decreases as income rises is referred to as one that is “regressive relative to income.”</w:t>
      </w:r>
      <w:r>
        <w:t xml:space="preserve"> (You will find more on the difference between regressive, proportionate, and progressive effective tax rates in Chapter 3.)</w:t>
      </w:r>
    </w:p>
    <w:p w:rsidR="0078310B" w:rsidRDefault="0078310B" w:rsidP="0078310B">
      <w:pPr>
        <w:widowControl w:val="0"/>
        <w:spacing w:after="120"/>
        <w:ind w:firstLine="288"/>
        <w:jc w:val="both"/>
      </w:pPr>
      <w:r>
        <w:t xml:space="preserve">Most academic and policy measures of effective tax rates attempt to better approximate economic income by adding to the </w:t>
      </w:r>
      <w:r w:rsidR="006042B0">
        <w:t xml:space="preserve">AGI </w:t>
      </w:r>
      <w:r>
        <w:t xml:space="preserve">denominator some SHS wealth accessions that are not includable in Gross Income for Federal income tax purposes. For example, the Congressional Budget Office (CBO) has measured effective Federal tax rates for income groups, considering </w:t>
      </w:r>
      <w:r>
        <w:rPr>
          <w:i/>
        </w:rPr>
        <w:t xml:space="preserve">all </w:t>
      </w:r>
      <w:r w:rsidR="006042B0">
        <w:t>Federal taxes (not just the Federal income tax),</w:t>
      </w:r>
      <w:r>
        <w:t xml:space="preserve"> since 1979. As of November 2014, they updated their data to include 2011, the latest year for which data is available (and projected through 2013).</w:t>
      </w:r>
      <w:r>
        <w:rPr>
          <w:rStyle w:val="FootnoteReference"/>
        </w:rPr>
        <w:footnoteReference w:id="56"/>
      </w:r>
      <w:r>
        <w:t xml:space="preserve"> The shaded areas in the chart below indicate periods of economic recession. </w:t>
      </w:r>
    </w:p>
    <w:p w:rsidR="0078310B" w:rsidRDefault="0078310B" w:rsidP="0078310B">
      <w:pPr>
        <w:widowControl w:val="0"/>
        <w:ind w:firstLine="288"/>
        <w:jc w:val="both"/>
      </w:pPr>
    </w:p>
    <w:p w:rsidR="0078310B" w:rsidRDefault="0078310B" w:rsidP="0078310B">
      <w:pPr>
        <w:widowControl w:val="0"/>
        <w:spacing w:after="120"/>
        <w:ind w:firstLine="288"/>
        <w:jc w:val="both"/>
      </w:pPr>
      <w:r>
        <w:rPr>
          <w:noProof/>
        </w:rPr>
        <w:drawing>
          <wp:inline distT="0" distB="0" distL="0" distR="0" wp14:anchorId="6B2AD5E5" wp14:editId="655CB3BE">
            <wp:extent cx="5715000" cy="4381500"/>
            <wp:effectExtent l="0" t="0" r="0" b="0"/>
            <wp:docPr id="23" name="Picture 23" descr="Average Federal Tax Rates, by Income Group, 1979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rage Federal Tax Rates, by Income Group, 1979 to 20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r>
        <w:t>CBO adds to the denominator cash transfer payments from the government to those at the lower end of the income scale, such as Social Security payments, Temporary Assistance to Needy Families payments, and veterans’ programs payments. More controversially, CBO also adds the value of some benefits received in kind, such as school lunches and breakfasts, food stamps, housing assistance, energy assistance, and (notably) the benefits provided by Medicare, Medicaid, and the Children’s Health Insurance Program. If taxpaying ability is not considered augmented by some of these in-kind items—such as the value of Medicare and Medicaid health care received in kind—the chart can be criticized for understating the effective tax rate at the lower end of the income scale (because of the too-high denominator).</w:t>
      </w:r>
    </w:p>
    <w:p w:rsidR="0078310B" w:rsidRDefault="0078310B" w:rsidP="0078310B">
      <w:pPr>
        <w:widowControl w:val="0"/>
        <w:spacing w:after="120"/>
        <w:ind w:firstLine="288"/>
        <w:jc w:val="both"/>
      </w:pPr>
      <w:r>
        <w:t>At the higher end of the income scale, the denominator is augmented by tax-exempt interest received on § 103 bonds (discussed in Chapter 2), which (unlike Medicare services received in kind) is cash that clearly represents ability to pay. Notably missing, however, is the built-in gain (</w:t>
      </w:r>
      <w:r>
        <w:rPr>
          <w:i/>
        </w:rPr>
        <w:t>i.e.</w:t>
      </w:r>
      <w:r>
        <w:t>, unrealized gain) in financial assets, which are heavily concentrated at the upper-end of the income scale, even though these unrealized gains would also be considered economic income under SHS principles. In addition, CBO assumes that 75% of the corporate tax is paid by the owners of capital and thus includes this amount in the numerator of upper-income households, but the undistributed income of corporations (on which that tax was paid) in excess of the tax paid itself is not included in the denominator—a really big distortion. (The remaining 25% of the corporate tax is deemed paid by workers and is thus included in the numerator of taxpayers at all income levels.)</w:t>
      </w:r>
      <w:r>
        <w:rPr>
          <w:rStyle w:val="FootnoteReference"/>
        </w:rPr>
        <w:footnoteReference w:id="57"/>
      </w:r>
      <w:r>
        <w:t xml:space="preserve"> Thus, this chart can be criticized for overstating the effective tax rate for those at the top of the income scale, as built-in gain and undistributed corporate income are substantial (in the trillions of dollars).</w:t>
      </w:r>
      <w:r>
        <w:rPr>
          <w:rStyle w:val="FootnoteReference"/>
        </w:rPr>
        <w:footnoteReference w:id="58"/>
      </w:r>
      <w:r>
        <w:t xml:space="preserve"> </w:t>
      </w:r>
    </w:p>
    <w:p w:rsidR="0078310B" w:rsidRPr="00D8057B" w:rsidRDefault="0078310B" w:rsidP="0078310B">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13 and upper-level tax courses), and the tax-free step up in basis at death under § 1014 (explored in Chapter 7). </w:t>
      </w:r>
    </w:p>
    <w:p w:rsidR="00D1094F" w:rsidRDefault="0078310B" w:rsidP="0078310B">
      <w:pPr>
        <w:widowControl w:val="0"/>
        <w:spacing w:after="120"/>
        <w:ind w:firstLine="288"/>
        <w:jc w:val="both"/>
      </w:pPr>
      <w:r>
        <w:t xml:space="preserve">Nevertheless, with these significant caveats in mind, the graph above shows that the effective Federal tax rate </w:t>
      </w:r>
      <w:r w:rsidR="00CB1B15">
        <w:t xml:space="preserve">generally </w:t>
      </w:r>
      <w:r>
        <w:t xml:space="preserve">increases as income rises. </w:t>
      </w:r>
      <w:r>
        <w:rPr>
          <w:b/>
        </w:rPr>
        <w:t>A tax with an effective tax rate that increases as income rises is referred to as one that is “progressive relative to income.”</w:t>
      </w:r>
      <w:r>
        <w:t xml:space="preserve"> This data, however, does not break down the results within the top 1% itself, where we have seen (in connection with the 2010 effective Federal income tax rates for President Obama and Governor Romney) that effective rates can actually be lower for the very wealthy than for the merely wealthy. </w:t>
      </w:r>
    </w:p>
    <w:p w:rsidR="00063FD3" w:rsidRDefault="00063FD3" w:rsidP="0078310B">
      <w:pPr>
        <w:widowControl w:val="0"/>
        <w:spacing w:after="120"/>
        <w:ind w:firstLine="288"/>
        <w:jc w:val="both"/>
      </w:pPr>
      <w:r>
        <w:t>The</w:t>
      </w:r>
      <w:r w:rsidR="002103B1">
        <w:t xml:space="preserve"> graph below shows the effective Federal income tax rate across the </w:t>
      </w:r>
      <w:r w:rsidR="00D1094F">
        <w:t xml:space="preserve">entire </w:t>
      </w:r>
      <w:r w:rsidR="002103B1">
        <w:t xml:space="preserve">income spectrum for 2013 (after the 2012 restoration of the top capital gains </w:t>
      </w:r>
      <w:r w:rsidR="00D1094F">
        <w:t xml:space="preserve">and qualified dividend </w:t>
      </w:r>
      <w:r w:rsidR="004E3199">
        <w:t xml:space="preserve">tax </w:t>
      </w:r>
      <w:r w:rsidR="002103B1">
        <w:t xml:space="preserve">rate to 20%, from 15%, for wealthy taxpayers), and it confirms that the effective tax rate for the very wealthy remains lower than for the merely wealthy. </w:t>
      </w:r>
    </w:p>
    <w:p w:rsidR="004E3199" w:rsidRDefault="004E3199" w:rsidP="004E3199">
      <w:pPr>
        <w:widowControl w:val="0"/>
        <w:ind w:firstLine="288"/>
        <w:jc w:val="both"/>
      </w:pPr>
    </w:p>
    <w:p w:rsidR="00063FD3" w:rsidRDefault="00063FD3" w:rsidP="0078310B">
      <w:pPr>
        <w:widowControl w:val="0"/>
        <w:spacing w:after="120"/>
        <w:ind w:firstLine="288"/>
        <w:jc w:val="both"/>
      </w:pPr>
      <w:r w:rsidRPr="00063FD3">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5939790" cy="3439795"/>
            <wp:effectExtent l="0" t="0" r="3810" b="8255"/>
            <wp:wrapNone/>
            <wp:docPr id="1" name="Picture 1" descr="\\law.csuohio.edu\staff\home\1001515\Desktop\Sullivan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2016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790"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063FD3" w:rsidRDefault="00063FD3" w:rsidP="0078310B">
      <w:pPr>
        <w:widowControl w:val="0"/>
        <w:spacing w:after="120"/>
        <w:ind w:firstLine="288"/>
        <w:jc w:val="both"/>
      </w:pPr>
    </w:p>
    <w:p w:rsidR="004E3199" w:rsidRDefault="004E3199" w:rsidP="004E3199">
      <w:pPr>
        <w:widowControl w:val="0"/>
        <w:spacing w:after="120"/>
        <w:jc w:val="both"/>
      </w:pPr>
    </w:p>
    <w:p w:rsidR="0078310B" w:rsidRDefault="002103B1" w:rsidP="004E3199">
      <w:pPr>
        <w:widowControl w:val="0"/>
        <w:spacing w:after="120"/>
        <w:ind w:firstLine="288"/>
        <w:jc w:val="both"/>
      </w:pPr>
      <w:r>
        <w:t xml:space="preserve">The reason for this remains that net capital gain and qualified dividends (low-taxed income) remains heavily concentrated at the upper end of the income </w:t>
      </w:r>
      <w:r w:rsidR="004D1847">
        <w:t>spectrum, as shown in the</w:t>
      </w:r>
      <w:r>
        <w:t xml:space="preserve"> graph below.</w:t>
      </w:r>
      <w:r w:rsidR="0078310B">
        <w:rPr>
          <w:rStyle w:val="FootnoteReference"/>
        </w:rPr>
        <w:footnoteReference w:id="59"/>
      </w:r>
    </w:p>
    <w:p w:rsidR="00BE3ABA" w:rsidRDefault="00063FD3" w:rsidP="0078310B">
      <w:pPr>
        <w:widowControl w:val="0"/>
        <w:ind w:firstLine="288"/>
        <w:jc w:val="both"/>
      </w:pPr>
      <w:r w:rsidRPr="00063FD3">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-635</wp:posOffset>
            </wp:positionV>
            <wp:extent cx="5942330" cy="3556635"/>
            <wp:effectExtent l="0" t="0" r="1270" b="5715"/>
            <wp:wrapNone/>
            <wp:docPr id="10" name="Picture 10" descr="\\law.csuohio.edu\staff\home\1001515\Desktop\Sullivan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csuohio.edu\staff\home\1001515\Desktop\Sullivan 2016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2330" cy="355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BE3ABA" w:rsidRDefault="00BE3ABA" w:rsidP="0078310B">
      <w:pPr>
        <w:widowControl w:val="0"/>
        <w:ind w:firstLine="288"/>
        <w:jc w:val="both"/>
      </w:pPr>
    </w:p>
    <w:p w:rsidR="0078310B" w:rsidRDefault="0078310B" w:rsidP="0078310B">
      <w:pPr>
        <w:widowControl w:val="0"/>
        <w:ind w:firstLine="288"/>
        <w:jc w:val="both"/>
      </w:pPr>
      <w:r>
        <w:t>Additional data is provided in Chapter 3, where we shall delve into tax policy questions more deeply, but we are getting ahead of ourselves. The main reason for the discussion here was to explore the difference between marginal and effective tax rates. Before diving further into tax policy debates, we need to explore various forms of consumption taxation (Chapter 2). First, however, try your hand at applying the material that you learned in this section to the following problems.</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2" w:name="_Toc395790346"/>
      <w:r w:rsidRPr="001A6DBD">
        <w:rPr>
          <w:u w:val="single"/>
        </w:rPr>
        <w:t>Problems</w:t>
      </w:r>
      <w:bookmarkEnd w:id="32"/>
    </w:p>
    <w:p w:rsidR="0078310B" w:rsidRPr="00F65A1E"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rPr>
          <w:b/>
        </w:rPr>
        <w:t>1.</w:t>
      </w:r>
      <w:r>
        <w:t xml:space="preserve"> David and Daphne are married and have no children. David is a police sergeant who </w:t>
      </w:r>
      <w:r w:rsidR="00BE55D6">
        <w:t>earns $65,000 this year</w:t>
      </w:r>
      <w:r>
        <w:t>, and Daphne is a registered nurse who earns $75,000. They e</w:t>
      </w:r>
      <w:r w:rsidR="00BE55D6">
        <w:t>arn no investment income this year</w:t>
      </w:r>
      <w:r>
        <w:t xml:space="preserve">, but they did receive a $10,000 gift from Daphne’s mom. </w:t>
      </w:r>
      <w:r>
        <w:rPr>
          <w:i/>
        </w:rPr>
        <w:t xml:space="preserve">See </w:t>
      </w:r>
      <w:hyperlink r:id="rId84" w:history="1">
        <w:r w:rsidRPr="008233DE">
          <w:rPr>
            <w:rStyle w:val="Hyperlink"/>
          </w:rPr>
          <w:t>§ 102</w:t>
        </w:r>
      </w:hyperlink>
      <w:r>
        <w:t xml:space="preserve">(a). David and Daphne file a joint return and take the Standard Deduction. </w:t>
      </w:r>
    </w:p>
    <w:p w:rsidR="0078310B" w:rsidRDefault="0078310B" w:rsidP="0078310B">
      <w:pPr>
        <w:widowControl w:val="0"/>
        <w:spacing w:after="120"/>
        <w:ind w:left="288"/>
        <w:jc w:val="both"/>
      </w:pPr>
      <w:r>
        <w:rPr>
          <w:b/>
        </w:rPr>
        <w:t>a.</w:t>
      </w:r>
      <w:r>
        <w:t xml:space="preserve"> What is Daphne’s and David’s Adjusted Gross Income (</w:t>
      </w:r>
      <w:r w:rsidR="00BE55D6">
        <w:t>AGI) and Taxable Income for this year</w:t>
      </w:r>
      <w:r>
        <w:t>?</w:t>
      </w:r>
    </w:p>
    <w:p w:rsidR="0078310B" w:rsidRPr="00AC2D67" w:rsidRDefault="0078310B" w:rsidP="0078310B">
      <w:pPr>
        <w:widowControl w:val="0"/>
        <w:ind w:firstLine="288"/>
        <w:jc w:val="both"/>
      </w:pPr>
      <w:r>
        <w:rPr>
          <w:b/>
        </w:rPr>
        <w:t>b.</w:t>
      </w:r>
      <w:r>
        <w:t xml:space="preserve"> What is Daphne’s and David’s marginal tax rate? Their effective tax rate (using AGI)? </w:t>
      </w:r>
    </w:p>
    <w:p w:rsidR="0078310B" w:rsidRDefault="0078310B" w:rsidP="0078310B">
      <w:pPr>
        <w:widowControl w:val="0"/>
        <w:ind w:firstLine="288"/>
        <w:jc w:val="both"/>
      </w:pPr>
    </w:p>
    <w:p w:rsidR="0078310B" w:rsidRDefault="0078310B" w:rsidP="0078310B">
      <w:pPr>
        <w:widowControl w:val="0"/>
        <w:spacing w:after="120"/>
        <w:ind w:firstLine="288"/>
        <w:jc w:val="both"/>
      </w:pPr>
      <w:r>
        <w:rPr>
          <w:b/>
        </w:rPr>
        <w:t xml:space="preserve">2. </w:t>
      </w:r>
      <w:r>
        <w:t>Sheila and Shane are married and have two children: Erik, age 17, who is a junior in high school, and Becky, age 10. Sheila does not work outside the home, and Shane is an electrical engineer who earns $130,000 working as an emplo</w:t>
      </w:r>
      <w:r w:rsidR="00BE55D6">
        <w:t>yee of Tectronics, Inc., this year</w:t>
      </w:r>
      <w:r>
        <w:t xml:space="preserve">. Together, they also receive $10,000 in interest on corporate bonds and $5,000 in interest on Ohio state bonds. In Chapter 2, you will learn that the interest on the Ohio state bonds is excludable from Gross Income under the authority of </w:t>
      </w:r>
      <w:hyperlink r:id="rId85" w:history="1">
        <w:r w:rsidRPr="008233DE">
          <w:rPr>
            <w:rStyle w:val="Hyperlink"/>
          </w:rPr>
          <w:t>§ 103</w:t>
        </w:r>
      </w:hyperlink>
      <w:r>
        <w:t xml:space="preserve">. They contribute $5,000 to the Cleveland Orchestra, which is a deductible contribution under § 170. They pay $7,000 in real property taxes on their personal residence to their local Ohio county jurisdiction, and they pay $8,000 in Ohio state income taxes, both payments of which are deductible under § 164(a). They also pay $6,000 in interest on their home mortgage, which satisfies the definition of “qualified residence interest” within the meaning of § 163(h)(3) and is thus deductible (as explored more fully in Chapter 18). Finally, Shane pays professional dues and travels to several professional association meetings in the field of electrical engineering out of his own pocket in order to keep up to date on the latest information in his field, even though Tectronics, Inc., does not reimburse these costs to Shane. The total amount that is deductible by Shane under § 162 is $2,500. Sheila and Shane file a joint tax return. </w:t>
      </w:r>
    </w:p>
    <w:p w:rsidR="0078310B" w:rsidRDefault="0078310B" w:rsidP="0078310B">
      <w:pPr>
        <w:widowControl w:val="0"/>
        <w:spacing w:after="120"/>
        <w:ind w:firstLine="288"/>
        <w:jc w:val="both"/>
      </w:pPr>
      <w:r>
        <w:rPr>
          <w:b/>
        </w:rPr>
        <w:t>a.</w:t>
      </w:r>
      <w:r>
        <w:t xml:space="preserve"> What is</w:t>
      </w:r>
      <w:r w:rsidR="00BE55D6">
        <w:t xml:space="preserve"> Sheila and Shane’s AGI for this year</w:t>
      </w:r>
      <w:r>
        <w:t>? Taxable Income?</w:t>
      </w:r>
    </w:p>
    <w:p w:rsidR="0078310B" w:rsidRDefault="0078310B" w:rsidP="0078310B">
      <w:pPr>
        <w:widowControl w:val="0"/>
        <w:spacing w:after="120"/>
        <w:ind w:left="288"/>
        <w:jc w:val="both"/>
      </w:pPr>
      <w:r>
        <w:rPr>
          <w:b/>
        </w:rPr>
        <w:t>b.</w:t>
      </w:r>
      <w:r>
        <w:t xml:space="preserve"> Tectronics has already announced that there wil</w:t>
      </w:r>
      <w:r w:rsidR="00BE55D6">
        <w:t>l be no employee raises for next year</w:t>
      </w:r>
      <w:r>
        <w:t xml:space="preserve"> because of sluggish growth. Nevertheless, do you have any advice to Shane in negotiating next year’s salary arrangement with Tectronics, Inc.? </w:t>
      </w:r>
    </w:p>
    <w:p w:rsidR="0078310B" w:rsidRDefault="0078310B" w:rsidP="0078310B">
      <w:pPr>
        <w:widowControl w:val="0"/>
        <w:ind w:left="288"/>
        <w:jc w:val="both"/>
      </w:pPr>
      <w:r>
        <w:rPr>
          <w:b/>
        </w:rPr>
        <w:t>c</w:t>
      </w:r>
      <w:r>
        <w:t xml:space="preserve">. Now for your first attempt at meaty statutory reading. Read </w:t>
      </w:r>
      <w:hyperlink r:id="rId86" w:history="1">
        <w:r w:rsidRPr="008233DE">
          <w:rPr>
            <w:rStyle w:val="Hyperlink"/>
          </w:rPr>
          <w:t>§§ 24</w:t>
        </w:r>
      </w:hyperlink>
      <w:r>
        <w:t>(a), (b)(1), (2), and (c)(1) very carefully. How much is Sheila’s and Shane’s chil</w:t>
      </w:r>
      <w:r w:rsidR="00BE55D6">
        <w:t>d tax credit under § 24 for this year</w:t>
      </w:r>
      <w:r>
        <w:t>?</w:t>
      </w:r>
    </w:p>
    <w:p w:rsidR="0078310B" w:rsidRDefault="0078310B" w:rsidP="0078310B">
      <w:pPr>
        <w:widowControl w:val="0"/>
        <w:sectPr w:rsidR="0078310B" w:rsidSect="005337BA">
          <w:headerReference w:type="even" r:id="rId87"/>
          <w:headerReference w:type="default" r:id="rId88"/>
          <w:footerReference w:type="even" r:id="rId89"/>
          <w:footerReference w:type="default" r:id="rId90"/>
          <w:headerReference w:type="first" r:id="rId91"/>
          <w:footerReference w:type="first" r:id="rId92"/>
          <w:footnotePr>
            <w:numRestart w:val="eachSect"/>
          </w:footnotePr>
          <w:type w:val="continuous"/>
          <w:pgSz w:w="12240" w:h="15840" w:code="1"/>
          <w:pgMar w:top="1440" w:right="1440" w:bottom="1440" w:left="1440" w:header="1008" w:footer="720" w:gutter="0"/>
          <w:pgNumType w:start="3"/>
          <w:cols w:space="720"/>
          <w:titlePg/>
          <w:docGrid w:linePitch="360"/>
        </w:sectPr>
      </w:pPr>
    </w:p>
    <w:p w:rsidR="0078310B" w:rsidRDefault="0078310B" w:rsidP="0078310B">
      <w:pPr>
        <w:widowControl w:val="0"/>
        <w:sectPr w:rsidR="0078310B" w:rsidSect="005337BA">
          <w:footnotePr>
            <w:numRestart w:val="eachSect"/>
          </w:footnotePr>
          <w:pgSz w:w="12240" w:h="15840" w:code="1"/>
          <w:pgMar w:top="1440" w:right="1440" w:bottom="1440" w:left="1440" w:header="1008" w:footer="720" w:gutter="0"/>
          <w:pgNumType w:start="1"/>
          <w:cols w:space="720"/>
          <w:titlePg/>
          <w:docGrid w:linePitch="360"/>
        </w:sectPr>
      </w:pPr>
    </w:p>
    <w:p w:rsidR="0078310B" w:rsidRPr="00B516B0" w:rsidRDefault="0078310B" w:rsidP="0078310B">
      <w:pPr>
        <w:pStyle w:val="Heading2"/>
        <w:spacing w:before="0"/>
        <w:rPr>
          <w:sz w:val="36"/>
          <w:szCs w:val="36"/>
        </w:rPr>
      </w:pPr>
      <w:bookmarkStart w:id="33" w:name="_Toc395790347"/>
      <w:r w:rsidRPr="00B516B0">
        <w:rPr>
          <w:sz w:val="36"/>
          <w:szCs w:val="36"/>
        </w:rPr>
        <w:t>Chapter 2: Consumption Taxation</w:t>
      </w:r>
    </w:p>
    <w:p w:rsidR="0078310B" w:rsidRPr="00B516B0" w:rsidRDefault="0078310B" w:rsidP="0078310B">
      <w:pPr>
        <w:pStyle w:val="Heading2"/>
        <w:spacing w:before="0"/>
        <w:rPr>
          <w:sz w:val="36"/>
          <w:szCs w:val="36"/>
          <w:u w:val="single"/>
        </w:rPr>
      </w:pPr>
      <w:r w:rsidRPr="00B516B0">
        <w:rPr>
          <w:sz w:val="36"/>
          <w:szCs w:val="36"/>
          <w:u w:val="single"/>
        </w:rPr>
        <w:t>and Our Hybrid Income/Consumption Tax</w:t>
      </w:r>
      <w:bookmarkEnd w:id="33"/>
    </w:p>
    <w:p w:rsidR="0078310B" w:rsidRDefault="0078310B" w:rsidP="0078310B">
      <w:pPr>
        <w:widowControl w:val="0"/>
        <w:spacing w:after="120"/>
        <w:jc w:val="both"/>
      </w:pPr>
    </w:p>
    <w:p w:rsidR="0078310B" w:rsidRDefault="0078310B" w:rsidP="0078310B">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(the Personal and Dependent Exemption Deduction, the Standard Deduction, the Child Tax Credit, and the Earned Income Tax Credit, to name a few).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xml:space="preserve">, protecting additions to savings from taxation? This chapter describes several methods that would accomplish that goal. </w:t>
      </w:r>
    </w:p>
    <w:p w:rsidR="0078310B" w:rsidRDefault="0078310B" w:rsidP="0078310B">
      <w:pPr>
        <w:widowControl w:val="0"/>
        <w:spacing w:after="120"/>
        <w:ind w:firstLine="288"/>
        <w:jc w:val="both"/>
      </w:pPr>
      <w:r>
        <w:t xml:space="preserve">We shall </w:t>
      </w:r>
      <w:r w:rsidRPr="00CB40F2">
        <w:t>investigate consumption taxes for three reasons.</w:t>
      </w:r>
    </w:p>
    <w:p w:rsidR="0078310B" w:rsidRDefault="0078310B" w:rsidP="0078310B">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60"/>
      </w:r>
      <w:r>
        <w:t xml:space="preserve"> Thus, </w:t>
      </w:r>
      <w:r w:rsidRPr="00CB40F2">
        <w:t>one goal of this chapter is to equip you with a basic understanding of how consumption taxes differ from income taxes and how the various forms of consumption taxation differ among themselves so that you can better digest these modern-day debates.</w:t>
      </w:r>
    </w:p>
    <w:p w:rsidR="0078310B" w:rsidRPr="00CB40F2" w:rsidRDefault="0078310B" w:rsidP="0078310B">
      <w:pPr>
        <w:pStyle w:val="BodyText"/>
        <w:widowControl w:val="0"/>
        <w:spacing w:after="120" w:line="240" w:lineRule="auto"/>
        <w:ind w:firstLine="288"/>
        <w:rPr>
          <w:sz w:val="24"/>
          <w:szCs w:val="24"/>
        </w:rPr>
      </w:pPr>
      <w:r w:rsidRPr="00CB40F2">
        <w:rPr>
          <w:sz w:val="24"/>
          <w:szCs w:val="24"/>
        </w:rPr>
        <w:t xml:space="preserve">A second—and far more important—reason to study the various forms of consumption taxation, however, is that the current Internal Revenue Code is actually best understood as a hybrid income/consumption </w:t>
      </w:r>
      <w:r w:rsidR="005A1221">
        <w:rPr>
          <w:sz w:val="24"/>
          <w:szCs w:val="24"/>
        </w:rPr>
        <w:t xml:space="preserve">tax. Some </w:t>
      </w:r>
      <w:r w:rsidRPr="00CB40F2">
        <w:rPr>
          <w:sz w:val="24"/>
          <w:szCs w:val="24"/>
        </w:rPr>
        <w:t>provis</w:t>
      </w:r>
      <w:r>
        <w:rPr>
          <w:sz w:val="24"/>
          <w:szCs w:val="24"/>
        </w:rPr>
        <w:t>ions in the Code</w:t>
      </w:r>
      <w:r w:rsidRPr="00CB40F2">
        <w:rPr>
          <w:sz w:val="24"/>
          <w:szCs w:val="24"/>
        </w:rPr>
        <w:t xml:space="preserve"> </w:t>
      </w:r>
      <w:r w:rsidR="005A1221">
        <w:rPr>
          <w:sz w:val="24"/>
          <w:szCs w:val="24"/>
        </w:rPr>
        <w:t xml:space="preserve">that </w:t>
      </w:r>
      <w:r w:rsidRPr="00CB40F2">
        <w:rPr>
          <w:sz w:val="24"/>
          <w:szCs w:val="24"/>
        </w:rPr>
        <w:t>are inconsistent with a</w:t>
      </w:r>
      <w:r>
        <w:rPr>
          <w:sz w:val="24"/>
          <w:szCs w:val="24"/>
        </w:rPr>
        <w:t>n</w:t>
      </w:r>
      <w:r w:rsidR="005A1221">
        <w:rPr>
          <w:sz w:val="24"/>
          <w:szCs w:val="24"/>
        </w:rPr>
        <w:t xml:space="preserve"> SHS income tax </w:t>
      </w:r>
      <w:r>
        <w:rPr>
          <w:sz w:val="24"/>
          <w:szCs w:val="24"/>
        </w:rPr>
        <w:t xml:space="preserve">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rsidR="0078310B" w:rsidRDefault="0078310B" w:rsidP="0078310B">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rsidR="0078310B" w:rsidRPr="000A0048" w:rsidRDefault="0078310B" w:rsidP="0078310B">
      <w:pPr>
        <w:pStyle w:val="BodyText"/>
        <w:widowControl w:val="0"/>
        <w:spacing w:line="240" w:lineRule="auto"/>
        <w:ind w:firstLine="288"/>
        <w:rPr>
          <w:sz w:val="24"/>
          <w:szCs w:val="24"/>
        </w:rPr>
      </w:pPr>
    </w:p>
    <w:p w:rsidR="0078310B" w:rsidRPr="003E3CD5" w:rsidRDefault="0078310B" w:rsidP="0078310B">
      <w:pPr>
        <w:pStyle w:val="Heading2"/>
        <w:spacing w:before="0"/>
        <w:rPr>
          <w:sz w:val="32"/>
          <w:szCs w:val="32"/>
          <w:u w:val="single"/>
        </w:rPr>
      </w:pPr>
      <w:bookmarkStart w:id="34" w:name="_Toc395790348"/>
      <w:r w:rsidRPr="003E3CD5">
        <w:rPr>
          <w:sz w:val="32"/>
          <w:szCs w:val="32"/>
          <w:u w:val="single"/>
        </w:rPr>
        <w:t>A. Consumption taxation forms and comparison to income taxation</w:t>
      </w:r>
      <w:bookmarkEnd w:id="34"/>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There are several </w:t>
      </w:r>
      <w:r w:rsidRPr="00CB40F2">
        <w:t>approaches. At first, we shall ignore debt by assuming that the taxpayer uses no borrowed money. Then we shall add</w:t>
      </w:r>
      <w:r>
        <w:t xml:space="preserve"> the additional wrinkle of debt in Part C.</w:t>
      </w:r>
    </w:p>
    <w:p w:rsidR="0078310B" w:rsidRPr="00184DAC" w:rsidRDefault="0078310B" w:rsidP="0078310B">
      <w:pPr>
        <w:pStyle w:val="Heading3"/>
        <w:spacing w:before="0" w:beforeAutospacing="0" w:after="120" w:afterAutospacing="0"/>
        <w:rPr>
          <w:i/>
        </w:rPr>
      </w:pPr>
      <w:bookmarkStart w:id="35" w:name="_Toc395790349"/>
      <w:r w:rsidRPr="00184DAC">
        <w:rPr>
          <w:i/>
        </w:rPr>
        <w:t>A retail sales tax</w:t>
      </w:r>
      <w:bookmarkEnd w:id="35"/>
    </w:p>
    <w:p w:rsidR="0078310B" w:rsidRPr="00E12D5B" w:rsidRDefault="0078310B" w:rsidP="0078310B">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consumption goods (and sometimes</w:t>
      </w:r>
      <w:r w:rsidRPr="00CB40F2">
        <w:t xml:space="preserve"> </w:t>
      </w:r>
      <w:r>
        <w:t xml:space="preserve">consumption </w:t>
      </w:r>
      <w:r w:rsidRPr="00CB40F2">
        <w:t>services</w:t>
      </w:r>
      <w:r>
        <w:t>)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birthday. Suppose further that the state in which Mary resides imposes a 5% RST on retail sales of consumption goods. When Mary reaches the store counter, the clerk informs her that she must pay a total of $105, which she pays. The receipt that she obtains shows that she paid $100 for the toy and $5 in tax. The store transfers $5 of Mary’s total $105 payment to the state as RST.</w:t>
      </w:r>
    </w:p>
    <w:p w:rsidR="0078310B" w:rsidRPr="00184DAC" w:rsidRDefault="0078310B" w:rsidP="0078310B">
      <w:pPr>
        <w:pStyle w:val="Heading3"/>
        <w:spacing w:before="0" w:beforeAutospacing="0" w:after="120" w:afterAutospacing="0"/>
        <w:rPr>
          <w:i/>
        </w:rPr>
      </w:pPr>
      <w:bookmarkStart w:id="36" w:name="_Toc395790350"/>
      <w:r w:rsidRPr="00184DAC">
        <w:rPr>
          <w:i/>
        </w:rPr>
        <w:t>A value added tax</w:t>
      </w:r>
      <w:bookmarkEnd w:id="36"/>
      <w:r w:rsidRPr="00184DAC">
        <w:rPr>
          <w:i/>
        </w:rPr>
        <w:t xml:space="preserve"> </w:t>
      </w:r>
    </w:p>
    <w:p w:rsidR="0078310B" w:rsidRPr="00CB40F2" w:rsidRDefault="0078310B" w:rsidP="0078310B">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business that is going to use it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thus 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Slemrod and Jon Bakija noted in 2003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61"/>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rsidR="0078310B" w:rsidRDefault="0078310B" w:rsidP="0078310B">
      <w:pPr>
        <w:pStyle w:val="BodyText"/>
        <w:widowControl w:val="0"/>
        <w:spacing w:after="120" w:line="240" w:lineRule="auto"/>
        <w:ind w:left="720" w:right="720"/>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turn, had paid to Lumberman. Thus, Toymaker remits only $2.00 to the state. Specialty Toy Shop sells the toy to Mary for $100 and must charge a $5.00 VAT ($100 x .05) on the sale to Mary, collecting $105. Before Specialty Toy Shop remits the VAT that it collected from Mary to the state, Specialty Toy Shop properly deducts the $2.50 VAT that it, in turn, had paid to Toymaker. Thus, Specialty Toy Shop remits only $2.50 to the state. In total, the state collects $5.00 ($.50 from Lumberman, $2.00 from Toymaker, and $2.50 from Specialty Toy Shop). As with RSTs, economists conclude that the “economic incidence” (described in Chapter 3) of VATS falls entirely on the end consumer, Mary. </w:t>
      </w:r>
    </w:p>
    <w:p w:rsidR="0078310B" w:rsidRDefault="0078310B" w:rsidP="0078310B">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(annul taxes calculated on a person-by-person basis 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Moreover, consumption services (as opposed to consumption goods) are often not taxed by many states, and consumption services are more often purchased by wealthier households than low-income households. </w:t>
      </w:r>
    </w:p>
    <w:p w:rsidR="0078310B" w:rsidRPr="00FE44F2" w:rsidRDefault="0078310B" w:rsidP="0078310B">
      <w:pPr>
        <w:widowControl w:val="0"/>
        <w:spacing w:after="120"/>
        <w:ind w:firstLine="288"/>
        <w:jc w:val="both"/>
      </w:pPr>
      <w:r>
        <w:t>Some have proposed an RST on all consumption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62"/>
      </w:r>
      <w:r>
        <w:t xml:space="preserve"> As introduced in Congress in 1999 and every congressional session since then, it would repeal the income tax, the payroll taxes (which fund Social Security and Medicare), and the gift and estate taxes and, instead, impose an RST on every consu</w:t>
      </w:r>
      <w:r w:rsidRPr="00C5008D">
        <w:t>mer purchase of goods and se</w:t>
      </w:r>
      <w:r>
        <w:t>rvices, with no exemptions.</w:t>
      </w:r>
      <w:r>
        <w:rPr>
          <w:rStyle w:val="FootnoteReference"/>
        </w:rPr>
        <w:footnoteReference w:id="63"/>
      </w:r>
      <w:r>
        <w:t xml:space="preserve"> All U.S. residents would receive monthly checks (the “prebate”) equal to the FairTax that would be owed on poverty-level expenditures. All consumption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w:t>
      </w:r>
      <w:r w:rsidR="00DE2B99">
        <w:t>es would be subject to the Fair</w:t>
      </w:r>
      <w:r>
        <w:t xml:space="preserve">Tax (as representing the purchase of police and fire protection, public school education, </w:t>
      </w:r>
      <w:r>
        <w:rPr>
          <w:i/>
        </w:rPr>
        <w:t>etc.</w:t>
      </w:r>
      <w:r>
        <w:t xml:space="preserve">) is unclear. </w:t>
      </w:r>
    </w:p>
    <w:p w:rsidR="0078310B" w:rsidRDefault="0078310B" w:rsidP="0078310B">
      <w:pPr>
        <w:widowControl w:val="0"/>
        <w:spacing w:after="120"/>
        <w:ind w:firstLine="288"/>
        <w:jc w:val="both"/>
      </w:pPr>
      <w:r>
        <w:t xml:space="preserve">The tax rate used in the FairTax bill is described as 23%, but that 23% rate 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Mary’s purchase of the $100 toy, above. We stipulated that the RST was 5% and that the she paid a total of $105 to the store clerk, who remitted $5 of that $105 to the state. That 5% rate is the “tax-exclusive rate.” The “tax-inclusive rate” is 4.8%, equal to the $5 that she owed in tax divided by the </w:t>
      </w:r>
      <w:r w:rsidRPr="00756EBE">
        <w:rPr>
          <w:i/>
        </w:rPr>
        <w:t>total $105 that she paid to the clerk, including the tax itself</w:t>
      </w:r>
      <w:r>
        <w:t xml:space="preserve"> (hence, the “t</w:t>
      </w:r>
      <w:r w:rsidR="00FF58EA">
        <w:t xml:space="preserve">ax inclusive” terminology). I described </w:t>
      </w:r>
      <w:r>
        <w:t xml:space="preserve">$5 RST that Mary paid in </w:t>
      </w:r>
      <w:r w:rsidR="00FF58EA">
        <w:t xml:space="preserve">our example above </w:t>
      </w:r>
      <w:r>
        <w:t>at the “tax-exclusive rate” of 5% rather than the “tax-inclusive rate” of 4.8% because that is the way that most U.S. residents experience RSTs at the state and local levels.</w:t>
      </w:r>
      <w:r>
        <w:rPr>
          <w:rStyle w:val="FootnoteReference"/>
        </w:rPr>
        <w:footnoteReference w:id="64"/>
      </w:r>
      <w:r>
        <w:t xml:space="preserve"> In short, Mary would pay a $30 FairTax on the $100 toy that she purchased, notwithstanding the advertised 23% FairTax rate. </w:t>
      </w:r>
    </w:p>
    <w:p w:rsidR="0078310B" w:rsidRPr="004617BD" w:rsidRDefault="0078310B" w:rsidP="0078310B">
      <w:pPr>
        <w:widowControl w:val="0"/>
        <w:spacing w:after="120"/>
        <w:ind w:firstLine="288"/>
        <w:jc w:val="both"/>
      </w:pPr>
      <w:r>
        <w:t xml:space="preserve">The FairTax drafters use the tax-inclusive rate in describing the RST because the U.S. income tax is, itself, described in tax-inclusive terms. Under </w:t>
      </w:r>
      <w:hyperlink r:id="rId93"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rsidR="0078310B" w:rsidRPr="003053F0" w:rsidRDefault="0078310B" w:rsidP="0078310B">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revenue neutrality. Moreover, almost everyone agrees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65"/>
      </w:r>
      <w:r>
        <w:t xml:space="preserve"> </w:t>
      </w:r>
    </w:p>
    <w:p w:rsidR="0078310B" w:rsidRDefault="0078310B" w:rsidP="0078310B">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w:t>
      </w:r>
      <w:r w:rsidRPr="00F43C8B">
        <w:t xml:space="preserve"> rates.</w:t>
      </w:r>
    </w:p>
    <w:p w:rsidR="0078310B" w:rsidRPr="00184DAC" w:rsidRDefault="0078310B" w:rsidP="0078310B">
      <w:pPr>
        <w:pStyle w:val="Heading3"/>
        <w:spacing w:before="0" w:beforeAutospacing="0" w:after="120" w:afterAutospacing="0"/>
        <w:rPr>
          <w:i/>
        </w:rPr>
      </w:pPr>
      <w:bookmarkStart w:id="37" w:name="_Toc395790351"/>
      <w:r w:rsidRPr="00184DAC">
        <w:rPr>
          <w:i/>
        </w:rPr>
        <w:t>A cash-flow consumption tax</w:t>
      </w:r>
      <w:bookmarkEnd w:id="37"/>
    </w:p>
    <w:p w:rsidR="0078310B" w:rsidRDefault="0078310B" w:rsidP="0078310B">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rsidR="0078310B" w:rsidRPr="00C7413F" w:rsidRDefault="0078310B" w:rsidP="0078310B">
      <w:pPr>
        <w:pStyle w:val="BodyTextIndent"/>
        <w:widowControl w:val="0"/>
        <w:ind w:left="0" w:firstLine="288"/>
        <w:jc w:val="both"/>
      </w:pPr>
      <w:r>
        <w:t xml:space="preserve">We have seen that an SHS income tax reaches not only personal consumption 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Thus, if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rsidR="0078310B" w:rsidRDefault="0078310B" w:rsidP="0078310B">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even receipts that would not constitute “income” under an income tax</w:t>
      </w:r>
      <w:r>
        <w:t>, such as basis recovery. Thus,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rsidR="0078310B" w:rsidRDefault="0078310B" w:rsidP="0078310B">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Thus, Hallie’s purchase of stock for $5,000 and John’s purchase of his dental chair for $10,000 both would be immediately deducted in the purchase year under a cash-flow consumption tax because those outlays do not purchase personal consumption but rather represents an addition to savings. There is no concept of “basis” (generally representing undeducted, previously taxed dollars) in a cash-flow consumption tax on the purchase of business or investment assets because those outlays would be immediately deducted in the purchase year. Thus, we would generally need no mechanism to keep track of previously taxed dollars, as we do under an SHS income tax, for business and investment assets.</w:t>
      </w:r>
      <w:r>
        <w:rPr>
          <w:rStyle w:val="FootnoteReference"/>
        </w:rPr>
        <w:footnoteReference w:id="66"/>
      </w:r>
      <w:r>
        <w:t xml:space="preserve">  </w:t>
      </w:r>
    </w:p>
    <w:p w:rsidR="0078310B" w:rsidRDefault="0078310B" w:rsidP="0078310B">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 xml:space="preserve">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Thus, the net increase in your savings and checking accounts would presumably be reported at the end of each year to the government to aid enforcement efforts in confirming the taxpayer’s proper deduction for these increases to savings. </w:t>
      </w:r>
    </w:p>
    <w:p w:rsidR="0078310B" w:rsidRDefault="0078310B" w:rsidP="0078310B">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rsidR="0078310B" w:rsidRDefault="0078310B" w:rsidP="0078310B">
      <w:pPr>
        <w:pStyle w:val="BodyTextIndent"/>
        <w:widowControl w:val="0"/>
        <w:ind w:left="720" w:right="720"/>
        <w:jc w:val="both"/>
      </w:pPr>
      <w:r>
        <w:rPr>
          <w:b/>
          <w:u w:val="single"/>
        </w:rPr>
        <w:t>Example</w:t>
      </w:r>
      <w:r w:rsidRPr="00C64DD6">
        <w:rPr>
          <w:b/>
        </w:rPr>
        <w:t>:</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rsidR="0078310B" w:rsidRPr="009E6BD5" w:rsidRDefault="0078310B" w:rsidP="0078310B">
      <w:pPr>
        <w:pStyle w:val="BodyTextIndent"/>
        <w:widowControl w:val="0"/>
        <w:ind w:left="720" w:right="720"/>
        <w:jc w:val="both"/>
      </w:pPr>
      <w:r>
        <w:t xml:space="preserve">John must include on his cash-flow consumption tax return the $500,000 received from patients, as well as the entire $15,000 received on the sale of his </w:t>
      </w:r>
      <w:r>
        <w:rPr>
          <w:i/>
        </w:rPr>
        <w:t xml:space="preserve">ABC </w:t>
      </w:r>
      <w:r>
        <w:t xml:space="preserve">stock (not merely what would be the $8,000 “gain” that he would include under an income tax).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rsidR="0078310B" w:rsidRDefault="0078310B" w:rsidP="0078310B">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consumption spending. You can now better appreciate why the capitalization principle is the defining difference between an income tax and this form of consumption taxation. </w:t>
      </w:r>
    </w:p>
    <w:p w:rsidR="0078310B" w:rsidRPr="00184DAC" w:rsidRDefault="0078310B" w:rsidP="0078310B">
      <w:pPr>
        <w:pStyle w:val="Heading3"/>
        <w:spacing w:before="0" w:beforeAutospacing="0" w:after="120" w:afterAutospacing="0"/>
        <w:rPr>
          <w:i/>
        </w:rPr>
      </w:pPr>
      <w:bookmarkStart w:id="38" w:name="_Toc395790352"/>
      <w:r w:rsidRPr="00184DAC">
        <w:rPr>
          <w:i/>
        </w:rPr>
        <w:t>Exempting capital returns from tax: the wage tax and the E. Cary Brown yield-exemption phenomenon</w:t>
      </w:r>
      <w:bookmarkEnd w:id="38"/>
    </w:p>
    <w:p w:rsidR="0078310B" w:rsidRDefault="0078310B" w:rsidP="0078310B">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 at the same time, 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exempt from tax, we must deny all deductions in order to honor fundamental precept (2) that a taxpayer not enjoy a double tax benefit for the same dollars</w:t>
      </w:r>
      <w:r>
        <w:t xml:space="preserve">. No deductions are necessary to reduce the gross return to a net profit if the gross return is not included in the tax base in the first place. </w:t>
      </w:r>
    </w:p>
    <w:p w:rsidR="0078310B" w:rsidRDefault="0078310B" w:rsidP="0078310B">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rsidR="0078310B" w:rsidRDefault="0078310B" w:rsidP="0078310B">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67"/>
      </w:r>
      <w:r>
        <w:t xml:space="preserve"> It was also part of Congressman Paul Ryan’s tax-reform plan that he introduced as part of the 2012 Budget, which was approved by the House of Representatives but not by the Senate.</w:t>
      </w:r>
      <w:r>
        <w:rPr>
          <w:rStyle w:val="FootnoteReference"/>
        </w:rPr>
        <w:footnoteReference w:id="68"/>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69"/>
      </w:r>
      <w:r>
        <w:t xml:space="preserve"> </w:t>
      </w:r>
      <w:r w:rsidRPr="00734D11">
        <w:t xml:space="preserve">an influential economist in the 1950s, the end result of </w:t>
      </w:r>
      <w:r w:rsidRPr="00734D11">
        <w:rPr>
          <w:b/>
        </w:rPr>
        <w:t>taxing only labor income and exempting the “yield”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This equivalence will hold, however, only if (1) tax rates do not change over time and (2) the investments that are taxed under a cash-flow consumption tax, on the one hand, or a wage tax, on the other, produce only the expected market return (the “normal” return) and not an extraordinary (or “supranormal”) return, unforeseen by the market (and thus not affecting the original purchase price of the investment).</w:t>
      </w:r>
    </w:p>
    <w:p w:rsidR="0078310B" w:rsidRDefault="0078310B" w:rsidP="0078310B">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not owed on the capital return under the wage tax and implicitly not owed on the same return under the cash-flow consumption tax. Let’s compare the results of all three kinds of taxes under a common fact pattern to see why these statements are true. </w:t>
      </w:r>
    </w:p>
    <w:p w:rsidR="0078310B" w:rsidRDefault="0078310B" w:rsidP="0078310B">
      <w:pPr>
        <w:widowControl w:val="0"/>
        <w:ind w:left="720" w:right="720"/>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actually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rsidR="0078310B" w:rsidRPr="001C3606" w:rsidRDefault="0078310B" w:rsidP="0078310B">
      <w:pPr>
        <w:widowControl w:val="0"/>
        <w:ind w:left="720" w:right="720"/>
        <w:jc w:val="both"/>
      </w:pPr>
    </w:p>
    <w:p w:rsidR="0078310B" w:rsidRDefault="0078310B" w:rsidP="0078310B">
      <w:pPr>
        <w:widowControl w:val="0"/>
        <w:autoSpaceDE w:val="0"/>
        <w:autoSpaceDN w:val="0"/>
        <w:adjustRightInd w:val="0"/>
        <w:spacing w:after="120"/>
        <w:jc w:val="center"/>
      </w:pPr>
      <w:r>
        <w:rPr>
          <w:b/>
          <w:u w:val="single"/>
        </w:rPr>
        <w:t>Income Tax</w:t>
      </w:r>
    </w:p>
    <w:p w:rsidR="0078310B" w:rsidRDefault="00D3584B" w:rsidP="0078310B">
      <w:pPr>
        <w:widowControl w:val="0"/>
        <w:autoSpaceDE w:val="0"/>
        <w:autoSpaceDN w:val="0"/>
        <w:adjustRightInd w:val="0"/>
        <w:spacing w:after="120"/>
        <w:ind w:firstLine="288"/>
        <w:jc w:val="both"/>
      </w:pPr>
      <w:r>
        <w:t xml:space="preserve">Here is a nice review of the rules that you learned in Chapter 1, Part A. </w:t>
      </w:r>
      <w:r w:rsidR="0078310B">
        <w:t xml:space="preserve">The $100,000 in wages is includable in Gross Income under § 61(a)(1), and George has no deductions. Thus,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sidR="0078310B">
        <w:rPr>
          <w:i/>
        </w:rPr>
        <w:t>less</w:t>
      </w:r>
      <w:r w:rsidR="0078310B">
        <w:t xml:space="preserve"> $80,000 A/B), which is also subject to the 20% tax, generating an additional $800 tax ($4,000 x .20). Thus, after paying this additional tax, </w:t>
      </w:r>
      <w:r w:rsidR="0078310B" w:rsidRPr="00D061DC">
        <w:rPr>
          <w:b/>
        </w:rPr>
        <w:t>George has $83,200 after-tax cash</w:t>
      </w:r>
      <w:r w:rsidR="0078310B">
        <w:t xml:space="preserve"> left ($84,000 sales proceeds </w:t>
      </w:r>
      <w:r w:rsidR="0078310B">
        <w:rPr>
          <w:i/>
        </w:rPr>
        <w:t>less</w:t>
      </w:r>
      <w:r w:rsidR="0078310B">
        <w:t xml:space="preserve"> $800 tax owed on the gain), which he spends on personal consumption. </w:t>
      </w:r>
    </w:p>
    <w:p w:rsidR="0078310B" w:rsidRDefault="0078310B" w:rsidP="0078310B">
      <w:pPr>
        <w:widowControl w:val="0"/>
        <w:autoSpaceDE w:val="0"/>
        <w:autoSpaceDN w:val="0"/>
        <w:adjustRightInd w:val="0"/>
        <w:ind w:firstLine="288"/>
        <w:jc w:val="both"/>
      </w:pPr>
      <w:r w:rsidRPr="00396E62">
        <w:rPr>
          <w:b/>
          <w:i/>
        </w:rPr>
        <w:t>Notice that, for an investment to be taxed under income tax principles, both (1) the investment m</w:t>
      </w:r>
      <w:r>
        <w:rPr>
          <w:b/>
          <w:i/>
        </w:rPr>
        <w:t>ust be made with undeducted (after</w:t>
      </w:r>
      <w:r w:rsidRPr="00396E62">
        <w:rPr>
          <w:b/>
          <w:i/>
        </w:rPr>
        <w:t xml:space="preserve">-tax) dollars (George was prohibited from deducting the $80,000 capital expenditure in purchasing the stock) and (2) the capital return (whether gain, interest, rents, royalties, etc.) must be included in the tax base (the $4,000 investment return in the form of § 1001 </w:t>
      </w:r>
      <w:r>
        <w:rPr>
          <w:b/>
          <w:i/>
        </w:rPr>
        <w:t>gain was included</w:t>
      </w:r>
      <w:r w:rsidRPr="00396E62">
        <w:rPr>
          <w:b/>
          <w:i/>
        </w:rPr>
        <w:t>).</w:t>
      </w:r>
    </w:p>
    <w:p w:rsidR="0078310B" w:rsidRPr="001C3606" w:rsidRDefault="0078310B" w:rsidP="0078310B">
      <w:pPr>
        <w:widowControl w:val="0"/>
        <w:autoSpaceDE w:val="0"/>
        <w:autoSpaceDN w:val="0"/>
        <w:adjustRightInd w:val="0"/>
        <w:ind w:firstLine="288"/>
        <w:jc w:val="both"/>
      </w:pPr>
    </w:p>
    <w:p w:rsidR="0078310B" w:rsidRPr="00523000" w:rsidRDefault="0078310B" w:rsidP="0078310B">
      <w:pPr>
        <w:widowControl w:val="0"/>
        <w:autoSpaceDE w:val="0"/>
        <w:autoSpaceDN w:val="0"/>
        <w:adjustRightInd w:val="0"/>
        <w:spacing w:after="120"/>
        <w:jc w:val="center"/>
      </w:pPr>
      <w:r>
        <w:rPr>
          <w:b/>
          <w:u w:val="single"/>
        </w:rPr>
        <w:t>Cash-Flow Consumption Tax</w:t>
      </w:r>
    </w:p>
    <w:p w:rsidR="0078310B" w:rsidRDefault="0078310B" w:rsidP="0078310B">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not be taxed at this time by investing the entire $100,000 and thereby generating a $100,000 offsetting deduction against his wages equal to the $100,000 non-consumption outlay. Thus,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However,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Thus, </w:t>
      </w:r>
      <w:r w:rsidRPr="00D061DC">
        <w:rPr>
          <w:b/>
        </w:rPr>
        <w:t>George has $84,000 after-tax cash</w:t>
      </w:r>
      <w:r>
        <w:t xml:space="preserve"> left ($800 more than he had under an income tax), which he spends on personal consumption</w:t>
      </w:r>
    </w:p>
    <w:p w:rsidR="0078310B" w:rsidRDefault="0078310B" w:rsidP="0078310B">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Note, however, that this return was earned on deducted (pre-tax) dollars (George was permitted to deduct his $100,000 stock purchase</w:t>
      </w:r>
      <w:r w:rsidR="00E22436">
        <w:t xml:space="preserve"> when he made the initial investment</w:t>
      </w:r>
      <w:r>
        <w:t xml:space="preserve">), and the outcome was more favorable than under an income tax. </w:t>
      </w:r>
    </w:p>
    <w:p w:rsidR="0078310B" w:rsidRPr="008F31E1" w:rsidRDefault="0078310B" w:rsidP="0078310B">
      <w:pPr>
        <w:widowControl w:val="0"/>
        <w:autoSpaceDE w:val="0"/>
        <w:autoSpaceDN w:val="0"/>
        <w:adjustRightInd w:val="0"/>
        <w:ind w:firstLine="288"/>
        <w:jc w:val="both"/>
      </w:pPr>
    </w:p>
    <w:p w:rsidR="0078310B" w:rsidRDefault="0078310B" w:rsidP="0078310B">
      <w:pPr>
        <w:widowControl w:val="0"/>
        <w:autoSpaceDE w:val="0"/>
        <w:autoSpaceDN w:val="0"/>
        <w:adjustRightInd w:val="0"/>
        <w:spacing w:after="120"/>
        <w:jc w:val="center"/>
      </w:pPr>
      <w:r>
        <w:rPr>
          <w:b/>
          <w:u w:val="single"/>
        </w:rPr>
        <w:t>Wage Tax</w:t>
      </w:r>
    </w:p>
    <w:p w:rsidR="0078310B" w:rsidRDefault="0078310B" w:rsidP="0078310B">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Thus, </w:t>
      </w:r>
      <w:r w:rsidRPr="00D061DC">
        <w:rPr>
          <w:b/>
        </w:rPr>
        <w:t>George has $84,000 after-tax cash</w:t>
      </w:r>
      <w:r>
        <w:t xml:space="preserve"> left (the same amount as under the cash-flow consumption tax), which he spends on personal consumption. </w:t>
      </w:r>
    </w:p>
    <w:p w:rsidR="0078310B" w:rsidRDefault="0078310B" w:rsidP="0078310B">
      <w:pPr>
        <w:widowControl w:val="0"/>
        <w:autoSpaceDE w:val="0"/>
        <w:autoSpaceDN w:val="0"/>
        <w:adjustRightInd w:val="0"/>
        <w:spacing w:after="120"/>
        <w:ind w:firstLine="288"/>
        <w:jc w:val="both"/>
      </w:pPr>
      <w:r>
        <w:t xml:space="preserve">Although George’s investment return is earned on after-tax dollars (as under an income tax), the investment return is expressly excludable from the tax base, and the outcome is more favorable than under an income tax. </w:t>
      </w:r>
    </w:p>
    <w:p w:rsidR="0078310B" w:rsidRPr="00D061DC" w:rsidRDefault="0078310B" w:rsidP="0078310B">
      <w:pPr>
        <w:widowControl w:val="0"/>
        <w:autoSpaceDE w:val="0"/>
        <w:autoSpaceDN w:val="0"/>
        <w:adjustRightInd w:val="0"/>
        <w:spacing w:after="120"/>
        <w:ind w:firstLine="288"/>
        <w:jc w:val="both"/>
      </w:pPr>
      <w:r>
        <w:t xml:space="preserve">Thus, when the smoke clears, George has $84,000 in after-tax cash left to spend on personal consumption under </w:t>
      </w:r>
      <w:r w:rsidRPr="00C077DF">
        <w:rPr>
          <w:i/>
        </w:rPr>
        <w:t>either</w:t>
      </w:r>
      <w:r>
        <w:t xml:space="preserve"> the cash-flow consumption tax </w:t>
      </w:r>
      <w:r w:rsidRPr="00C077DF">
        <w:rPr>
          <w:i/>
        </w:rPr>
        <w:t>or</w:t>
      </w:r>
      <w:r>
        <w:t xml:space="preserve"> the wage tax. Notice also that the $800 difference between this amount and the $83,200 that he has left in after-tax cash under the income tax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denies deduction of the initial investment (as under an income tax) but </w:t>
      </w:r>
      <w:r w:rsidRPr="006723EC">
        <w:rPr>
          <w:i/>
        </w:rPr>
        <w:t>explicitly excludes the capital return from the tax base.</w:t>
      </w:r>
    </w:p>
    <w:p w:rsidR="0078310B" w:rsidRDefault="0078310B" w:rsidP="0078310B">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 xml:space="preserve">yield-exemption phenomenon, deducting the cost of an investment </w:t>
      </w:r>
      <w:r>
        <w:rPr>
          <w:b/>
          <w:i/>
        </w:rPr>
        <w:t xml:space="preserve">in the purchase year </w:t>
      </w:r>
      <w:r w:rsidRPr="00D061DC">
        <w:rPr>
          <w:b/>
          <w:i/>
        </w:rPr>
        <w:t xml:space="preserve">and including </w:t>
      </w:r>
      <w:r>
        <w:rPr>
          <w:b/>
          <w:i/>
        </w:rPr>
        <w:t xml:space="preserve">100% of the sale proceeds (both the original investment and the capital return) in the tax base </w:t>
      </w:r>
      <w:r w:rsidRPr="00D061DC">
        <w:rPr>
          <w:b/>
          <w:i/>
        </w:rPr>
        <w:t>(as under a cash-flow consumption tax) results in the same outcome as not deducting the cost of the investment but expr</w:t>
      </w:r>
      <w:r>
        <w:rPr>
          <w:b/>
          <w:i/>
        </w:rPr>
        <w:t xml:space="preserve">essly exempting the </w:t>
      </w:r>
      <w:r w:rsidRPr="00D061DC">
        <w:rPr>
          <w:b/>
          <w:i/>
        </w:rPr>
        <w:t xml:space="preserve">capital return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sidR="00BD600C">
        <w:rPr>
          <w:b/>
          <w:i/>
        </w:rPr>
        <w:t>able consumption tax treatment, not income tax treatment.</w:t>
      </w:r>
    </w:p>
    <w:p w:rsidR="0078310B" w:rsidRDefault="0078310B" w:rsidP="0078310B">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sidR="00AF57B8">
        <w:rPr>
          <w:b/>
        </w:rPr>
        <w:t xml:space="preserve">undeducted, </w:t>
      </w:r>
      <w:r w:rsidRPr="00F558F5">
        <w:rPr>
          <w:b/>
        </w:rPr>
        <w:t>after-tax dollars)</w:t>
      </w:r>
      <w:r>
        <w:t xml:space="preserve">. If an investment earns unanticipated market returns (which were not reflected in a higher purchase price when the investment was acquired because they were not anticipated), the unanticipated return (often called supranormal returns) would effectively be captured and taxed when spent on consumption under a cash-flow consumption tax but would escape taxation under a wage tax. </w:t>
      </w:r>
    </w:p>
    <w:p w:rsidR="0078310B" w:rsidRDefault="0078310B" w:rsidP="0078310B">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of any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When Brenda sells it for $100,000 and spends the entire amount on personal consumption, the increased consumption that she can purchase with her unanticipated return would effectively be taxed under a cash-flow consumption tax but would escape taxation under a wage tax. If the market had known about that oil when Brenda purchased it, she would have had to pay much more than $10,000 for the land, but that was not the case. </w:t>
      </w:r>
    </w:p>
    <w:p w:rsidR="0078310B" w:rsidRPr="00DF4B68" w:rsidRDefault="0078310B" w:rsidP="0078310B">
      <w:pPr>
        <w:widowControl w:val="0"/>
        <w:autoSpaceDE w:val="0"/>
        <w:autoSpaceDN w:val="0"/>
        <w:adjustRightInd w:val="0"/>
        <w:spacing w:after="120"/>
        <w:ind w:left="720" w:right="720"/>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rsidR="0078310B" w:rsidRDefault="0078310B" w:rsidP="0078310B">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Brenda is taxed under a wage tax instead of a tax-flow consumption tax, the $100,000 in wages is taxed at the front end, generating a $20,000 tax, and the remaining $80,000 of after-tax dollars are invested. She anticipates only a 5% return (for a total future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Thus, </w:t>
      </w:r>
      <w:r>
        <w:rPr>
          <w:b/>
        </w:rPr>
        <w:t>Brenda pays $20,000 in tax (less than George) and enjoys $96</w:t>
      </w:r>
      <w:r w:rsidRPr="00D061DC">
        <w:rPr>
          <w:b/>
        </w:rPr>
        <w:t xml:space="preserve">,000 </w:t>
      </w:r>
      <w:r>
        <w:rPr>
          <w:b/>
        </w:rPr>
        <w:t>of personal consumption (more than George) from her original $100,000 in wages. She owes no additional tax on her extra consumption.</w:t>
      </w:r>
    </w:p>
    <w:p w:rsidR="0078310B" w:rsidRDefault="0078310B" w:rsidP="0078310B">
      <w:pPr>
        <w:widowControl w:val="0"/>
        <w:autoSpaceDE w:val="0"/>
        <w:autoSpaceDN w:val="0"/>
        <w:adjustRightInd w:val="0"/>
        <w:ind w:firstLine="288"/>
        <w:jc w:val="both"/>
      </w:pPr>
      <w:r>
        <w:t xml:space="preserve">For this reason (and as more fully explored in the next chapter), a cash-flow consumption tax is considered to allocate the tax burden (on consumption) more fairly than does a wage tax that exempts capital returns because only the former ensures that two taxpayers enjoying the same amount of consumption will pay the same tax. </w:t>
      </w:r>
    </w:p>
    <w:p w:rsidR="0078310B" w:rsidRPr="00F97C1C" w:rsidRDefault="0078310B" w:rsidP="0078310B">
      <w:pPr>
        <w:widowControl w:val="0"/>
        <w:autoSpaceDE w:val="0"/>
        <w:autoSpaceDN w:val="0"/>
        <w:adjustRightInd w:val="0"/>
        <w:ind w:firstLine="288"/>
        <w:jc w:val="both"/>
      </w:pPr>
    </w:p>
    <w:p w:rsidR="0078310B" w:rsidRPr="000A0048" w:rsidRDefault="0078310B" w:rsidP="0078310B">
      <w:pPr>
        <w:pStyle w:val="Heading2"/>
        <w:spacing w:before="0"/>
        <w:rPr>
          <w:sz w:val="32"/>
          <w:szCs w:val="32"/>
          <w:u w:val="single"/>
        </w:rPr>
      </w:pPr>
      <w:bookmarkStart w:id="39" w:name="_Toc395790353"/>
      <w:r w:rsidRPr="000A0048">
        <w:rPr>
          <w:sz w:val="32"/>
          <w:szCs w:val="32"/>
          <w:u w:val="single"/>
        </w:rPr>
        <w:t>B. Consumption tax provisions in the Internal Revenue Code</w:t>
      </w:r>
      <w:bookmarkEnd w:id="39"/>
    </w:p>
    <w:p w:rsidR="0078310B" w:rsidRDefault="0078310B" w:rsidP="0078310B">
      <w:pPr>
        <w:pStyle w:val="BodyTextIndent"/>
        <w:widowControl w:val="0"/>
        <w:spacing w:after="0"/>
        <w:ind w:left="0" w:firstLine="288"/>
        <w:jc w:val="both"/>
      </w:pPr>
    </w:p>
    <w:p w:rsidR="0078310B" w:rsidRDefault="0078310B" w:rsidP="0078310B">
      <w:pPr>
        <w:pStyle w:val="BodyTextIndent"/>
        <w:widowControl w:val="0"/>
        <w:ind w:left="0" w:firstLine="288"/>
        <w:jc w:val="both"/>
      </w:pPr>
      <w:r>
        <w:t xml:space="preserve">Although we generally refer to the Internal Revenue Code as imposing an “income tax,” numerous consumption tax provisions are embedded within it. 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 In either case, the returns from capital are either explicitly (wage tax model) or implicitly (cash-flow consumption tax model to the extent of the normal return) free from tax. Here are just a few of them. </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includable in the employee’s Gross Income under § 61(a)(1) but rather is excludable from Gross Income. Thus, these IRA, qualified pension plan, and § 401(k) accounts are funded with </w:t>
      </w:r>
      <w:r w:rsidRPr="00C44524">
        <w:rPr>
          <w:i/>
        </w:rPr>
        <w:t>pre-tax dollars</w:t>
      </w:r>
      <w:r>
        <w:t xml:space="preserve"> (instead of after-tax dollars). Moreover, the investment return earned in these accounts is not currently taxed as it accrues, so the taxpayer has no “basis” in the account because no dollars in the account have yet been taxed. Withdrawals from these accounts are therefore fully includable at the back end, as under a cash-flow consumption tax. </w:t>
      </w:r>
    </w:p>
    <w:p w:rsidR="0078310B" w:rsidRDefault="007C377F"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Instead of cash-flow consumption tax treatment, s</w:t>
      </w:r>
      <w:r w:rsidR="0078310B">
        <w:t xml:space="preserve">o-called Roth IRAs under § 408A provide wage tax treatment. Contributions to the account are </w:t>
      </w:r>
      <w:r w:rsidR="0078310B" w:rsidRPr="006265D5">
        <w:rPr>
          <w:i/>
        </w:rPr>
        <w:t>not</w:t>
      </w:r>
      <w:r w:rsidR="0078310B">
        <w:t xml:space="preserve"> deductible (or excludable, if paid by an employer on an employee’s behalf), unlike with a traditional IRA, qualified p</w:t>
      </w:r>
      <w:r>
        <w:t>ension plan, or § 401(k) plan, so t</w:t>
      </w:r>
      <w:r w:rsidR="0078310B">
        <w:t xml:space="preserve">hese investments are made with after-tax dollars, as under an SHS income tax. The entire investment return, however, is excludable from Gross Income when withdrawn from investment, as under the wage tax variety of consumption taxation (and unlike under an SHS income tax). </w:t>
      </w:r>
    </w:p>
    <w:p w:rsidR="0078310B" w:rsidRPr="0090567E"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14.</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14,</w:t>
      </w:r>
      <w:r w:rsidRPr="0090567E">
        <w:t xml:space="preserve"> as though they were “expenses” ra</w:t>
      </w:r>
      <w:r>
        <w:t>ther than “capital expenditures.</w:t>
      </w:r>
      <w:r w:rsidRPr="0090567E">
        <w:t>”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Under its authority, taxpayers can generally exclude up to $250,000 of realized § 1001 gain ($500,000 in the case of a married couple filing jointly) on the sale of a principal residence. We shall study § 121 in Chapter 18. </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market-to-market system avoids this consumption tax component of current law. </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even §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13 are §§ 1033 and 1031. Those who go on to study corporate and partnership taxation will study many more. </w:t>
      </w:r>
    </w:p>
    <w:p w:rsidR="0078310B" w:rsidRPr="00D10F4E"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applied to “net capital gain,” if realized during life, 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super special under current law!</w:t>
      </w:r>
    </w:p>
    <w:p w:rsidR="0078310B" w:rsidRDefault="0078310B" w:rsidP="0078310B">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rsidR="0078310B" w:rsidRPr="000A0048" w:rsidRDefault="0078310B" w:rsidP="0078310B">
      <w:pPr>
        <w:pStyle w:val="Heading2"/>
        <w:spacing w:before="0"/>
        <w:rPr>
          <w:sz w:val="32"/>
          <w:szCs w:val="32"/>
          <w:u w:val="single"/>
        </w:rPr>
      </w:pPr>
      <w:bookmarkStart w:id="40" w:name="_Toc395790354"/>
      <w:r w:rsidRPr="000A0048">
        <w:rPr>
          <w:sz w:val="32"/>
          <w:szCs w:val="32"/>
          <w:u w:val="single"/>
        </w:rPr>
        <w:t>C. The additional wrinkle of debt</w:t>
      </w:r>
      <w:bookmarkEnd w:id="40"/>
    </w:p>
    <w:p w:rsidR="0078310B" w:rsidRDefault="0078310B" w:rsidP="0078310B">
      <w:pPr>
        <w:pStyle w:val="BodyTextIndent"/>
        <w:widowControl w:val="0"/>
        <w:spacing w:after="0"/>
        <w:ind w:left="0"/>
        <w:jc w:val="both"/>
      </w:pPr>
    </w:p>
    <w:p w:rsidR="0078310B" w:rsidRDefault="0078310B" w:rsidP="0078310B">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rsidR="0078310B" w:rsidRDefault="0078310B" w:rsidP="0078310B">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to use an apartment owned by a landlord). In Year 10, Lori transfers $10,000 to National Bank. What are Lori’s tax consequences (the borrower) under an SHS income tax? </w:t>
      </w:r>
    </w:p>
    <w:p w:rsidR="0078310B" w:rsidRDefault="0078310B" w:rsidP="0078310B">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also simultaneously increase her liability side by that same $10,000. Thus her “net worth” or “wealth” (the value of her assets </w:t>
      </w:r>
      <w:r>
        <w:rPr>
          <w:i/>
        </w:rPr>
        <w:t>less</w:t>
      </w:r>
      <w:r>
        <w:t xml:space="preserve"> her outstanding indebtedness) does not increase by reason of the cash receipt.</w:t>
      </w:r>
      <w:r w:rsidRPr="00735692">
        <w:t xml:space="preserve"> </w:t>
      </w:r>
    </w:p>
    <w:p w:rsidR="0078310B" w:rsidRDefault="0078310B" w:rsidP="0078310B">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 xml:space="preserve">liability from her balance sheet. Thus, her net worth </w:t>
      </w:r>
      <w:r>
        <w:t xml:space="preserve">or wealth </w:t>
      </w:r>
      <w:r w:rsidRPr="00852DE3">
        <w:t xml:space="preserve">(assets </w:t>
      </w:r>
      <w:r w:rsidRPr="00852DE3">
        <w:rPr>
          <w:i/>
        </w:rPr>
        <w:t>less</w:t>
      </w:r>
      <w:r w:rsidRPr="00852DE3">
        <w:t xml:space="preserve"> liabilitie</w:t>
      </w:r>
      <w:r>
        <w:t>s) again remains unchanged. Lori</w:t>
      </w:r>
      <w:r w:rsidRPr="00852DE3">
        <w:t xml:space="preserve"> is not less wealthy for having repaid this $10,000 obligation, so she is entitled to no deduction. </w:t>
      </w:r>
    </w:p>
    <w:p w:rsidR="0078310B" w:rsidRDefault="0078310B" w:rsidP="0078310B">
      <w:pPr>
        <w:pStyle w:val="BodyTextIndent"/>
        <w:widowControl w:val="0"/>
        <w:ind w:left="0" w:firstLine="288"/>
        <w:jc w:val="both"/>
      </w:pPr>
      <w:r>
        <w:t xml:space="preserve">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would authorize Lori’s deduction, and no other subsection of § 163 (or any other Code section) would take away Lori’s otherwise allowable interest deduction. Thus, she is entitled to deduct her interest expense. </w:t>
      </w:r>
    </w:p>
    <w:p w:rsidR="0078310B" w:rsidRDefault="0078310B" w:rsidP="0078310B">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rsidR="0078310B" w:rsidRDefault="0078310B" w:rsidP="0078310B">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finance this $10,000 purchase price entirely wit</w:t>
      </w:r>
      <w:r>
        <w:t>h borrowed money (whether from the</w:t>
      </w:r>
      <w:r w:rsidRPr="006567AC">
        <w:t xml:space="preserve"> dealer or a bank). Whether you purchase the car entirely </w:t>
      </w:r>
      <w:r w:rsidR="00C47AED">
        <w:t xml:space="preserve">from past savings or </w:t>
      </w:r>
      <w:r w:rsidRPr="006567AC">
        <w:t>borrowed money makes no difference</w:t>
      </w:r>
      <w:r>
        <w:t xml:space="preserve"> to your RST liability</w:t>
      </w:r>
      <w:r w:rsidRPr="006567AC">
        <w:t xml:space="preserve">; you will owe $500 in RST upon the purchase of the personal-use car. Thus, borrowed money that is used to purchase personal consumption </w:t>
      </w:r>
      <w:r w:rsidRPr="006567AC">
        <w:rPr>
          <w:i/>
        </w:rPr>
        <w:t>is</w:t>
      </w:r>
      <w:r w:rsidRPr="006567AC">
        <w:t xml:space="preserve"> </w:t>
      </w:r>
      <w:r>
        <w:t xml:space="preserve">implicitly </w:t>
      </w:r>
      <w:r w:rsidRPr="006567AC">
        <w:t>taxed under an RST</w:t>
      </w:r>
      <w:r>
        <w:t>.</w:t>
      </w:r>
    </w:p>
    <w:p w:rsidR="0078310B" w:rsidRPr="008B6875" w:rsidRDefault="0078310B" w:rsidP="0078310B">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Thus</w:t>
      </w:r>
      <w:r w:rsidRPr="008832C4">
        <w:t>,</w:t>
      </w:r>
      <w:r>
        <w:rPr>
          <w:b/>
        </w:rPr>
        <w:t xml:space="preserve"> </w:t>
      </w:r>
      <w:r w:rsidRPr="00FE2E7D">
        <w:rPr>
          <w:b/>
        </w:rPr>
        <w:t>borrowed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rsidR="0078310B" w:rsidRDefault="0078310B" w:rsidP="0078310B">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receipts are includable in the tax base of a cash-flow consumption tax because those cash receipts represent potential consumption, and this rule applies to the borrowed principal of a loan, as well. Recall, as well, that all non-consumption outlays can be deducted under a cash-flow consumption tax. Principal and interest repayments do not purchase personal consumption and thus are deductible under a cash-flow consumption tax, re</w:t>
      </w:r>
      <w:r>
        <w:t xml:space="preserve">gardless of how the borrowed money is used. Thus, on your $10,000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rsidR="0078310B" w:rsidRPr="00937F5C" w:rsidRDefault="0078310B" w:rsidP="0078310B">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Pr>
          <w:sz w:val="24"/>
          <w:szCs w:val="24"/>
        </w:rPr>
        <w:t xml:space="preserve"> (as under a wage tax). Thus,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 xml:space="preserve">the wage tax approach to debt could be used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rsidR="0078310B" w:rsidRPr="008B6875" w:rsidRDefault="0078310B" w:rsidP="0078310B">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rsidR="0078310B" w:rsidRDefault="0078310B" w:rsidP="0078310B">
      <w:pPr>
        <w:pStyle w:val="BodyText"/>
        <w:widowControl w:val="0"/>
        <w:numPr>
          <w:ilvl w:val="0"/>
          <w:numId w:val="29"/>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rsidR="0078310B" w:rsidRDefault="0078310B" w:rsidP="0078310B">
      <w:pPr>
        <w:pStyle w:val="BodyText"/>
        <w:widowControl w:val="0"/>
        <w:numPr>
          <w:ilvl w:val="0"/>
          <w:numId w:val="29"/>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rsidR="0078310B" w:rsidRDefault="0078310B" w:rsidP="0078310B">
      <w:pPr>
        <w:pStyle w:val="BodyText"/>
        <w:widowControl w:val="0"/>
        <w:numPr>
          <w:ilvl w:val="0"/>
          <w:numId w:val="29"/>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is deductible under an income tax if incurred in income-producing activities (business or in</w:t>
      </w:r>
      <w:r w:rsidR="005561D1">
        <w:rPr>
          <w:sz w:val="24"/>
          <w:szCs w:val="24"/>
        </w:rPr>
        <w:t>vestment)</w:t>
      </w:r>
      <w:r>
        <w:rPr>
          <w:sz w:val="24"/>
          <w:szCs w:val="24"/>
        </w:rPr>
        <w:t xml:space="preserve">. </w:t>
      </w:r>
    </w:p>
    <w:p w:rsidR="0078310B" w:rsidRPr="00EE2F99" w:rsidRDefault="0078310B" w:rsidP="0078310B">
      <w:pPr>
        <w:pStyle w:val="BodyText"/>
        <w:widowControl w:val="0"/>
        <w:spacing w:line="240" w:lineRule="auto"/>
        <w:ind w:firstLine="288"/>
        <w:rPr>
          <w:b/>
          <w:sz w:val="24"/>
          <w:szCs w:val="24"/>
        </w:rPr>
      </w:pPr>
    </w:p>
    <w:p w:rsidR="0078310B" w:rsidRDefault="0078310B" w:rsidP="0078310B">
      <w:pPr>
        <w:pStyle w:val="Heading2"/>
        <w:spacing w:before="0"/>
        <w:rPr>
          <w:sz w:val="32"/>
          <w:szCs w:val="32"/>
        </w:rPr>
      </w:pPr>
      <w:bookmarkStart w:id="41" w:name="_Toc395790355"/>
      <w:r w:rsidRPr="000A0048">
        <w:rPr>
          <w:sz w:val="32"/>
          <w:szCs w:val="32"/>
        </w:rPr>
        <w:t xml:space="preserve">D. Tax arbitrage: the income tax treatment of debt coupled </w:t>
      </w:r>
    </w:p>
    <w:p w:rsidR="0078310B" w:rsidRPr="000A0048" w:rsidRDefault="0078310B" w:rsidP="0078310B">
      <w:pPr>
        <w:pStyle w:val="Heading2"/>
        <w:spacing w:before="0"/>
        <w:rPr>
          <w:sz w:val="32"/>
          <w:szCs w:val="32"/>
          <w:u w:val="single"/>
        </w:rPr>
      </w:pPr>
      <w:r w:rsidRPr="000A0048">
        <w:rPr>
          <w:sz w:val="32"/>
          <w:szCs w:val="32"/>
          <w:u w:val="single"/>
        </w:rPr>
        <w:t>with consumption tax treatment of the debt-financed investment</w:t>
      </w:r>
      <w:bookmarkEnd w:id="41"/>
    </w:p>
    <w:p w:rsidR="0078310B" w:rsidRDefault="0078310B" w:rsidP="0078310B">
      <w:pPr>
        <w:pStyle w:val="BodyText"/>
        <w:widowControl w:val="0"/>
        <w:spacing w:line="240" w:lineRule="auto"/>
        <w:rPr>
          <w:bCs/>
          <w:sz w:val="24"/>
          <w:szCs w:val="24"/>
        </w:rPr>
      </w:pPr>
    </w:p>
    <w:p w:rsidR="0078310B" w:rsidRPr="00AF403B" w:rsidRDefault="0078310B" w:rsidP="0078310B">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Pr>
          <w:b/>
          <w:bCs/>
          <w:sz w:val="24"/>
          <w:szCs w:val="24"/>
        </w:rPr>
        <w:t xml:space="preserve">(deductible interest) </w:t>
      </w:r>
      <w:r w:rsidRPr="00E42DAE">
        <w:rPr>
          <w:b/>
          <w:bCs/>
          <w:sz w:val="24"/>
          <w:szCs w:val="24"/>
        </w:rPr>
        <w:t>to an investment otherwise accorded more favorable consumption tax treatment</w:t>
      </w:r>
      <w:r>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consumption tax and </w:t>
      </w:r>
      <w:r w:rsidR="008A3ED7">
        <w:rPr>
          <w:bCs/>
          <w:sz w:val="24"/>
          <w:szCs w:val="24"/>
        </w:rPr>
        <w:t xml:space="preserve">thus </w:t>
      </w:r>
      <w:r w:rsidRPr="00AF403B">
        <w:rPr>
          <w:bCs/>
          <w:sz w:val="24"/>
          <w:szCs w:val="24"/>
        </w:rPr>
        <w:t>raises both fairness and economic efficiency concerns.</w:t>
      </w:r>
    </w:p>
    <w:p w:rsidR="0078310B" w:rsidRPr="00AF403B" w:rsidRDefault="0078310B" w:rsidP="0078310B">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14)</w:t>
      </w:r>
      <w:r w:rsidRPr="00AF403B">
        <w:rPr>
          <w:sz w:val="24"/>
          <w:szCs w:val="24"/>
        </w:rPr>
        <w:t xml:space="preserve">, </w:t>
      </w:r>
      <w:r>
        <w:rPr>
          <w:sz w:val="24"/>
          <w:szCs w:val="24"/>
        </w:rPr>
        <w:t>however, small businesses are</w:t>
      </w:r>
      <w:r w:rsidRPr="00AF403B">
        <w:rPr>
          <w:sz w:val="24"/>
          <w:szCs w:val="24"/>
        </w:rPr>
        <w:t xml:space="preserve"> permitted to treat this machine purchase as an immediately deductible business “expense,” as under a cash-flow consumption tax! Ta</w:t>
      </w:r>
      <w:r>
        <w:rPr>
          <w:sz w:val="24"/>
          <w:szCs w:val="24"/>
        </w:rPr>
        <w:t xml:space="preserve">ke a sneak preview of </w:t>
      </w:r>
      <w:hyperlink r:id="rId94" w:history="1">
        <w:r w:rsidRPr="000B5238">
          <w:rPr>
            <w:rStyle w:val="Hyperlink"/>
            <w:sz w:val="24"/>
            <w:szCs w:val="24"/>
          </w:rPr>
          <w:t>§ 179</w:t>
        </w:r>
      </w:hyperlink>
      <w:r>
        <w:rPr>
          <w:sz w:val="24"/>
          <w:szCs w:val="24"/>
        </w:rPr>
        <w:t xml:space="preserve">(a). Thus, 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95"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rsidR="0078310B" w:rsidRPr="00AF403B" w:rsidRDefault="0078310B" w:rsidP="0078310B">
      <w:pPr>
        <w:pStyle w:val="BodyText"/>
        <w:widowControl w:val="0"/>
        <w:spacing w:after="120" w:line="240" w:lineRule="auto"/>
        <w:ind w:firstLine="288"/>
        <w:rPr>
          <w:sz w:val="24"/>
          <w:szCs w:val="24"/>
        </w:rPr>
      </w:pPr>
      <w:r>
        <w:rPr>
          <w:bCs/>
          <w:sz w:val="24"/>
          <w:szCs w:val="24"/>
        </w:rPr>
        <w:t xml:space="preserve">Even big businesses that cannot take advantage of § 179 are permitted to depreciate assets much faster under §§ 167 and 168 than would be permitted under pure economic depreciation (more subtle “semi” consumption tax treatment), and a large majority of these assets are purchased with debt, the interest on which is </w:t>
      </w:r>
      <w:r w:rsidRPr="00AF403B">
        <w:rPr>
          <w:bCs/>
          <w:i/>
          <w:sz w:val="24"/>
          <w:szCs w:val="24"/>
        </w:rPr>
        <w:t>fully</w:t>
      </w:r>
      <w:r>
        <w:rPr>
          <w:bCs/>
          <w:sz w:val="24"/>
          <w:szCs w:val="24"/>
        </w:rPr>
        <w:t xml:space="preserve"> deductible. </w:t>
      </w:r>
      <w:r w:rsidRPr="00AF403B">
        <w:rPr>
          <w:bCs/>
          <w:sz w:val="24"/>
          <w:szCs w:val="24"/>
        </w:rPr>
        <w:t xml:space="preserve">The result is better than would occur under either </w:t>
      </w:r>
      <w:r w:rsidRPr="00AF403B">
        <w:rPr>
          <w:sz w:val="24"/>
          <w:szCs w:val="24"/>
        </w:rPr>
        <w:t xml:space="preserve">a pure SHS income tax or a pure cash-flow consumption tax: </w:t>
      </w:r>
      <w:r w:rsidRPr="00AF403B">
        <w:rPr>
          <w:i/>
          <w:sz w:val="24"/>
          <w:szCs w:val="24"/>
        </w:rPr>
        <w:t>better</w:t>
      </w:r>
      <w:r w:rsidRPr="00AF403B">
        <w:rPr>
          <w:sz w:val="24"/>
          <w:szCs w:val="24"/>
        </w:rPr>
        <w:t xml:space="preserve"> than consumption tax treatment.</w:t>
      </w:r>
    </w:p>
    <w:p w:rsidR="0071530E" w:rsidRDefault="0078310B" w:rsidP="0078310B">
      <w:pPr>
        <w:pStyle w:val="BodyText"/>
        <w:widowControl w:val="0"/>
        <w:spacing w:after="120" w:line="240" w:lineRule="auto"/>
        <w:ind w:firstLine="288"/>
        <w:rPr>
          <w:bCs/>
          <w:sz w:val="24"/>
          <w:szCs w:val="24"/>
        </w:rPr>
      </w:pPr>
      <w:r w:rsidRPr="00AF403B">
        <w:rPr>
          <w:bCs/>
          <w:sz w:val="24"/>
          <w:szCs w:val="24"/>
        </w:rPr>
        <w:t xml:space="preserve">Indeed, these tax arbitrage opportunities can cause taxpayers to use debt to purchase property when they otherwise would have used past tax savings—simply in order to obtain </w:t>
      </w:r>
      <w:r w:rsidRPr="00AF403B">
        <w:rPr>
          <w:bCs/>
          <w:i/>
          <w:sz w:val="24"/>
          <w:szCs w:val="24"/>
        </w:rPr>
        <w:t>better</w:t>
      </w:r>
      <w:r w:rsidRPr="00AF403B">
        <w:rPr>
          <w:bCs/>
          <w:sz w:val="24"/>
          <w:szCs w:val="24"/>
        </w:rPr>
        <w:t xml:space="preserve"> than consumption tax treatment—violating the neutrality economic norm that you will read about in the next chapter and causing the</w:t>
      </w:r>
      <w:r>
        <w:rPr>
          <w:bCs/>
          <w:sz w:val="24"/>
          <w:szCs w:val="24"/>
        </w:rPr>
        <w:t xml:space="preserve"> economy to be leveraged to an extent that otherwise would not occur in absence of these tax arbitrage opportunities. </w:t>
      </w:r>
    </w:p>
    <w:p w:rsidR="0078310B" w:rsidRPr="006D3A3D" w:rsidRDefault="0071530E" w:rsidP="0078310B">
      <w:pPr>
        <w:pStyle w:val="BodyText"/>
        <w:widowControl w:val="0"/>
        <w:spacing w:after="120" w:line="240" w:lineRule="auto"/>
        <w:ind w:firstLine="288"/>
        <w:rPr>
          <w:bCs/>
          <w:sz w:val="24"/>
          <w:szCs w:val="24"/>
        </w:rPr>
      </w:pPr>
      <w:r>
        <w:rPr>
          <w:bCs/>
          <w:sz w:val="24"/>
          <w:szCs w:val="24"/>
        </w:rPr>
        <w:t xml:space="preserve">For </w:t>
      </w:r>
      <w:r w:rsidR="004F1051">
        <w:rPr>
          <w:bCs/>
          <w:sz w:val="24"/>
          <w:szCs w:val="24"/>
        </w:rPr>
        <w:t xml:space="preserve">a timely </w:t>
      </w:r>
      <w:r>
        <w:rPr>
          <w:bCs/>
          <w:sz w:val="24"/>
          <w:szCs w:val="24"/>
        </w:rPr>
        <w:t xml:space="preserve">example, please read: </w:t>
      </w:r>
      <w:hyperlink r:id="rId96" w:history="1">
        <w:r w:rsidRPr="000A3AF3">
          <w:rPr>
            <w:rStyle w:val="Hyperlink"/>
            <w:bCs/>
            <w:sz w:val="24"/>
            <w:szCs w:val="24"/>
          </w:rPr>
          <w:t>http://www.nytimes.com/2016/09/02/business/economy/if-trump-gets-his-way-real-estate-will-get-even-more-tax-breaks.html?_r=1</w:t>
        </w:r>
      </w:hyperlink>
      <w:r>
        <w:rPr>
          <w:bCs/>
          <w:sz w:val="24"/>
          <w:szCs w:val="24"/>
        </w:rPr>
        <w:t xml:space="preserve"> </w:t>
      </w:r>
    </w:p>
    <w:p w:rsidR="0078310B" w:rsidRPr="00E3497C" w:rsidRDefault="0078310B" w:rsidP="0078310B">
      <w:pPr>
        <w:pStyle w:val="BodyText"/>
        <w:widowControl w:val="0"/>
        <w:spacing w:after="120" w:line="240" w:lineRule="auto"/>
        <w:ind w:firstLine="288"/>
        <w:rPr>
          <w:sz w:val="24"/>
          <w:szCs w:val="24"/>
        </w:rPr>
      </w:pPr>
      <w:r>
        <w:rPr>
          <w:bCs/>
          <w:sz w:val="24"/>
          <w:szCs w:val="24"/>
        </w:rPr>
        <w:t xml:space="preserve">To consider an example of </w:t>
      </w:r>
      <w:r w:rsidR="004F1051">
        <w:rPr>
          <w:bCs/>
          <w:sz w:val="24"/>
          <w:szCs w:val="24"/>
        </w:rPr>
        <w:t xml:space="preserve">tax arbitrage with a consumption tax provision of the </w:t>
      </w:r>
      <w:r>
        <w:rPr>
          <w:bCs/>
          <w:sz w:val="24"/>
          <w:szCs w:val="24"/>
        </w:rPr>
        <w:t>wage tax variety</w:t>
      </w:r>
      <w:r w:rsidRPr="00226173">
        <w:rPr>
          <w:bCs/>
          <w:sz w:val="24"/>
          <w:szCs w:val="24"/>
        </w:rPr>
        <w:t xml:space="preserve">, consider § </w:t>
      </w:r>
      <w:hyperlink r:id="rId97"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is purchased with borrowed cash? </w:t>
      </w:r>
      <w:r w:rsidRPr="00E3497C">
        <w:rPr>
          <w:sz w:val="24"/>
          <w:szCs w:val="24"/>
        </w:rPr>
        <w:t>Suppose, for example, that Profiteer is in the 39.6% tax bracket and borrows from National Bank at 5% interest to purchase $100,000 of tax-exempt § 103 bonds yielding 4% interest. At fir</w:t>
      </w:r>
      <w:r w:rsidR="004F1051">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deductible (under the income tax rule that business and investment interest expense is generally deductible) but the capital return is excludable? </w:t>
      </w:r>
    </w:p>
    <w:p w:rsidR="0078310B" w:rsidRPr="00E3497C" w:rsidRDefault="0078310B" w:rsidP="0078310B">
      <w:pPr>
        <w:widowControl w:val="0"/>
        <w:ind w:firstLine="288"/>
        <w:jc w:val="both"/>
      </w:pPr>
      <w:r w:rsidRPr="00E3497C">
        <w:t xml:space="preserve">        Tax-exempt interest received                                       $4,000</w:t>
      </w:r>
    </w:p>
    <w:p w:rsidR="0078310B" w:rsidRDefault="0078310B" w:rsidP="0078310B">
      <w:pPr>
        <w:widowControl w:val="0"/>
        <w:ind w:firstLine="288"/>
        <w:jc w:val="both"/>
      </w:pPr>
      <w:r w:rsidRPr="00E3497C">
        <w:rPr>
          <w:i/>
        </w:rPr>
        <w:t>Less</w:t>
      </w:r>
      <w:r w:rsidRPr="00E3497C">
        <w:t xml:space="preserve"> after-t</w:t>
      </w:r>
      <w:r>
        <w:t xml:space="preserve">ax interest cost: $5,000 paid reduced </w:t>
      </w:r>
    </w:p>
    <w:p w:rsidR="0078310B" w:rsidRDefault="0078310B" w:rsidP="0078310B">
      <w:pPr>
        <w:widowControl w:val="0"/>
        <w:spacing w:after="120"/>
        <w:ind w:firstLine="288"/>
        <w:jc w:val="both"/>
      </w:pPr>
      <w:r>
        <w:t xml:space="preserve">        by tax saved via the interest deduction ($1,980)         </w:t>
      </w:r>
      <w:r>
        <w:rPr>
          <w:u w:val="single"/>
        </w:rPr>
        <w:t>- 3,020</w:t>
      </w:r>
    </w:p>
    <w:p w:rsidR="0078310B" w:rsidRPr="00431468" w:rsidRDefault="0078310B" w:rsidP="0078310B">
      <w:pPr>
        <w:widowControl w:val="0"/>
        <w:spacing w:after="120"/>
        <w:ind w:firstLine="288"/>
        <w:jc w:val="both"/>
      </w:pPr>
      <w:r>
        <w:t xml:space="preserve">        “Profit”                                               </w:t>
      </w:r>
      <w:r w:rsidR="009003E7">
        <w:t xml:space="preserve">                             $9</w:t>
      </w:r>
      <w:r>
        <w:t>80</w:t>
      </w:r>
    </w:p>
    <w:p w:rsidR="0078310B" w:rsidRDefault="0078310B" w:rsidP="0078310B">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you and me), which raises both fairness and economic efficiency concerns. That is to say, this $</w:t>
      </w:r>
      <w:r w:rsidR="003044B4">
        <w:t>9</w:t>
      </w:r>
      <w:r>
        <w:t xml:space="preserve">80 “profit” represents a mere </w:t>
      </w:r>
      <w:r>
        <w:rPr>
          <w:i/>
        </w:rPr>
        <w:t>shift</w:t>
      </w:r>
      <w:r>
        <w:t xml:space="preserve"> in wealth rather than the creation of new wealth. The fancy word for this kind of activity is “rent-seeking,” a term that you will read in the next chapter. Keep this example in mind when you come to it. </w:t>
      </w:r>
    </w:p>
    <w:p w:rsidR="0078310B" w:rsidRDefault="0078310B" w:rsidP="0078310B">
      <w:pPr>
        <w:widowControl w:val="0"/>
        <w:spacing w:after="120"/>
        <w:ind w:firstLine="288"/>
        <w:jc w:val="both"/>
      </w:pPr>
      <w:r>
        <w:t xml:space="preserve">But even if the arbitrage is not so substantial as to create an actual “profit,” this better than consumption 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8"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Pr>
          <w:rStyle w:val="FootnoteReference"/>
        </w:rPr>
        <w:footnoteReference w:id="70"/>
      </w:r>
      <w:r>
        <w:t xml:space="preserve"> So stay tuned, as we shall be conscious of these tax arbitrage problems that arise as we move through the course. </w:t>
      </w:r>
    </w:p>
    <w:p w:rsidR="0078310B" w:rsidRPr="004D32B0" w:rsidRDefault="0078310B" w:rsidP="0078310B">
      <w:pPr>
        <w:widowControl w:val="0"/>
        <w:spacing w:after="120"/>
        <w:jc w:val="both"/>
        <w:rPr>
          <w:b/>
          <w:i/>
        </w:rPr>
      </w:pPr>
      <w:r>
        <w:rPr>
          <w:b/>
          <w:i/>
        </w:rPr>
        <w:t>Introduction to the concept of “capture”</w:t>
      </w:r>
    </w:p>
    <w:p w:rsidR="0078310B" w:rsidRDefault="0078310B" w:rsidP="0078310B">
      <w:pPr>
        <w:widowControl w:val="0"/>
        <w:spacing w:after="120"/>
        <w:ind w:firstLine="288"/>
        <w:jc w:val="both"/>
      </w:pPr>
      <w:r>
        <w:t xml:space="preserve">Introducing you to §103 here has an additional purpose unrelated to exploring the tax arbitrage possibilities posed by § 103.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of the statute, Person or Entity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rsidR="0078310B" w:rsidRDefault="004837E6" w:rsidP="0078310B">
      <w:pPr>
        <w:widowControl w:val="0"/>
        <w:spacing w:after="120"/>
        <w:ind w:firstLine="288"/>
        <w:jc w:val="both"/>
      </w:pPr>
      <w:r>
        <w:t xml:space="preserve">The language in § 103 appears to provide </w:t>
      </w:r>
      <w:r w:rsidR="0078310B">
        <w:t xml:space="preserve">the tax benefit (exclusion of the interest) </w:t>
      </w:r>
      <w:r>
        <w:t>to</w:t>
      </w:r>
      <w:r w:rsidR="0078310B">
        <w:t xml:space="preserve"> </w:t>
      </w:r>
      <w:r w:rsidR="0078310B" w:rsidRPr="009D14AC">
        <w:rPr>
          <w:i/>
        </w:rPr>
        <w:t>the bondholder</w:t>
      </w:r>
      <w:r w:rsidR="0078310B">
        <w:t xml:space="preserve">. </w:t>
      </w:r>
      <w:r w:rsidR="0078310B" w:rsidRPr="00226173">
        <w:t xml:space="preserve">But who </w:t>
      </w:r>
      <w:r w:rsidR="00915202">
        <w:t xml:space="preserve">may </w:t>
      </w:r>
      <w:r w:rsidR="0078310B">
        <w:t xml:space="preserve">effectively </w:t>
      </w:r>
      <w:r w:rsidR="0078310B" w:rsidRPr="00226173">
        <w:t xml:space="preserve">captures that tax benefit? </w:t>
      </w:r>
      <w:r w:rsidR="0078310B">
        <w:t xml:space="preserve">The answer is (or at least should be—more below) </w:t>
      </w:r>
      <w:r w:rsidR="0078310B" w:rsidRPr="00226173">
        <w:t>the bond issuer, which is the state or local government</w:t>
      </w:r>
      <w:r w:rsidR="0078310B">
        <w:t xml:space="preserve">, through being able to borrow at lower interest rates than would otherwise be the case if the interest payments were included in Gross Income by the bondholders under </w:t>
      </w:r>
      <w:hyperlink r:id="rId99" w:history="1">
        <w:r w:rsidR="0078310B" w:rsidRPr="00915202">
          <w:rPr>
            <w:rStyle w:val="Hyperlink"/>
          </w:rPr>
          <w:t>§ 61</w:t>
        </w:r>
      </w:hyperlink>
      <w:r w:rsidR="0078310B">
        <w:t xml:space="preserve">(a)(4). </w:t>
      </w:r>
      <w:r w:rsidR="0078310B" w:rsidRPr="00226173">
        <w:t>The § 103 exclusion</w:t>
      </w:r>
      <w:r w:rsidR="0078310B">
        <w:t xml:space="preserve"> (unlike the provisions mentioned above) is one in which the capture phenomenon is above board; everybody knows about it and expects it, which is why it makes an ideal provision to illustrate the capture phenomenon. Indeed, the idea is that the market </w:t>
      </w:r>
      <w:r w:rsidR="0078310B">
        <w:rPr>
          <w:i/>
        </w:rPr>
        <w:t xml:space="preserve">should </w:t>
      </w:r>
      <w:r w:rsidR="0078310B">
        <w:t xml:space="preserve">react to this preference in order to allow state and local governments to borrow at a lower interest cost </w:t>
      </w:r>
    </w:p>
    <w:p w:rsidR="0078310B" w:rsidRPr="002A2D82" w:rsidRDefault="0078310B" w:rsidP="0078310B">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 xml:space="preserve">a $100,000 corporate bond. Because the $5,000 annual interest is includable in Gross Income under § 61(a)(4), a bondholder in the 39.6% tax bracket pays $1,980 in tax ($5,000 x .396) and has $3,020 in </w:t>
      </w:r>
      <w:r>
        <w:rPr>
          <w:i/>
        </w:rPr>
        <w:t xml:space="preserve">after-tax cash </w:t>
      </w:r>
      <w:r>
        <w:t xml:space="preserve">left each year. Thus, </w:t>
      </w:r>
      <w:r w:rsidRPr="00226173">
        <w:t>a state or local government could offer an int</w:t>
      </w:r>
      <w:r>
        <w:t>erest rate of only 3.02</w:t>
      </w:r>
      <w:r w:rsidRPr="002A69D9">
        <w:t xml:space="preserve">% </w:t>
      </w:r>
      <w:r>
        <w:t xml:space="preserve">of </w:t>
      </w:r>
      <w:r w:rsidRPr="009C7074">
        <w:rPr>
          <w:i/>
        </w:rPr>
        <w:t>excludable</w:t>
      </w:r>
      <w:r>
        <w:t xml:space="preserve"> interest on a $100,000 § 103 bond </w:t>
      </w:r>
      <w:r w:rsidRPr="002A69D9">
        <w:t>to attract a b</w:t>
      </w:r>
      <w:r>
        <w:t xml:space="preserve">ond buyer in the 39.6% bracket because the </w:t>
      </w:r>
      <w:r w:rsidRPr="002A69D9">
        <w:t xml:space="preserve">bond buyer would be in the same </w:t>
      </w:r>
      <w:r w:rsidRPr="00AA0E13">
        <w:rPr>
          <w:i/>
        </w:rPr>
        <w:t>after-tax</w:t>
      </w:r>
      <w:r>
        <w:t xml:space="preserve"> position with either the corporate bond or the § 103 bond ($3,020 in annual after-tax cash). In short, a 39.6% bracket taxpayer would be tax-indifferent between buying a corporate bond </w:t>
      </w:r>
      <w:r w:rsidRPr="002A2D82">
        <w:t xml:space="preserve">paying 5% includable interest or a § 103 bond paying 3.02% excludable interest. </w:t>
      </w:r>
    </w:p>
    <w:p w:rsidR="0078310B" w:rsidRDefault="0078310B" w:rsidP="0078310B">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rsidR="004837E6">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thus have no </w:t>
      </w:r>
      <w:r w:rsidR="004837E6">
        <w:t>desire to buy</w:t>
      </w:r>
      <w:r>
        <w:t xml:space="preserve">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 xml:space="preserve">interest or capital gain earned in the U.S., even on corporate stocks and bonds that produce includable gain and interest for you and me. Thus, such buyers are more interested in purchasing the higher return investment (the corporate bond paying 5% interest rather than the tax-exempt bond paying 3.02% interest) because they will not owe U.S. income tax on the higher return in any event. </w:t>
      </w:r>
    </w:p>
    <w:p w:rsidR="0078310B" w:rsidRPr="00376885" w:rsidRDefault="0078310B" w:rsidP="0078310B">
      <w:pPr>
        <w:widowControl w:val="0"/>
        <w:spacing w:after="120"/>
        <w:ind w:firstLine="288"/>
        <w:jc w:val="both"/>
      </w:pPr>
      <w:r>
        <w:t xml:space="preserve">Thus, if corporate bonds are paying 5% (includable) interest, and there are an insufficient number of bonder buyers in the highest 39.6% bracket to offer only 3.02% interest on the tax-exempt bond, </w:t>
      </w:r>
      <w:r w:rsidRPr="002A69D9">
        <w:t>our tax-exempt bond</w:t>
      </w:r>
      <w:r>
        <w:t xml:space="preserve"> issuer must </w:t>
      </w:r>
      <w:r w:rsidRPr="002A69D9">
        <w:t>offer</w:t>
      </w:r>
      <w:r>
        <w:t xml:space="preserve"> 3.25</w:t>
      </w:r>
      <w:r w:rsidRPr="002A69D9">
        <w:t>% interest to a</w:t>
      </w:r>
      <w:r>
        <w:t>ttract buyers in the 35%</w:t>
      </w:r>
      <w:r w:rsidRPr="002A69D9">
        <w:t xml:space="preserve"> bracket, </w:t>
      </w:r>
      <w:r>
        <w:t xml:space="preserve">or 3.35% to attract 33% bracket taxpayers, </w:t>
      </w:r>
      <w:r w:rsidRPr="002A69D9">
        <w:t>o</w:t>
      </w:r>
      <w:r>
        <w:t xml:space="preserve">r 3.6% to attract buyers </w:t>
      </w:r>
      <w:r w:rsidRPr="002A69D9">
        <w:t xml:space="preserve">28% </w:t>
      </w:r>
      <w:r>
        <w:t xml:space="preserve">bracket taxpayers, and so on. When the smoke clears, </w:t>
      </w:r>
      <w:r w:rsidRPr="00D828C2">
        <w:rPr>
          <w:b/>
        </w:rPr>
        <w:t>the Federal government loses more revenue from the § 103 exclusion than ends up in the hands of state and local governments.</w:t>
      </w:r>
      <w:r w:rsidRPr="002A69D9">
        <w:t xml:space="preserve"> </w:t>
      </w:r>
      <w:r w:rsidRPr="00376885">
        <w:rPr>
          <w:b/>
        </w:rPr>
        <w:t>Moreover, this revenue shortfall inures enti</w:t>
      </w:r>
      <w:r>
        <w:rPr>
          <w:b/>
        </w:rPr>
        <w:t>rely to taxpayers in the higher</w:t>
      </w:r>
      <w:r w:rsidRPr="00376885">
        <w:rPr>
          <w:b/>
        </w:rPr>
        <w:t xml:space="preserve"> bracket</w:t>
      </w:r>
      <w:r>
        <w:rPr>
          <w:b/>
        </w:rPr>
        <w:t>s, who obtain interest at a rate that is higher than necessary for them to be tax-indifferent between the taxable corporate bond and the tax-exempt § 103 bond.</w:t>
      </w:r>
      <w:r>
        <w:t xml:space="preserve"> Here is an example. </w:t>
      </w:r>
    </w:p>
    <w:p w:rsidR="0078310B" w:rsidRPr="002A69D9" w:rsidRDefault="0078310B" w:rsidP="0078310B">
      <w:pPr>
        <w:pStyle w:val="BodyTextIndent2"/>
        <w:widowControl w:val="0"/>
        <w:spacing w:line="240" w:lineRule="auto"/>
        <w:ind w:left="720" w:right="720"/>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rsidR="0078310B" w:rsidRDefault="0078310B" w:rsidP="0078310B">
      <w:pPr>
        <w:pStyle w:val="BodyTextIndent2"/>
        <w:widowControl w:val="0"/>
        <w:spacing w:line="240" w:lineRule="auto"/>
        <w:ind w:left="720" w:right="720"/>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w:t>
      </w:r>
      <w:r w:rsidRPr="002A69D9">
        <w:t xml:space="preserve">00,000 interest actually 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 xml:space="preserve">respect to the 40% bracket taxpayers equals $200,000 ($500,000 multiplied by 40%). Thus, the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rsidR="0078310B" w:rsidRPr="002A69D9" w:rsidRDefault="0078310B" w:rsidP="0078310B">
      <w:pPr>
        <w:pStyle w:val="BodyTextIndent2"/>
        <w:widowControl w:val="0"/>
        <w:spacing w:line="240" w:lineRule="auto"/>
        <w:ind w:left="720" w:right="720"/>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also avoid the windfall to high-bracket taxpayers.</w:t>
      </w:r>
      <w:r>
        <w:rPr>
          <w:rStyle w:val="FootnoteReference"/>
        </w:rPr>
        <w:footnoteReference w:id="71"/>
      </w:r>
    </w:p>
    <w:p w:rsidR="0078310B" w:rsidRDefault="0078310B" w:rsidP="0078310B">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rsidR="00915202">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72"/>
      </w:r>
      <w:r w:rsidRPr="002A69D9">
        <w:t xml:space="preserve"> </w:t>
      </w:r>
    </w:p>
    <w:p w:rsidR="0078310B" w:rsidRPr="003E2FDD" w:rsidRDefault="0078310B" w:rsidP="0078310B">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bonds”—even though most private businesses must issue bonds that pay includable interest, raising serious questions regarding the justification for the tax subsidy.</w:t>
      </w:r>
      <w:r>
        <w:rPr>
          <w:rStyle w:val="FootnoteReference"/>
        </w:rPr>
        <w:footnoteReference w:id="73"/>
      </w:r>
    </w:p>
    <w:p w:rsidR="0078310B" w:rsidRDefault="0078310B" w:rsidP="0078310B">
      <w:pPr>
        <w:widowControl w:val="0"/>
        <w:sectPr w:rsidR="0078310B" w:rsidSect="005337BA">
          <w:headerReference w:type="even" r:id="rId100"/>
          <w:headerReference w:type="default" r:id="rId101"/>
          <w:footerReference w:type="even" r:id="rId102"/>
          <w:footerReference w:type="default" r:id="rId103"/>
          <w:headerReference w:type="first" r:id="rId104"/>
          <w:footerReference w:type="first" r:id="rId105"/>
          <w:footnotePr>
            <w:numRestart w:val="eachSect"/>
          </w:footnotePr>
          <w:type w:val="continuous"/>
          <w:pgSz w:w="12240" w:h="15840"/>
          <w:pgMar w:top="1440" w:right="1440" w:bottom="1440" w:left="1440" w:header="1008" w:footer="720" w:gutter="0"/>
          <w:pgNumType w:start="42"/>
          <w:cols w:space="720"/>
          <w:titlePg/>
          <w:docGrid w:linePitch="360"/>
        </w:sectPr>
      </w:pPr>
    </w:p>
    <w:p w:rsidR="0078310B" w:rsidRPr="003E3CD5" w:rsidRDefault="0078310B" w:rsidP="0078310B">
      <w:pPr>
        <w:pStyle w:val="Heading2"/>
        <w:spacing w:before="0"/>
        <w:rPr>
          <w:sz w:val="36"/>
          <w:szCs w:val="36"/>
        </w:rPr>
      </w:pPr>
      <w:bookmarkStart w:id="42" w:name="_Toc395790356"/>
      <w:r w:rsidRPr="003E3CD5">
        <w:rPr>
          <w:sz w:val="36"/>
          <w:szCs w:val="36"/>
        </w:rPr>
        <w:t xml:space="preserve">Chapter 3: Ethical Debates, </w:t>
      </w:r>
    </w:p>
    <w:p w:rsidR="0078310B" w:rsidRPr="00B907D3" w:rsidRDefault="0078310B" w:rsidP="0078310B">
      <w:pPr>
        <w:pStyle w:val="Heading2"/>
        <w:spacing w:before="0"/>
        <w:rPr>
          <w:sz w:val="36"/>
          <w:szCs w:val="36"/>
          <w:u w:val="single"/>
        </w:rPr>
      </w:pPr>
      <w:r w:rsidRPr="00B907D3">
        <w:rPr>
          <w:sz w:val="36"/>
          <w:szCs w:val="36"/>
          <w:u w:val="single"/>
        </w:rPr>
        <w:t>Economic Theories, and Real-World Impacts</w:t>
      </w:r>
      <w:bookmarkEnd w:id="42"/>
    </w:p>
    <w:p w:rsidR="0078310B" w:rsidRDefault="0078310B" w:rsidP="0078310B">
      <w:pPr>
        <w:widowControl w:val="0"/>
        <w:spacing w:after="120"/>
        <w:jc w:val="both"/>
      </w:pPr>
    </w:p>
    <w:p w:rsidR="0078310B" w:rsidRDefault="0078310B" w:rsidP="0078310B">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rsidR="0078310B" w:rsidRDefault="0078310B" w:rsidP="0078310B">
      <w:pPr>
        <w:widowControl w:val="0"/>
        <w:spacing w:after="120"/>
        <w:ind w:firstLine="288"/>
        <w:jc w:val="both"/>
      </w:pPr>
      <w:r>
        <w:t xml:space="preserve">We all have unique ways of looking at the world and making sense of it. We all begin our decision-making processes and evaluations with certain models in our heads of how the world works and should work, which have been ingrained by culture, education, family, religion, events, and perhaps even our genes. These models shape how we perceive the world. Thus,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rsidR="0078310B" w:rsidRDefault="0078310B" w:rsidP="0078310B">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rsidR="0078310B" w:rsidRDefault="0078310B" w:rsidP="0078310B">
      <w:pPr>
        <w:widowControl w:val="0"/>
        <w:spacing w:after="120"/>
        <w:ind w:firstLine="288"/>
        <w:jc w:val="both"/>
        <w:rPr>
          <w:color w:val="000000"/>
        </w:rPr>
      </w:pPr>
      <w:r>
        <w:t xml:space="preserve">Behavioral economists and cognitive psychologists have identified numerous “cognitive biases” that we, as humans, all share. The </w:t>
      </w:r>
      <w:r w:rsidRPr="0062178C">
        <w:rPr>
          <w:b/>
        </w:rPr>
        <w:t>confirmation bias</w:t>
      </w:r>
      <w:r>
        <w:t xml:space="preserve"> mentioned above is </w:t>
      </w:r>
      <w:r w:rsidRPr="0062178C">
        <w:rPr>
          <w:b/>
        </w:rPr>
        <w:t>the tendency to search for or interpret information in a way that confirms one’s preconceptions</w:t>
      </w:r>
      <w:r>
        <w:t>.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rsidR="0078310B" w:rsidRDefault="0078310B" w:rsidP="0078310B">
      <w:pPr>
        <w:widowControl w:val="0"/>
        <w:spacing w:after="120"/>
        <w:ind w:firstLine="288"/>
        <w:jc w:val="both"/>
      </w:pPr>
      <w:r>
        <w:rPr>
          <w:color w:val="000000"/>
        </w:rPr>
        <w:t>The technology revolution, with the introduction first of cable television and then the internet, has created niches that make it ever easier to indulge in (or exploit) the confirmation bias. In the dark ages</w:t>
      </w:r>
      <w:r w:rsidR="00575F04">
        <w:rPr>
          <w:color w:val="000000"/>
        </w:rPr>
        <w:t xml:space="preserve"> of my  childhood</w:t>
      </w:r>
      <w:r>
        <w:rPr>
          <w:color w:val="000000"/>
        </w:rPr>
        <w:t xml:space="preserve">, with only three nationally broadcast news stations that a high number of homes tuned to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Thus, those who self-identify as, say, strong libertarians or New Deal progressives can tune in chiefly to those information sources that reinforce these preconceptions, with these sources subsequently moving ever more to one extreme or the other. </w:t>
      </w:r>
    </w:p>
    <w:p w:rsidR="0078310B" w:rsidRDefault="0078310B" w:rsidP="0078310B">
      <w:pPr>
        <w:widowControl w:val="0"/>
        <w:spacing w:after="120"/>
        <w:ind w:firstLine="288"/>
        <w:jc w:val="both"/>
      </w:pPr>
      <w:r>
        <w:t>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Particularly in my role as a teacher, I always try to remain sensitive to this bias in myself.</w:t>
      </w:r>
    </w:p>
    <w:p w:rsidR="0078310B" w:rsidRDefault="0078310B" w:rsidP="0078310B">
      <w:pPr>
        <w:widowControl w:val="0"/>
        <w:spacing w:after="120"/>
        <w:ind w:firstLine="288"/>
        <w:jc w:val="both"/>
      </w:pPr>
      <w:r>
        <w:t xml:space="preserve">The tendency to indulge the confirmation bias has reached even the Supreme Court. Please click and read the following article: </w:t>
      </w:r>
    </w:p>
    <w:p w:rsidR="0078310B" w:rsidRDefault="002B3596" w:rsidP="0078310B">
      <w:pPr>
        <w:widowControl w:val="0"/>
        <w:spacing w:after="120"/>
        <w:jc w:val="both"/>
      </w:pPr>
      <w:hyperlink r:id="rId106" w:history="1">
        <w:r w:rsidR="0078310B" w:rsidRPr="00DA1F16">
          <w:rPr>
            <w:rStyle w:val="Hyperlink"/>
          </w:rPr>
          <w:t>www.nytimes.com/2013/10/12/business/media/when-our-news-is-gerrymandered-too.html?_r=0</w:t>
        </w:r>
      </w:hyperlink>
      <w:r w:rsidR="0078310B">
        <w:t xml:space="preserve">. </w:t>
      </w:r>
    </w:p>
    <w:p w:rsidR="0078310B" w:rsidRDefault="0078310B" w:rsidP="0078310B">
      <w:pPr>
        <w:widowControl w:val="0"/>
        <w:spacing w:after="120"/>
        <w:ind w:firstLine="288"/>
        <w:jc w:val="both"/>
      </w:pPr>
      <w:r>
        <w:t>As the article above illustrates, one feature that you will see in this chapter (as well as in future chapters) is a link to short articles that succinctly illustrate or summarize (in an interesting way, I hope) a policy issue that I discuss or empirical data that are important in considering the policy issue.</w:t>
      </w:r>
      <w:r>
        <w:rPr>
          <w:rStyle w:val="FootnoteReference"/>
        </w:rPr>
        <w:footnoteReference w:id="74"/>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w:t>
      </w:r>
    </w:p>
    <w:p w:rsidR="0078310B" w:rsidRPr="00F73E78" w:rsidRDefault="0078310B" w:rsidP="0078310B">
      <w:pPr>
        <w:widowControl w:val="0"/>
        <w:spacing w:after="120"/>
        <w:ind w:firstLine="288"/>
        <w:jc w:val="both"/>
      </w:pPr>
      <w:r>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rsidR="0078310B" w:rsidRDefault="0078310B" w:rsidP="0078310B">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to rely too heavily, or “anchor,” on a past reference or on one trait or piece of information when making decisions (also called “insufficient adjustment”)</w:t>
      </w:r>
      <w:r>
        <w:t xml:space="preserve">. As an example of this cognitive bias in the tax policy setting, the popular press widely reported that the French actor Gerard Depardieu obtained a Russian passport after the French President Francois Hollande recommended temporarily raising (for two years) the top marginal income tax rate from 41% to 75% on income exceeding </w:t>
      </w:r>
      <w:r>
        <w:rPr>
          <w:rFonts w:cs="Times New Roman"/>
        </w:rPr>
        <w:t>€</w:t>
      </w:r>
      <w:r>
        <w:t>1 million. (France also imposes a wealth tax and a VAT.)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75"/>
      </w:r>
    </w:p>
    <w:p w:rsidR="0078310B" w:rsidRDefault="0078310B" w:rsidP="0078310B">
      <w:pPr>
        <w:widowControl w:val="0"/>
        <w:ind w:firstLine="288"/>
        <w:jc w:val="both"/>
      </w:pPr>
      <w:r>
        <w:t xml:space="preserve">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scoring tax bills and doing studies mandated by Congress. Information pertaining to the experience of other nations can often be found in data compiled by the Organization for Economic Cooperation and Development (OECD). </w:t>
      </w:r>
    </w:p>
    <w:p w:rsidR="0078310B" w:rsidRDefault="0078310B" w:rsidP="0078310B">
      <w:pPr>
        <w:widowControl w:val="0"/>
        <w:ind w:firstLine="288"/>
        <w:jc w:val="both"/>
      </w:pPr>
    </w:p>
    <w:p w:rsidR="0078310B" w:rsidRDefault="0078310B" w:rsidP="0078310B">
      <w:pPr>
        <w:pStyle w:val="Heading2"/>
        <w:spacing w:before="0"/>
        <w:rPr>
          <w:sz w:val="32"/>
          <w:szCs w:val="32"/>
        </w:rPr>
      </w:pPr>
      <w:bookmarkStart w:id="43" w:name="_Toc395790357"/>
      <w:r w:rsidRPr="00981C71">
        <w:rPr>
          <w:sz w:val="32"/>
          <w:szCs w:val="32"/>
        </w:rPr>
        <w:t xml:space="preserve">A. The development of the income tax and </w:t>
      </w:r>
    </w:p>
    <w:p w:rsidR="0078310B" w:rsidRPr="00981C71" w:rsidRDefault="0078310B" w:rsidP="0078310B">
      <w:pPr>
        <w:pStyle w:val="Heading2"/>
        <w:spacing w:before="0"/>
        <w:rPr>
          <w:sz w:val="32"/>
          <w:szCs w:val="32"/>
          <w:u w:val="single"/>
        </w:rPr>
      </w:pPr>
      <w:r w:rsidRPr="00981C71">
        <w:rPr>
          <w:sz w:val="32"/>
          <w:szCs w:val="32"/>
          <w:u w:val="single"/>
        </w:rPr>
        <w:t>how taxes affect the Federal budget and living standards</w:t>
      </w:r>
      <w:bookmarkEnd w:id="43"/>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t>. Thus, a primary reason for calling a Constitutional 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76"/>
      </w:r>
      <w:r>
        <w:t xml:space="preserve"> Thus, both a “uniformity” and “apportionment” requirement were included with respect to the Federal taxing power.</w:t>
      </w:r>
    </w:p>
    <w:p w:rsidR="0078310B" w:rsidRDefault="0078310B" w:rsidP="0078310B">
      <w:pPr>
        <w:widowControl w:val="0"/>
        <w:spacing w:after="120"/>
        <w:ind w:firstLine="288"/>
        <w:jc w:val="both"/>
      </w:pPr>
      <w:r>
        <w:t xml:space="preserve">Under Article 1, § 8, clause 1, of the Constitution, Congress is granted power to “lay and collect Taxes, Duties, Imposts, and Excises” on individuals, entities, transactions, </w:t>
      </w:r>
      <w:r>
        <w:rPr>
          <w:i/>
        </w:rPr>
        <w:t>etc.</w:t>
      </w:r>
      <w:r>
        <w:t>, without going through the states, but these levies must “be uniform throughout the United States.” This “uniformity” requirement prevents express discrimination among the states. Thus, for exampl</w:t>
      </w:r>
      <w:r w:rsidR="00A32A97">
        <w:t xml:space="preserve">e, if Congress enacted </w:t>
      </w:r>
      <w:r>
        <w:t xml:space="preserve">an excise tax </w:t>
      </w:r>
      <w:r w:rsidR="00A32A97">
        <w:t xml:space="preserve">tomorrow </w:t>
      </w:r>
      <w:r>
        <w:t xml:space="preserve">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rsidR="0078310B" w:rsidRDefault="0078310B" w:rsidP="0078310B">
      <w:pPr>
        <w:widowControl w:val="0"/>
        <w:spacing w:after="120"/>
        <w:ind w:firstLine="288"/>
        <w:jc w:val="both"/>
      </w:pPr>
      <w:r>
        <w:t>Article 1, § 9, clause 4, requires that all “direct” taxes, including any “capitation” tax (or per-person head tax), be apportioned among the states according to population.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w:t>
      </w:r>
      <w:r>
        <w:rPr>
          <w:rStyle w:val="FootnoteReference"/>
        </w:rPr>
        <w:footnoteReference w:id="77"/>
      </w:r>
      <w:r>
        <w:t xml:space="preserve"> </w:t>
      </w:r>
    </w:p>
    <w:p w:rsidR="0078310B" w:rsidRDefault="0078310B" w:rsidP="0078310B">
      <w:pPr>
        <w:widowControl w:val="0"/>
        <w:spacing w:after="120"/>
        <w:ind w:firstLine="288"/>
        <w:jc w:val="both"/>
      </w:pPr>
      <w:r>
        <w:t xml:space="preserve">Direct taxes were thought to have greater potential for abuse in that they were imposed merely for existing or owning real estate and thus could not easily be escaped by citizens and residents.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rsidR="0078310B" w:rsidRDefault="0078310B" w:rsidP="0078310B">
      <w:pPr>
        <w:widowControl w:val="0"/>
        <w:spacing w:after="120"/>
        <w:ind w:left="720" w:right="720"/>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rsidR="0078310B" w:rsidRDefault="0078310B" w:rsidP="0078310B">
      <w:pPr>
        <w:widowControl w:val="0"/>
        <w:spacing w:after="120"/>
        <w:ind w:firstLine="288"/>
        <w:jc w:val="both"/>
      </w:pPr>
      <w:r>
        <w:t xml:space="preserve">To illustrate how the apportionment requirement might work, assume that Congress decided that it would levy an annual tax on the value of real property owned by individuals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population. Thus, because 12.17% of the U.S. population lives in California, 12.17% of </w:t>
      </w:r>
      <w:r>
        <w:rPr>
          <w:i/>
        </w:rPr>
        <w:t>$X</w:t>
      </w:r>
      <w:r>
        <w:t xml:space="preserve"> must be collected from California residents. Similarly, because .2% of the U.S. population lives in Vermont, .2% of </w:t>
      </w:r>
      <w:r w:rsidRPr="00513BA9">
        <w:rPr>
          <w:i/>
        </w:rPr>
        <w:t>$X</w:t>
      </w:r>
      <w:r>
        <w:t xml:space="preserve"> must be collected from residents of Vermont. Satisfaction of the apportionment rule would require that different tax rates would necessarily have to be imposed in each state (which would then be multiplied by the value of the real estate in that state) in order to ensure that the proper amount of </w:t>
      </w:r>
      <w:r w:rsidRPr="00513BA9">
        <w:rPr>
          <w:i/>
        </w:rPr>
        <w:t>$X</w:t>
      </w:r>
      <w:r>
        <w:t xml:space="preserve"> was collected from that state. As this simple example illustrates, the apportionment requirement “makes direct taxes more difficult to implement than they otherwise would be.”</w:t>
      </w:r>
      <w:r>
        <w:rPr>
          <w:rStyle w:val="FootnoteReference"/>
        </w:rPr>
        <w:footnoteReference w:id="78"/>
      </w:r>
    </w:p>
    <w:p w:rsidR="0078310B" w:rsidRDefault="0078310B" w:rsidP="0078310B">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Thus, these clauses have been interpreted together to mean that indirect taxes must satisfy the uniformity requirement while direct taxes must satisfy the more onerous apportionment requirement. </w:t>
      </w:r>
    </w:p>
    <w:p w:rsidR="0078310B" w:rsidRDefault="0078310B" w:rsidP="0078310B">
      <w:pPr>
        <w:widowControl w:val="0"/>
        <w:spacing w:after="120"/>
        <w:ind w:firstLine="288"/>
        <w:jc w:val="both"/>
      </w:pPr>
      <w:r>
        <w:t xml:space="preserve">The ugly issue of slavery also had an impact on the shape of the taxing power created in the Constitution. The number of Representatives awarded to each state in the House of Representatives in Congress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famous (or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rsidR="0078310B" w:rsidRDefault="0078310B" w:rsidP="0078310B">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Thus, if the carriage tax was an indirect tax, it was constitutional. If it was a direct tax, however, it was unconstitutional because unapportioned. In </w:t>
      </w:r>
      <w:r>
        <w:rPr>
          <w:i/>
        </w:rPr>
        <w:t>Hylton v. United States</w:t>
      </w:r>
      <w:r>
        <w:t>,</w:t>
      </w:r>
      <w:r w:rsidRPr="00AF77AE">
        <w:rPr>
          <w:rStyle w:val="FootnoteReference"/>
        </w:rPr>
        <w:t xml:space="preserve"> </w:t>
      </w:r>
      <w:r>
        <w:rPr>
          <w:rStyle w:val="FootnoteReference"/>
        </w:rPr>
        <w:footnoteReference w:id="79"/>
      </w:r>
      <w:r>
        <w:t xml:space="preserve"> the Supreme Court concluded that the carriage tax was not a direct tax and suggested that only capitation and real estate taxes were direct taxes. </w:t>
      </w:r>
    </w:p>
    <w:p w:rsidR="0078310B" w:rsidRDefault="0078310B" w:rsidP="0078310B">
      <w:pPr>
        <w:widowControl w:val="0"/>
        <w:spacing w:after="120"/>
        <w:ind w:firstLine="288"/>
        <w:jc w:val="both"/>
      </w:pPr>
      <w:r>
        <w:t>Until the Civil War, the Federal government raised nearly all of its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including both the first income and inheritance taxes in 1861, controversial though they were.</w:t>
      </w:r>
      <w:r>
        <w:rPr>
          <w:rStyle w:val="FootnoteReference"/>
        </w:rPr>
        <w:footnoteReference w:id="80"/>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81"/>
      </w:r>
      <w:r>
        <w:t xml:space="preserve"> concluding that “direct taxes, within the meaning of the Constitution, are only capitation taxes, as expressed in that instrument, and taxes on real estate….”</w:t>
      </w:r>
      <w:r>
        <w:rPr>
          <w:rStyle w:val="FootnoteReference"/>
        </w:rPr>
        <w:footnoteReference w:id="82"/>
      </w:r>
      <w:r>
        <w:t xml:space="preserve"> Congress allowed the tax to expire in 1872. </w:t>
      </w:r>
    </w:p>
    <w:p w:rsidR="0078310B" w:rsidRDefault="0078310B" w:rsidP="0078310B">
      <w:pPr>
        <w:widowControl w:val="0"/>
        <w:spacing w:after="120"/>
        <w:ind w:left="720" w:right="720"/>
        <w:jc w:val="both"/>
      </w:pPr>
      <w:r>
        <w:t>[T]he Civil War tax expired because by the early 1870s there no longer was an urgent need for revenue; tariffs were bringing in enough to keep the country going. But good economic times did not last, and demands on government increased. The period between the 1872 expiration of the Civil War tax and the enactment of the 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83"/>
      </w:r>
    </w:p>
    <w:p w:rsidR="0078310B" w:rsidRDefault="0078310B" w:rsidP="0078310B">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84"/>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Rather, it merely excuses the income tax from the apportionment requirement that otherwise applies to direct taxes. Thus, for example, Congress could not enact an annual real estate property tax (or other form of wealth tax) today without satisfying the apportionment requirement, as it is a direct tax that is not an income tax protected from the apportionment requirement under the 16</w:t>
      </w:r>
      <w:r w:rsidRPr="00C150CE">
        <w:rPr>
          <w:vertAlign w:val="superscript"/>
        </w:rPr>
        <w:t>th</w:t>
      </w:r>
      <w:r>
        <w:t xml:space="preserve"> amendment. The modern income tax was enacted the same year, in 1913.  </w:t>
      </w:r>
    </w:p>
    <w:p w:rsidR="0078310B" w:rsidRDefault="0078310B" w:rsidP="0078310B">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rsidR="0078310B" w:rsidRDefault="0078310B" w:rsidP="0078310B">
      <w:pPr>
        <w:widowControl w:val="0"/>
        <w:ind w:firstLine="288"/>
        <w:jc w:val="both"/>
      </w:pPr>
    </w:p>
    <w:p w:rsidR="0078310B" w:rsidRPr="00815C4A" w:rsidRDefault="0078310B" w:rsidP="0078310B">
      <w:pPr>
        <w:pStyle w:val="Heading3"/>
        <w:spacing w:before="0" w:beforeAutospacing="0" w:after="0" w:afterAutospacing="0"/>
        <w:jc w:val="center"/>
      </w:pPr>
      <w:bookmarkStart w:id="44" w:name="_Toc395790358"/>
      <w:r>
        <w:rPr>
          <w:i/>
        </w:rPr>
        <w:t>Excerpt from</w:t>
      </w:r>
      <w:r>
        <w:t xml:space="preserve"> </w:t>
      </w:r>
      <w:r w:rsidRPr="00815C4A">
        <w:t xml:space="preserve">The Taxing Power: A Reference </w:t>
      </w:r>
    </w:p>
    <w:p w:rsidR="0078310B" w:rsidRDefault="0078310B" w:rsidP="0078310B">
      <w:pPr>
        <w:pStyle w:val="Heading3"/>
        <w:spacing w:before="0" w:beforeAutospacing="0" w:after="120" w:afterAutospacing="0"/>
        <w:jc w:val="center"/>
      </w:pPr>
      <w:r w:rsidRPr="00815C4A">
        <w:t>Guide to the United States Constitution</w:t>
      </w:r>
      <w:r w:rsidRPr="008712CF">
        <w:rPr>
          <w:rStyle w:val="FootnoteReference"/>
          <w:b w:val="0"/>
        </w:rPr>
        <w:footnoteReference w:id="85"/>
      </w:r>
    </w:p>
    <w:p w:rsidR="0078310B" w:rsidRDefault="0078310B" w:rsidP="0078310B">
      <w:pPr>
        <w:pStyle w:val="Heading3"/>
        <w:spacing w:before="0" w:beforeAutospacing="0" w:after="0" w:afterAutospacing="0"/>
        <w:jc w:val="center"/>
        <w:rPr>
          <w:b w:val="0"/>
        </w:rPr>
      </w:pPr>
      <w:r w:rsidRPr="000969C3">
        <w:rPr>
          <w:b w:val="0"/>
        </w:rPr>
        <w:t>Erik M. Jensen</w:t>
      </w:r>
      <w:bookmarkEnd w:id="44"/>
    </w:p>
    <w:p w:rsidR="0078310B" w:rsidRDefault="0078310B" w:rsidP="0078310B">
      <w:pPr>
        <w:pStyle w:val="Heading3"/>
        <w:spacing w:before="0" w:beforeAutospacing="0" w:after="0" w:afterAutospacing="0"/>
        <w:jc w:val="center"/>
      </w:pPr>
    </w:p>
    <w:p w:rsidR="0078310B" w:rsidRDefault="0078310B" w:rsidP="0078310B">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rsidR="0078310B" w:rsidRDefault="0078310B" w:rsidP="0078310B">
      <w:pPr>
        <w:widowControl w:val="0"/>
        <w:spacing w:after="120"/>
        <w:ind w:left="720" w:right="720"/>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rsidR="0078310B" w:rsidRDefault="0078310B" w:rsidP="0078310B">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rsidR="0078310B" w:rsidRDefault="0078310B" w:rsidP="0078310B">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rsidR="0078310B" w:rsidRDefault="0078310B" w:rsidP="0078310B">
      <w:pPr>
        <w:widowControl w:val="0"/>
        <w:spacing w:after="120"/>
        <w:ind w:firstLine="288"/>
        <w:jc w:val="both"/>
      </w:pPr>
      <w:r>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rsidR="0078310B" w:rsidRDefault="0078310B" w:rsidP="0078310B">
      <w:pPr>
        <w:widowControl w:val="0"/>
        <w:spacing w:after="120"/>
        <w:ind w:left="720" w:right="720"/>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rsidR="0078310B" w:rsidRDefault="0078310B" w:rsidP="0078310B">
      <w:pPr>
        <w:widowControl w:val="0"/>
        <w:spacing w:after="120"/>
        <w:jc w:val="both"/>
      </w:pPr>
      <w:r>
        <w:t>… High and low income people who, McMillan posited, spend about the same on necessities “pay the same taxes to the Government, because taxes are to be paid upon what they consume!”</w:t>
      </w:r>
    </w:p>
    <w:p w:rsidR="0078310B" w:rsidRDefault="0078310B" w:rsidP="0078310B">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rsidR="0078310B" w:rsidRDefault="0078310B" w:rsidP="0078310B">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rsidR="0078310B" w:rsidRDefault="0078310B" w:rsidP="0078310B">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rsidR="0078310B" w:rsidRDefault="0078310B" w:rsidP="0078310B">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rsidR="0078310B" w:rsidRDefault="0078310B" w:rsidP="0078310B">
      <w:pPr>
        <w:widowControl w:val="0"/>
        <w:spacing w:after="120"/>
        <w:ind w:firstLine="288"/>
        <w:jc w:val="both"/>
      </w:pPr>
      <w:r>
        <w:t>… Income tax opponents did not limit themselves to questioning the populist origins of the tax; 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rsidR="0078310B" w:rsidRDefault="0078310B" w:rsidP="0078310B">
      <w:pPr>
        <w:widowControl w:val="0"/>
        <w:spacing w:after="120"/>
        <w:ind w:firstLine="288"/>
        <w:jc w:val="both"/>
      </w:pPr>
      <w:r>
        <w:t>President Cleveland stayed on the sidelines during the debates…. He … allowed the 1894 income tax legislation to become law without his signature….</w:t>
      </w:r>
    </w:p>
    <w:p w:rsidR="0078310B" w:rsidRDefault="0078310B" w:rsidP="0078310B">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rsidR="0078310B" w:rsidRDefault="0078310B" w:rsidP="0078310B">
      <w:pPr>
        <w:widowControl w:val="0"/>
        <w:spacing w:after="120"/>
        <w:ind w:left="720" w:right="720"/>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rsidR="0078310B" w:rsidRDefault="0078310B" w:rsidP="0078310B">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rsidR="0078310B" w:rsidRDefault="0078310B" w:rsidP="0078310B">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rsidR="0078310B" w:rsidRDefault="0078310B" w:rsidP="0078310B">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rsidR="0078310B" w:rsidRDefault="0078310B" w:rsidP="0078310B">
      <w:pPr>
        <w:widowControl w:val="0"/>
        <w:spacing w:after="120"/>
        <w:ind w:firstLine="288"/>
        <w:jc w:val="both"/>
      </w:pPr>
      <w:r>
        <w:t>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has stated exactly the thing I wanted him to state.”</w:t>
      </w:r>
    </w:p>
    <w:p w:rsidR="0078310B" w:rsidRDefault="0078310B" w:rsidP="0078310B">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rsidR="0078310B" w:rsidRDefault="0078310B" w:rsidP="0078310B">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rsidR="0078310B" w:rsidRDefault="0078310B" w:rsidP="0078310B">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rsidR="0078310B" w:rsidRDefault="0078310B" w:rsidP="0078310B">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rsidR="0078310B" w:rsidRDefault="0078310B" w:rsidP="0078310B">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rsidR="0078310B" w:rsidRDefault="0078310B" w:rsidP="0078310B">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rsidR="0078310B" w:rsidRDefault="0078310B" w:rsidP="0078310B">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rsidR="0078310B" w:rsidRDefault="0078310B" w:rsidP="0078310B">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rsidR="0078310B" w:rsidRDefault="0078310B" w:rsidP="0078310B">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rsidR="0078310B" w:rsidRDefault="0078310B" w:rsidP="0078310B">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rsidR="0078310B" w:rsidRDefault="0078310B" w:rsidP="0078310B">
      <w:pPr>
        <w:widowControl w:val="0"/>
        <w:spacing w:after="120"/>
        <w:ind w:firstLine="288"/>
        <w:jc w:val="both"/>
      </w:pPr>
      <w:r>
        <w:t>Representative William R. Smith (Texas): “No one can contend that our system of indirect taxation [has no] objectionable features, because … its burdens are measured by what the citizen’s needs require him to purchase for consumption and not by the amount of his wealth, nor by his ability to pay.”</w:t>
      </w:r>
    </w:p>
    <w:p w:rsidR="0078310B" w:rsidRDefault="0078310B" w:rsidP="0078310B">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rsidR="0078310B" w:rsidRDefault="0078310B" w:rsidP="0078310B">
      <w:pPr>
        <w:widowControl w:val="0"/>
        <w:spacing w:after="120"/>
        <w:ind w:firstLine="288"/>
        <w:jc w:val="both"/>
      </w:pPr>
      <w:r>
        <w:t>Opponents also made the same points that had been made in 1894. An income tax, it was said, was socialistic and inquisitorial. It ought to be available, if at all, only in emergencies….</w:t>
      </w:r>
    </w:p>
    <w:p w:rsidR="0078310B" w:rsidRDefault="0078310B" w:rsidP="0078310B">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rsidR="0078310B" w:rsidRDefault="0078310B" w:rsidP="0078310B">
      <w:pPr>
        <w:widowControl w:val="0"/>
        <w:jc w:val="center"/>
      </w:pPr>
      <w:r>
        <w:t>_______________________________________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It took fewer than four years to gain the necessary ratification of three-fourths of the states. 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rsidR="0078310B" w:rsidRDefault="0078310B" w:rsidP="0078310B">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86"/>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87"/>
      </w:r>
      <w:r>
        <w:t>—at rates that graduated from 1% to 7%. Taxable</w:t>
      </w:r>
      <w:r w:rsidR="00C7063B">
        <w:t xml:space="preserve"> Income from $0 to $20,000 ($486,000 in 2016</w:t>
      </w:r>
      <w:r>
        <w:t xml:space="preserve"> dollars) was taxed at 1%; between $20,000 and $50,000 at 2%; between $50,000 and $75,000 at 3%; between $75,000 and $100,000 at 4%; between $100,000 and $250,000 at 5%; between $250,000 and $500,000 at 6%; and over $500,000 ($12</w:t>
      </w:r>
      <w:r w:rsidR="00C7063B">
        <w:t>.1 million in 2016</w:t>
      </w:r>
      <w:r>
        <w:t xml:space="preserve"> dollars) at 7%.</w:t>
      </w:r>
    </w:p>
    <w:p w:rsidR="0078310B" w:rsidRDefault="0078310B" w:rsidP="0078310B">
      <w:pPr>
        <w:widowControl w:val="0"/>
        <w:spacing w:after="120"/>
        <w:ind w:firstLine="288"/>
        <w:jc w:val="both"/>
      </w:pPr>
      <w:r>
        <w:t>With the increased revenue needs of WWI, the top marginal rate increased by 1918 to 77% on Taxable In</w:t>
      </w:r>
      <w:r w:rsidR="00C7063B">
        <w:t>come exceeding $1,000,000 ($15.9 million in 2016</w:t>
      </w:r>
      <w:r>
        <w:t xml:space="preserve"> dollars). After the war, rates dropped in 1921, 1924, 1926, and 1928, with a top rate of 24% in 1928 on Taxable </w:t>
      </w:r>
      <w:r w:rsidR="00C7063B">
        <w:t>Income exceeding $200,000 ($2.8</w:t>
      </w:r>
      <w:r>
        <w:t xml:space="preserve"> million i</w:t>
      </w:r>
      <w:r w:rsidR="00C7063B">
        <w:t>n 2016</w:t>
      </w:r>
      <w:r>
        <w:t xml:space="preserve"> dollars). </w:t>
      </w:r>
    </w:p>
    <w:p w:rsidR="0078310B" w:rsidRDefault="0078310B" w:rsidP="0078310B">
      <w:pPr>
        <w:widowControl w:val="0"/>
        <w:spacing w:after="120"/>
        <w:ind w:firstLine="288"/>
        <w:jc w:val="both"/>
      </w:pPr>
      <w:r>
        <w:t>Thus, it is clear that the intent of the enactors of the income tax to reach mainly the wealthy made it a “class tax” for the first several decades of its life. The transition of the income tax from a “class tax” to a “mass tax” occurred with the extraordinary revenue needs of WWII, and the income tax has remained a “mass tax” ever since, with more than half of households owing income tax. In addition, Congress enacted the provisions requiring tax withholding at source for wage income in 1943. The highpoint in marginal rates was 1944 and 1945, with the top rate at 94% for Taxable Income exceeding $200,</w:t>
      </w:r>
      <w:r w:rsidR="00C7063B">
        <w:t>000 (nearly $2.7 million in 2016</w:t>
      </w:r>
      <w:r>
        <w:t xml:space="preserve"> dollars). </w:t>
      </w:r>
    </w:p>
    <w:p w:rsidR="0078310B" w:rsidRDefault="0078310B" w:rsidP="0078310B">
      <w:pPr>
        <w:widowControl w:val="0"/>
        <w:spacing w:after="120"/>
        <w:ind w:firstLine="288"/>
        <w:jc w:val="both"/>
      </w:pPr>
      <w:r>
        <w:t xml:space="preserve">With the post-WWII cold war, the highest marginal rate stayed high—at 91% on Taxable Income exceeding $200,000—until the Kennedy administration, when the top rate was reduced to 70%. A special rule, however, provided that “earned income” (labor income) would be taxed at no more than 50%. </w:t>
      </w:r>
    </w:p>
    <w:p w:rsidR="0078310B" w:rsidRDefault="0078310B" w:rsidP="0078310B">
      <w:pPr>
        <w:widowControl w:val="0"/>
        <w:spacing w:after="120"/>
        <w:ind w:firstLine="288"/>
        <w:jc w:val="both"/>
      </w:pPr>
      <w:r>
        <w:t xml:space="preserve">During the Reagan administration, the top marginal rate was first reduced to 50% for all income (not merely labor income) in 1981. The large deficits that ensued resulted in major tax increases in 1982 and 1984 through base broadening; the top marginal rate did not increase. By 1986, the top net capital gain tax rate was 20%, and the top marginal tax rate on ordinary income remained at 50%. The Tax Reform Act of 1986 reduced the top marginal tax rate on ordinary income to 28%, </w:t>
      </w:r>
      <w:r w:rsidRPr="00C37746">
        <w:rPr>
          <w:i/>
        </w:rPr>
        <w:t xml:space="preserve">but it </w:t>
      </w:r>
      <w:r w:rsidRPr="00C37746">
        <w:rPr>
          <w:b/>
          <w:i/>
        </w:rPr>
        <w:t>increased</w:t>
      </w:r>
      <w:r w:rsidRPr="00C37746">
        <w:rPr>
          <w:i/>
        </w:rPr>
        <w:t xml:space="preserve"> the maximum net capital gain tax rate to 28% (from 20%) so that all income </w:t>
      </w:r>
      <w:r w:rsidR="00317487">
        <w:rPr>
          <w:i/>
        </w:rPr>
        <w:t xml:space="preserve">in each bracket </w:t>
      </w:r>
      <w:r w:rsidRPr="00C37746">
        <w:rPr>
          <w:i/>
        </w:rPr>
        <w:t>was taxed at the same rate</w:t>
      </w:r>
      <w:r>
        <w:t xml:space="preserve">. Because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rsidR="0078310B" w:rsidRDefault="0078310B" w:rsidP="0078310B">
      <w:pPr>
        <w:widowControl w:val="0"/>
        <w:spacing w:after="120"/>
        <w:ind w:firstLine="288"/>
        <w:jc w:val="both"/>
      </w:pPr>
      <w:r>
        <w:t xml:space="preserve">With increased deficits, however, the top marginal tax rate on ordinary income increased from 28% to 31% in the George H.W. Bush administration, but the top 28% capital gains tax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rsidR="0078310B" w:rsidRDefault="0078310B" w:rsidP="0078310B">
      <w:pPr>
        <w:widowControl w:val="0"/>
        <w:spacing w:after="120"/>
        <w:ind w:firstLine="288"/>
        <w:jc w:val="both"/>
      </w:pPr>
      <w:r>
        <w:t>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however,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falling within Taxable Income exceeding $400,000 ($450,000 for married couples filing jointly). The top marginal rate on net capital gain falling below those thresholds remains generally at 15% (0% for those whose top marginal rate is 10% or 15%), though the bulk of net capital gain is realized by high-income household</w:t>
      </w:r>
      <w:r w:rsidR="007021A7">
        <w:t>s</w:t>
      </w:r>
      <w:r>
        <w:t xml:space="preserve">. </w:t>
      </w:r>
    </w:p>
    <w:p w:rsidR="0078310B" w:rsidRDefault="0078310B" w:rsidP="0078310B">
      <w:pPr>
        <w:pStyle w:val="BodyTextIndent"/>
        <w:widowControl w:val="0"/>
        <w:ind w:left="0" w:firstLine="288"/>
        <w:jc w:val="both"/>
      </w:pPr>
      <w:r>
        <w:t>While only about 56% of households typically pay Federal income tax, nearly all pay so-called payroll taxes on their labor income, and two-thirds of households pay more in payroll taxes than income taxes.</w:t>
      </w:r>
      <w:r>
        <w:rPr>
          <w:rStyle w:val="FootnoteReference"/>
        </w:rPr>
        <w:footnoteReference w:id="88"/>
      </w:r>
      <w:r>
        <w:t xml:space="preserve"> The Social Security Tax was enacted in 1935, and the Medicare Tax was enacted in 1966. Under the Social Security Tax, the employee must pay </w:t>
      </w:r>
      <w:r w:rsidR="00BF48C6">
        <w:t>a 6.2% tax on wages up to $127,200 in 2017</w:t>
      </w:r>
      <w:r w:rsidR="00ED0D46">
        <w:t xml:space="preserve"> (up from $118,500 in 2016)</w:t>
      </w:r>
      <w:r>
        <w:t xml:space="preserve">,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Pr="007D22E3">
        <w:rPr>
          <w:i/>
        </w:rPr>
        <w:t>average</w:t>
      </w:r>
      <w:r>
        <w:t xml:space="preserve"> wages (not median wages). Because average wages have increased faster than the median wage</w:t>
      </w:r>
      <w:r w:rsidR="008376A7">
        <w:t>s</w:t>
      </w:r>
      <w:r>
        <w:t xml:space="preserve"> (because of disproportionate wage gains at the top—described below), the payr</w:t>
      </w:r>
      <w:r w:rsidR="00D856D6">
        <w:t xml:space="preserve">oll tax burden on </w:t>
      </w:r>
      <w:r>
        <w:t xml:space="preserve">workers </w:t>
      </w:r>
      <w:r w:rsidR="00D856D6">
        <w:t xml:space="preserve">earning just above the Social Security wage base </w:t>
      </w:r>
      <w:r w:rsidR="00ED0D46">
        <w:t>(</w:t>
      </w:r>
      <w:r w:rsidR="00ED0D46">
        <w:rPr>
          <w:i/>
        </w:rPr>
        <w:t>e.g.</w:t>
      </w:r>
      <w:r w:rsidR="00ED0D46">
        <w:t xml:space="preserve">, $130,000) </w:t>
      </w:r>
      <w:r>
        <w:t>has increased faster than have their wages.</w:t>
      </w:r>
      <w:r>
        <w:rPr>
          <w:rStyle w:val="FootnoteReference"/>
        </w:rPr>
        <w:footnoteReference w:id="89"/>
      </w:r>
      <w:r>
        <w:t xml:space="preserve"> </w:t>
      </w:r>
      <w:r w:rsidR="00BF48C6">
        <w:t>Indeed, the $8,700 increase in the wage base</w:t>
      </w:r>
      <w:r w:rsidR="00ED0D46">
        <w:t xml:space="preserve"> in 2017</w:t>
      </w:r>
      <w:r w:rsidR="00BF48C6">
        <w:t xml:space="preserve"> is the largest one-year increase since 1983. </w:t>
      </w:r>
      <w:r>
        <w:t xml:space="preserve">Under the Medicare Tax, the employee pays 1.45% on all wages, without limit, and the employer pays the same 1.45% (summing to 2.9%), with the funds used for the Medicare program. </w:t>
      </w:r>
    </w:p>
    <w:p w:rsidR="0078310B" w:rsidRDefault="0078310B" w:rsidP="0078310B">
      <w:pPr>
        <w:pStyle w:val="BodyTextIndent"/>
        <w:widowControl w:val="0"/>
        <w:ind w:left="0" w:firstLine="288"/>
        <w:jc w:val="both"/>
      </w:pPr>
      <w:r>
        <w:t>Thus, taken together, the aggregate payroll ta</w:t>
      </w:r>
      <w:r w:rsidR="008376A7">
        <w:t>x is 15.3% on wages up to $127,200 in 2017</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rsidR="0078310B" w:rsidRDefault="0078310B" w:rsidP="0078310B">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rsidR="0078310B" w:rsidRDefault="0078310B" w:rsidP="0078310B">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t xml:space="preserve"> that the entire tax is economically borne by the employee. The self-employed pay the 15.3% aggregate payroll tax (and 2.9% tax on self-employment income above the social security tax wage base) directly.</w:t>
      </w:r>
    </w:p>
    <w:p w:rsidR="0078310B" w:rsidRDefault="0078310B" w:rsidP="0078310B">
      <w:pPr>
        <w:pStyle w:val="BodyTextIndent"/>
        <w:widowControl w:val="0"/>
        <w:ind w:left="0" w:firstLine="288"/>
        <w:jc w:val="both"/>
      </w:pPr>
      <w:r>
        <w:t>In short, someone earning $1 million (including the employer-paid payroll taxes) e</w:t>
      </w:r>
      <w:r w:rsidR="008376A7">
        <w:t>ffectively pays the same $15,773</w:t>
      </w:r>
      <w:r>
        <w:t xml:space="preserve"> of Social Secu</w:t>
      </w:r>
      <w:r w:rsidR="008376A7">
        <w:t>rity tax as one who earns $127,200 (12.4% of the first $127,200 earned by each) in 2017</w:t>
      </w:r>
      <w:r>
        <w:t>. The $1 million earner, however, will pay more i</w:t>
      </w:r>
      <w:r w:rsidR="008376A7">
        <w:t>n Medicare Tax than the $127,200</w:t>
      </w:r>
      <w:r>
        <w:t xml:space="preserve"> earner. </w:t>
      </w:r>
    </w:p>
    <w:p w:rsidR="0078310B" w:rsidRDefault="0078310B" w:rsidP="0078310B">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(colloquially referred to as Obamacare by, apparently, both supporters and opponents of the law), an additional 0.9% Medicare Tax is owed on wages exceeding $200,000 for individuals and $250,000 for married couples so that their Medicare tax totals 3.8% instead of 2.9% on labor income exceeding those thresholds. More significant was the extension of the 3.8% Medicare Tax to investment income for the first time (instead of being levied only on labor income) for those with Taxable Income exceeding </w:t>
      </w:r>
      <w:r w:rsidR="009327F5">
        <w:t>those same thresholds.</w:t>
      </w:r>
      <w:r>
        <w:t xml:space="preserve"> </w:t>
      </w:r>
    </w:p>
    <w:p w:rsidR="0078310B" w:rsidRDefault="0078310B" w:rsidP="0078310B">
      <w:pPr>
        <w:widowControl w:val="0"/>
        <w:spacing w:after="120"/>
        <w:ind w:firstLine="288"/>
        <w:jc w:val="both"/>
      </w:pPr>
      <w:r>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rsidR="0078310B" w:rsidRDefault="0078310B" w:rsidP="0078310B">
      <w:pPr>
        <w:widowControl w:val="0"/>
        <w:spacing w:after="120"/>
        <w:ind w:firstLine="288"/>
        <w:jc w:val="both"/>
      </w:pPr>
      <w:r>
        <w:t xml:space="preserve">Thus,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rsidR="0078310B" w:rsidRDefault="0078310B" w:rsidP="0078310B">
      <w:pPr>
        <w:widowControl w:val="0"/>
        <w:ind w:firstLine="288"/>
        <w:jc w:val="both"/>
      </w:pPr>
      <w:r>
        <w:t>As you can see from the chart below,</w:t>
      </w:r>
      <w:r>
        <w:rPr>
          <w:rStyle w:val="FootnoteReference"/>
        </w:rPr>
        <w:footnoteReference w:id="90"/>
      </w:r>
      <w:r>
        <w:t xml:space="preserve"> the aggregate amount collected under the individual Federal income tax has remained virtually constant as a percentage of gross domestic product (GDP—which you can think of as roughly “national income”) ever since the income tax was transformed from a class tax to a mass tax with WWII, but the amount collected in the payroll taxes (on labor income only) has substantially increased over that time period.</w:t>
      </w:r>
    </w:p>
    <w:p w:rsidR="0078310B" w:rsidRDefault="0078310B" w:rsidP="0078310B">
      <w:pPr>
        <w:widowControl w:val="0"/>
        <w:ind w:firstLine="288"/>
        <w:jc w:val="both"/>
      </w:pPr>
    </w:p>
    <w:p w:rsidR="0078310B" w:rsidRDefault="0078310B" w:rsidP="0078310B">
      <w:pPr>
        <w:widowControl w:val="0"/>
        <w:jc w:val="center"/>
      </w:pPr>
      <w:r>
        <w:rPr>
          <w:noProof/>
        </w:rPr>
        <w:drawing>
          <wp:inline distT="0" distB="0" distL="0" distR="0" wp14:anchorId="4AA6D431" wp14:editId="7D2749CB">
            <wp:extent cx="5943600" cy="4327358"/>
            <wp:effectExtent l="0" t="0" r="0" b="0"/>
            <wp:docPr id="24" name="Picture 24" descr="http://www.taxpolicycenter.org/taxfacts/Content/GIF/historical_receipt_comp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axpolicycenter.org/taxfacts/Content/GIF/historical_receipt_comp_chart.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4327358"/>
                    </a:xfrm>
                    <a:prstGeom prst="rect">
                      <a:avLst/>
                    </a:prstGeom>
                    <a:noFill/>
                    <a:ln>
                      <a:noFill/>
                    </a:ln>
                  </pic:spPr>
                </pic:pic>
              </a:graphicData>
            </a:graphic>
          </wp:inline>
        </w:drawing>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The bottom tranche is the amount collected in individual Federal income tax. The tranche that is second from the top represents the amount of national income collected in payroll taxes. While it started out as a relatively small portion of Federal revenue, it has notably increased over time so that today it collects almost as much as the individual income tax. </w:t>
      </w:r>
    </w:p>
    <w:p w:rsidR="0078310B" w:rsidRDefault="0078310B" w:rsidP="0078310B">
      <w:pPr>
        <w:widowControl w:val="0"/>
        <w:spacing w:after="120"/>
        <w:ind w:firstLine="288"/>
        <w:jc w:val="both"/>
      </w:pPr>
      <w:r>
        <w:t xml:space="preserve">The second tranche from the bottom is the amount of national income collected via the corporate tax.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owners who do not own shares of corporate stock) as economy-wide capital returns reach equilibrium regardless of whether the return is earned inside or outside a corporation. Or it could be the corporation’s employees, whose salaries are smaller than they otherwise would be. Nevertheless, while there are some dissents, the broad consensus of economic opinion is that the corporate tax is borne mostly by all owners of capital (investments), whether corporate stock, partnership interests, real estate, </w:t>
      </w:r>
      <w:r>
        <w:rPr>
          <w:i/>
        </w:rPr>
        <w:t>etc</w:t>
      </w:r>
      <w:r>
        <w:t xml:space="preserve">., with some born by labor. For example, the Congressional Budget Office (CBO) assumes that the incidence of the corporate tax falls 75% on capital and 25% on labor. Notice how the portion of GDP collected in corporate tax has steadily decreased since WWII. </w:t>
      </w:r>
    </w:p>
    <w:p w:rsidR="0078310B" w:rsidRDefault="0078310B" w:rsidP="0078310B">
      <w:pPr>
        <w:widowControl w:val="0"/>
        <w:spacing w:after="120"/>
        <w:ind w:firstLine="288"/>
        <w:jc w:val="both"/>
      </w:pPr>
      <w:r>
        <w:t>Indeed, the combined payroll and corporate tax tranches, viewed together, has increased only slightly, but there has been a dramatic shift of the tax burden from capital (the corporate tax) to labor (the payroll taxes). And recall that the amount of labor income that is reached unde</w:t>
      </w:r>
      <w:r w:rsidR="009A0502">
        <w:t>r the payroll taxes is capped</w:t>
      </w:r>
      <w:r w:rsidR="00EC561D">
        <w:t xml:space="preserve"> (for 2017</w:t>
      </w:r>
      <w:r>
        <w:t xml:space="preserve">) </w:t>
      </w:r>
      <w:r w:rsidR="009A0502">
        <w:t xml:space="preserve">at </w:t>
      </w:r>
      <w:r w:rsidR="00EC561D">
        <w:t>$127,2</w:t>
      </w:r>
      <w:r>
        <w:t xml:space="preserve">00 per wage earner, so no </w:t>
      </w:r>
      <w:r w:rsidR="00777852">
        <w:t>taxes represented in this tranche</w:t>
      </w:r>
      <w:r>
        <w:t xml:space="preserve"> comes from wages above the relevant cap for the years at issue. </w:t>
      </w:r>
    </w:p>
    <w:p w:rsidR="00DA2FD1" w:rsidRDefault="0078310B" w:rsidP="0078310B">
      <w:pPr>
        <w:widowControl w:val="0"/>
        <w:ind w:firstLine="288"/>
        <w:jc w:val="both"/>
      </w:pPr>
      <w:r>
        <w:t xml:space="preserve">These points are even more apparent when you switch the inquiry from </w:t>
      </w:r>
      <w:r w:rsidRPr="00B55AA9">
        <w:rPr>
          <w:i/>
        </w:rPr>
        <w:t xml:space="preserve">the percentage of </w:t>
      </w:r>
      <w:r w:rsidRPr="000B666F">
        <w:rPr>
          <w:i/>
          <w:u w:val="single"/>
        </w:rPr>
        <w:t>GDP</w:t>
      </w:r>
      <w:r>
        <w:t xml:space="preserve"> that is collected from each kind of Federal tax to </w:t>
      </w:r>
      <w:r w:rsidRPr="00B55AA9">
        <w:rPr>
          <w:i/>
        </w:rPr>
        <w:t xml:space="preserve">the percentage of total </w:t>
      </w:r>
      <w:r>
        <w:rPr>
          <w:i/>
        </w:rPr>
        <w:t>Federal</w:t>
      </w:r>
      <w:r w:rsidRPr="00B55AA9">
        <w:rPr>
          <w:i/>
        </w:rPr>
        <w:t xml:space="preserve"> </w:t>
      </w:r>
      <w:r w:rsidRPr="000B666F">
        <w:rPr>
          <w:i/>
          <w:u w:val="single"/>
        </w:rPr>
        <w:t>tax revenue</w:t>
      </w:r>
      <w:r>
        <w:rPr>
          <w:i/>
        </w:rPr>
        <w:t xml:space="preserve"> </w:t>
      </w:r>
      <w:r>
        <w:t>that is collected from each kind of Federal tax, displayed in the chart below.</w:t>
      </w:r>
      <w:r>
        <w:rPr>
          <w:rStyle w:val="FootnoteReference"/>
        </w:rPr>
        <w:footnoteReference w:id="91"/>
      </w:r>
      <w:r>
        <w:t xml:space="preserve"> </w:t>
      </w:r>
    </w:p>
    <w:p w:rsidR="0078310B" w:rsidRDefault="00DA2FD1" w:rsidP="00DA2FD1">
      <w:pPr>
        <w:widowControl w:val="0"/>
        <w:ind w:left="288" w:firstLine="288"/>
        <w:jc w:val="both"/>
      </w:pPr>
      <w:r>
        <w:rPr>
          <w:noProof/>
        </w:rPr>
        <w:drawing>
          <wp:inline distT="0" distB="0" distL="0" distR="0" wp14:anchorId="3A1F4F3D" wp14:editId="5E2FA768">
            <wp:extent cx="5250688" cy="3714750"/>
            <wp:effectExtent l="0" t="0" r="7620" b="0"/>
            <wp:docPr id="7" name="Picture 7" descr="Joint Ta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t Tax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1679" cy="3729601"/>
                    </a:xfrm>
                    <a:prstGeom prst="rect">
                      <a:avLst/>
                    </a:prstGeom>
                    <a:noFill/>
                    <a:ln>
                      <a:noFill/>
                    </a:ln>
                  </pic:spPr>
                </pic:pic>
              </a:graphicData>
            </a:graphic>
          </wp:inline>
        </w:drawing>
      </w:r>
    </w:p>
    <w:p w:rsidR="0078310B" w:rsidRDefault="0078310B" w:rsidP="00165358">
      <w:pPr>
        <w:widowControl w:val="0"/>
        <w:ind w:firstLine="288"/>
        <w:jc w:val="both"/>
      </w:pPr>
      <w:r>
        <w:t>Of course, focusing only on who pays what sorts of Federal tax over time provides an incomplete fiscal picture. If tax collections are less than spending, the government must borrow (by selling Treasury securities) to make up the shortfall. While such borrowing is expected (and even beneficial) during times of recession, significant deficit spending during periods of economic expansion suggests that tax collections relative to spending are out of equilibrium.</w:t>
      </w:r>
      <w:bookmarkStart w:id="45" w:name="U7138797663P2C"/>
      <w:bookmarkEnd w:id="45"/>
      <w:r>
        <w:t xml:space="preserve"> The first figure below shows annual deficits (or surpluses) for every year since 196</w:t>
      </w:r>
      <w:r w:rsidR="00EC7EB9">
        <w:t>6, with projections through 2026</w:t>
      </w:r>
      <w:r>
        <w:t>.</w:t>
      </w:r>
      <w:r>
        <w:rPr>
          <w:rStyle w:val="FootnoteReference"/>
        </w:rPr>
        <w:footnoteReference w:id="92"/>
      </w:r>
      <w:r>
        <w:t xml:space="preserve"> </w:t>
      </w:r>
    </w:p>
    <w:p w:rsidR="0078310B" w:rsidRDefault="00165358" w:rsidP="0078310B">
      <w:pPr>
        <w:widowControl w:val="0"/>
        <w:spacing w:after="120"/>
        <w:ind w:firstLine="288"/>
        <w:jc w:val="both"/>
      </w:pPr>
      <w:r>
        <w:rPr>
          <w:noProof/>
        </w:rPr>
        <w:drawing>
          <wp:anchor distT="0" distB="0" distL="114300" distR="114300" simplePos="0" relativeHeight="251677696" behindDoc="0" locked="0" layoutInCell="1" allowOverlap="1" wp14:anchorId="2CB80B26" wp14:editId="2B908E8B">
            <wp:simplePos x="0" y="0"/>
            <wp:positionH relativeFrom="column">
              <wp:posOffset>209550</wp:posOffset>
            </wp:positionH>
            <wp:positionV relativeFrom="paragraph">
              <wp:posOffset>100330</wp:posOffset>
            </wp:positionV>
            <wp:extent cx="5638800" cy="2819400"/>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r>
        <w:t>The chart below shows the relationship o</w:t>
      </w:r>
      <w:r w:rsidR="00EC7EB9">
        <w:t>f revenues to outlays since 1966</w:t>
      </w:r>
      <w:r>
        <w:t>: average outlays represent about 20% of GDP, while average revenues average about 17.4% (with a high of 20.6% in 2000—the last year of budget surplus).</w:t>
      </w:r>
      <w:r>
        <w:rPr>
          <w:rStyle w:val="FootnoteReference"/>
        </w:rPr>
        <w:footnoteReference w:id="93"/>
      </w:r>
    </w:p>
    <w:p w:rsidR="0078310B" w:rsidRDefault="00165358" w:rsidP="0078310B">
      <w:pPr>
        <w:widowControl w:val="0"/>
        <w:spacing w:after="120"/>
        <w:jc w:val="both"/>
      </w:pPr>
      <w:r>
        <w:rPr>
          <w:noProof/>
        </w:rPr>
        <w:drawing>
          <wp:anchor distT="0" distB="0" distL="114300" distR="114300" simplePos="0" relativeHeight="251675648" behindDoc="0" locked="0" layoutInCell="1" allowOverlap="1" wp14:anchorId="180A2972" wp14:editId="58E4BDC6">
            <wp:simplePos x="0" y="0"/>
            <wp:positionH relativeFrom="column">
              <wp:posOffset>208915</wp:posOffset>
            </wp:positionH>
            <wp:positionV relativeFrom="paragraph">
              <wp:posOffset>12065</wp:posOffset>
            </wp:positionV>
            <wp:extent cx="5248275" cy="273124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48275" cy="273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535C8C" w:rsidRDefault="00535C8C" w:rsidP="0078310B">
      <w:pPr>
        <w:widowControl w:val="0"/>
        <w:spacing w:after="120"/>
        <w:ind w:firstLine="288"/>
        <w:jc w:val="both"/>
      </w:pPr>
    </w:p>
    <w:p w:rsidR="0078310B" w:rsidRDefault="0078310B" w:rsidP="0078310B">
      <w:pPr>
        <w:widowControl w:val="0"/>
        <w:spacing w:after="120"/>
        <w:ind w:firstLine="288"/>
        <w:jc w:val="both"/>
      </w:pPr>
      <w:r>
        <w:t>This relationship results in the following picture of outstanding and projected Federal debt (if revenue is not increased or spending decreased).</w:t>
      </w:r>
      <w:r>
        <w:rPr>
          <w:rStyle w:val="FootnoteReference"/>
        </w:rPr>
        <w:footnoteReference w:id="94"/>
      </w:r>
      <w:r>
        <w:t xml:space="preserve"> </w:t>
      </w:r>
    </w:p>
    <w:p w:rsidR="0078310B" w:rsidRDefault="00EC7EB9" w:rsidP="0078310B">
      <w:pPr>
        <w:widowControl w:val="0"/>
        <w:jc w:val="both"/>
      </w:pPr>
      <w:r>
        <w:rPr>
          <w:noProof/>
        </w:rPr>
        <w:drawing>
          <wp:anchor distT="0" distB="0" distL="114300" distR="114300" simplePos="0" relativeHeight="251679744" behindDoc="0" locked="0" layoutInCell="1" allowOverlap="1" wp14:anchorId="71773B73" wp14:editId="0630A31E">
            <wp:simplePos x="0" y="0"/>
            <wp:positionH relativeFrom="column">
              <wp:posOffset>419100</wp:posOffset>
            </wp:positionH>
            <wp:positionV relativeFrom="paragraph">
              <wp:posOffset>3658</wp:posOffset>
            </wp:positionV>
            <wp:extent cx="4933950" cy="2526182"/>
            <wp:effectExtent l="0" t="0" r="0" b="762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40445" cy="25295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78310B" w:rsidP="0078310B">
      <w:pPr>
        <w:widowControl w:val="0"/>
        <w:ind w:firstLine="288"/>
        <w:jc w:val="both"/>
      </w:pPr>
    </w:p>
    <w:p w:rsidR="0078310B" w:rsidRDefault="00FA42CE" w:rsidP="00FA42CE">
      <w:pPr>
        <w:widowControl w:val="0"/>
        <w:spacing w:after="120"/>
        <w:ind w:firstLine="288"/>
        <w:jc w:val="both"/>
      </w:pPr>
      <w:r>
        <w:t xml:space="preserve">About </w:t>
      </w:r>
      <w:r w:rsidR="0078310B">
        <w:t>two-thirds of Federal spending is done automatically under mandatory programs (most notably, Social Security, Medicare, and Medicaid) without annual votes by Congress, as illustrated below, which shows outlays by category since 1965 (projected through 2025).</w:t>
      </w:r>
      <w:r w:rsidR="0078310B">
        <w:rPr>
          <w:rStyle w:val="FootnoteReference"/>
        </w:rPr>
        <w:footnoteReference w:id="95"/>
      </w:r>
      <w:r w:rsidR="0078310B">
        <w:t xml:space="preserve"> </w:t>
      </w:r>
    </w:p>
    <w:p w:rsidR="0078310B" w:rsidRDefault="0078310B" w:rsidP="0078310B">
      <w:r>
        <w:rPr>
          <w:noProof/>
        </w:rPr>
        <w:drawing>
          <wp:anchor distT="0" distB="0" distL="114300" distR="114300" simplePos="0" relativeHeight="251661312" behindDoc="0" locked="0" layoutInCell="1" allowOverlap="1" wp14:anchorId="182E6EA4" wp14:editId="4857436C">
            <wp:simplePos x="0" y="0"/>
            <wp:positionH relativeFrom="column">
              <wp:posOffset>142876</wp:posOffset>
            </wp:positionH>
            <wp:positionV relativeFrom="paragraph">
              <wp:posOffset>17353</wp:posOffset>
            </wp:positionV>
            <wp:extent cx="5751830" cy="3230517"/>
            <wp:effectExtent l="0" t="0" r="1270" b="8255"/>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6618" cy="32332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 w:rsidR="0078310B" w:rsidRDefault="0078310B" w:rsidP="0078310B">
      <w:pPr>
        <w:widowControl w:val="0"/>
        <w:ind w:firstLine="288"/>
        <w:jc w:val="both"/>
      </w:pPr>
    </w:p>
    <w:p w:rsidR="00EC561D" w:rsidRDefault="0078310B" w:rsidP="006D049A">
      <w:pPr>
        <w:widowControl w:val="0"/>
        <w:spacing w:after="120"/>
        <w:ind w:firstLine="288"/>
        <w:jc w:val="both"/>
      </w:pPr>
      <w:r>
        <w:t xml:space="preserve">Because of the rhetoric often heard from some politicians and commentators in the popular press, many in the U.S. might think that the aggregate Federal, state, and local tax burden in the United States is high by international standards, but the opposite is true. While the U.S. spends more on defense than most of the rest of the industrialized world put together, Americans are among the most lightly taxed citizens of all industrialized nations. Among the members of the OECD (essentially, all of the major countries of the industrialized world), the U.S. collected—in Federal, state, and local taxes </w:t>
      </w:r>
      <w:r w:rsidRPr="001A4FAA">
        <w:rPr>
          <w:i/>
          <w:u w:val="single"/>
        </w:rPr>
        <w:t>combined</w:t>
      </w:r>
      <w:r>
        <w:t>—a smaller percentage in GDP than every other country except Korea, Chile, and Mexico in 2013, the latest year for which complete data is available, as shown in the chart below.</w:t>
      </w:r>
      <w:r>
        <w:rPr>
          <w:rStyle w:val="FootnoteReference"/>
        </w:rPr>
        <w:footnoteReference w:id="96"/>
      </w:r>
      <w:r>
        <w:t xml:space="preserve"> </w:t>
      </w:r>
    </w:p>
    <w:p w:rsidR="0078310B" w:rsidRDefault="0078310B" w:rsidP="0078310B">
      <w:pPr>
        <w:widowControl w:val="0"/>
        <w:spacing w:after="120"/>
        <w:ind w:firstLine="288"/>
        <w:jc w:val="both"/>
      </w:pPr>
      <w:r>
        <w:rPr>
          <w:noProof/>
        </w:rPr>
        <w:drawing>
          <wp:anchor distT="0" distB="0" distL="114300" distR="114300" simplePos="0" relativeHeight="251664384" behindDoc="0" locked="0" layoutInCell="1" allowOverlap="1" wp14:anchorId="56C268C4" wp14:editId="7B39FB92">
            <wp:simplePos x="0" y="0"/>
            <wp:positionH relativeFrom="column">
              <wp:posOffset>1419225</wp:posOffset>
            </wp:positionH>
            <wp:positionV relativeFrom="paragraph">
              <wp:posOffset>72390</wp:posOffset>
            </wp:positionV>
            <wp:extent cx="3181350" cy="6191250"/>
            <wp:effectExtent l="0" t="0" r="0" b="0"/>
            <wp:wrapNone/>
            <wp:docPr id="12" name="Picture 12" descr="http://ctj.org/pdf/oecd2015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tj.org/pdf/oecd2015all.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81350" cy="619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Pr="00D45109" w:rsidRDefault="0078310B" w:rsidP="0078310B">
      <w:pPr>
        <w:widowControl w:val="0"/>
        <w:spacing w:after="120"/>
        <w:ind w:firstLine="288"/>
        <w:jc w:val="both"/>
      </w:pPr>
      <w:r w:rsidRPr="00D45109">
        <w:t xml:space="preserve">In thinking about how to apportion the pain </w:t>
      </w:r>
      <w:r>
        <w:t xml:space="preserve">of balancing the budget </w:t>
      </w:r>
      <w:r w:rsidRPr="00D45109">
        <w:t>(whether through spending cuts</w:t>
      </w:r>
      <w:r>
        <w:t xml:space="preserve">, </w:t>
      </w:r>
      <w:r w:rsidRPr="00D45109">
        <w:t xml:space="preserve">tax increases, or a combination of the two), information concerning growth and income trends over the past 60 years may provide additional helpful context. </w:t>
      </w:r>
    </w:p>
    <w:p w:rsidR="0078310B" w:rsidRDefault="0078310B" w:rsidP="0078310B">
      <w:pPr>
        <w:widowControl w:val="0"/>
        <w:spacing w:after="120"/>
        <w:ind w:firstLine="288"/>
        <w:jc w:val="both"/>
      </w:pPr>
      <w:r w:rsidRPr="00D45109">
        <w:t>Economic growth—</w:t>
      </w:r>
      <w:r w:rsidRPr="00D45109">
        <w:rPr>
          <w:i/>
          <w:iCs/>
        </w:rPr>
        <w:t>i.e.</w:t>
      </w:r>
      <w:r w:rsidRPr="00D45109">
        <w:t>, increases in national income in the aggregate—comes chiefly from increases in what economists call “productivity”—the measure of goods and services produced for each hour of work. The post WWII period until about 1974 was the golden age of econom</w:t>
      </w:r>
      <w:r>
        <w:t>ic growth rates</w:t>
      </w:r>
      <w:r w:rsidRPr="00D45109">
        <w:t>.</w:t>
      </w:r>
      <w:r>
        <w:t xml:space="preserve"> Some years saw growth rates between 5 and 10% (even higher in the early 1950s).</w:t>
      </w:r>
      <w:r>
        <w:rPr>
          <w:rStyle w:val="FootnoteReference"/>
        </w:rPr>
        <w:footnoteReference w:id="97"/>
      </w:r>
      <w:r>
        <w:t xml:space="preserve"> But the period since 1974 has shown lower average growth rat</w:t>
      </w:r>
      <w:r w:rsidR="002A7ADA">
        <w:t>es, with most years below 3</w:t>
      </w:r>
      <w:r>
        <w:t xml:space="preserve">%. </w:t>
      </w:r>
    </w:p>
    <w:p w:rsidR="0078310B" w:rsidRDefault="0078310B" w:rsidP="0078310B">
      <w:pPr>
        <w:widowControl w:val="0"/>
        <w:ind w:firstLine="288"/>
        <w:jc w:val="both"/>
      </w:pPr>
      <w:r>
        <w:t>How is the increase in GDP created by increases in productivity shared among the members of the population? Compare the two charts below.</w:t>
      </w:r>
      <w:r>
        <w:rPr>
          <w:rStyle w:val="FootnoteReference"/>
        </w:rPr>
        <w:footnoteReference w:id="98"/>
      </w:r>
    </w:p>
    <w:p w:rsidR="0078310B" w:rsidRDefault="0078310B" w:rsidP="0078310B">
      <w:pPr>
        <w:widowControl w:val="0"/>
        <w:ind w:firstLine="288"/>
        <w:jc w:val="both"/>
      </w:pPr>
    </w:p>
    <w:p w:rsidR="0078310B" w:rsidRDefault="0078310B" w:rsidP="0078310B">
      <w:pPr>
        <w:widowControl w:val="0"/>
        <w:jc w:val="center"/>
      </w:pPr>
      <w:r>
        <w:rPr>
          <w:noProof/>
        </w:rPr>
        <w:drawing>
          <wp:inline distT="0" distB="0" distL="0" distR="0" wp14:anchorId="7E70D9F5" wp14:editId="4A667594">
            <wp:extent cx="5524500" cy="3028950"/>
            <wp:effectExtent l="0" t="0" r="0" b="0"/>
            <wp:docPr id="39" name="Picture 39" descr="Change in Real Family Income by Quintile and Top 5% 1947-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 in Real Family Income by Quintile and Top 5% 1947-19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24500" cy="3028950"/>
                    </a:xfrm>
                    <a:prstGeom prst="rect">
                      <a:avLst/>
                    </a:prstGeom>
                    <a:noFill/>
                    <a:ln>
                      <a:noFill/>
                    </a:ln>
                  </pic:spPr>
                </pic:pic>
              </a:graphicData>
            </a:graphic>
          </wp:inline>
        </w:drawing>
      </w:r>
    </w:p>
    <w:p w:rsidR="0078310B" w:rsidRDefault="0078310B" w:rsidP="0078310B">
      <w:pPr>
        <w:widowControl w:val="0"/>
        <w:ind w:firstLine="288"/>
        <w:jc w:val="center"/>
      </w:pPr>
    </w:p>
    <w:p w:rsidR="0078310B" w:rsidRDefault="0078310B" w:rsidP="0078310B">
      <w:pPr>
        <w:widowControl w:val="0"/>
        <w:ind w:firstLine="288"/>
        <w:jc w:val="center"/>
      </w:pPr>
    </w:p>
    <w:p w:rsidR="0078310B" w:rsidRDefault="0078310B" w:rsidP="0078310B">
      <w:pPr>
        <w:widowControl w:val="0"/>
        <w:jc w:val="center"/>
      </w:pPr>
      <w:r>
        <w:rPr>
          <w:noProof/>
        </w:rPr>
        <w:drawing>
          <wp:inline distT="0" distB="0" distL="0" distR="0" wp14:anchorId="57B9860E" wp14:editId="0358B862">
            <wp:extent cx="5524500" cy="3019425"/>
            <wp:effectExtent l="0" t="0" r="0" b="9525"/>
            <wp:docPr id="40" name="Picture 40" descr="Change in Real Family Income by Quintile and Top 5% 197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 in Real Family Income by Quintile and Top 5% 1979-20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24500" cy="3019425"/>
                    </a:xfrm>
                    <a:prstGeom prst="rect">
                      <a:avLst/>
                    </a:prstGeom>
                    <a:noFill/>
                    <a:ln>
                      <a:noFill/>
                    </a:ln>
                  </pic:spPr>
                </pic:pic>
              </a:graphicData>
            </a:graphic>
          </wp:inline>
        </w:drawing>
      </w:r>
    </w:p>
    <w:p w:rsidR="0078310B" w:rsidRDefault="0078310B" w:rsidP="0078310B">
      <w:pPr>
        <w:widowControl w:val="0"/>
        <w:ind w:firstLine="288"/>
        <w:jc w:val="both"/>
      </w:pPr>
    </w:p>
    <w:p w:rsidR="0078310B" w:rsidRPr="00D45109" w:rsidRDefault="0078310B" w:rsidP="0078310B">
      <w:pPr>
        <w:widowControl w:val="0"/>
        <w:spacing w:after="120"/>
        <w:ind w:firstLine="288"/>
        <w:jc w:val="both"/>
      </w:pPr>
      <w:r>
        <w:t xml:space="preserve">These bar graphs show the periods between 1947 and 1979 (top) and between 1979 and 2009 (bottom), illustrating both the aggregate gains from growth and how such gains were shared by the members of the population during these two periods. </w:t>
      </w:r>
      <w:r w:rsidRPr="00D45109">
        <w:t>Notice that the bar</w:t>
      </w:r>
      <w:r>
        <w:t xml:space="preserve">s collectively on the top chart </w:t>
      </w:r>
      <w:r w:rsidRPr="00D45109">
        <w:t xml:space="preserve">are </w:t>
      </w:r>
      <w:r>
        <w:t>notably higher than on the bottom</w:t>
      </w:r>
      <w:r w:rsidRPr="00D45109">
        <w:t xml:space="preserve">. </w:t>
      </w:r>
      <w:r>
        <w:t xml:space="preserve">That is to say, economic growth rates were much more robust before the mid-1970s than they have been since then. </w:t>
      </w:r>
      <w:r w:rsidRPr="00D45109">
        <w:t xml:space="preserve">Moreover, the </w:t>
      </w:r>
      <w:r w:rsidRPr="00EE2F94">
        <w:rPr>
          <w:i/>
        </w:rPr>
        <w:t>sharing</w:t>
      </w:r>
      <w:r w:rsidRPr="00D45109">
        <w:t xml:space="preserve"> of the gains from growth has </w:t>
      </w:r>
      <w:r>
        <w:t xml:space="preserve">become increasingly </w:t>
      </w:r>
      <w:r w:rsidRPr="00D45109">
        <w:t>lopsided. Before 1979, the increased income from increasing productivity was s</w:t>
      </w:r>
      <w:r>
        <w:t>hared by both labor and capital;</w:t>
      </w:r>
      <w:r w:rsidRPr="00D45109">
        <w:t xml:space="preserve"> some went to workers in the form of higher wages, </w:t>
      </w:r>
      <w:r>
        <w:t xml:space="preserve">and </w:t>
      </w:r>
      <w:r w:rsidRPr="00D45109">
        <w:t>some went to the owners of capital. Indeed, notice that the top 5% on</w:t>
      </w:r>
      <w:r>
        <w:t xml:space="preserve"> the top chart took a slightly </w:t>
      </w:r>
      <w:r w:rsidRPr="004B30F1">
        <w:rPr>
          <w:i/>
        </w:rPr>
        <w:t>smaller</w:t>
      </w:r>
      <w:r w:rsidRPr="00D45109">
        <w:t xml:space="preserve"> share of the gains </w:t>
      </w:r>
      <w:r>
        <w:t xml:space="preserve">from growth then did those in lower quintiles. </w:t>
      </w:r>
    </w:p>
    <w:p w:rsidR="0078310B" w:rsidRDefault="0078310B" w:rsidP="0078310B">
      <w:pPr>
        <w:widowControl w:val="0"/>
        <w:spacing w:after="120"/>
        <w:ind w:firstLine="288"/>
        <w:jc w:val="both"/>
      </w:pPr>
      <w:r w:rsidRPr="00D45109">
        <w:t>But over the last several decades</w:t>
      </w:r>
      <w:r>
        <w:t xml:space="preserve"> </w:t>
      </w:r>
      <w:r w:rsidRPr="00D45109">
        <w:t>the increased national income from economic growth and pros</w:t>
      </w:r>
      <w:r>
        <w:t xml:space="preserve">perity has gone substantially </w:t>
      </w:r>
      <w:r w:rsidRPr="00D45109">
        <w:t>to the owners of capital, which is heavily co</w:t>
      </w:r>
      <w:r>
        <w:t>ncentrated at the top—particularly the top 1%—with diminishing percentages of the gains from growth going to workers</w:t>
      </w:r>
      <w:r w:rsidRPr="00D45109">
        <w:t xml:space="preserve"> (wage income)</w:t>
      </w:r>
      <w:r>
        <w:t xml:space="preserve">. Thus, comparing the top 1% to the middle 20% (the middle of the income spectrum), we see opposing trends before and since the late 1970s. </w:t>
      </w:r>
    </w:p>
    <w:p w:rsidR="0078310B" w:rsidRDefault="0078310B" w:rsidP="0078310B">
      <w:pPr>
        <w:widowControl w:val="0"/>
        <w:spacing w:after="120"/>
        <w:ind w:firstLine="288"/>
        <w:jc w:val="both"/>
      </w:pPr>
      <w:r>
        <w:t xml:space="preserve">Please click and read the following article: </w:t>
      </w:r>
    </w:p>
    <w:p w:rsidR="0078310B" w:rsidRDefault="002B3596" w:rsidP="0078310B">
      <w:pPr>
        <w:widowControl w:val="0"/>
        <w:spacing w:after="120"/>
        <w:jc w:val="both"/>
      </w:pPr>
      <w:hyperlink r:id="rId116" w:history="1">
        <w:r w:rsidR="0078310B" w:rsidRPr="000368E7">
          <w:rPr>
            <w:rStyle w:val="Hyperlink"/>
          </w:rPr>
          <w:t>www.nytimes.com/2014/04/05/business/economy/corporate-profits-grow-ever-larger-as-slice-of-economy-as-wages-slide.html</w:t>
        </w:r>
      </w:hyperlink>
      <w:r w:rsidR="0078310B">
        <w:t xml:space="preserve">/ </w:t>
      </w:r>
    </w:p>
    <w:p w:rsidR="0078310B" w:rsidRDefault="0078310B" w:rsidP="0078310B">
      <w:pPr>
        <w:widowControl w:val="0"/>
        <w:ind w:firstLine="288"/>
        <w:jc w:val="both"/>
      </w:pPr>
      <w:r>
        <w:t xml:space="preserve">The </w:t>
      </w:r>
      <w:r w:rsidRPr="00310044">
        <w:t xml:space="preserve">chart </w:t>
      </w:r>
      <w:r>
        <w:t>below</w:t>
      </w:r>
      <w:r>
        <w:rPr>
          <w:rStyle w:val="FootnoteReference"/>
        </w:rPr>
        <w:footnoteReference w:id="99"/>
      </w:r>
      <w:r>
        <w:t xml:space="preserve"> illustrates this phenomenon in a different way</w:t>
      </w:r>
      <w:r w:rsidRPr="00310044">
        <w:t xml:space="preserve">. </w:t>
      </w:r>
    </w:p>
    <w:p w:rsidR="0078310B" w:rsidRDefault="0078310B" w:rsidP="0078310B">
      <w:pPr>
        <w:widowControl w:val="0"/>
        <w:ind w:firstLine="288"/>
        <w:jc w:val="both"/>
      </w:pPr>
    </w:p>
    <w:p w:rsidR="0078310B" w:rsidRDefault="0078310B" w:rsidP="0078310B">
      <w:pPr>
        <w:widowControl w:val="0"/>
        <w:ind w:firstLine="288"/>
        <w:jc w:val="center"/>
      </w:pPr>
      <w:r>
        <w:rPr>
          <w:noProof/>
        </w:rPr>
        <w:drawing>
          <wp:inline distT="0" distB="0" distL="0" distR="0" wp14:anchorId="7DA62D49" wp14:editId="6B2457BB">
            <wp:extent cx="4286250" cy="3829050"/>
            <wp:effectExtent l="0" t="0" r="0" b="0"/>
            <wp:docPr id="41" name="Picture 41" descr="http://www.cbpp.org/images/cms/11-28-11pov-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bpp.org/images/cms/11-28-11pov-f2.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6250" cy="3829050"/>
                    </a:xfrm>
                    <a:prstGeom prst="rect">
                      <a:avLst/>
                    </a:prstGeom>
                    <a:noFill/>
                    <a:ln>
                      <a:noFill/>
                    </a:ln>
                  </pic:spPr>
                </pic:pic>
              </a:graphicData>
            </a:graphic>
          </wp:inline>
        </w:drawing>
      </w:r>
    </w:p>
    <w:p w:rsidR="0078310B" w:rsidRDefault="0078310B" w:rsidP="0078310B">
      <w:pPr>
        <w:widowControl w:val="0"/>
        <w:ind w:firstLine="288"/>
        <w:jc w:val="both"/>
      </w:pPr>
    </w:p>
    <w:p w:rsidR="0078310B" w:rsidRDefault="0078310B" w:rsidP="0078310B">
      <w:pPr>
        <w:widowControl w:val="0"/>
        <w:spacing w:after="120"/>
        <w:jc w:val="both"/>
      </w:pPr>
      <w:r>
        <w:t>In other words, this chart shows how the top 1% is truly in a class by itself. Those in the 90</w:t>
      </w:r>
      <w:r w:rsidRPr="00F13B5E">
        <w:rPr>
          <w:vertAlign w:val="superscript"/>
        </w:rPr>
        <w:t>th</w:t>
      </w:r>
      <w:r>
        <w:t xml:space="preserve"> to 99</w:t>
      </w:r>
      <w:r w:rsidRPr="00F13B5E">
        <w:rPr>
          <w:vertAlign w:val="superscript"/>
        </w:rPr>
        <w:t>th</w:t>
      </w:r>
      <w:r>
        <w:t xml:space="preserve"> percentiles have much more in common with median earners than with the top 1%. </w:t>
      </w:r>
    </w:p>
    <w:p w:rsidR="0078310B" w:rsidRDefault="0078310B" w:rsidP="0078310B">
      <w:pPr>
        <w:widowControl w:val="0"/>
        <w:ind w:firstLine="288"/>
        <w:jc w:val="both"/>
      </w:pPr>
      <w:r>
        <w:t>The chart below</w:t>
      </w:r>
      <w:r>
        <w:rPr>
          <w:rStyle w:val="FootnoteReference"/>
        </w:rPr>
        <w:footnoteReference w:id="100"/>
      </w:r>
      <w:r>
        <w:t xml:space="preserve"> (which uses before-tax rather than after-tax income) shows the share of income of both the top 1% and the even more elite group of the top .5% since 1929. These trend lines show that the post-1980 period mirrors a gradual return to the income share enjoyed by the top 1% just before the 1929 market crash and ensuing Great Depression.</w:t>
      </w:r>
    </w:p>
    <w:p w:rsidR="0078310B" w:rsidRDefault="0078310B" w:rsidP="0078310B">
      <w:pPr>
        <w:widowControl w:val="0"/>
        <w:ind w:firstLine="288"/>
        <w:jc w:val="both"/>
      </w:pPr>
    </w:p>
    <w:p w:rsidR="0078310B" w:rsidRDefault="0078310B" w:rsidP="0078310B">
      <w:pPr>
        <w:widowControl w:val="0"/>
        <w:ind w:firstLine="288"/>
        <w:jc w:val="center"/>
      </w:pPr>
      <w:r>
        <w:rPr>
          <w:noProof/>
        </w:rPr>
        <w:drawing>
          <wp:inline distT="0" distB="0" distL="0" distR="0" wp14:anchorId="6C4697D8" wp14:editId="6B3C1D7F">
            <wp:extent cx="4295775" cy="4772025"/>
            <wp:effectExtent l="0" t="0" r="9525" b="9525"/>
            <wp:docPr id="8" name="Picture 8" descr="http://www.cbpp.org/images/cms/11-28-11pov-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bpp.org/images/cms/11-28-11pov-f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95775" cy="4772025"/>
                    </a:xfrm>
                    <a:prstGeom prst="rect">
                      <a:avLst/>
                    </a:prstGeom>
                    <a:noFill/>
                    <a:ln>
                      <a:noFill/>
                    </a:ln>
                  </pic:spPr>
                </pic:pic>
              </a:graphicData>
            </a:graphic>
          </wp:inline>
        </w:drawing>
      </w:r>
    </w:p>
    <w:p w:rsidR="0078310B" w:rsidRDefault="0078310B" w:rsidP="0078310B">
      <w:pPr>
        <w:widowControl w:val="0"/>
        <w:ind w:firstLine="288"/>
        <w:jc w:val="both"/>
      </w:pPr>
    </w:p>
    <w:p w:rsidR="0078310B" w:rsidRDefault="0078310B" w:rsidP="0078310B">
      <w:pPr>
        <w:widowControl w:val="0"/>
        <w:spacing w:after="120"/>
        <w:ind w:firstLine="288"/>
        <w:jc w:val="both"/>
      </w:pPr>
      <w:r>
        <w:t>And these trends continue. In September 2015, the Labor Department released data indicating that productivity was rising at an annual rate of 3.3 %, while a report issued the same day by the Economic Policy Institute showed that “even as labor productivity has improved steadily since 2000, the benefits from improved efficiency have nearly all gone to companies, shareholders and top executives, rather than rank-and-file employees.”</w:t>
      </w:r>
      <w:r>
        <w:rPr>
          <w:rStyle w:val="FootnoteReference"/>
        </w:rPr>
        <w:footnoteReference w:id="101"/>
      </w:r>
      <w:r>
        <w:t xml:space="preserve"> A December 2015 Pew Report shows that the middle class is no longer in the majority, with increases in both low-income and wealthy households, and that “the nation’s aggregate household income has substantially shifted from middle-income to upper-income households, driven by the growing size of the upper-income tier and more rapid gains in income at the top.”</w:t>
      </w:r>
      <w:r>
        <w:rPr>
          <w:rStyle w:val="FootnoteReference"/>
        </w:rPr>
        <w:footnoteReference w:id="102"/>
      </w:r>
    </w:p>
    <w:p w:rsidR="0078310B" w:rsidRDefault="0078310B" w:rsidP="0078310B">
      <w:pPr>
        <w:widowControl w:val="0"/>
        <w:spacing w:after="120"/>
        <w:ind w:left="720" w:right="720" w:firstLine="288"/>
        <w:jc w:val="both"/>
      </w:pPr>
      <w:r w:rsidRPr="007309FC">
        <w:t>Fully 49% of U.S. aggregate income went to upper-income households in 2014, up from 29% in 1970.</w:t>
      </w:r>
      <w:r>
        <w:t xml:space="preserve"> The share accruing to middle-income households was 43% in 2014, down substantially from 62% in 1970. And middle-income Americans have fallen further behind financially in the new century. In 2014, the median income of these households was 4% less than in 2000.</w:t>
      </w:r>
      <w:r>
        <w:rPr>
          <w:rStyle w:val="FootnoteReference"/>
        </w:rPr>
        <w:footnoteReference w:id="103"/>
      </w:r>
    </w:p>
    <w:p w:rsidR="00654B42" w:rsidRDefault="00654B42" w:rsidP="00654B42">
      <w:pPr>
        <w:widowControl w:val="0"/>
        <w:spacing w:after="120"/>
        <w:jc w:val="both"/>
      </w:pPr>
      <w:r>
        <w:t>Median household income rose significantly in 2015 but is still 1.6% lower than in 2007 (adjusted for inflation) and 2.4% lower than the peak reached in the late 1990s boom.</w:t>
      </w:r>
      <w:r>
        <w:rPr>
          <w:rStyle w:val="FootnoteReference"/>
        </w:rPr>
        <w:footnoteReference w:id="104"/>
      </w:r>
      <w:r>
        <w:t xml:space="preserve"> </w:t>
      </w:r>
    </w:p>
    <w:p w:rsidR="0078310B" w:rsidRDefault="0078310B" w:rsidP="00654B42">
      <w:pPr>
        <w:widowControl w:val="0"/>
        <w:spacing w:after="120"/>
        <w:ind w:firstLine="288"/>
        <w:jc w:val="both"/>
      </w:pPr>
      <w:r>
        <w:t xml:space="preserve">The data above focuses particularly on income trends, but wealth (assets </w:t>
      </w:r>
      <w:r>
        <w:rPr>
          <w:i/>
        </w:rPr>
        <w:t xml:space="preserve">less </w:t>
      </w:r>
      <w:r>
        <w:t>debts) is even more concentrated than income. For example, ignoring the value of owner-occupied residences, in 2007 the top 1% owned 42</w:t>
      </w:r>
      <w:r w:rsidRPr="00631572">
        <w:t xml:space="preserve">% </w:t>
      </w:r>
      <w:r>
        <w:t xml:space="preserve">of the nation’s financial wealth (the fair market value of assets other than one’s home </w:t>
      </w:r>
      <w:r>
        <w:rPr>
          <w:i/>
        </w:rPr>
        <w:t xml:space="preserve">less </w:t>
      </w:r>
      <w:r>
        <w:t xml:space="preserve">debt), while the bottom 80% owned only 7%. Looking only at stocks, bonds, and mutual funds, the top 1% owned 50.9%, whereas the bottom 50% owned only 0.5%. </w:t>
      </w:r>
      <w:r w:rsidRPr="00631572">
        <w:t>Debt, however, is fa</w:t>
      </w:r>
      <w:r>
        <w:t>irly evenly distributed; t</w:t>
      </w:r>
      <w:r w:rsidRPr="00631572">
        <w:t xml:space="preserve">he </w:t>
      </w:r>
      <w:r>
        <w:t>bottom 90% of households owes 73% of the debt, with the top 1% owing only 5% of the debt.</w:t>
      </w:r>
      <w:r>
        <w:rPr>
          <w:rStyle w:val="FootnoteReference"/>
        </w:rPr>
        <w:footnoteReference w:id="105"/>
      </w:r>
      <w:r>
        <w:t xml:space="preserve"> </w:t>
      </w:r>
    </w:p>
    <w:p w:rsidR="0078310B" w:rsidRDefault="0078310B" w:rsidP="0078310B">
      <w:pPr>
        <w:widowControl w:val="0"/>
        <w:ind w:firstLine="288"/>
        <w:jc w:val="both"/>
      </w:pPr>
      <w:r>
        <w:t xml:space="preserve">That snapshot picture of 2007 downplays the growth in wealth inequality over the last three decades. Wealth inequality grew substantially between 1983 and 2010, as shown in the chart below, which displays the </w:t>
      </w:r>
      <w:r>
        <w:rPr>
          <w:i/>
        </w:rPr>
        <w:t>growth</w:t>
      </w:r>
      <w:r>
        <w:t xml:space="preserve"> in wealth among quintiles between these two points in time.</w:t>
      </w:r>
      <w:r>
        <w:rPr>
          <w:rStyle w:val="FootnoteReference"/>
        </w:rPr>
        <w:footnoteReference w:id="106"/>
      </w:r>
    </w:p>
    <w:p w:rsidR="0078310B" w:rsidRPr="0052034E" w:rsidRDefault="0078310B" w:rsidP="0078310B">
      <w:pPr>
        <w:widowControl w:val="0"/>
        <w:ind w:firstLine="288"/>
        <w:jc w:val="both"/>
      </w:pPr>
    </w:p>
    <w:p w:rsidR="0078310B" w:rsidRPr="00A2251A" w:rsidRDefault="0078310B" w:rsidP="0078310B">
      <w:pPr>
        <w:jc w:val="center"/>
        <w:rPr>
          <w:b/>
        </w:rPr>
      </w:pPr>
      <w:r w:rsidRPr="00A2251A">
        <w:rPr>
          <w:b/>
        </w:rPr>
        <w:t>Share of total household wealth growth accruing to various wealth groups, 1983–2010</w:t>
      </w:r>
    </w:p>
    <w:p w:rsidR="0078310B" w:rsidRPr="002334F3" w:rsidRDefault="0078310B" w:rsidP="0078310B">
      <w:pPr>
        <w:widowControl w:val="0"/>
        <w:jc w:val="center"/>
        <w:outlineLvl w:val="0"/>
        <w:rPr>
          <w:noProof/>
        </w:rPr>
      </w:pPr>
    </w:p>
    <w:p w:rsidR="0078310B" w:rsidRDefault="0078310B" w:rsidP="0078310B">
      <w:pPr>
        <w:widowControl w:val="0"/>
        <w:jc w:val="center"/>
      </w:pPr>
      <w:r>
        <w:rPr>
          <w:noProof/>
        </w:rPr>
        <w:drawing>
          <wp:inline distT="0" distB="0" distL="0" distR="0" wp14:anchorId="7C447DDB" wp14:editId="6A9D29FA">
            <wp:extent cx="4210050" cy="2486561"/>
            <wp:effectExtent l="0" t="0" r="0" b="9525"/>
            <wp:docPr id="6" name="Picture 6" descr="http://www.epi.org/files/2012/charts-swa/6B.pn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i.org/files/2012/charts-swa/6B.png.6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22140" cy="2493702"/>
                    </a:xfrm>
                    <a:prstGeom prst="rect">
                      <a:avLst/>
                    </a:prstGeom>
                    <a:noFill/>
                    <a:ln>
                      <a:noFill/>
                    </a:ln>
                  </pic:spPr>
                </pic:pic>
              </a:graphicData>
            </a:graphic>
          </wp:inline>
        </w:drawing>
      </w:r>
    </w:p>
    <w:p w:rsidR="0078310B" w:rsidRDefault="0078310B" w:rsidP="0078310B">
      <w:pPr>
        <w:widowControl w:val="0"/>
        <w:ind w:left="720" w:right="720" w:firstLine="288"/>
        <w:jc w:val="both"/>
      </w:pPr>
    </w:p>
    <w:p w:rsidR="0078310B" w:rsidRDefault="00554B3C" w:rsidP="0092482A">
      <w:pPr>
        <w:pStyle w:val="NormalWeb"/>
        <w:spacing w:before="0" w:beforeAutospacing="0" w:after="120" w:afterAutospacing="0"/>
        <w:ind w:firstLine="288"/>
      </w:pPr>
      <w:r>
        <w:t xml:space="preserve">The Great Recession had an even greater impact on wealth inequality </w:t>
      </w:r>
      <w:r w:rsidR="0092482A">
        <w:t>than on income inequality because housing is the primary investment asset of the middle class. “</w:t>
      </w:r>
      <w:r w:rsidR="0078310B">
        <w:t>The crash in the housing market that preceded the Great Recession was more severe and of longer duration than the turmoil in the stock market. Thus, the portfolios of upper-income families performed better than the portfolios of middle-income families from 2007 to 2013. When all is said and done, upper-income families, which had three times as much wealth as middle-income families in 1983, had seven times as much in 2013.</w:t>
      </w:r>
      <w:r w:rsidR="0092482A">
        <w:t>”</w:t>
      </w:r>
      <w:r w:rsidR="0078310B">
        <w:rPr>
          <w:rStyle w:val="FootnoteReference"/>
        </w:rPr>
        <w:footnoteReference w:id="107"/>
      </w:r>
    </w:p>
    <w:p w:rsidR="00554B3C" w:rsidRDefault="00554B3C" w:rsidP="0078310B">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08"/>
      </w:r>
    </w:p>
    <w:p w:rsidR="000B7B77" w:rsidRDefault="000B7B77" w:rsidP="000B7B77">
      <w:pPr>
        <w:widowControl w:val="0"/>
        <w:spacing w:after="120"/>
        <w:ind w:left="720" w:right="720"/>
        <w:jc w:val="both"/>
      </w:pPr>
      <w:r>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rsidR="000B7B77" w:rsidRDefault="000B7B77" w:rsidP="000B7B77">
      <w:pPr>
        <w:widowControl w:val="0"/>
        <w:spacing w:after="120"/>
        <w:ind w:left="720" w:right="720"/>
        <w:jc w:val="both"/>
      </w:pPr>
      <w:r>
        <w:t>“If you’re closing off entryways, then you are basically shutting off avenues to competitiveness, innovation, and growth,” Ms. Boushey said, “even if you don’t care about fairness.”</w:t>
      </w:r>
      <w:r>
        <w:rPr>
          <w:rStyle w:val="FootnoteReference"/>
        </w:rPr>
        <w:footnoteReference w:id="109"/>
      </w:r>
    </w:p>
    <w:p w:rsidR="0078310B" w:rsidRDefault="0078310B" w:rsidP="0078310B">
      <w:pPr>
        <w:widowControl w:val="0"/>
        <w:spacing w:after="120"/>
        <w:ind w:firstLine="288"/>
        <w:jc w:val="both"/>
      </w:pPr>
      <w:r>
        <w:t xml:space="preserve">Why has the increased income from productivity gains gone increasingly to owners of capital rather than to labor? Most studies theorize that this trend—which is significantly more pronounced in America than in other countries—is  mainly attributable to three factors: cheaper labor abroad (trade), the increased use of automation (technology), and trends that weaken labor’s bargaining strength (changes in labor law and privatization). Please click and read the following article: </w:t>
      </w:r>
    </w:p>
    <w:p w:rsidR="0078310B" w:rsidRDefault="002B3596" w:rsidP="0078310B">
      <w:pPr>
        <w:widowControl w:val="0"/>
        <w:spacing w:after="120"/>
        <w:ind w:right="720"/>
        <w:jc w:val="both"/>
      </w:pPr>
      <w:hyperlink r:id="rId120" w:history="1">
        <w:r w:rsidR="0078310B" w:rsidRPr="00DA1F16">
          <w:rPr>
            <w:rStyle w:val="Hyperlink"/>
          </w:rPr>
          <w:t>www.nytimes.com/2013/01/13/sunday-review/americas-productivity-climbs-but-wages-stagnate.html?_r=0</w:t>
        </w:r>
      </w:hyperlink>
      <w:r w:rsidR="0078310B">
        <w:t xml:space="preserve">. </w:t>
      </w:r>
    </w:p>
    <w:p w:rsidR="0078310B" w:rsidRDefault="0078310B" w:rsidP="0078310B">
      <w:pPr>
        <w:widowControl w:val="0"/>
        <w:spacing w:after="120"/>
        <w:ind w:firstLine="288"/>
        <w:jc w:val="both"/>
      </w:pPr>
      <w:r>
        <w:t>Others argue that an additional important factor is public policy, including tax policy. For example, Thomas Piketty argues in an influential 2014 book</w:t>
      </w:r>
      <w:r>
        <w:rPr>
          <w:rStyle w:val="FootnoteReference"/>
        </w:rPr>
        <w:footnoteReference w:id="110"/>
      </w:r>
      <w:r>
        <w:t xml:space="preserve"> that the theory championed by Samuel Kuznet in the 1950s and 1960s that mature capitalist economies do not inevitably evolve toward economic inequality has been undermined by massive data sets that only recently have become possible to compile. His data shows that, as economies mature, the return to capital outstrips the overall rate of economic growth, meaning that lesser and lesser amounts of the gains from growth accrue to labor (workers). This trend leads to greater and greater wealth concentration unless the political system intervenes with countervailing measures, such as wealth taxation.</w:t>
      </w:r>
    </w:p>
    <w:p w:rsidR="0078310B" w:rsidRDefault="0078310B" w:rsidP="0078310B">
      <w:pPr>
        <w:widowControl w:val="0"/>
        <w:spacing w:after="120"/>
        <w:ind w:firstLine="288"/>
        <w:jc w:val="both"/>
      </w:pPr>
      <w:r>
        <w:t>When these trends first began in the late 1970s, many middle-class families were able nevertheless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1"/>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home equity lines of credit (studied in Chapter 18) turned many homes into ATMs, the proceeds of which supported consumption spending. Perhaps most significantly, student loans increased substantially. The amount of outstanding student loan debt exceeded the amount of outstanding credit card debt for the first time in 2010.</w:t>
      </w:r>
      <w:r>
        <w:rPr>
          <w:rStyle w:val="FootnoteReference"/>
        </w:rPr>
        <w:footnoteReference w:id="112"/>
      </w:r>
      <w:r>
        <w:t xml:space="preserve"> The amount of student loans taken out in 2010 exceeded $100 billion for the first time, and the total amount of outstanding student loan debt exceeded $1 trillion for the first time in 2012.</w:t>
      </w:r>
      <w:r>
        <w:rPr>
          <w:rStyle w:val="FootnoteReference"/>
        </w:rPr>
        <w:footnoteReference w:id="113"/>
      </w:r>
      <w:r>
        <w:t xml:space="preserve"> This debt load on the younger generation, coupled with stagnant middle-class incomes, can dampen demand for goods and services and thus dampen economic growth for years to come. (More on “supply” and “demand” in Part B., below.) </w:t>
      </w:r>
    </w:p>
    <w:p w:rsidR="0078310B" w:rsidRDefault="0078310B" w:rsidP="0078310B">
      <w:pPr>
        <w:widowControl w:val="0"/>
        <w:spacing w:after="120"/>
        <w:ind w:firstLine="288"/>
        <w:jc w:val="both"/>
      </w:pPr>
      <w:r>
        <w:t xml:space="preserve">With the bursting of the real estate bubble in 2007 to 2008, the combination of stagnant middle-class incomes and the lack of ready alternatives to maintain spending have turned increased attention to these long-term trends in increasing income and wealth inequality.   </w:t>
      </w:r>
    </w:p>
    <w:p w:rsidR="0078310B" w:rsidRDefault="0078310B" w:rsidP="0078310B">
      <w:pPr>
        <w:widowControl w:val="0"/>
        <w:ind w:firstLine="288"/>
        <w:jc w:val="both"/>
      </w:pPr>
      <w:r>
        <w:t>As noted earlier, a wealth tax is not likely at the Federal level under the apportionment clause. But could the income tax rate structure be fashioned so that effective Federal income tax rates were progressive relative to wealth (instead of income)? Such a rate structure would return the income tax to a “class tax,” as it was in the first several decades of its life, with only the wealthy paying it.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rsidR="0078310B" w:rsidRDefault="0078310B" w:rsidP="0078310B">
      <w:pPr>
        <w:widowControl w:val="0"/>
        <w:ind w:firstLine="288"/>
        <w:jc w:val="both"/>
      </w:pPr>
    </w:p>
    <w:p w:rsidR="0078310B" w:rsidRPr="008712CF" w:rsidRDefault="0078310B" w:rsidP="0078310B">
      <w:pPr>
        <w:pStyle w:val="Heading2"/>
        <w:spacing w:before="0"/>
        <w:rPr>
          <w:sz w:val="32"/>
          <w:szCs w:val="32"/>
          <w:u w:val="single"/>
        </w:rPr>
      </w:pPr>
      <w:bookmarkStart w:id="46" w:name="_Toc395790359"/>
      <w:r w:rsidRPr="008712CF">
        <w:rPr>
          <w:sz w:val="32"/>
          <w:szCs w:val="32"/>
          <w:u w:val="single"/>
        </w:rPr>
        <w:t>B. Fairness norms, economic theories, and politics</w:t>
      </w:r>
      <w:bookmarkEnd w:id="46"/>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One chief takeaway from this part is that no single tax base and tax rate structure can be seen as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rsidR="0078310B" w:rsidRDefault="0078310B" w:rsidP="0078310B">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less that is taxed),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rsidR="0078310B" w:rsidRDefault="0078310B" w:rsidP="0078310B">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As you also read, the movement to adopt an income tax was based mostly on notions of fairness, as an income tax was thought to shift at least some of the tax burden from the lower and middle classes to the wealthy. Consistent with its origins, the income tax at first reached less than one percent of the population. Thus, it was purely a “class tax” that was imposed primarily on the capital income of the wealthy before it shifted with WWII to a “mass tax” that has been paid by more than half of U.S. households ever since. Over the last twenty years or so, there has been vociferous calls, however, to move back to our roots by repealing the income tax in favor of some sort of pure consumption taxation again, whether a retail sales tax, a VAT, a cash-flow consumption tax, or the so-called flat tax that would tax only wage income (not ca</w:t>
      </w:r>
      <w:r w:rsidR="00FC5629">
        <w:t xml:space="preserve">pital income) at the individual </w:t>
      </w:r>
      <w:r>
        <w:t xml:space="preserve">level, as described in Chapter 2. </w:t>
      </w:r>
    </w:p>
    <w:p w:rsidR="0078310B" w:rsidRDefault="0078310B" w:rsidP="0078310B">
      <w:pPr>
        <w:widowControl w:val="0"/>
        <w:spacing w:after="120"/>
        <w:ind w:firstLine="288"/>
        <w:jc w:val="both"/>
      </w:pPr>
      <w:r>
        <w:t xml:space="preserve">Most recently, some commentators have begun to argue that we should </w:t>
      </w:r>
      <w:r w:rsidRPr="002E55C0">
        <w:rPr>
          <w:i/>
        </w:rPr>
        <w:t>add</w:t>
      </w:r>
      <w:r>
        <w:t xml:space="preserve"> a broad-based consumption tax to the income tax at the Federal level (common in many other countries) in order to raise additional revenue that can then be used to reduce projected future deficits arising from current spending commitments and/or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14"/>
      </w:r>
      <w:r>
        <w:t xml:space="preserve"> Of course, whether the new revenue obtained under any add-on Federal consumption tax would be spent on social safety net programs could not be guaranteed. The current Congress cannot bind future Congresses from changing how Federal revenue is spent. </w:t>
      </w:r>
    </w:p>
    <w:p w:rsidR="0078310B" w:rsidRDefault="0078310B" w:rsidP="0078310B">
      <w:pPr>
        <w:widowControl w:val="0"/>
        <w:spacing w:after="120"/>
        <w:ind w:firstLine="288"/>
        <w:jc w:val="both"/>
      </w:pPr>
      <w:r>
        <w:t xml:space="preserve">Which fairness norms and economic norms may be relevant in thinking about these proposals? </w:t>
      </w:r>
      <w:bookmarkStart w:id="47" w:name="_Toc395790360"/>
    </w:p>
    <w:p w:rsidR="0078310B" w:rsidRPr="001C3606" w:rsidRDefault="0078310B" w:rsidP="0078310B">
      <w:pPr>
        <w:widowControl w:val="0"/>
        <w:spacing w:after="120"/>
        <w:jc w:val="both"/>
        <w:rPr>
          <w:b/>
        </w:rPr>
      </w:pPr>
      <w:r w:rsidRPr="001C3606">
        <w:rPr>
          <w:b/>
          <w:i/>
        </w:rPr>
        <w:t>Fairness norms in general</w:t>
      </w:r>
      <w:bookmarkEnd w:id="47"/>
    </w:p>
    <w:p w:rsidR="0078310B" w:rsidRDefault="0078310B" w:rsidP="0078310B">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But how do we measure “likeness”?</w:t>
      </w:r>
    </w:p>
    <w:p w:rsidR="0078310B" w:rsidRPr="00637C94" w:rsidRDefault="0078310B" w:rsidP="0078310B">
      <w:pPr>
        <w:widowControl w:val="0"/>
        <w:spacing w:after="120"/>
        <w:ind w:left="720" w:right="720"/>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rsidR="0078310B" w:rsidRPr="00637C94" w:rsidRDefault="0078310B" w:rsidP="0078310B">
      <w:pPr>
        <w:widowControl w:val="0"/>
        <w:spacing w:after="120"/>
        <w:ind w:left="720" w:right="720"/>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rsidR="0078310B" w:rsidRPr="00637C94" w:rsidRDefault="0078310B" w:rsidP="0078310B">
      <w:pPr>
        <w:widowControl w:val="0"/>
        <w:spacing w:after="120"/>
        <w:ind w:left="720" w:right="720"/>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rsidR="0078310B" w:rsidRDefault="0078310B" w:rsidP="0078310B">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rsidR="0078310B" w:rsidRDefault="0078310B" w:rsidP="0078310B">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rsidR="0078310B" w:rsidRDefault="0078310B" w:rsidP="0078310B">
      <w:pPr>
        <w:widowControl w:val="0"/>
        <w:autoSpaceDE w:val="0"/>
        <w:autoSpaceDN w:val="0"/>
        <w:adjustRightInd w:val="0"/>
        <w:spacing w:after="120"/>
        <w:ind w:firstLine="288"/>
        <w:jc w:val="both"/>
      </w:pPr>
      <w:r>
        <w:t xml:space="preserve">The ultimate question can be phrased as follows: </w:t>
      </w:r>
      <w:r>
        <w:rPr>
          <w:rFonts w:cs="Times New Roman"/>
          <w:i/>
          <w:iCs/>
        </w:rPr>
        <w:t xml:space="preserve">what is the fairest way to allocate </w:t>
      </w:r>
      <w:r w:rsidRPr="001C670A">
        <w:rPr>
          <w:rFonts w:cs="Times New Roman"/>
          <w:i/>
          <w:iCs/>
        </w:rPr>
        <w:t>the costs of maintaining</w:t>
      </w:r>
      <w:r>
        <w:rPr>
          <w:rFonts w:cs="Times New Roman"/>
          <w:i/>
          <w:iCs/>
        </w:rPr>
        <w:t xml:space="preserve"> </w:t>
      </w:r>
      <w:r w:rsidRPr="001C670A">
        <w:rPr>
          <w:rFonts w:cs="Times New Roman"/>
          <w:i/>
          <w:iCs/>
        </w:rPr>
        <w:t>a regulat</w:t>
      </w:r>
      <w:r>
        <w:rPr>
          <w:rFonts w:cs="Times New Roman"/>
          <w:i/>
          <w:iCs/>
        </w:rPr>
        <w:t xml:space="preserve">ed capitalist economy, where the market’s laws of supply and demand create wealth, </w:t>
      </w:r>
      <w:r w:rsidRPr="001C670A">
        <w:rPr>
          <w:rFonts w:cs="Times New Roman"/>
          <w:i/>
          <w:iCs/>
        </w:rPr>
        <w:t>among the members of the population?</w:t>
      </w:r>
    </w:p>
    <w:p w:rsidR="0078310B" w:rsidRPr="00A3659F" w:rsidRDefault="0078310B" w:rsidP="0078310B">
      <w:pPr>
        <w:widowControl w:val="0"/>
        <w:spacing w:after="120"/>
        <w:ind w:firstLine="288"/>
        <w:jc w:val="both"/>
      </w:pPr>
      <w:r>
        <w:rPr>
          <w:b/>
        </w:rPr>
        <w:t>Possibility 1: Allocate the costs equally among all members of the population.</w:t>
      </w:r>
    </w:p>
    <w:p w:rsidR="0078310B" w:rsidRDefault="0078310B" w:rsidP="0078310B">
      <w:pPr>
        <w:widowControl w:val="0"/>
        <w:spacing w:after="120"/>
        <w:ind w:firstLine="288"/>
        <w:jc w:val="both"/>
        <w:rPr>
          <w:b/>
        </w:rPr>
      </w:pPr>
      <w:r>
        <w:rPr>
          <w:b/>
        </w:rPr>
        <w:t>Possibility 2: Allocate the costs according to wealth.</w:t>
      </w:r>
    </w:p>
    <w:p w:rsidR="0078310B" w:rsidRDefault="0078310B" w:rsidP="0078310B">
      <w:pPr>
        <w:widowControl w:val="0"/>
        <w:spacing w:after="120"/>
        <w:ind w:firstLine="288"/>
        <w:jc w:val="both"/>
        <w:rPr>
          <w:b/>
        </w:rPr>
      </w:pPr>
      <w:r>
        <w:rPr>
          <w:b/>
        </w:rPr>
        <w:t xml:space="preserve">Possibility 3: Allocate the costs according to “ability to pay.” </w:t>
      </w:r>
    </w:p>
    <w:p w:rsidR="0078310B" w:rsidRDefault="0078310B" w:rsidP="0078310B">
      <w:pPr>
        <w:widowControl w:val="0"/>
        <w:spacing w:after="120"/>
        <w:ind w:firstLine="288"/>
        <w:jc w:val="both"/>
      </w:pPr>
      <w:r>
        <w:rPr>
          <w:b/>
        </w:rPr>
        <w:t>Possibility 4: Allocate the costs according to “utility” or “standard of living.”</w:t>
      </w:r>
    </w:p>
    <w:p w:rsidR="0078310B" w:rsidRPr="00DF1E7B" w:rsidRDefault="0078310B" w:rsidP="0078310B">
      <w:pPr>
        <w:widowControl w:val="0"/>
        <w:spacing w:after="120"/>
        <w:ind w:firstLine="288"/>
        <w:jc w:val="both"/>
      </w:pPr>
      <w:r>
        <w:rPr>
          <w:b/>
        </w:rPr>
        <w:t xml:space="preserve">Possibility 5: Allocate the costs according to the benefits received from government. </w:t>
      </w:r>
    </w:p>
    <w:p w:rsidR="0078310B" w:rsidRDefault="0078310B" w:rsidP="0078310B">
      <w:pPr>
        <w:widowControl w:val="0"/>
        <w:spacing w:after="120"/>
        <w:ind w:firstLine="288"/>
        <w:jc w:val="both"/>
      </w:pPr>
      <w:r>
        <w:t>Possibility 1 postulates an equal-amount head tax imposed on each member of the</w:t>
      </w:r>
      <w:r w:rsidR="00E37710">
        <w:t xml:space="preserve"> population. Projected Federal spending </w:t>
      </w:r>
      <w:r w:rsidR="007A67D7">
        <w:t xml:space="preserve">for </w:t>
      </w:r>
      <w:r w:rsidR="00E37710">
        <w:t xml:space="preserve">Fiscal Year 2016 is about $3.9 </w:t>
      </w:r>
      <w:r>
        <w:t>trillion,</w:t>
      </w:r>
      <w:r>
        <w:rPr>
          <w:rStyle w:val="FootnoteReference"/>
        </w:rPr>
        <w:footnoteReference w:id="115"/>
      </w:r>
      <w:r>
        <w:t xml:space="preserve"> and the U.S. population consists of approximately 316 million people.</w:t>
      </w:r>
      <w:r>
        <w:rPr>
          <w:rStyle w:val="FootnoteReference"/>
        </w:rPr>
        <w:footnoteReference w:id="116"/>
      </w:r>
      <w:r>
        <w:t xml:space="preserve"> Thus, a flat head tax would result in a tax owed by every man, woman, an</w:t>
      </w:r>
      <w:r w:rsidR="00AA4CE6">
        <w:t>d child of approximately $12,340</w:t>
      </w:r>
      <w:r>
        <w:t>, rega</w:t>
      </w:r>
      <w:r w:rsidR="00AA4CE6">
        <w:t>rdless of income or wealth ($3.9</w:t>
      </w:r>
      <w:r>
        <w:t xml:space="preserve"> trillion/316 million people). Because an equal, per person head tax would have to </w:t>
      </w:r>
      <w:r w:rsidR="00AA4CE6">
        <w:t>be very low (much lower than $12,34</w:t>
      </w:r>
      <w:r>
        <w:t xml:space="preserve">0) to be able to be paid by children and the poor, such a distribution is not realistic to support a modern industrialized state with a large military. We need to move on. </w:t>
      </w:r>
    </w:p>
    <w:p w:rsidR="00673D1C" w:rsidRDefault="0078310B" w:rsidP="0078310B">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30 years—and is even more pronounced than income inequality. Unlike an income tax, a wealth tax taxes the same dollars to the same taxpayer more than once. Many European countries impose annual wealth taxes, but in the U.S. an annual wealth tax would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17"/>
      </w:r>
      <w:r>
        <w:t xml:space="preserve"> </w:t>
      </w:r>
    </w:p>
    <w:p w:rsidR="0078310B" w:rsidRDefault="0078310B" w:rsidP="0078310B">
      <w:pPr>
        <w:widowControl w:val="0"/>
        <w:spacing w:after="120"/>
        <w:ind w:firstLine="288"/>
        <w:jc w:val="both"/>
      </w:pPr>
      <w:r>
        <w:t xml:space="preserve">Nevertheless, if apportioning the tax burden according to relative wealth is appealing, one could conceivably create a tax rate structure on either income or consumption with the goal of replicating the distribution of the tax burden that </w:t>
      </w:r>
      <w:r w:rsidRPr="002B0782">
        <w:rPr>
          <w:i/>
        </w:rPr>
        <w:t>would</w:t>
      </w:r>
      <w:r>
        <w:t xml:space="preserve"> occur with an annual flat-rate wealth tax. Such an approach would, however, likely require exemption for much of the income scale with then very steeply progressive rates where wealth is concentrated. It would also result in little or no taxation of young adults (while they are building wealth after a period of negative net worth while they are indebted students) and much heavier taxation of the older generation. Even if thought desirable, such a result is not likely as a political matter. </w:t>
      </w:r>
    </w:p>
    <w:p w:rsidR="0078310B" w:rsidRDefault="0078310B" w:rsidP="0078310B">
      <w:pPr>
        <w:widowControl w:val="0"/>
        <w:spacing w:after="120"/>
        <w:ind w:firstLine="288"/>
        <w:jc w:val="both"/>
      </w:pPr>
      <w:r>
        <w:t>Possibility 3—that the costs of government should be allocated according to ability to pay—is traditionally perceived as being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That is to say, the most common argument in favor of income t</w:t>
      </w:r>
      <w:r w:rsidR="00EB017A">
        <w:t xml:space="preserve">axation is that it </w:t>
      </w:r>
      <w:r>
        <w:t xml:space="preserve">better measures one’s ability to contribute to the national fisc than does consumption taxation because </w:t>
      </w:r>
      <w:r>
        <w:rPr>
          <w:i/>
        </w:rPr>
        <w:t>both</w:t>
      </w:r>
      <w:r>
        <w:t xml:space="preserve"> amounts spent on consumption </w:t>
      </w:r>
      <w:r w:rsidRPr="00EF0BD0">
        <w:rPr>
          <w:i/>
        </w:rPr>
        <w:t>and</w:t>
      </w:r>
      <w:r>
        <w:t xml:space="preserve"> amounts saved (an income tax base) represent ability to pay. </w:t>
      </w:r>
    </w:p>
    <w:p w:rsidR="0078310B" w:rsidRDefault="0078310B" w:rsidP="0078310B">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utility or standard-of-living norm would support consumption taxation over income taxation. </w:t>
      </w:r>
    </w:p>
    <w:p w:rsidR="0078310B" w:rsidRDefault="0078310B" w:rsidP="0078310B">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though even those who do not pay Medicare Tax (because they either earn no income or earn only capital income, such as interest, dividends, and capital gains not exceeding $200,000 or $250,000 for a married couple filing jointly) are eligible to enroll in the Medicare program upon reaching age 65, so the fit is less perfect. On the other hand, perhaps that is not the only way to think about the benefit norm. </w:t>
      </w:r>
    </w:p>
    <w:p w:rsidR="0078310B" w:rsidRDefault="0078310B" w:rsidP="0078310B">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p>
    <w:p w:rsidR="0078310B" w:rsidRPr="0086189B" w:rsidRDefault="0078310B" w:rsidP="0078310B">
      <w:pPr>
        <w:widowControl w:val="0"/>
        <w:spacing w:after="120"/>
        <w:ind w:left="720" w:right="720"/>
        <w:jc w:val="both"/>
        <w:rPr>
          <w:rFonts w:cs="Times New Roman"/>
        </w:rPr>
      </w:pPr>
      <w:r w:rsidRPr="001C670A">
        <w:rPr>
          <w:rFonts w:cs="Times New Roman"/>
        </w:rPr>
        <w:t>The person earning</w:t>
      </w:r>
      <w:r>
        <w:rPr>
          <w:rFonts w:cs="Times New Roman"/>
        </w:rPr>
        <w:t xml:space="preserve"> </w:t>
      </w:r>
      <w:r w:rsidRPr="001C670A">
        <w:rPr>
          <w:rFonts w:cs="Times New Roman"/>
        </w:rPr>
        <w:t xml:space="preserve">$500,000 per year is able to do so </w:t>
      </w:r>
      <w:r w:rsidRPr="001C670A">
        <w:rPr>
          <w:rFonts w:cs="Times New Roman"/>
          <w:i/>
          <w:iCs/>
        </w:rPr>
        <w:t xml:space="preserve">only because </w:t>
      </w:r>
      <w:r w:rsidRPr="001C670A">
        <w:rPr>
          <w:rFonts w:cs="Times New Roman"/>
        </w:rPr>
        <w:t>he or she lives in a regulated</w:t>
      </w:r>
      <w:r>
        <w:rPr>
          <w:rFonts w:cs="Times New Roman"/>
        </w:rPr>
        <w:t xml:space="preserve"> </w:t>
      </w:r>
      <w:r w:rsidRPr="001C670A">
        <w:rPr>
          <w:rFonts w:cs="Times New Roman"/>
        </w:rPr>
        <w:t>capitalist system and can exploit the market to sell products or services.</w:t>
      </w:r>
      <w:r>
        <w:rPr>
          <w:rFonts w:cs="Times New Roman"/>
        </w:rPr>
        <w:t xml:space="preserve"> </w:t>
      </w:r>
      <w:r w:rsidRPr="001C670A">
        <w:rPr>
          <w:rFonts w:cs="Times New Roman"/>
        </w:rPr>
        <w:t>That $500,000 is not earned by the individual in a vacuum; it is—perhaps in very large part—made possible by our system of laws (where</w:t>
      </w:r>
      <w:r>
        <w:rPr>
          <w:rFonts w:cs="Times New Roman"/>
        </w:rPr>
        <w:t xml:space="preserve"> </w:t>
      </w:r>
      <w:r w:rsidRPr="001C670A">
        <w:rPr>
          <w:rFonts w:cs="Times New Roman"/>
        </w:rPr>
        <w:t>contracts will be enforced), our education system, a functioning court system,</w:t>
      </w:r>
      <w:r>
        <w:rPr>
          <w:rFonts w:cs="Times New Roman"/>
        </w:rPr>
        <w:t xml:space="preserve"> </w:t>
      </w:r>
      <w:r w:rsidRPr="001C670A">
        <w:rPr>
          <w:rFonts w:cs="Times New Roman"/>
        </w:rPr>
        <w:t>functioning transportation and technology systems, a military complex,</w:t>
      </w:r>
      <w:r>
        <w:rPr>
          <w:rFonts w:cs="Times New Roman"/>
        </w:rPr>
        <w:t xml:space="preserve"> </w:t>
      </w:r>
      <w:r w:rsidRPr="003532AD">
        <w:rPr>
          <w:rFonts w:cs="Times New Roman"/>
          <w:i/>
        </w:rPr>
        <w:t>etc., etc., etc.</w:t>
      </w:r>
      <w:r w:rsidRPr="001C670A">
        <w:rPr>
          <w:rFonts w:cs="Times New Roman"/>
        </w:rPr>
        <w:t xml:space="preserve"> As Bill Gates’s dad said in support of the estate tax:</w:t>
      </w:r>
      <w:r>
        <w:rPr>
          <w:rFonts w:cs="Times New Roman"/>
        </w:rPr>
        <w:t xml:space="preserve"> </w:t>
      </w:r>
      <w:r w:rsidRPr="001C670A">
        <w:rPr>
          <w:rFonts w:cs="Times New Roman"/>
        </w:rPr>
        <w:t>“It is a very legitimate claim of society on an accumulation of wealth</w:t>
      </w:r>
      <w:r>
        <w:rPr>
          <w:rFonts w:cs="Times New Roman"/>
        </w:rPr>
        <w:t xml:space="preserve"> </w:t>
      </w:r>
      <w:r w:rsidRPr="001C670A">
        <w:rPr>
          <w:rFonts w:cs="Times New Roman"/>
        </w:rPr>
        <w:t>which would not have occurred without an orderly market, free education</w:t>
      </w:r>
      <w:r>
        <w:rPr>
          <w:rFonts w:cs="Times New Roman"/>
        </w:rPr>
        <w:t xml:space="preserve"> </w:t>
      </w:r>
      <w:r w:rsidRPr="001C670A">
        <w:rPr>
          <w:rFonts w:cs="Times New Roman"/>
        </w:rPr>
        <w:t>and incredible dollars spent on research.”</w:t>
      </w:r>
      <w:r>
        <w:rPr>
          <w:rStyle w:val="FootnoteReference"/>
          <w:rFonts w:cs="Times New Roman"/>
        </w:rPr>
        <w:footnoteReference w:id="118"/>
      </w:r>
    </w:p>
    <w:p w:rsidR="0078310B" w:rsidRPr="001D56DC" w:rsidRDefault="0078310B" w:rsidP="0078310B">
      <w:pPr>
        <w:pStyle w:val="Heading3"/>
        <w:spacing w:before="0" w:beforeAutospacing="0" w:after="120" w:afterAutospacing="0"/>
        <w:rPr>
          <w:i/>
        </w:rPr>
      </w:pPr>
      <w:bookmarkStart w:id="48" w:name="_Toc395790362"/>
      <w:r>
        <w:rPr>
          <w:i/>
        </w:rPr>
        <w:t>F</w:t>
      </w:r>
      <w:r w:rsidRPr="001D56DC">
        <w:rPr>
          <w:i/>
        </w:rPr>
        <w:t>airness and the wage tax</w:t>
      </w:r>
      <w:bookmarkEnd w:id="48"/>
    </w:p>
    <w:p w:rsidR="0078310B" w:rsidRDefault="0078310B" w:rsidP="0078310B">
      <w:pPr>
        <w:widowControl w:val="0"/>
        <w:spacing w:after="120"/>
        <w:ind w:firstLine="288"/>
        <w:jc w:val="both"/>
      </w:pPr>
      <w:r>
        <w:t xml:space="preserve">Is a tax on labor income only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rsidR="0078310B" w:rsidRDefault="0078310B" w:rsidP="0078310B">
      <w:pPr>
        <w:widowControl w:val="0"/>
        <w:spacing w:after="120"/>
        <w:ind w:firstLine="288"/>
        <w:jc w:val="both"/>
      </w:pPr>
      <w:r>
        <w:t xml:space="preserve">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fair market value is the market’s best guess at the present, discounted value of the future stream of payments expected to be generated by that asset. Thus, for example,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 (as they would under an income tax) because—the argument goes—he was already implicitly taxed on those dollars when he was denied a deduction on the initial $10,000 purchase price (equal to the market’s best guess regarding the discounted present value of those </w:t>
      </w:r>
      <w:r w:rsidRPr="00626F31">
        <w:rPr>
          <w:i/>
        </w:rPr>
        <w:t>future</w:t>
      </w:r>
      <w:r>
        <w:t xml:space="preserve"> receipts). </w:t>
      </w:r>
    </w:p>
    <w:p w:rsidR="0078310B" w:rsidRDefault="0078310B" w:rsidP="0078310B">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writes: </w:t>
      </w:r>
    </w:p>
    <w:p w:rsidR="0078310B" w:rsidRDefault="0078310B" w:rsidP="0078310B">
      <w:pPr>
        <w:widowControl w:val="0"/>
        <w:spacing w:after="120"/>
        <w:ind w:left="720" w:right="720"/>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19"/>
      </w:r>
      <w:r>
        <w:rPr>
          <w:rStyle w:val="middlecopy"/>
        </w:rPr>
        <w:t> </w:t>
      </w:r>
    </w:p>
    <w:p w:rsidR="0078310B" w:rsidRDefault="0078310B" w:rsidP="0078310B">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actually the </w:t>
      </w:r>
      <w:r w:rsidRPr="0076710F">
        <w:rPr>
          <w:i/>
        </w:rPr>
        <w:t>same thing</w:t>
      </w:r>
      <w:r>
        <w:t xml:space="preserve"> as the future payments themselves, as taxpaying capacity </w:t>
      </w:r>
      <w:r>
        <w:rPr>
          <w:i/>
        </w:rPr>
        <w:t>over time</w:t>
      </w:r>
      <w:r>
        <w:t xml:space="preserve"> is what should be relevant. For example, Nicholas Kaldor, a mid-20</w:t>
      </w:r>
      <w:r w:rsidRPr="00704102">
        <w:rPr>
          <w:vertAlign w:val="superscript"/>
        </w:rPr>
        <w:t>th</w:t>
      </w:r>
      <w:r>
        <w:t xml:space="preserve"> century British economist, rejected the “double tax” argument when he wrote:</w:t>
      </w:r>
      <w:r>
        <w:rPr>
          <w:rStyle w:val="FootnoteReference"/>
        </w:rPr>
        <w:footnoteReference w:id="120"/>
      </w:r>
      <w:r>
        <w:t xml:space="preserve"> </w:t>
      </w:r>
    </w:p>
    <w:p w:rsidR="0078310B" w:rsidRDefault="0078310B" w:rsidP="0078310B">
      <w:pPr>
        <w:widowControl w:val="0"/>
        <w:spacing w:after="120"/>
        <w:ind w:left="720" w:right="720"/>
        <w:jc w:val="both"/>
      </w:pPr>
      <w:r>
        <w:t>Some people would take strong ob</w:t>
      </w:r>
      <w:r w:rsidR="00B543E8">
        <w:t xml:space="preserve">jection to this statement </w:t>
      </w:r>
      <w:r>
        <w:t xml:space="preserve">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rsidR="0078310B" w:rsidRDefault="0078310B" w:rsidP="0078310B">
      <w:pPr>
        <w:widowControl w:val="0"/>
        <w:spacing w:after="120"/>
        <w:ind w:firstLine="288"/>
        <w:jc w:val="both"/>
      </w:pPr>
      <w:r>
        <w:t xml:space="preserve">Indeed, many who argue for a pure consumption tax base (as opposed to an income tax base) think that a tax on labor income only is the </w:t>
      </w:r>
      <w:r>
        <w:rPr>
          <w:i/>
        </w:rPr>
        <w:t>least </w:t>
      </w:r>
      <w:r>
        <w:t xml:space="preserve">fair form of consumption taxation because it fails to reach the extraordinary (or supranormal) return that exceeds the discounted present value of what the market expected when the investment was purchased, as was also described in Chapter 2 with respect to Brenda. There, we saw that, under the E. Cary Brown yield-exemption phenomenon, denying deduction of the original investment but excluding returns (under a wage tax) will provide the same outcome as a cash-flow consumption tax (deducting the investment in the year of purchase but including 100% of the return, including basis recovery) </w:t>
      </w:r>
      <w:r w:rsidRPr="00D42D4F">
        <w:rPr>
          <w:i/>
        </w:rPr>
        <w:t>only if the investment assets produce precisely the normal market return originally expected when the market set the asset price</w:t>
      </w:r>
      <w:r>
        <w:t xml:space="preserve">. If the investment produces a </w:t>
      </w:r>
      <w:r>
        <w:rPr>
          <w:i/>
        </w:rPr>
        <w:t>higher</w:t>
      </w:r>
      <w:r>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w:t>
      </w:r>
    </w:p>
    <w:p w:rsidR="0078310B" w:rsidRDefault="0078310B" w:rsidP="0078310B">
      <w:pPr>
        <w:widowControl w:val="0"/>
        <w:spacing w:after="120"/>
        <w:ind w:firstLine="288"/>
        <w:jc w:val="both"/>
      </w:pPr>
      <w: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045A8D">
        <w:rPr>
          <w:i/>
        </w:rPr>
        <w:t>$</w:t>
      </w:r>
      <w:r>
        <w:rPr>
          <w:i/>
        </w:rPr>
        <w:t>X</w:t>
      </w:r>
      <w:r>
        <w:t xml:space="preserve">).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 </w:t>
      </w:r>
    </w:p>
    <w:p w:rsidR="0078310B" w:rsidRPr="00083FB8" w:rsidRDefault="0078310B" w:rsidP="0078310B">
      <w:pPr>
        <w:pStyle w:val="Heading3"/>
        <w:spacing w:before="0" w:beforeAutospacing="0" w:after="120" w:afterAutospacing="0"/>
        <w:rPr>
          <w:i/>
        </w:rPr>
      </w:pPr>
      <w:bookmarkStart w:id="49" w:name="_Toc395790363"/>
      <w:r w:rsidRPr="00083FB8">
        <w:rPr>
          <w:i/>
        </w:rPr>
        <w:t>Fairness and other forms of consumption taxation</w:t>
      </w:r>
      <w:bookmarkEnd w:id="49"/>
    </w:p>
    <w:p w:rsidR="0078310B" w:rsidRDefault="0078310B" w:rsidP="0078310B">
      <w:pPr>
        <w:widowControl w:val="0"/>
        <w:spacing w:after="120"/>
        <w:ind w:firstLine="288"/>
        <w:jc w:val="both"/>
      </w:pPr>
      <w:r>
        <w:t>With respect to consumption taxes in general, you read in Part A. how the movements in the late 19</w:t>
      </w:r>
      <w:r w:rsidRPr="00E5133C">
        <w:rPr>
          <w:vertAlign w:val="superscript"/>
        </w:rPr>
        <w:t>th</w:t>
      </w:r>
      <w:r>
        <w:t xml:space="preserve"> and early 20</w:t>
      </w:r>
      <w:r w:rsidRPr="00E5133C">
        <w:rPr>
          <w:vertAlign w:val="superscript"/>
        </w:rPr>
        <w:t>th</w:t>
      </w:r>
      <w:r>
        <w:t xml:space="preserve"> centuries championing the move from consumption taxation to income taxation was premised primarily on concerns about fairness and wealth concentration. 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1"/>
      </w:r>
      <w:r>
        <w:t xml:space="preserve"> </w:t>
      </w:r>
    </w:p>
    <w:p w:rsidR="0078310B" w:rsidRDefault="0078310B" w:rsidP="0078310B">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2"/>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3"/>
      </w:r>
      <w:r>
        <w:t xml:space="preserve"> while non-savers “are only about themselves, who look to spend every last penny on their narrowly selfish desires.”</w:t>
      </w:r>
      <w:r>
        <w:rPr>
          <w:rStyle w:val="FootnoteReference"/>
        </w:rPr>
        <w:footnoteReference w:id="124"/>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5"/>
      </w:r>
    </w:p>
    <w:p w:rsidR="0078310B" w:rsidRDefault="0078310B" w:rsidP="0078310B">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rsidR="0078310B" w:rsidRDefault="0078310B" w:rsidP="0078310B">
      <w:pPr>
        <w:widowControl w:val="0"/>
        <w:spacing w:after="120"/>
        <w:ind w:left="720" w:right="720"/>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s because they benefit from the trade. As a general rule both sides are better off after the exchange than they were before the 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26"/>
      </w:r>
    </w:p>
    <w:p w:rsidR="0078310B" w:rsidRPr="00E13CCC" w:rsidRDefault="0078310B" w:rsidP="0078310B">
      <w:pPr>
        <w:widowControl w:val="0"/>
        <w:spacing w:after="120"/>
        <w:jc w:val="both"/>
      </w:pPr>
      <w:r>
        <w:t xml:space="preserve">Thus, 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rsidR="0078310B" w:rsidRDefault="0078310B" w:rsidP="0078310B">
      <w:pPr>
        <w:widowControl w:val="0"/>
        <w:spacing w:after="120"/>
        <w:ind w:firstLine="288"/>
        <w:jc w:val="both"/>
      </w:pPr>
      <w:r>
        <w:t xml:space="preserve">While consumption tax advocates sometimes attempt to frame their support in terms of fairness, the argument that saved wealth benefits society at large (mentioned in the quotation by Professor McCaffery) is really, at bottom, an economic argument. </w:t>
      </w:r>
      <w:r w:rsidR="00E976C4">
        <w:t xml:space="preserve">Here is the argument: </w:t>
      </w:r>
      <w:r>
        <w:t xml:space="preserve">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w:t>
      </w:r>
      <w:r w:rsidR="0029102A">
        <w:t>This is what Congressman Ryan meant when he said (in the quotation a few pages earlier): “</w:t>
      </w:r>
      <w:r w:rsidR="0029102A">
        <w:rPr>
          <w:rStyle w:val="middlecopy"/>
        </w:rPr>
        <w:t>Not only is this [taxing only wages and not capital returns] fair to individual taxpayers, it also is good for the economy. Greater savings leads to more investment and higher rates of productivity. Higher productivity ultimately drives increased living standards.”</w:t>
      </w:r>
    </w:p>
    <w:p w:rsidR="0078310B" w:rsidRDefault="0078310B" w:rsidP="0078310B">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rsidR="0078310B" w:rsidRPr="00083FB8" w:rsidRDefault="0078310B" w:rsidP="0078310B">
      <w:pPr>
        <w:pStyle w:val="Heading3"/>
        <w:spacing w:before="0" w:beforeAutospacing="0" w:after="120" w:afterAutospacing="0"/>
        <w:rPr>
          <w:i/>
        </w:rPr>
      </w:pPr>
      <w:bookmarkStart w:id="50" w:name="_Toc395790364"/>
      <w:r w:rsidRPr="00083FB8">
        <w:rPr>
          <w:i/>
        </w:rPr>
        <w:t>Welfare economics</w:t>
      </w:r>
      <w:bookmarkEnd w:id="50"/>
    </w:p>
    <w:p w:rsidR="0078310B" w:rsidRDefault="0078310B" w:rsidP="0078310B">
      <w:pPr>
        <w:widowControl w:val="0"/>
        <w:spacing w:after="120"/>
        <w:ind w:firstLine="288"/>
        <w:jc w:val="both"/>
      </w:pPr>
      <w:r>
        <w:t xml:space="preserve">Economists concern themselves with economic efficiency, but different groups of economists can sometimes approach this concept stressing different aspects of it.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for both economic efficiency (a well-functioning economy) and equity. </w:t>
      </w:r>
    </w:p>
    <w:p w:rsidR="0078310B" w:rsidRDefault="0078310B" w:rsidP="0078310B">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rsidR="0078310B" w:rsidRDefault="0078310B" w:rsidP="0078310B">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with no Standard Deduction, Personal and Dependent Exemption Deduction, or other non-normative deductions, </w:t>
      </w:r>
      <w:r>
        <w:rPr>
          <w:i/>
        </w:rPr>
        <w:t>i.e.</w:t>
      </w:r>
      <w:r>
        <w:t>, deductions not necessary to measuring “income” properly. In other words, the first dollar earned is taxed at the same rate as the last dollar earned. While Poor would pay $2,250 in tax and Rich would pay $75,000, each would have an effective rate of 15% ($2,250/$15,000 for Poor and $75,000/$500,000 for Rich).</w:t>
      </w:r>
    </w:p>
    <w:p w:rsidR="0078310B" w:rsidRPr="00B63E88" w:rsidRDefault="0078310B" w:rsidP="0078310B">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earlier, in 2016, the first $118,500 of labor income is taxed at a combined employer/employee Social Security and Medicare Tax rate of 15.3%, while labor income in excess of that figure is taxed at 2.9. </w:t>
      </w:r>
    </w:p>
    <w:p w:rsidR="0078310B" w:rsidRPr="00B63E88" w:rsidRDefault="0078310B" w:rsidP="0078310B">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Thus,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A., where we saw that effective tax rates for the superrich are lower than for the merely rich because of the preferential rate applied to net capital gain and dividends, which are heavily concentrated at the top of the income and wealth spectrum. </w:t>
      </w:r>
    </w:p>
    <w:p w:rsidR="00A6670A" w:rsidRDefault="0078310B" w:rsidP="0078310B">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one that asks how much of </w:t>
      </w:r>
      <w:r w:rsidRPr="00425C38">
        <w:rPr>
          <w:i/>
        </w:rPr>
        <w:t>pre-tax</w:t>
      </w:r>
      <w:r>
        <w:t xml:space="preserve"> income is paid in tax by each income group, which takes into account trends in pre-tax income and changes in tax rates at the top? </w:t>
      </w:r>
    </w:p>
    <w:p w:rsidR="0078310B" w:rsidRDefault="0078310B" w:rsidP="0078310B">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27"/>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rsidR="0078310B" w:rsidRDefault="0078310B" w:rsidP="0078310B">
      <w:pPr>
        <w:widowControl w:val="0"/>
        <w:spacing w:after="120"/>
        <w:ind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 xml:space="preserve">of Warren Buffett’s last dollars earned). </w:t>
      </w:r>
    </w:p>
    <w:p w:rsidR="0078310B" w:rsidRDefault="0078310B" w:rsidP="0078310B">
      <w:pPr>
        <w:widowControl w:val="0"/>
        <w:spacing w:after="120"/>
        <w:ind w:firstLine="288"/>
        <w:jc w:val="both"/>
      </w:pPr>
      <w:r>
        <w:t>A different justification for a progressive rate structure was crafted by Canada’s Royal Tax Commission in 1966.</w:t>
      </w:r>
      <w:r>
        <w:rPr>
          <w:rStyle w:val="FootnoteReference"/>
        </w:rPr>
        <w:footnoteReference w:id="128"/>
      </w:r>
      <w:r>
        <w:t xml:space="preserve"> It advocated that the tax rate structure should be </w:t>
      </w:r>
      <w:r>
        <w:rPr>
          <w:i/>
        </w:rPr>
        <w:t xml:space="preserve">proportional </w:t>
      </w:r>
      <w:r>
        <w:t>(</w:t>
      </w:r>
      <w:r>
        <w:rPr>
          <w:i/>
        </w:rPr>
        <w:t>i.e.</w:t>
      </w:r>
      <w:r>
        <w:t xml:space="preserve">, a single, flat rate) relative to </w:t>
      </w:r>
      <w:r>
        <w:rPr>
          <w:i/>
        </w:rPr>
        <w:t>discretionary</w:t>
      </w:r>
      <w:r>
        <w:t xml:space="preserve"> income (instead of all income), which it defined as the portion of total income not necessary to maintain the household. The Commission made immediately clear that “[m]aintenance is not synonymous [sic] with bare, physical subsistence. Rather, it denotes the provision of services necessary to maintain the appropriate standard of living of the family or unattached individual relative to others.” In other words, as income increases, it is reasonable to assume that a larger dollar amount will be needed to maintain it, unlike a flat-amount Standard Deduction that applies to all households (regardless of income). Nevertheless, the Commission assumed that, as income rises, a larger and larger percentage of total income is discretionary income that is not necessary to maintain the household. </w:t>
      </w:r>
    </w:p>
    <w:p w:rsidR="0078310B" w:rsidRDefault="0078310B" w:rsidP="0078310B">
      <w:pPr>
        <w:pStyle w:val="BodyTextIndent"/>
        <w:widowControl w:val="0"/>
        <w:spacing w:after="0"/>
        <w:ind w:left="0" w:firstLine="288"/>
        <w:jc w:val="both"/>
      </w:pPr>
      <w:r>
        <w:t>One way to achieve this result would be “to establish an ascending schedule of proportions of income that would represent discretionary [income], and then subject these to a proportional [</w:t>
      </w:r>
      <w:r>
        <w:rPr>
          <w:i/>
        </w:rPr>
        <w:t>i.e.</w:t>
      </w:r>
      <w:r>
        <w:t xml:space="preserve">, flat-rate] tax.” The Commission conceded that “the fraction of a tax unit’s income available for discretionary use is not an objective phenomenon” but rather would result from the political process. </w:t>
      </w:r>
    </w:p>
    <w:p w:rsidR="0078310B" w:rsidRPr="00AF66C7" w:rsidRDefault="0078310B" w:rsidP="0078310B">
      <w:pPr>
        <w:widowControl w:val="0"/>
        <w:jc w:val="center"/>
        <w:rPr>
          <w:rFonts w:eastAsia="Times New Roman" w:cs="Times New Roman"/>
          <w:szCs w:val="20"/>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033"/>
        <w:gridCol w:w="1150"/>
        <w:gridCol w:w="975"/>
        <w:gridCol w:w="1150"/>
        <w:gridCol w:w="950"/>
        <w:gridCol w:w="1026"/>
      </w:tblGrid>
      <w:tr w:rsidR="0078310B" w:rsidTr="005337BA">
        <w:tc>
          <w:tcPr>
            <w:tcW w:w="2808" w:type="dxa"/>
            <w:gridSpan w:val="2"/>
          </w:tcPr>
          <w:p w:rsidR="0078310B" w:rsidRDefault="0078310B" w:rsidP="005337BA">
            <w:pPr>
              <w:pStyle w:val="BodyTextIndent"/>
              <w:widowControl w:val="0"/>
              <w:spacing w:after="0"/>
              <w:ind w:left="0"/>
              <w:rPr>
                <w:sz w:val="20"/>
              </w:rPr>
            </w:pPr>
          </w:p>
        </w:tc>
        <w:tc>
          <w:tcPr>
            <w:tcW w:w="2183" w:type="dxa"/>
            <w:gridSpan w:val="2"/>
          </w:tcPr>
          <w:p w:rsidR="0078310B" w:rsidRDefault="0078310B" w:rsidP="005337BA">
            <w:pPr>
              <w:pStyle w:val="BodyTextIndent"/>
              <w:widowControl w:val="0"/>
              <w:spacing w:after="0"/>
              <w:ind w:left="0"/>
              <w:rPr>
                <w:sz w:val="20"/>
              </w:rPr>
            </w:pPr>
            <w:r>
              <w:rPr>
                <w:sz w:val="20"/>
              </w:rPr>
              <w:t>Discretionary Income</w:t>
            </w:r>
          </w:p>
        </w:tc>
        <w:tc>
          <w:tcPr>
            <w:tcW w:w="2125" w:type="dxa"/>
            <w:gridSpan w:val="2"/>
          </w:tcPr>
          <w:p w:rsidR="0078310B" w:rsidRDefault="0078310B" w:rsidP="005337BA">
            <w:pPr>
              <w:pStyle w:val="BodyTextIndent"/>
              <w:widowControl w:val="0"/>
              <w:spacing w:after="0"/>
              <w:ind w:left="0"/>
              <w:rPr>
                <w:sz w:val="20"/>
              </w:rPr>
            </w:pPr>
            <w:r>
              <w:rPr>
                <w:sz w:val="20"/>
              </w:rPr>
              <w:t xml:space="preserve">Tax on Discretionary Income at an Assumed Rate of 50 per cent </w:t>
            </w:r>
          </w:p>
        </w:tc>
        <w:tc>
          <w:tcPr>
            <w:tcW w:w="1976" w:type="dxa"/>
            <w:gridSpan w:val="2"/>
          </w:tcPr>
          <w:p w:rsidR="0078310B" w:rsidRDefault="0078310B" w:rsidP="005337BA">
            <w:pPr>
              <w:pStyle w:val="BodyTextIndent"/>
              <w:widowControl w:val="0"/>
              <w:spacing w:after="0"/>
              <w:ind w:left="0"/>
              <w:rPr>
                <w:sz w:val="20"/>
              </w:rPr>
            </w:pPr>
          </w:p>
        </w:tc>
      </w:tr>
      <w:tr w:rsidR="0078310B" w:rsidTr="005337BA">
        <w:tc>
          <w:tcPr>
            <w:tcW w:w="1368" w:type="dxa"/>
          </w:tcPr>
          <w:p w:rsidR="0078310B" w:rsidRDefault="0078310B" w:rsidP="005337BA">
            <w:pPr>
              <w:pStyle w:val="BodyTextIndent"/>
              <w:widowControl w:val="0"/>
              <w:spacing w:after="0"/>
              <w:ind w:left="0"/>
              <w:rPr>
                <w:sz w:val="20"/>
              </w:rPr>
            </w:pPr>
            <w:r>
              <w:rPr>
                <w:sz w:val="20"/>
              </w:rPr>
              <w:t>Income Bracket ($)</w:t>
            </w:r>
          </w:p>
        </w:tc>
        <w:tc>
          <w:tcPr>
            <w:tcW w:w="1440" w:type="dxa"/>
          </w:tcPr>
          <w:p w:rsidR="0078310B" w:rsidRDefault="0078310B" w:rsidP="005337BA">
            <w:pPr>
              <w:pStyle w:val="BodyTextIndent"/>
              <w:widowControl w:val="0"/>
              <w:spacing w:after="0"/>
              <w:ind w:left="0"/>
              <w:rPr>
                <w:sz w:val="20"/>
              </w:rPr>
            </w:pPr>
            <w:r>
              <w:rPr>
                <w:sz w:val="20"/>
              </w:rPr>
              <w:t>Assumed Fraction of Income in Bracket Available for Discretionary Use</w:t>
            </w:r>
          </w:p>
        </w:tc>
        <w:tc>
          <w:tcPr>
            <w:tcW w:w="1033" w:type="dxa"/>
          </w:tcPr>
          <w:p w:rsidR="0078310B" w:rsidRDefault="0078310B" w:rsidP="005337BA">
            <w:pPr>
              <w:pStyle w:val="BodyTextIndent"/>
              <w:widowControl w:val="0"/>
              <w:spacing w:after="0"/>
              <w:ind w:left="0"/>
              <w:rPr>
                <w:sz w:val="20"/>
              </w:rPr>
            </w:pPr>
            <w:r>
              <w:rPr>
                <w:sz w:val="20"/>
              </w:rPr>
              <w:t>From Bottom to Top of Bracket</w:t>
            </w:r>
          </w:p>
          <w:p w:rsidR="0078310B" w:rsidRDefault="0078310B" w:rsidP="005337BA">
            <w:pPr>
              <w:pStyle w:val="BodyTextIndent"/>
              <w:widowControl w:val="0"/>
              <w:spacing w:after="0"/>
              <w:ind w:left="0"/>
              <w:rPr>
                <w:sz w:val="20"/>
              </w:rPr>
            </w:pPr>
            <w:r>
              <w:rPr>
                <w:sz w:val="20"/>
              </w:rPr>
              <w:t xml:space="preserve">$  </w:t>
            </w:r>
          </w:p>
        </w:tc>
        <w:tc>
          <w:tcPr>
            <w:tcW w:w="1150" w:type="dxa"/>
          </w:tcPr>
          <w:p w:rsidR="0078310B" w:rsidRDefault="0078310B" w:rsidP="005337BA">
            <w:pPr>
              <w:pStyle w:val="BodyTextIndent"/>
              <w:widowControl w:val="0"/>
              <w:spacing w:after="0"/>
              <w:ind w:left="0"/>
              <w:rPr>
                <w:sz w:val="20"/>
              </w:rPr>
            </w:pPr>
            <w:r>
              <w:rPr>
                <w:sz w:val="20"/>
              </w:rPr>
              <w:t>Cumulative Total to Top of Bracket</w:t>
            </w:r>
          </w:p>
          <w:p w:rsidR="0078310B" w:rsidRDefault="0078310B" w:rsidP="005337BA">
            <w:pPr>
              <w:pStyle w:val="BodyTextIndent"/>
              <w:widowControl w:val="0"/>
              <w:spacing w:after="0"/>
              <w:ind w:left="0"/>
              <w:rPr>
                <w:sz w:val="20"/>
              </w:rPr>
            </w:pPr>
            <w:r>
              <w:rPr>
                <w:sz w:val="20"/>
              </w:rPr>
              <w:t>$</w:t>
            </w:r>
          </w:p>
        </w:tc>
        <w:tc>
          <w:tcPr>
            <w:tcW w:w="975" w:type="dxa"/>
          </w:tcPr>
          <w:p w:rsidR="0078310B" w:rsidRDefault="0078310B" w:rsidP="005337BA">
            <w:pPr>
              <w:pStyle w:val="BodyTextIndent"/>
              <w:widowControl w:val="0"/>
              <w:spacing w:after="0"/>
              <w:ind w:left="0"/>
              <w:rPr>
                <w:sz w:val="20"/>
              </w:rPr>
            </w:pPr>
            <w:r>
              <w:rPr>
                <w:sz w:val="20"/>
              </w:rPr>
              <w:t>From Bottom to Top of Bracket</w:t>
            </w:r>
          </w:p>
          <w:p w:rsidR="0078310B" w:rsidRDefault="0078310B" w:rsidP="005337BA">
            <w:pPr>
              <w:pStyle w:val="BodyTextIndent"/>
              <w:widowControl w:val="0"/>
              <w:spacing w:after="0"/>
              <w:ind w:left="0"/>
              <w:rPr>
                <w:sz w:val="20"/>
              </w:rPr>
            </w:pPr>
            <w:r>
              <w:rPr>
                <w:sz w:val="20"/>
              </w:rPr>
              <w:t>$</w:t>
            </w:r>
          </w:p>
        </w:tc>
        <w:tc>
          <w:tcPr>
            <w:tcW w:w="1150" w:type="dxa"/>
          </w:tcPr>
          <w:p w:rsidR="0078310B" w:rsidRDefault="0078310B" w:rsidP="005337BA">
            <w:pPr>
              <w:pStyle w:val="BodyTextIndent"/>
              <w:widowControl w:val="0"/>
              <w:spacing w:after="0"/>
              <w:ind w:left="0"/>
              <w:rPr>
                <w:sz w:val="20"/>
              </w:rPr>
            </w:pPr>
            <w:r>
              <w:rPr>
                <w:sz w:val="20"/>
              </w:rPr>
              <w:t>Cumulative Total to Top of Bracket</w:t>
            </w:r>
          </w:p>
          <w:p w:rsidR="0078310B" w:rsidRDefault="0078310B" w:rsidP="005337BA">
            <w:pPr>
              <w:pStyle w:val="BodyTextIndent"/>
              <w:widowControl w:val="0"/>
              <w:spacing w:after="0"/>
              <w:ind w:left="0"/>
              <w:rPr>
                <w:sz w:val="20"/>
              </w:rPr>
            </w:pPr>
            <w:r>
              <w:rPr>
                <w:sz w:val="20"/>
              </w:rPr>
              <w:t>$</w:t>
            </w:r>
          </w:p>
        </w:tc>
        <w:tc>
          <w:tcPr>
            <w:tcW w:w="950" w:type="dxa"/>
          </w:tcPr>
          <w:p w:rsidR="0078310B" w:rsidRDefault="0078310B" w:rsidP="005337BA">
            <w:pPr>
              <w:pStyle w:val="BodyTextIndent"/>
              <w:widowControl w:val="0"/>
              <w:spacing w:after="0"/>
              <w:ind w:left="0"/>
              <w:rPr>
                <w:sz w:val="20"/>
              </w:rPr>
            </w:pPr>
            <w:r>
              <w:rPr>
                <w:sz w:val="20"/>
              </w:rPr>
              <w:t>Marginal Rate of Tax on Income in Bracket</w:t>
            </w:r>
          </w:p>
          <w:p w:rsidR="0078310B" w:rsidRDefault="0078310B" w:rsidP="005337BA">
            <w:pPr>
              <w:pStyle w:val="BodyTextIndent"/>
              <w:widowControl w:val="0"/>
              <w:spacing w:after="0"/>
              <w:ind w:left="0"/>
              <w:rPr>
                <w:sz w:val="20"/>
              </w:rPr>
            </w:pPr>
            <w:r>
              <w:rPr>
                <w:sz w:val="20"/>
              </w:rPr>
              <w:t>a/ %</w:t>
            </w:r>
          </w:p>
        </w:tc>
        <w:tc>
          <w:tcPr>
            <w:tcW w:w="1026" w:type="dxa"/>
          </w:tcPr>
          <w:p w:rsidR="0078310B" w:rsidRDefault="0078310B" w:rsidP="005337BA">
            <w:pPr>
              <w:pStyle w:val="BodyTextIndent"/>
              <w:widowControl w:val="0"/>
              <w:spacing w:after="0"/>
              <w:ind w:left="0"/>
              <w:rPr>
                <w:sz w:val="20"/>
              </w:rPr>
            </w:pPr>
            <w:r>
              <w:rPr>
                <w:sz w:val="20"/>
              </w:rPr>
              <w:t>Average Rate of Tax on Income at Top of Bracket</w:t>
            </w:r>
          </w:p>
          <w:p w:rsidR="0078310B" w:rsidRDefault="0078310B" w:rsidP="005337BA">
            <w:pPr>
              <w:pStyle w:val="BodyTextIndent"/>
              <w:widowControl w:val="0"/>
              <w:spacing w:after="0"/>
              <w:ind w:left="0"/>
              <w:rPr>
                <w:sz w:val="20"/>
              </w:rPr>
            </w:pPr>
            <w:r>
              <w:rPr>
                <w:sz w:val="20"/>
              </w:rPr>
              <w:t>b/ %</w:t>
            </w:r>
          </w:p>
        </w:tc>
      </w:tr>
      <w:tr w:rsidR="0078310B" w:rsidTr="005337BA">
        <w:tc>
          <w:tcPr>
            <w:tcW w:w="1368" w:type="dxa"/>
          </w:tcPr>
          <w:p w:rsidR="0078310B" w:rsidRDefault="0078310B" w:rsidP="005337BA">
            <w:pPr>
              <w:pStyle w:val="BodyTextIndent"/>
              <w:widowControl w:val="0"/>
              <w:spacing w:after="0"/>
              <w:ind w:left="0"/>
              <w:rPr>
                <w:sz w:val="20"/>
              </w:rPr>
            </w:pPr>
          </w:p>
        </w:tc>
        <w:tc>
          <w:tcPr>
            <w:tcW w:w="1440" w:type="dxa"/>
          </w:tcPr>
          <w:p w:rsidR="0078310B" w:rsidRDefault="0078310B" w:rsidP="005337BA">
            <w:pPr>
              <w:pStyle w:val="BodyTextIndent"/>
              <w:widowControl w:val="0"/>
              <w:spacing w:after="0"/>
              <w:ind w:left="0"/>
              <w:rPr>
                <w:sz w:val="20"/>
              </w:rPr>
            </w:pPr>
            <w:r>
              <w:rPr>
                <w:sz w:val="20"/>
              </w:rPr>
              <w:t>(1)</w:t>
            </w:r>
          </w:p>
        </w:tc>
        <w:tc>
          <w:tcPr>
            <w:tcW w:w="1033" w:type="dxa"/>
          </w:tcPr>
          <w:p w:rsidR="0078310B" w:rsidRDefault="0078310B" w:rsidP="005337BA">
            <w:pPr>
              <w:pStyle w:val="BodyTextIndent"/>
              <w:widowControl w:val="0"/>
              <w:spacing w:after="0"/>
              <w:ind w:left="0"/>
              <w:rPr>
                <w:sz w:val="20"/>
              </w:rPr>
            </w:pPr>
            <w:r>
              <w:rPr>
                <w:sz w:val="20"/>
              </w:rPr>
              <w:t>(2)</w:t>
            </w:r>
          </w:p>
        </w:tc>
        <w:tc>
          <w:tcPr>
            <w:tcW w:w="1150" w:type="dxa"/>
          </w:tcPr>
          <w:p w:rsidR="0078310B" w:rsidRDefault="0078310B" w:rsidP="005337BA">
            <w:pPr>
              <w:pStyle w:val="BodyTextIndent"/>
              <w:widowControl w:val="0"/>
              <w:spacing w:after="0"/>
              <w:ind w:left="0"/>
              <w:rPr>
                <w:sz w:val="20"/>
              </w:rPr>
            </w:pPr>
            <w:r>
              <w:rPr>
                <w:sz w:val="20"/>
              </w:rPr>
              <w:t>(3)</w:t>
            </w:r>
          </w:p>
        </w:tc>
        <w:tc>
          <w:tcPr>
            <w:tcW w:w="975" w:type="dxa"/>
          </w:tcPr>
          <w:p w:rsidR="0078310B" w:rsidRDefault="0078310B" w:rsidP="005337BA">
            <w:pPr>
              <w:pStyle w:val="BodyTextIndent"/>
              <w:widowControl w:val="0"/>
              <w:spacing w:after="0"/>
              <w:ind w:left="0"/>
              <w:rPr>
                <w:sz w:val="20"/>
              </w:rPr>
            </w:pPr>
            <w:r>
              <w:rPr>
                <w:sz w:val="20"/>
              </w:rPr>
              <w:t>(4)</w:t>
            </w:r>
          </w:p>
        </w:tc>
        <w:tc>
          <w:tcPr>
            <w:tcW w:w="1150" w:type="dxa"/>
          </w:tcPr>
          <w:p w:rsidR="0078310B" w:rsidRDefault="0078310B" w:rsidP="005337BA">
            <w:pPr>
              <w:pStyle w:val="BodyTextIndent"/>
              <w:widowControl w:val="0"/>
              <w:spacing w:after="0"/>
              <w:ind w:left="0"/>
              <w:rPr>
                <w:sz w:val="20"/>
              </w:rPr>
            </w:pPr>
            <w:r>
              <w:rPr>
                <w:sz w:val="20"/>
              </w:rPr>
              <w:t>(5)</w:t>
            </w:r>
          </w:p>
        </w:tc>
        <w:tc>
          <w:tcPr>
            <w:tcW w:w="950" w:type="dxa"/>
          </w:tcPr>
          <w:p w:rsidR="0078310B" w:rsidRDefault="0078310B" w:rsidP="005337BA">
            <w:pPr>
              <w:pStyle w:val="BodyTextIndent"/>
              <w:widowControl w:val="0"/>
              <w:spacing w:after="0"/>
              <w:ind w:left="0"/>
              <w:rPr>
                <w:sz w:val="20"/>
              </w:rPr>
            </w:pPr>
            <w:r>
              <w:rPr>
                <w:sz w:val="20"/>
              </w:rPr>
              <w:t>(6)</w:t>
            </w:r>
          </w:p>
        </w:tc>
        <w:tc>
          <w:tcPr>
            <w:tcW w:w="1026" w:type="dxa"/>
          </w:tcPr>
          <w:p w:rsidR="0078310B" w:rsidRDefault="0078310B" w:rsidP="005337BA">
            <w:pPr>
              <w:pStyle w:val="BodyTextIndent"/>
              <w:widowControl w:val="0"/>
              <w:spacing w:after="0"/>
              <w:ind w:left="0"/>
              <w:rPr>
                <w:sz w:val="20"/>
              </w:rPr>
            </w:pPr>
            <w:r>
              <w:rPr>
                <w:sz w:val="20"/>
              </w:rPr>
              <w:t>(7)</w:t>
            </w:r>
          </w:p>
        </w:tc>
      </w:tr>
      <w:tr w:rsidR="0078310B" w:rsidTr="005337BA">
        <w:tc>
          <w:tcPr>
            <w:tcW w:w="1368" w:type="dxa"/>
          </w:tcPr>
          <w:p w:rsidR="0078310B" w:rsidRDefault="0078310B" w:rsidP="005337BA">
            <w:pPr>
              <w:pStyle w:val="BodyTextIndent"/>
              <w:widowControl w:val="0"/>
              <w:spacing w:after="0"/>
              <w:ind w:left="0"/>
              <w:rPr>
                <w:sz w:val="20"/>
              </w:rPr>
            </w:pPr>
            <w:r>
              <w:rPr>
                <w:sz w:val="20"/>
              </w:rPr>
              <w:t>0 - 195</w:t>
            </w:r>
          </w:p>
        </w:tc>
        <w:tc>
          <w:tcPr>
            <w:tcW w:w="1440" w:type="dxa"/>
          </w:tcPr>
          <w:p w:rsidR="0078310B" w:rsidRDefault="0078310B" w:rsidP="005337BA">
            <w:pPr>
              <w:pStyle w:val="BodyTextIndent"/>
              <w:widowControl w:val="0"/>
              <w:spacing w:after="0"/>
              <w:ind w:left="0"/>
              <w:rPr>
                <w:sz w:val="20"/>
              </w:rPr>
            </w:pPr>
            <w:r>
              <w:rPr>
                <w:sz w:val="20"/>
              </w:rPr>
              <w:t>0.0</w:t>
            </w:r>
          </w:p>
        </w:tc>
        <w:tc>
          <w:tcPr>
            <w:tcW w:w="1033" w:type="dxa"/>
          </w:tcPr>
          <w:p w:rsidR="0078310B" w:rsidRDefault="0078310B" w:rsidP="005337BA">
            <w:pPr>
              <w:pStyle w:val="BodyTextIndent"/>
              <w:widowControl w:val="0"/>
              <w:spacing w:after="0"/>
              <w:ind w:left="0"/>
              <w:rPr>
                <w:sz w:val="20"/>
              </w:rPr>
            </w:pPr>
            <w:r>
              <w:rPr>
                <w:sz w:val="20"/>
              </w:rPr>
              <w:t>0</w:t>
            </w:r>
          </w:p>
        </w:tc>
        <w:tc>
          <w:tcPr>
            <w:tcW w:w="1150" w:type="dxa"/>
          </w:tcPr>
          <w:p w:rsidR="0078310B" w:rsidRDefault="0078310B" w:rsidP="005337BA">
            <w:pPr>
              <w:pStyle w:val="BodyTextIndent"/>
              <w:widowControl w:val="0"/>
              <w:spacing w:after="0"/>
              <w:ind w:left="0"/>
              <w:rPr>
                <w:sz w:val="20"/>
              </w:rPr>
            </w:pPr>
            <w:r>
              <w:rPr>
                <w:sz w:val="20"/>
              </w:rPr>
              <w:t>0</w:t>
            </w:r>
          </w:p>
        </w:tc>
        <w:tc>
          <w:tcPr>
            <w:tcW w:w="975" w:type="dxa"/>
          </w:tcPr>
          <w:p w:rsidR="0078310B" w:rsidRDefault="0078310B" w:rsidP="005337BA">
            <w:pPr>
              <w:pStyle w:val="BodyTextIndent"/>
              <w:widowControl w:val="0"/>
              <w:spacing w:after="0"/>
              <w:ind w:left="0"/>
              <w:rPr>
                <w:sz w:val="20"/>
              </w:rPr>
            </w:pPr>
            <w:r>
              <w:rPr>
                <w:sz w:val="20"/>
              </w:rPr>
              <w:t>0</w:t>
            </w:r>
          </w:p>
        </w:tc>
        <w:tc>
          <w:tcPr>
            <w:tcW w:w="1150" w:type="dxa"/>
          </w:tcPr>
          <w:p w:rsidR="0078310B" w:rsidRDefault="0078310B" w:rsidP="005337BA">
            <w:pPr>
              <w:pStyle w:val="BodyTextIndent"/>
              <w:widowControl w:val="0"/>
              <w:spacing w:after="0"/>
              <w:ind w:left="0"/>
              <w:rPr>
                <w:sz w:val="20"/>
              </w:rPr>
            </w:pPr>
            <w:r>
              <w:rPr>
                <w:sz w:val="20"/>
              </w:rPr>
              <w:t>0</w:t>
            </w:r>
          </w:p>
        </w:tc>
        <w:tc>
          <w:tcPr>
            <w:tcW w:w="950" w:type="dxa"/>
          </w:tcPr>
          <w:p w:rsidR="0078310B" w:rsidRDefault="0078310B" w:rsidP="005337BA">
            <w:pPr>
              <w:pStyle w:val="BodyTextIndent"/>
              <w:widowControl w:val="0"/>
              <w:spacing w:after="0"/>
              <w:ind w:left="0"/>
              <w:rPr>
                <w:sz w:val="20"/>
              </w:rPr>
            </w:pPr>
            <w:r>
              <w:rPr>
                <w:sz w:val="20"/>
              </w:rPr>
              <w:t>0</w:t>
            </w:r>
          </w:p>
        </w:tc>
        <w:tc>
          <w:tcPr>
            <w:tcW w:w="1026" w:type="dxa"/>
          </w:tcPr>
          <w:p w:rsidR="0078310B" w:rsidRDefault="0078310B" w:rsidP="005337BA">
            <w:pPr>
              <w:pStyle w:val="BodyTextIndent"/>
              <w:widowControl w:val="0"/>
              <w:spacing w:after="0"/>
              <w:ind w:left="0"/>
              <w:rPr>
                <w:sz w:val="20"/>
              </w:rPr>
            </w:pPr>
            <w:r>
              <w:rPr>
                <w:sz w:val="20"/>
              </w:rPr>
              <w:t>0.0</w:t>
            </w:r>
          </w:p>
        </w:tc>
      </w:tr>
      <w:tr w:rsidR="0078310B" w:rsidTr="005337BA">
        <w:tc>
          <w:tcPr>
            <w:tcW w:w="1368" w:type="dxa"/>
          </w:tcPr>
          <w:p w:rsidR="0078310B" w:rsidRDefault="0078310B" w:rsidP="005337BA">
            <w:pPr>
              <w:pStyle w:val="BodyTextIndent"/>
              <w:widowControl w:val="0"/>
              <w:spacing w:after="0"/>
              <w:ind w:left="0"/>
              <w:rPr>
                <w:sz w:val="20"/>
              </w:rPr>
            </w:pPr>
            <w:r>
              <w:rPr>
                <w:sz w:val="20"/>
              </w:rPr>
              <w:t>195 - 390</w:t>
            </w:r>
          </w:p>
        </w:tc>
        <w:tc>
          <w:tcPr>
            <w:tcW w:w="1440" w:type="dxa"/>
          </w:tcPr>
          <w:p w:rsidR="0078310B" w:rsidRDefault="0078310B" w:rsidP="005337BA">
            <w:pPr>
              <w:pStyle w:val="BodyTextIndent"/>
              <w:widowControl w:val="0"/>
              <w:spacing w:after="0"/>
              <w:ind w:left="0"/>
              <w:rPr>
                <w:sz w:val="20"/>
              </w:rPr>
            </w:pPr>
            <w:r>
              <w:rPr>
                <w:sz w:val="20"/>
              </w:rPr>
              <w:t>0.1</w:t>
            </w:r>
          </w:p>
        </w:tc>
        <w:tc>
          <w:tcPr>
            <w:tcW w:w="1033" w:type="dxa"/>
          </w:tcPr>
          <w:p w:rsidR="0078310B" w:rsidRDefault="0078310B" w:rsidP="005337BA">
            <w:pPr>
              <w:pStyle w:val="BodyTextIndent"/>
              <w:widowControl w:val="0"/>
              <w:spacing w:after="0"/>
              <w:ind w:left="0"/>
              <w:rPr>
                <w:sz w:val="20"/>
              </w:rPr>
            </w:pPr>
            <w:r>
              <w:rPr>
                <w:sz w:val="20"/>
              </w:rPr>
              <w:t>20</w:t>
            </w:r>
          </w:p>
        </w:tc>
        <w:tc>
          <w:tcPr>
            <w:tcW w:w="1150" w:type="dxa"/>
          </w:tcPr>
          <w:p w:rsidR="0078310B" w:rsidRDefault="0078310B" w:rsidP="005337BA">
            <w:pPr>
              <w:pStyle w:val="BodyTextIndent"/>
              <w:widowControl w:val="0"/>
              <w:spacing w:after="0"/>
              <w:ind w:left="0"/>
              <w:rPr>
                <w:sz w:val="20"/>
              </w:rPr>
            </w:pPr>
            <w:r>
              <w:rPr>
                <w:sz w:val="20"/>
              </w:rPr>
              <w:t>20</w:t>
            </w:r>
          </w:p>
        </w:tc>
        <w:tc>
          <w:tcPr>
            <w:tcW w:w="975" w:type="dxa"/>
          </w:tcPr>
          <w:p w:rsidR="0078310B" w:rsidRDefault="0078310B" w:rsidP="005337BA">
            <w:pPr>
              <w:pStyle w:val="BodyTextIndent"/>
              <w:widowControl w:val="0"/>
              <w:spacing w:after="0"/>
              <w:ind w:left="0"/>
              <w:rPr>
                <w:sz w:val="20"/>
              </w:rPr>
            </w:pPr>
            <w:r>
              <w:rPr>
                <w:sz w:val="20"/>
              </w:rPr>
              <w:t>10</w:t>
            </w:r>
          </w:p>
        </w:tc>
        <w:tc>
          <w:tcPr>
            <w:tcW w:w="1150" w:type="dxa"/>
          </w:tcPr>
          <w:p w:rsidR="0078310B" w:rsidRDefault="0078310B" w:rsidP="005337BA">
            <w:pPr>
              <w:pStyle w:val="BodyTextIndent"/>
              <w:widowControl w:val="0"/>
              <w:spacing w:after="0"/>
              <w:ind w:left="0"/>
              <w:rPr>
                <w:sz w:val="20"/>
              </w:rPr>
            </w:pPr>
            <w:r>
              <w:rPr>
                <w:sz w:val="20"/>
              </w:rPr>
              <w:t>10</w:t>
            </w:r>
          </w:p>
        </w:tc>
        <w:tc>
          <w:tcPr>
            <w:tcW w:w="950" w:type="dxa"/>
          </w:tcPr>
          <w:p w:rsidR="0078310B" w:rsidRDefault="0078310B" w:rsidP="005337BA">
            <w:pPr>
              <w:pStyle w:val="BodyTextIndent"/>
              <w:widowControl w:val="0"/>
              <w:spacing w:after="0"/>
              <w:ind w:left="0"/>
              <w:rPr>
                <w:sz w:val="20"/>
              </w:rPr>
            </w:pPr>
            <w:r>
              <w:rPr>
                <w:sz w:val="20"/>
              </w:rPr>
              <w:t>5</w:t>
            </w:r>
          </w:p>
        </w:tc>
        <w:tc>
          <w:tcPr>
            <w:tcW w:w="1026" w:type="dxa"/>
          </w:tcPr>
          <w:p w:rsidR="0078310B" w:rsidRDefault="0078310B" w:rsidP="005337BA">
            <w:pPr>
              <w:pStyle w:val="BodyTextIndent"/>
              <w:widowControl w:val="0"/>
              <w:spacing w:after="0"/>
              <w:ind w:left="0"/>
              <w:rPr>
                <w:sz w:val="20"/>
              </w:rPr>
            </w:pPr>
            <w:r>
              <w:rPr>
                <w:sz w:val="20"/>
              </w:rPr>
              <w:t>2.5</w:t>
            </w:r>
          </w:p>
        </w:tc>
      </w:tr>
      <w:tr w:rsidR="0078310B" w:rsidTr="005337BA">
        <w:tc>
          <w:tcPr>
            <w:tcW w:w="1368" w:type="dxa"/>
          </w:tcPr>
          <w:p w:rsidR="0078310B" w:rsidRDefault="0078310B" w:rsidP="005337BA">
            <w:pPr>
              <w:pStyle w:val="BodyTextIndent"/>
              <w:widowControl w:val="0"/>
              <w:spacing w:after="0"/>
              <w:ind w:left="0"/>
              <w:rPr>
                <w:sz w:val="20"/>
              </w:rPr>
            </w:pPr>
            <w:r>
              <w:rPr>
                <w:sz w:val="20"/>
              </w:rPr>
              <w:t>390 - 781</w:t>
            </w:r>
          </w:p>
        </w:tc>
        <w:tc>
          <w:tcPr>
            <w:tcW w:w="1440" w:type="dxa"/>
          </w:tcPr>
          <w:p w:rsidR="0078310B" w:rsidRDefault="0078310B" w:rsidP="005337BA">
            <w:pPr>
              <w:pStyle w:val="BodyTextIndent"/>
              <w:widowControl w:val="0"/>
              <w:spacing w:after="0"/>
              <w:ind w:left="0"/>
              <w:rPr>
                <w:sz w:val="20"/>
              </w:rPr>
            </w:pPr>
            <w:r>
              <w:rPr>
                <w:sz w:val="20"/>
              </w:rPr>
              <w:t>0.2</w:t>
            </w:r>
          </w:p>
        </w:tc>
        <w:tc>
          <w:tcPr>
            <w:tcW w:w="1033" w:type="dxa"/>
          </w:tcPr>
          <w:p w:rsidR="0078310B" w:rsidRDefault="0078310B" w:rsidP="005337BA">
            <w:pPr>
              <w:pStyle w:val="BodyTextIndent"/>
              <w:widowControl w:val="0"/>
              <w:spacing w:after="0"/>
              <w:ind w:left="0"/>
              <w:rPr>
                <w:sz w:val="20"/>
              </w:rPr>
            </w:pPr>
            <w:r>
              <w:rPr>
                <w:sz w:val="20"/>
              </w:rPr>
              <w:t>78</w:t>
            </w:r>
          </w:p>
        </w:tc>
        <w:tc>
          <w:tcPr>
            <w:tcW w:w="1150" w:type="dxa"/>
          </w:tcPr>
          <w:p w:rsidR="0078310B" w:rsidRDefault="0078310B" w:rsidP="005337BA">
            <w:pPr>
              <w:pStyle w:val="BodyTextIndent"/>
              <w:widowControl w:val="0"/>
              <w:spacing w:after="0"/>
              <w:ind w:left="0"/>
              <w:rPr>
                <w:sz w:val="20"/>
              </w:rPr>
            </w:pPr>
            <w:r>
              <w:rPr>
                <w:sz w:val="20"/>
              </w:rPr>
              <w:t>98</w:t>
            </w:r>
          </w:p>
        </w:tc>
        <w:tc>
          <w:tcPr>
            <w:tcW w:w="975" w:type="dxa"/>
          </w:tcPr>
          <w:p w:rsidR="0078310B" w:rsidRDefault="0078310B" w:rsidP="005337BA">
            <w:pPr>
              <w:pStyle w:val="BodyTextIndent"/>
              <w:widowControl w:val="0"/>
              <w:spacing w:after="0"/>
              <w:ind w:left="0"/>
              <w:rPr>
                <w:sz w:val="20"/>
              </w:rPr>
            </w:pPr>
            <w:r>
              <w:rPr>
                <w:sz w:val="20"/>
              </w:rPr>
              <w:t>39</w:t>
            </w:r>
          </w:p>
        </w:tc>
        <w:tc>
          <w:tcPr>
            <w:tcW w:w="1150" w:type="dxa"/>
          </w:tcPr>
          <w:p w:rsidR="0078310B" w:rsidRDefault="0078310B" w:rsidP="005337BA">
            <w:pPr>
              <w:pStyle w:val="BodyTextIndent"/>
              <w:widowControl w:val="0"/>
              <w:spacing w:after="0"/>
              <w:ind w:left="0"/>
              <w:rPr>
                <w:sz w:val="20"/>
              </w:rPr>
            </w:pPr>
            <w:r>
              <w:rPr>
                <w:sz w:val="20"/>
              </w:rPr>
              <w:t>49</w:t>
            </w:r>
          </w:p>
        </w:tc>
        <w:tc>
          <w:tcPr>
            <w:tcW w:w="950" w:type="dxa"/>
          </w:tcPr>
          <w:p w:rsidR="0078310B" w:rsidRDefault="0078310B" w:rsidP="005337BA">
            <w:pPr>
              <w:pStyle w:val="BodyTextIndent"/>
              <w:widowControl w:val="0"/>
              <w:spacing w:after="0"/>
              <w:ind w:left="0"/>
              <w:rPr>
                <w:sz w:val="20"/>
              </w:rPr>
            </w:pPr>
            <w:r>
              <w:rPr>
                <w:sz w:val="20"/>
              </w:rPr>
              <w:t>10</w:t>
            </w:r>
          </w:p>
        </w:tc>
        <w:tc>
          <w:tcPr>
            <w:tcW w:w="1026" w:type="dxa"/>
          </w:tcPr>
          <w:p w:rsidR="0078310B" w:rsidRDefault="0078310B" w:rsidP="005337BA">
            <w:pPr>
              <w:pStyle w:val="BodyTextIndent"/>
              <w:widowControl w:val="0"/>
              <w:spacing w:after="0"/>
              <w:ind w:left="0"/>
              <w:rPr>
                <w:sz w:val="20"/>
              </w:rPr>
            </w:pPr>
            <w:r>
              <w:rPr>
                <w:sz w:val="20"/>
              </w:rPr>
              <w:t>6.3</w:t>
            </w:r>
          </w:p>
        </w:tc>
      </w:tr>
      <w:tr w:rsidR="0078310B" w:rsidTr="005337BA">
        <w:tc>
          <w:tcPr>
            <w:tcW w:w="1368" w:type="dxa"/>
          </w:tcPr>
          <w:p w:rsidR="0078310B" w:rsidRDefault="0078310B" w:rsidP="005337BA">
            <w:pPr>
              <w:pStyle w:val="BodyTextIndent"/>
              <w:widowControl w:val="0"/>
              <w:spacing w:after="0"/>
              <w:ind w:left="0"/>
              <w:rPr>
                <w:sz w:val="20"/>
              </w:rPr>
            </w:pPr>
            <w:r>
              <w:rPr>
                <w:sz w:val="20"/>
              </w:rPr>
              <w:t>781 - 1,562</w:t>
            </w:r>
          </w:p>
        </w:tc>
        <w:tc>
          <w:tcPr>
            <w:tcW w:w="1440" w:type="dxa"/>
          </w:tcPr>
          <w:p w:rsidR="0078310B" w:rsidRDefault="0078310B" w:rsidP="005337BA">
            <w:pPr>
              <w:pStyle w:val="BodyTextIndent"/>
              <w:widowControl w:val="0"/>
              <w:spacing w:after="0"/>
              <w:ind w:left="0"/>
              <w:rPr>
                <w:sz w:val="20"/>
              </w:rPr>
            </w:pPr>
            <w:r>
              <w:rPr>
                <w:sz w:val="20"/>
              </w:rPr>
              <w:t>0.3</w:t>
            </w:r>
          </w:p>
        </w:tc>
        <w:tc>
          <w:tcPr>
            <w:tcW w:w="1033" w:type="dxa"/>
          </w:tcPr>
          <w:p w:rsidR="0078310B" w:rsidRDefault="0078310B" w:rsidP="005337BA">
            <w:pPr>
              <w:pStyle w:val="BodyTextIndent"/>
              <w:widowControl w:val="0"/>
              <w:spacing w:after="0"/>
              <w:ind w:left="0"/>
              <w:rPr>
                <w:sz w:val="20"/>
              </w:rPr>
            </w:pPr>
            <w:r>
              <w:rPr>
                <w:sz w:val="20"/>
              </w:rPr>
              <w:t>234</w:t>
            </w:r>
          </w:p>
        </w:tc>
        <w:tc>
          <w:tcPr>
            <w:tcW w:w="1150" w:type="dxa"/>
          </w:tcPr>
          <w:p w:rsidR="0078310B" w:rsidRDefault="0078310B" w:rsidP="005337BA">
            <w:pPr>
              <w:pStyle w:val="BodyTextIndent"/>
              <w:widowControl w:val="0"/>
              <w:spacing w:after="0"/>
              <w:ind w:left="0"/>
              <w:rPr>
                <w:sz w:val="20"/>
              </w:rPr>
            </w:pPr>
            <w:r>
              <w:rPr>
                <w:sz w:val="20"/>
              </w:rPr>
              <w:t>332</w:t>
            </w:r>
          </w:p>
        </w:tc>
        <w:tc>
          <w:tcPr>
            <w:tcW w:w="975" w:type="dxa"/>
          </w:tcPr>
          <w:p w:rsidR="0078310B" w:rsidRDefault="0078310B" w:rsidP="005337BA">
            <w:pPr>
              <w:pStyle w:val="BodyTextIndent"/>
              <w:widowControl w:val="0"/>
              <w:spacing w:after="0"/>
              <w:ind w:left="0"/>
              <w:rPr>
                <w:sz w:val="20"/>
              </w:rPr>
            </w:pPr>
            <w:r>
              <w:rPr>
                <w:sz w:val="20"/>
              </w:rPr>
              <w:t>117</w:t>
            </w:r>
          </w:p>
        </w:tc>
        <w:tc>
          <w:tcPr>
            <w:tcW w:w="1150" w:type="dxa"/>
          </w:tcPr>
          <w:p w:rsidR="0078310B" w:rsidRDefault="0078310B" w:rsidP="005337BA">
            <w:pPr>
              <w:pStyle w:val="BodyTextIndent"/>
              <w:widowControl w:val="0"/>
              <w:spacing w:after="0"/>
              <w:ind w:left="0"/>
              <w:rPr>
                <w:sz w:val="20"/>
              </w:rPr>
            </w:pPr>
            <w:r>
              <w:rPr>
                <w:sz w:val="20"/>
              </w:rPr>
              <w:t>166</w:t>
            </w:r>
          </w:p>
        </w:tc>
        <w:tc>
          <w:tcPr>
            <w:tcW w:w="950" w:type="dxa"/>
          </w:tcPr>
          <w:p w:rsidR="0078310B" w:rsidRDefault="0078310B" w:rsidP="005337BA">
            <w:pPr>
              <w:pStyle w:val="BodyTextIndent"/>
              <w:widowControl w:val="0"/>
              <w:spacing w:after="0"/>
              <w:ind w:left="0"/>
              <w:rPr>
                <w:sz w:val="20"/>
              </w:rPr>
            </w:pPr>
            <w:r>
              <w:rPr>
                <w:sz w:val="20"/>
              </w:rPr>
              <w:t>15</w:t>
            </w:r>
          </w:p>
        </w:tc>
        <w:tc>
          <w:tcPr>
            <w:tcW w:w="1026" w:type="dxa"/>
          </w:tcPr>
          <w:p w:rsidR="0078310B" w:rsidRDefault="0078310B" w:rsidP="005337BA">
            <w:pPr>
              <w:pStyle w:val="BodyTextIndent"/>
              <w:widowControl w:val="0"/>
              <w:spacing w:after="0"/>
              <w:ind w:left="0"/>
              <w:rPr>
                <w:sz w:val="20"/>
              </w:rPr>
            </w:pPr>
            <w:r>
              <w:rPr>
                <w:sz w:val="20"/>
              </w:rPr>
              <w:t>10.6</w:t>
            </w:r>
          </w:p>
        </w:tc>
      </w:tr>
      <w:tr w:rsidR="0078310B" w:rsidTr="005337BA">
        <w:tc>
          <w:tcPr>
            <w:tcW w:w="1368" w:type="dxa"/>
          </w:tcPr>
          <w:p w:rsidR="0078310B" w:rsidRDefault="0078310B" w:rsidP="005337BA">
            <w:pPr>
              <w:pStyle w:val="BodyTextIndent"/>
              <w:widowControl w:val="0"/>
              <w:spacing w:after="0"/>
              <w:ind w:left="0"/>
              <w:rPr>
                <w:sz w:val="20"/>
              </w:rPr>
            </w:pPr>
            <w:r>
              <w:rPr>
                <w:sz w:val="20"/>
              </w:rPr>
              <w:t>1,562 - 3,125</w:t>
            </w:r>
          </w:p>
        </w:tc>
        <w:tc>
          <w:tcPr>
            <w:tcW w:w="1440" w:type="dxa"/>
          </w:tcPr>
          <w:p w:rsidR="0078310B" w:rsidRDefault="0078310B" w:rsidP="005337BA">
            <w:pPr>
              <w:pStyle w:val="BodyTextIndent"/>
              <w:widowControl w:val="0"/>
              <w:spacing w:after="0"/>
              <w:ind w:left="0"/>
              <w:rPr>
                <w:sz w:val="20"/>
              </w:rPr>
            </w:pPr>
            <w:r>
              <w:rPr>
                <w:sz w:val="20"/>
              </w:rPr>
              <w:t>0.4</w:t>
            </w:r>
          </w:p>
        </w:tc>
        <w:tc>
          <w:tcPr>
            <w:tcW w:w="1033" w:type="dxa"/>
          </w:tcPr>
          <w:p w:rsidR="0078310B" w:rsidRDefault="0078310B" w:rsidP="005337BA">
            <w:pPr>
              <w:pStyle w:val="BodyTextIndent"/>
              <w:widowControl w:val="0"/>
              <w:spacing w:after="0"/>
              <w:ind w:left="0"/>
              <w:rPr>
                <w:sz w:val="20"/>
              </w:rPr>
            </w:pPr>
            <w:r>
              <w:rPr>
                <w:sz w:val="20"/>
              </w:rPr>
              <w:t>626</w:t>
            </w:r>
          </w:p>
        </w:tc>
        <w:tc>
          <w:tcPr>
            <w:tcW w:w="1150" w:type="dxa"/>
          </w:tcPr>
          <w:p w:rsidR="0078310B" w:rsidRDefault="0078310B" w:rsidP="005337BA">
            <w:pPr>
              <w:pStyle w:val="BodyTextIndent"/>
              <w:widowControl w:val="0"/>
              <w:spacing w:after="0"/>
              <w:ind w:left="0"/>
              <w:rPr>
                <w:sz w:val="20"/>
              </w:rPr>
            </w:pPr>
            <w:r>
              <w:rPr>
                <w:sz w:val="20"/>
              </w:rPr>
              <w:t>958</w:t>
            </w:r>
          </w:p>
        </w:tc>
        <w:tc>
          <w:tcPr>
            <w:tcW w:w="975" w:type="dxa"/>
          </w:tcPr>
          <w:p w:rsidR="0078310B" w:rsidRDefault="0078310B" w:rsidP="005337BA">
            <w:pPr>
              <w:pStyle w:val="BodyTextIndent"/>
              <w:widowControl w:val="0"/>
              <w:spacing w:after="0"/>
              <w:ind w:left="0"/>
              <w:rPr>
                <w:sz w:val="20"/>
              </w:rPr>
            </w:pPr>
            <w:r>
              <w:rPr>
                <w:sz w:val="20"/>
              </w:rPr>
              <w:t>313</w:t>
            </w:r>
          </w:p>
        </w:tc>
        <w:tc>
          <w:tcPr>
            <w:tcW w:w="1150" w:type="dxa"/>
          </w:tcPr>
          <w:p w:rsidR="0078310B" w:rsidRDefault="0078310B" w:rsidP="005337BA">
            <w:pPr>
              <w:pStyle w:val="BodyTextIndent"/>
              <w:widowControl w:val="0"/>
              <w:spacing w:after="0"/>
              <w:ind w:left="0"/>
              <w:rPr>
                <w:sz w:val="20"/>
              </w:rPr>
            </w:pPr>
            <w:r>
              <w:rPr>
                <w:sz w:val="20"/>
              </w:rPr>
              <w:t>479</w:t>
            </w:r>
          </w:p>
        </w:tc>
        <w:tc>
          <w:tcPr>
            <w:tcW w:w="950" w:type="dxa"/>
          </w:tcPr>
          <w:p w:rsidR="0078310B" w:rsidRDefault="0078310B" w:rsidP="005337BA">
            <w:pPr>
              <w:pStyle w:val="BodyTextIndent"/>
              <w:widowControl w:val="0"/>
              <w:spacing w:after="0"/>
              <w:ind w:left="0"/>
              <w:rPr>
                <w:sz w:val="20"/>
              </w:rPr>
            </w:pPr>
            <w:r>
              <w:rPr>
                <w:sz w:val="20"/>
              </w:rPr>
              <w:t>20</w:t>
            </w:r>
          </w:p>
        </w:tc>
        <w:tc>
          <w:tcPr>
            <w:tcW w:w="1026" w:type="dxa"/>
          </w:tcPr>
          <w:p w:rsidR="0078310B" w:rsidRDefault="0078310B" w:rsidP="005337BA">
            <w:pPr>
              <w:pStyle w:val="BodyTextIndent"/>
              <w:widowControl w:val="0"/>
              <w:spacing w:after="0"/>
              <w:ind w:left="0"/>
              <w:rPr>
                <w:sz w:val="20"/>
              </w:rPr>
            </w:pPr>
            <w:r>
              <w:rPr>
                <w:sz w:val="20"/>
              </w:rPr>
              <w:t>15.3</w:t>
            </w:r>
          </w:p>
        </w:tc>
      </w:tr>
      <w:tr w:rsidR="0078310B" w:rsidTr="005337BA">
        <w:tc>
          <w:tcPr>
            <w:tcW w:w="1368" w:type="dxa"/>
          </w:tcPr>
          <w:p w:rsidR="0078310B" w:rsidRDefault="0078310B" w:rsidP="005337BA">
            <w:pPr>
              <w:pStyle w:val="BodyTextIndent"/>
              <w:widowControl w:val="0"/>
              <w:spacing w:after="0"/>
              <w:ind w:left="0"/>
              <w:rPr>
                <w:sz w:val="20"/>
              </w:rPr>
            </w:pPr>
            <w:r>
              <w:rPr>
                <w:sz w:val="20"/>
              </w:rPr>
              <w:t>3,125 - 6,250</w:t>
            </w:r>
          </w:p>
        </w:tc>
        <w:tc>
          <w:tcPr>
            <w:tcW w:w="1440" w:type="dxa"/>
          </w:tcPr>
          <w:p w:rsidR="0078310B" w:rsidRDefault="0078310B" w:rsidP="005337BA">
            <w:pPr>
              <w:pStyle w:val="BodyTextIndent"/>
              <w:widowControl w:val="0"/>
              <w:spacing w:after="0"/>
              <w:ind w:left="0"/>
              <w:rPr>
                <w:sz w:val="20"/>
              </w:rPr>
            </w:pPr>
            <w:r>
              <w:rPr>
                <w:sz w:val="20"/>
              </w:rPr>
              <w:t>0.5</w:t>
            </w:r>
          </w:p>
        </w:tc>
        <w:tc>
          <w:tcPr>
            <w:tcW w:w="1033" w:type="dxa"/>
          </w:tcPr>
          <w:p w:rsidR="0078310B" w:rsidRDefault="0078310B" w:rsidP="005337BA">
            <w:pPr>
              <w:pStyle w:val="BodyTextIndent"/>
              <w:widowControl w:val="0"/>
              <w:spacing w:after="0"/>
              <w:ind w:left="0"/>
              <w:rPr>
                <w:sz w:val="20"/>
              </w:rPr>
            </w:pPr>
            <w:r>
              <w:rPr>
                <w:sz w:val="20"/>
              </w:rPr>
              <w:t>1,526</w:t>
            </w:r>
          </w:p>
        </w:tc>
        <w:tc>
          <w:tcPr>
            <w:tcW w:w="1150" w:type="dxa"/>
          </w:tcPr>
          <w:p w:rsidR="0078310B" w:rsidRDefault="0078310B" w:rsidP="005337BA">
            <w:pPr>
              <w:pStyle w:val="BodyTextIndent"/>
              <w:widowControl w:val="0"/>
              <w:spacing w:after="0"/>
              <w:ind w:left="0"/>
              <w:rPr>
                <w:sz w:val="20"/>
              </w:rPr>
            </w:pPr>
            <w:r>
              <w:rPr>
                <w:sz w:val="20"/>
              </w:rPr>
              <w:t>2,520</w:t>
            </w:r>
          </w:p>
        </w:tc>
        <w:tc>
          <w:tcPr>
            <w:tcW w:w="975" w:type="dxa"/>
          </w:tcPr>
          <w:p w:rsidR="0078310B" w:rsidRDefault="0078310B" w:rsidP="005337BA">
            <w:pPr>
              <w:pStyle w:val="BodyTextIndent"/>
              <w:widowControl w:val="0"/>
              <w:spacing w:after="0"/>
              <w:ind w:left="0"/>
              <w:rPr>
                <w:sz w:val="20"/>
              </w:rPr>
            </w:pPr>
            <w:r>
              <w:rPr>
                <w:sz w:val="20"/>
              </w:rPr>
              <w:t>781</w:t>
            </w:r>
          </w:p>
        </w:tc>
        <w:tc>
          <w:tcPr>
            <w:tcW w:w="1150" w:type="dxa"/>
          </w:tcPr>
          <w:p w:rsidR="0078310B" w:rsidRDefault="0078310B" w:rsidP="005337BA">
            <w:pPr>
              <w:pStyle w:val="BodyTextIndent"/>
              <w:widowControl w:val="0"/>
              <w:spacing w:after="0"/>
              <w:ind w:left="0"/>
              <w:rPr>
                <w:sz w:val="20"/>
              </w:rPr>
            </w:pPr>
            <w:r>
              <w:rPr>
                <w:sz w:val="20"/>
              </w:rPr>
              <w:t>1,260</w:t>
            </w:r>
          </w:p>
        </w:tc>
        <w:tc>
          <w:tcPr>
            <w:tcW w:w="950" w:type="dxa"/>
          </w:tcPr>
          <w:p w:rsidR="0078310B" w:rsidRDefault="0078310B" w:rsidP="005337BA">
            <w:pPr>
              <w:pStyle w:val="BodyTextIndent"/>
              <w:widowControl w:val="0"/>
              <w:spacing w:after="0"/>
              <w:ind w:left="0"/>
              <w:rPr>
                <w:sz w:val="20"/>
              </w:rPr>
            </w:pPr>
            <w:r>
              <w:rPr>
                <w:sz w:val="20"/>
              </w:rPr>
              <w:t>25</w:t>
            </w:r>
          </w:p>
        </w:tc>
        <w:tc>
          <w:tcPr>
            <w:tcW w:w="1026" w:type="dxa"/>
          </w:tcPr>
          <w:p w:rsidR="0078310B" w:rsidRDefault="0078310B" w:rsidP="005337BA">
            <w:pPr>
              <w:pStyle w:val="BodyTextIndent"/>
              <w:widowControl w:val="0"/>
              <w:spacing w:after="0"/>
              <w:ind w:left="0"/>
              <w:rPr>
                <w:sz w:val="20"/>
              </w:rPr>
            </w:pPr>
            <w:r>
              <w:rPr>
                <w:sz w:val="20"/>
              </w:rPr>
              <w:t>20.2</w:t>
            </w:r>
          </w:p>
        </w:tc>
      </w:tr>
      <w:tr w:rsidR="0078310B" w:rsidTr="005337BA">
        <w:tc>
          <w:tcPr>
            <w:tcW w:w="1368" w:type="dxa"/>
          </w:tcPr>
          <w:p w:rsidR="0078310B" w:rsidRDefault="0078310B" w:rsidP="005337BA">
            <w:pPr>
              <w:pStyle w:val="BodyTextIndent"/>
              <w:widowControl w:val="0"/>
              <w:spacing w:after="0"/>
              <w:ind w:left="0"/>
              <w:rPr>
                <w:sz w:val="20"/>
              </w:rPr>
            </w:pPr>
            <w:r>
              <w:rPr>
                <w:sz w:val="20"/>
              </w:rPr>
              <w:t>6,250 - 12,500</w:t>
            </w:r>
          </w:p>
        </w:tc>
        <w:tc>
          <w:tcPr>
            <w:tcW w:w="1440" w:type="dxa"/>
          </w:tcPr>
          <w:p w:rsidR="0078310B" w:rsidRDefault="0078310B" w:rsidP="005337BA">
            <w:pPr>
              <w:pStyle w:val="BodyTextIndent"/>
              <w:widowControl w:val="0"/>
              <w:spacing w:after="0"/>
              <w:ind w:left="0"/>
              <w:rPr>
                <w:sz w:val="20"/>
              </w:rPr>
            </w:pPr>
            <w:r>
              <w:rPr>
                <w:sz w:val="20"/>
              </w:rPr>
              <w:t>0.6</w:t>
            </w:r>
          </w:p>
        </w:tc>
        <w:tc>
          <w:tcPr>
            <w:tcW w:w="1033" w:type="dxa"/>
          </w:tcPr>
          <w:p w:rsidR="0078310B" w:rsidRDefault="0078310B" w:rsidP="005337BA">
            <w:pPr>
              <w:pStyle w:val="BodyTextIndent"/>
              <w:widowControl w:val="0"/>
              <w:spacing w:after="0"/>
              <w:ind w:left="0"/>
              <w:rPr>
                <w:sz w:val="20"/>
              </w:rPr>
            </w:pPr>
            <w:r>
              <w:rPr>
                <w:sz w:val="20"/>
              </w:rPr>
              <w:t>3,750</w:t>
            </w:r>
          </w:p>
        </w:tc>
        <w:tc>
          <w:tcPr>
            <w:tcW w:w="1150" w:type="dxa"/>
          </w:tcPr>
          <w:p w:rsidR="0078310B" w:rsidRDefault="0078310B" w:rsidP="005337BA">
            <w:pPr>
              <w:pStyle w:val="BodyTextIndent"/>
              <w:widowControl w:val="0"/>
              <w:spacing w:after="0"/>
              <w:ind w:left="0"/>
              <w:rPr>
                <w:sz w:val="20"/>
              </w:rPr>
            </w:pPr>
            <w:r>
              <w:rPr>
                <w:sz w:val="20"/>
              </w:rPr>
              <w:t>6,270</w:t>
            </w:r>
          </w:p>
        </w:tc>
        <w:tc>
          <w:tcPr>
            <w:tcW w:w="975" w:type="dxa"/>
          </w:tcPr>
          <w:p w:rsidR="0078310B" w:rsidRDefault="0078310B" w:rsidP="005337BA">
            <w:pPr>
              <w:pStyle w:val="BodyTextIndent"/>
              <w:widowControl w:val="0"/>
              <w:spacing w:after="0"/>
              <w:ind w:left="0"/>
              <w:rPr>
                <w:sz w:val="20"/>
              </w:rPr>
            </w:pPr>
            <w:r>
              <w:rPr>
                <w:sz w:val="20"/>
              </w:rPr>
              <w:t>1,875</w:t>
            </w:r>
          </w:p>
        </w:tc>
        <w:tc>
          <w:tcPr>
            <w:tcW w:w="1150" w:type="dxa"/>
          </w:tcPr>
          <w:p w:rsidR="0078310B" w:rsidRDefault="0078310B" w:rsidP="005337BA">
            <w:pPr>
              <w:pStyle w:val="BodyTextIndent"/>
              <w:widowControl w:val="0"/>
              <w:spacing w:after="0"/>
              <w:ind w:left="0"/>
              <w:rPr>
                <w:sz w:val="20"/>
              </w:rPr>
            </w:pPr>
            <w:r>
              <w:rPr>
                <w:sz w:val="20"/>
              </w:rPr>
              <w:t>3,135</w:t>
            </w:r>
          </w:p>
        </w:tc>
        <w:tc>
          <w:tcPr>
            <w:tcW w:w="950" w:type="dxa"/>
          </w:tcPr>
          <w:p w:rsidR="0078310B" w:rsidRDefault="0078310B" w:rsidP="005337BA">
            <w:pPr>
              <w:pStyle w:val="BodyTextIndent"/>
              <w:widowControl w:val="0"/>
              <w:spacing w:after="0"/>
              <w:ind w:left="0"/>
              <w:rPr>
                <w:sz w:val="20"/>
              </w:rPr>
            </w:pPr>
            <w:r>
              <w:rPr>
                <w:sz w:val="20"/>
              </w:rPr>
              <w:t>30</w:t>
            </w:r>
          </w:p>
        </w:tc>
        <w:tc>
          <w:tcPr>
            <w:tcW w:w="1026" w:type="dxa"/>
          </w:tcPr>
          <w:p w:rsidR="0078310B" w:rsidRDefault="0078310B" w:rsidP="005337BA">
            <w:pPr>
              <w:pStyle w:val="BodyTextIndent"/>
              <w:widowControl w:val="0"/>
              <w:spacing w:after="0"/>
              <w:ind w:left="0"/>
              <w:rPr>
                <w:sz w:val="20"/>
              </w:rPr>
            </w:pPr>
            <w:r>
              <w:rPr>
                <w:sz w:val="20"/>
              </w:rPr>
              <w:t>25.1</w:t>
            </w:r>
          </w:p>
        </w:tc>
      </w:tr>
      <w:tr w:rsidR="0078310B" w:rsidTr="005337BA">
        <w:tc>
          <w:tcPr>
            <w:tcW w:w="1368" w:type="dxa"/>
          </w:tcPr>
          <w:p w:rsidR="0078310B" w:rsidRDefault="0078310B" w:rsidP="005337BA">
            <w:pPr>
              <w:pStyle w:val="BodyTextIndent"/>
              <w:widowControl w:val="0"/>
              <w:spacing w:after="0"/>
              <w:ind w:left="0"/>
              <w:rPr>
                <w:sz w:val="20"/>
              </w:rPr>
            </w:pPr>
            <w:r>
              <w:rPr>
                <w:sz w:val="20"/>
              </w:rPr>
              <w:t>12,500 -25,000</w:t>
            </w:r>
          </w:p>
        </w:tc>
        <w:tc>
          <w:tcPr>
            <w:tcW w:w="1440" w:type="dxa"/>
          </w:tcPr>
          <w:p w:rsidR="0078310B" w:rsidRDefault="0078310B" w:rsidP="005337BA">
            <w:pPr>
              <w:pStyle w:val="BodyTextIndent"/>
              <w:widowControl w:val="0"/>
              <w:spacing w:after="0"/>
              <w:ind w:left="0"/>
              <w:rPr>
                <w:sz w:val="20"/>
              </w:rPr>
            </w:pPr>
            <w:r>
              <w:rPr>
                <w:sz w:val="20"/>
              </w:rPr>
              <w:t>0.7</w:t>
            </w:r>
          </w:p>
        </w:tc>
        <w:tc>
          <w:tcPr>
            <w:tcW w:w="1033" w:type="dxa"/>
          </w:tcPr>
          <w:p w:rsidR="0078310B" w:rsidRDefault="0078310B" w:rsidP="005337BA">
            <w:pPr>
              <w:pStyle w:val="BodyTextIndent"/>
              <w:widowControl w:val="0"/>
              <w:spacing w:after="0"/>
              <w:ind w:left="0"/>
              <w:rPr>
                <w:sz w:val="20"/>
              </w:rPr>
            </w:pPr>
            <w:r>
              <w:rPr>
                <w:sz w:val="20"/>
              </w:rPr>
              <w:t>8,750</w:t>
            </w:r>
          </w:p>
        </w:tc>
        <w:tc>
          <w:tcPr>
            <w:tcW w:w="1150" w:type="dxa"/>
          </w:tcPr>
          <w:p w:rsidR="0078310B" w:rsidRDefault="0078310B" w:rsidP="005337BA">
            <w:pPr>
              <w:pStyle w:val="BodyTextIndent"/>
              <w:widowControl w:val="0"/>
              <w:spacing w:after="0"/>
              <w:ind w:left="0"/>
              <w:rPr>
                <w:sz w:val="20"/>
              </w:rPr>
            </w:pPr>
            <w:r>
              <w:rPr>
                <w:sz w:val="20"/>
              </w:rPr>
              <w:t>15,020</w:t>
            </w:r>
          </w:p>
        </w:tc>
        <w:tc>
          <w:tcPr>
            <w:tcW w:w="975" w:type="dxa"/>
          </w:tcPr>
          <w:p w:rsidR="0078310B" w:rsidRDefault="0078310B" w:rsidP="005337BA">
            <w:pPr>
              <w:pStyle w:val="BodyTextIndent"/>
              <w:widowControl w:val="0"/>
              <w:spacing w:after="0"/>
              <w:ind w:left="0"/>
              <w:rPr>
                <w:sz w:val="20"/>
              </w:rPr>
            </w:pPr>
            <w:r>
              <w:rPr>
                <w:sz w:val="20"/>
              </w:rPr>
              <w:t>4,375</w:t>
            </w:r>
          </w:p>
        </w:tc>
        <w:tc>
          <w:tcPr>
            <w:tcW w:w="1150" w:type="dxa"/>
          </w:tcPr>
          <w:p w:rsidR="0078310B" w:rsidRDefault="0078310B" w:rsidP="005337BA">
            <w:pPr>
              <w:pStyle w:val="BodyTextIndent"/>
              <w:widowControl w:val="0"/>
              <w:spacing w:after="0"/>
              <w:ind w:left="0"/>
              <w:rPr>
                <w:sz w:val="20"/>
              </w:rPr>
            </w:pPr>
            <w:r>
              <w:rPr>
                <w:sz w:val="20"/>
              </w:rPr>
              <w:t>7,510</w:t>
            </w:r>
          </w:p>
        </w:tc>
        <w:tc>
          <w:tcPr>
            <w:tcW w:w="950" w:type="dxa"/>
          </w:tcPr>
          <w:p w:rsidR="0078310B" w:rsidRDefault="0078310B" w:rsidP="005337BA">
            <w:pPr>
              <w:pStyle w:val="BodyTextIndent"/>
              <w:widowControl w:val="0"/>
              <w:spacing w:after="0"/>
              <w:ind w:left="0"/>
              <w:rPr>
                <w:sz w:val="20"/>
              </w:rPr>
            </w:pPr>
            <w:r>
              <w:rPr>
                <w:sz w:val="20"/>
              </w:rPr>
              <w:t>35</w:t>
            </w:r>
          </w:p>
        </w:tc>
        <w:tc>
          <w:tcPr>
            <w:tcW w:w="1026" w:type="dxa"/>
          </w:tcPr>
          <w:p w:rsidR="0078310B" w:rsidRDefault="0078310B" w:rsidP="005337BA">
            <w:pPr>
              <w:pStyle w:val="BodyTextIndent"/>
              <w:widowControl w:val="0"/>
              <w:spacing w:after="0"/>
              <w:ind w:left="0"/>
              <w:rPr>
                <w:sz w:val="20"/>
              </w:rPr>
            </w:pPr>
            <w:r>
              <w:rPr>
                <w:sz w:val="20"/>
              </w:rPr>
              <w:t>30.0</w:t>
            </w:r>
          </w:p>
        </w:tc>
      </w:tr>
      <w:tr w:rsidR="0078310B" w:rsidTr="005337BA">
        <w:tc>
          <w:tcPr>
            <w:tcW w:w="1368" w:type="dxa"/>
          </w:tcPr>
          <w:p w:rsidR="0078310B" w:rsidRDefault="0078310B" w:rsidP="005337BA">
            <w:pPr>
              <w:pStyle w:val="BodyTextIndent"/>
              <w:widowControl w:val="0"/>
              <w:spacing w:after="0"/>
              <w:ind w:left="0"/>
              <w:rPr>
                <w:sz w:val="20"/>
              </w:rPr>
            </w:pPr>
            <w:r>
              <w:rPr>
                <w:sz w:val="20"/>
              </w:rPr>
              <w:t>25,000 -50,000</w:t>
            </w:r>
          </w:p>
        </w:tc>
        <w:tc>
          <w:tcPr>
            <w:tcW w:w="1440" w:type="dxa"/>
          </w:tcPr>
          <w:p w:rsidR="0078310B" w:rsidRDefault="0078310B" w:rsidP="005337BA">
            <w:pPr>
              <w:pStyle w:val="BodyTextIndent"/>
              <w:widowControl w:val="0"/>
              <w:spacing w:after="0"/>
              <w:ind w:left="0"/>
              <w:rPr>
                <w:sz w:val="20"/>
              </w:rPr>
            </w:pPr>
            <w:r>
              <w:rPr>
                <w:sz w:val="20"/>
              </w:rPr>
              <w:t>0.8</w:t>
            </w:r>
          </w:p>
        </w:tc>
        <w:tc>
          <w:tcPr>
            <w:tcW w:w="1033" w:type="dxa"/>
          </w:tcPr>
          <w:p w:rsidR="0078310B" w:rsidRDefault="0078310B" w:rsidP="005337BA">
            <w:pPr>
              <w:pStyle w:val="BodyTextIndent"/>
              <w:widowControl w:val="0"/>
              <w:spacing w:after="0"/>
              <w:ind w:left="0"/>
              <w:rPr>
                <w:sz w:val="20"/>
              </w:rPr>
            </w:pPr>
            <w:r>
              <w:rPr>
                <w:sz w:val="20"/>
              </w:rPr>
              <w:t>20,000</w:t>
            </w:r>
          </w:p>
        </w:tc>
        <w:tc>
          <w:tcPr>
            <w:tcW w:w="1150" w:type="dxa"/>
          </w:tcPr>
          <w:p w:rsidR="0078310B" w:rsidRDefault="0078310B" w:rsidP="005337BA">
            <w:pPr>
              <w:pStyle w:val="BodyTextIndent"/>
              <w:widowControl w:val="0"/>
              <w:spacing w:after="0"/>
              <w:ind w:left="0"/>
              <w:rPr>
                <w:sz w:val="20"/>
              </w:rPr>
            </w:pPr>
            <w:r>
              <w:rPr>
                <w:sz w:val="20"/>
              </w:rPr>
              <w:t>35,020</w:t>
            </w:r>
          </w:p>
        </w:tc>
        <w:tc>
          <w:tcPr>
            <w:tcW w:w="975" w:type="dxa"/>
          </w:tcPr>
          <w:p w:rsidR="0078310B" w:rsidRDefault="0078310B" w:rsidP="005337BA">
            <w:pPr>
              <w:pStyle w:val="BodyTextIndent"/>
              <w:widowControl w:val="0"/>
              <w:spacing w:after="0"/>
              <w:ind w:left="0"/>
              <w:rPr>
                <w:sz w:val="20"/>
              </w:rPr>
            </w:pPr>
            <w:r>
              <w:rPr>
                <w:sz w:val="20"/>
              </w:rPr>
              <w:t>10,000</w:t>
            </w:r>
          </w:p>
        </w:tc>
        <w:tc>
          <w:tcPr>
            <w:tcW w:w="1150" w:type="dxa"/>
          </w:tcPr>
          <w:p w:rsidR="0078310B" w:rsidRDefault="0078310B" w:rsidP="005337BA">
            <w:pPr>
              <w:pStyle w:val="BodyTextIndent"/>
              <w:widowControl w:val="0"/>
              <w:spacing w:after="0"/>
              <w:ind w:left="0"/>
              <w:rPr>
                <w:sz w:val="20"/>
              </w:rPr>
            </w:pPr>
            <w:r>
              <w:rPr>
                <w:sz w:val="20"/>
              </w:rPr>
              <w:t>17,510</w:t>
            </w:r>
          </w:p>
        </w:tc>
        <w:tc>
          <w:tcPr>
            <w:tcW w:w="950" w:type="dxa"/>
          </w:tcPr>
          <w:p w:rsidR="0078310B" w:rsidRDefault="0078310B" w:rsidP="005337BA">
            <w:pPr>
              <w:pStyle w:val="BodyTextIndent"/>
              <w:widowControl w:val="0"/>
              <w:spacing w:after="0"/>
              <w:ind w:left="0"/>
              <w:rPr>
                <w:sz w:val="20"/>
              </w:rPr>
            </w:pPr>
            <w:r>
              <w:rPr>
                <w:sz w:val="20"/>
              </w:rPr>
              <w:t>40</w:t>
            </w:r>
          </w:p>
        </w:tc>
        <w:tc>
          <w:tcPr>
            <w:tcW w:w="1026" w:type="dxa"/>
          </w:tcPr>
          <w:p w:rsidR="0078310B" w:rsidRDefault="0078310B" w:rsidP="005337BA">
            <w:pPr>
              <w:pStyle w:val="BodyTextIndent"/>
              <w:widowControl w:val="0"/>
              <w:spacing w:after="0"/>
              <w:ind w:left="0"/>
              <w:rPr>
                <w:sz w:val="20"/>
              </w:rPr>
            </w:pPr>
            <w:r>
              <w:rPr>
                <w:sz w:val="20"/>
              </w:rPr>
              <w:t>35.0</w:t>
            </w:r>
          </w:p>
        </w:tc>
      </w:tr>
      <w:tr w:rsidR="0078310B" w:rsidTr="005337BA">
        <w:tc>
          <w:tcPr>
            <w:tcW w:w="1368" w:type="dxa"/>
          </w:tcPr>
          <w:p w:rsidR="0078310B" w:rsidRDefault="0078310B" w:rsidP="005337BA">
            <w:pPr>
              <w:pStyle w:val="BodyTextIndent"/>
              <w:widowControl w:val="0"/>
              <w:spacing w:after="0"/>
              <w:ind w:left="0"/>
              <w:rPr>
                <w:sz w:val="20"/>
              </w:rPr>
            </w:pPr>
            <w:r>
              <w:rPr>
                <w:sz w:val="20"/>
              </w:rPr>
              <w:t>50,000 -100,000</w:t>
            </w:r>
          </w:p>
        </w:tc>
        <w:tc>
          <w:tcPr>
            <w:tcW w:w="1440" w:type="dxa"/>
          </w:tcPr>
          <w:p w:rsidR="0078310B" w:rsidRDefault="0078310B" w:rsidP="005337BA">
            <w:pPr>
              <w:pStyle w:val="BodyTextIndent"/>
              <w:widowControl w:val="0"/>
              <w:spacing w:after="0"/>
              <w:ind w:left="0"/>
              <w:rPr>
                <w:sz w:val="20"/>
              </w:rPr>
            </w:pPr>
            <w:r>
              <w:rPr>
                <w:sz w:val="20"/>
              </w:rPr>
              <w:t>0.9</w:t>
            </w:r>
          </w:p>
        </w:tc>
        <w:tc>
          <w:tcPr>
            <w:tcW w:w="1033" w:type="dxa"/>
          </w:tcPr>
          <w:p w:rsidR="0078310B" w:rsidRDefault="0078310B" w:rsidP="005337BA">
            <w:pPr>
              <w:pStyle w:val="BodyTextIndent"/>
              <w:widowControl w:val="0"/>
              <w:spacing w:after="0"/>
              <w:ind w:left="0"/>
              <w:rPr>
                <w:sz w:val="20"/>
              </w:rPr>
            </w:pPr>
            <w:r>
              <w:rPr>
                <w:sz w:val="20"/>
              </w:rPr>
              <w:t>45,000</w:t>
            </w:r>
          </w:p>
        </w:tc>
        <w:tc>
          <w:tcPr>
            <w:tcW w:w="1150" w:type="dxa"/>
          </w:tcPr>
          <w:p w:rsidR="0078310B" w:rsidRDefault="0078310B" w:rsidP="005337BA">
            <w:pPr>
              <w:pStyle w:val="BodyTextIndent"/>
              <w:widowControl w:val="0"/>
              <w:spacing w:after="0"/>
              <w:ind w:left="0"/>
              <w:rPr>
                <w:sz w:val="20"/>
              </w:rPr>
            </w:pPr>
            <w:r>
              <w:rPr>
                <w:sz w:val="20"/>
              </w:rPr>
              <w:t>80,020</w:t>
            </w:r>
          </w:p>
        </w:tc>
        <w:tc>
          <w:tcPr>
            <w:tcW w:w="975" w:type="dxa"/>
          </w:tcPr>
          <w:p w:rsidR="0078310B" w:rsidRDefault="0078310B" w:rsidP="005337BA">
            <w:pPr>
              <w:pStyle w:val="BodyTextIndent"/>
              <w:widowControl w:val="0"/>
              <w:spacing w:after="0"/>
              <w:ind w:left="0"/>
              <w:rPr>
                <w:sz w:val="20"/>
              </w:rPr>
            </w:pPr>
            <w:r>
              <w:rPr>
                <w:sz w:val="20"/>
              </w:rPr>
              <w:t>22,500</w:t>
            </w:r>
          </w:p>
        </w:tc>
        <w:tc>
          <w:tcPr>
            <w:tcW w:w="1150" w:type="dxa"/>
          </w:tcPr>
          <w:p w:rsidR="0078310B" w:rsidRDefault="0078310B" w:rsidP="005337BA">
            <w:pPr>
              <w:pStyle w:val="BodyTextIndent"/>
              <w:widowControl w:val="0"/>
              <w:spacing w:after="0"/>
              <w:ind w:left="0"/>
              <w:rPr>
                <w:sz w:val="20"/>
              </w:rPr>
            </w:pPr>
            <w:r>
              <w:rPr>
                <w:sz w:val="20"/>
              </w:rPr>
              <w:t>40,010</w:t>
            </w:r>
          </w:p>
        </w:tc>
        <w:tc>
          <w:tcPr>
            <w:tcW w:w="950" w:type="dxa"/>
          </w:tcPr>
          <w:p w:rsidR="0078310B" w:rsidRDefault="0078310B" w:rsidP="005337BA">
            <w:pPr>
              <w:pStyle w:val="BodyTextIndent"/>
              <w:widowControl w:val="0"/>
              <w:spacing w:after="0"/>
              <w:ind w:left="0"/>
              <w:rPr>
                <w:sz w:val="20"/>
              </w:rPr>
            </w:pPr>
            <w:r>
              <w:rPr>
                <w:sz w:val="20"/>
              </w:rPr>
              <w:t>45</w:t>
            </w:r>
          </w:p>
        </w:tc>
        <w:tc>
          <w:tcPr>
            <w:tcW w:w="1026" w:type="dxa"/>
          </w:tcPr>
          <w:p w:rsidR="0078310B" w:rsidRDefault="0078310B" w:rsidP="005337BA">
            <w:pPr>
              <w:pStyle w:val="BodyTextIndent"/>
              <w:widowControl w:val="0"/>
              <w:spacing w:after="0"/>
              <w:ind w:left="0"/>
              <w:rPr>
                <w:sz w:val="20"/>
              </w:rPr>
            </w:pPr>
            <w:r>
              <w:rPr>
                <w:sz w:val="20"/>
              </w:rPr>
              <w:t>40.0</w:t>
            </w:r>
          </w:p>
        </w:tc>
      </w:tr>
      <w:tr w:rsidR="0078310B" w:rsidTr="005337BA">
        <w:tc>
          <w:tcPr>
            <w:tcW w:w="1368" w:type="dxa"/>
          </w:tcPr>
          <w:p w:rsidR="0078310B" w:rsidRDefault="0078310B" w:rsidP="005337BA">
            <w:pPr>
              <w:pStyle w:val="BodyTextIndent"/>
              <w:widowControl w:val="0"/>
              <w:spacing w:after="0"/>
              <w:ind w:left="0"/>
              <w:rPr>
                <w:sz w:val="20"/>
              </w:rPr>
            </w:pPr>
            <w:r>
              <w:rPr>
                <w:sz w:val="20"/>
              </w:rPr>
              <w:t>100,000 -200,000</w:t>
            </w:r>
          </w:p>
        </w:tc>
        <w:tc>
          <w:tcPr>
            <w:tcW w:w="1440" w:type="dxa"/>
          </w:tcPr>
          <w:p w:rsidR="0078310B" w:rsidRDefault="0078310B" w:rsidP="005337BA">
            <w:pPr>
              <w:pStyle w:val="BodyTextIndent"/>
              <w:widowControl w:val="0"/>
              <w:spacing w:after="0"/>
              <w:ind w:left="0"/>
              <w:rPr>
                <w:sz w:val="20"/>
              </w:rPr>
            </w:pPr>
            <w:r>
              <w:rPr>
                <w:sz w:val="20"/>
              </w:rPr>
              <w:t>1.0</w:t>
            </w:r>
          </w:p>
        </w:tc>
        <w:tc>
          <w:tcPr>
            <w:tcW w:w="1033" w:type="dxa"/>
          </w:tcPr>
          <w:p w:rsidR="0078310B" w:rsidRDefault="0078310B" w:rsidP="005337BA">
            <w:pPr>
              <w:pStyle w:val="BodyTextIndent"/>
              <w:widowControl w:val="0"/>
              <w:spacing w:after="0"/>
              <w:ind w:left="0"/>
              <w:rPr>
                <w:sz w:val="20"/>
              </w:rPr>
            </w:pPr>
            <w:r>
              <w:rPr>
                <w:sz w:val="20"/>
              </w:rPr>
              <w:t>100,000</w:t>
            </w:r>
          </w:p>
        </w:tc>
        <w:tc>
          <w:tcPr>
            <w:tcW w:w="1150" w:type="dxa"/>
          </w:tcPr>
          <w:p w:rsidR="0078310B" w:rsidRDefault="0078310B" w:rsidP="005337BA">
            <w:pPr>
              <w:pStyle w:val="BodyTextIndent"/>
              <w:widowControl w:val="0"/>
              <w:spacing w:after="0"/>
              <w:ind w:left="0"/>
              <w:rPr>
                <w:sz w:val="20"/>
              </w:rPr>
            </w:pPr>
            <w:r>
              <w:rPr>
                <w:sz w:val="20"/>
              </w:rPr>
              <w:t>180,020</w:t>
            </w:r>
          </w:p>
        </w:tc>
        <w:tc>
          <w:tcPr>
            <w:tcW w:w="975" w:type="dxa"/>
          </w:tcPr>
          <w:p w:rsidR="0078310B" w:rsidRDefault="0078310B" w:rsidP="005337BA">
            <w:pPr>
              <w:pStyle w:val="BodyTextIndent"/>
              <w:widowControl w:val="0"/>
              <w:spacing w:after="0"/>
              <w:ind w:left="0"/>
              <w:rPr>
                <w:sz w:val="20"/>
              </w:rPr>
            </w:pPr>
            <w:r>
              <w:rPr>
                <w:sz w:val="20"/>
              </w:rPr>
              <w:t>50,000</w:t>
            </w:r>
          </w:p>
        </w:tc>
        <w:tc>
          <w:tcPr>
            <w:tcW w:w="1150" w:type="dxa"/>
          </w:tcPr>
          <w:p w:rsidR="0078310B" w:rsidRDefault="0078310B" w:rsidP="005337BA">
            <w:pPr>
              <w:pStyle w:val="BodyTextIndent"/>
              <w:widowControl w:val="0"/>
              <w:spacing w:after="0"/>
              <w:ind w:left="0"/>
              <w:rPr>
                <w:sz w:val="20"/>
              </w:rPr>
            </w:pPr>
            <w:r>
              <w:rPr>
                <w:sz w:val="20"/>
              </w:rPr>
              <w:t>90,010</w:t>
            </w:r>
          </w:p>
        </w:tc>
        <w:tc>
          <w:tcPr>
            <w:tcW w:w="950" w:type="dxa"/>
          </w:tcPr>
          <w:p w:rsidR="0078310B" w:rsidRDefault="0078310B" w:rsidP="005337BA">
            <w:pPr>
              <w:pStyle w:val="BodyTextIndent"/>
              <w:widowControl w:val="0"/>
              <w:spacing w:after="0"/>
              <w:ind w:left="0"/>
              <w:rPr>
                <w:sz w:val="20"/>
              </w:rPr>
            </w:pPr>
            <w:r>
              <w:rPr>
                <w:sz w:val="20"/>
              </w:rPr>
              <w:t>50</w:t>
            </w:r>
          </w:p>
        </w:tc>
        <w:tc>
          <w:tcPr>
            <w:tcW w:w="1026" w:type="dxa"/>
          </w:tcPr>
          <w:p w:rsidR="0078310B" w:rsidRDefault="0078310B" w:rsidP="005337BA">
            <w:pPr>
              <w:pStyle w:val="BodyTextIndent"/>
              <w:widowControl w:val="0"/>
              <w:spacing w:after="0"/>
              <w:ind w:left="0"/>
              <w:rPr>
                <w:sz w:val="20"/>
              </w:rPr>
            </w:pPr>
            <w:r>
              <w:rPr>
                <w:sz w:val="20"/>
              </w:rPr>
              <w:t>45.0</w:t>
            </w:r>
          </w:p>
        </w:tc>
      </w:tr>
    </w:tbl>
    <w:p w:rsidR="0078310B" w:rsidRDefault="0078310B" w:rsidP="0078310B">
      <w:pPr>
        <w:pStyle w:val="BodyTextIndent"/>
        <w:widowControl w:val="0"/>
        <w:spacing w:after="0"/>
        <w:ind w:left="0"/>
        <w:jc w:val="center"/>
      </w:pPr>
    </w:p>
    <w:p w:rsidR="0078310B" w:rsidRDefault="0078310B" w:rsidP="0078310B">
      <w:pPr>
        <w:pStyle w:val="BodyTextIndent"/>
        <w:widowControl w:val="0"/>
        <w:ind w:left="0" w:firstLine="288"/>
        <w:jc w:val="both"/>
      </w:pPr>
      <w:r>
        <w:t xml:space="preserve">The Commission then concluded that “a more familiar method to achieve the same result would be to apply to a base that measures [total income, rather than only discretionary income] a schedule of progressive rates of tax.” That is to say, the same tax can be computed by multiplying the marginal rates in the penultimate column above by the </w:t>
      </w:r>
      <w:r>
        <w:rPr>
          <w:i/>
          <w:iCs/>
        </w:rPr>
        <w:t>aggregate</w:t>
      </w:r>
      <w:r>
        <w:t xml:space="preserve"> income (not limited to “discretionary” income) in each of the brackets in the first column. </w:t>
      </w:r>
    </w:p>
    <w:p w:rsidR="0078310B" w:rsidRDefault="0078310B" w:rsidP="0078310B">
      <w:pPr>
        <w:widowControl w:val="0"/>
        <w:spacing w:after="120"/>
        <w:ind w:firstLine="288"/>
        <w:jc w:val="both"/>
      </w:pPr>
      <w:r>
        <w:t>Voila! We have a progressive rate tax on total income.</w:t>
      </w:r>
    </w:p>
    <w:p w:rsidR="0078310B" w:rsidRPr="00083FB8" w:rsidRDefault="0078310B" w:rsidP="0078310B">
      <w:pPr>
        <w:pStyle w:val="Heading3"/>
        <w:spacing w:before="0" w:beforeAutospacing="0" w:after="120" w:afterAutospacing="0"/>
        <w:rPr>
          <w:i/>
        </w:rPr>
      </w:pPr>
      <w:bookmarkStart w:id="51" w:name="_Toc395790365"/>
      <w:r w:rsidRPr="00083FB8">
        <w:rPr>
          <w:i/>
        </w:rPr>
        <w:t>Chicago-school-style economics</w:t>
      </w:r>
      <w:bookmarkEnd w:id="51"/>
    </w:p>
    <w:p w:rsidR="0078310B" w:rsidRPr="00D03FF7" w:rsidRDefault="0078310B" w:rsidP="0078310B">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w:t>
      </w:r>
      <w:r>
        <w:rPr>
          <w:rStyle w:val="FootnoteReference"/>
        </w:rPr>
        <w:footnoteReference w:id="129"/>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their highest and best uses, thus 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w:t>
      </w:r>
      <w:r w:rsidR="008B2A6F">
        <w:t xml:space="preserve">(in the absence of a market failure) </w:t>
      </w:r>
      <w:r>
        <w:t xml:space="preserve">anathema, as such interference presumptively reduces aggregate societal wealth by directing goods and services to lesser efficient uses (reducing aggregate societal wealth). In short, to the neoclassical economist, free and unfettered </w:t>
      </w:r>
      <w:r w:rsidRPr="00D03FF7">
        <w:t>market behavior</w:t>
      </w:r>
      <w:r>
        <w:t xml:space="preserve"> is the guiding star, without regard to its effects on the distribution of wealth and income. </w:t>
      </w:r>
    </w:p>
    <w:p w:rsidR="0078310B" w:rsidRDefault="0078310B" w:rsidP="0078310B">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rsidR="0078310B" w:rsidRDefault="0078310B" w:rsidP="0078310B">
      <w:pPr>
        <w:widowControl w:val="0"/>
        <w:spacing w:after="120"/>
        <w:ind w:firstLine="288"/>
        <w:jc w:val="both"/>
      </w:pPr>
      <w:r>
        <w:t xml:space="preserve">The only perfectly efficient tax for such economists is an equal-amount head tax, such as one that requires each and every man, </w:t>
      </w:r>
      <w:r w:rsidR="00AA4CE6">
        <w:t xml:space="preserve">woman, and child to pay $12,340 </w:t>
      </w:r>
      <w:r>
        <w:t xml:space="preserve">to the Federal government in tax each year (as described in Part A.). Such a tax is perfectly efficient because it is imposed merely for existing. Except for the possibility of suicide, no change in behavior can result in avoidance of the tax, which means that the market (the price mechanism) will not be distorted by the tax. </w:t>
      </w:r>
    </w:p>
    <w:p w:rsidR="0078310B" w:rsidRDefault="0078310B" w:rsidP="0078310B">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thus the less likely the tax will be to distort market prices. High marginal rates are anathema under this view because it is </w:t>
      </w:r>
      <w:r w:rsidRPr="00045A8D">
        <w:rPr>
          <w:i/>
        </w:rPr>
        <w:t>at the margins</w:t>
      </w:r>
      <w:r>
        <w:t xml:space="preserve"> that behavior can (at least theoretically) be influenced. Here is an example using work effort.</w:t>
      </w:r>
    </w:p>
    <w:p w:rsidR="0078310B" w:rsidRPr="000D3C77" w:rsidRDefault="0078310B" w:rsidP="0078310B">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sidR="009E1C42">
        <w:rPr>
          <w:b/>
        </w:rPr>
        <w:t xml:space="preserve"> be taxed at a high rate, </w:t>
      </w:r>
      <w:r w:rsidRPr="001A46FC">
        <w:rPr>
          <w:b/>
        </w:rPr>
        <w:t xml:space="preserve">perhaps the worker will choose not to earn it and substitute untaxed leisure for work—the </w:t>
      </w:r>
      <w:r w:rsidRPr="00C06062">
        <w:rPr>
          <w:b/>
          <w:i/>
        </w:rPr>
        <w:t>substitution effect</w:t>
      </w:r>
      <w:r>
        <w:rPr>
          <w:b/>
        </w:rPr>
        <w:t>—decreasing economic efficiency and aggregate societal wealth. Of course, it is</w:t>
      </w:r>
      <w:r w:rsidRPr="00C06062">
        <w:rPr>
          <w:b/>
        </w:rPr>
        <w:t xml:space="preserve"> also true that increasing tax rates can cause people to work </w:t>
      </w:r>
      <w:r w:rsidRPr="00B00E65">
        <w:rPr>
          <w:b/>
        </w:rPr>
        <w:t>harder</w:t>
      </w:r>
      <w:r w:rsidRPr="00C06062">
        <w:rPr>
          <w:b/>
        </w:rPr>
        <w:t xml:space="preserve"> (not less) in order to meet a fixed target of after-tax discretionary income to save or spend. This offsetting effect is called the </w:t>
      </w:r>
      <w:r w:rsidRPr="00C06062">
        <w:rPr>
          <w:b/>
          <w:i/>
        </w:rPr>
        <w:t>income effect</w:t>
      </w:r>
      <w:r w:rsidRPr="00C06062">
        <w:rPr>
          <w:b/>
        </w:rPr>
        <w:t>.</w:t>
      </w:r>
    </w:p>
    <w:p w:rsidR="0078310B" w:rsidRDefault="0078310B" w:rsidP="0078310B">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w:t>
      </w:r>
      <w:r w:rsidR="00B05613">
        <w:t xml:space="preserve">ll not markedly change behavior </w:t>
      </w:r>
      <w:r>
        <w:t xml:space="preserve">and </w:t>
      </w:r>
      <w:r w:rsidR="00B05613">
        <w:t xml:space="preserve">thus </w:t>
      </w:r>
      <w:r>
        <w:t>will not markedly reduce aggregate societal wealth.</w:t>
      </w:r>
    </w:p>
    <w:p w:rsidR="0078310B" w:rsidRDefault="0078310B" w:rsidP="0078310B">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As described in Part A.,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30"/>
      </w:r>
      <w:r>
        <w:t xml:space="preserve"> </w:t>
      </w:r>
    </w:p>
    <w:p w:rsidR="0078310B" w:rsidRDefault="0078310B" w:rsidP="0078310B">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thus, the less likely it may interfere with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rsidR="0078310B" w:rsidRDefault="0078310B" w:rsidP="0078310B">
      <w:pPr>
        <w:widowControl w:val="0"/>
        <w:spacing w:after="120"/>
        <w:ind w:firstLine="288"/>
        <w:jc w:val="both"/>
      </w:pPr>
      <w:r w:rsidRPr="00E02A33">
        <w:t xml:space="preserve">A critical distinction that often is obfuscated by political partisans misusing economic principles is the difference between “pro-market” and “pro-business.” </w:t>
      </w:r>
      <w:r>
        <w:t>Chicago school economists are not “pro-business” in the sense that they support tax provisions that funnel benefits to business activity. Indeed, many such provisions are anathema to such economists because they interfere with the market’s allocation of resources. Thus, beware the politician arguing that a tax preference benefiting business activity needs to be enacted or maintained in order to help the economy grow. The partisan is misusing economic theory to sound neutral while actually advocating market distortion.</w:t>
      </w:r>
    </w:p>
    <w:p w:rsidR="0078310B" w:rsidRDefault="0078310B" w:rsidP="0078310B">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distortions imposed by monopoly power, </w:t>
      </w:r>
      <w:r w:rsidRPr="00DE344F">
        <w:t>negative externalities</w:t>
      </w:r>
      <w:r>
        <w:t>,</w:t>
      </w:r>
      <w:r w:rsidRPr="00DE344F">
        <w:t xml:space="preserve"> and rent-seeking behavior. </w:t>
      </w:r>
      <w:r>
        <w:t>In addition, economists may not object to a special tax incentive to encourage behavior resulting in positive externalities, if structure</w:t>
      </w:r>
      <w:r w:rsidR="00F82FDD">
        <w:t>d</w:t>
      </w:r>
      <w:r>
        <w:t xml:space="preserve"> well. </w:t>
      </w:r>
    </w:p>
    <w:p w:rsidR="0078310B" w:rsidRPr="00083FB8" w:rsidRDefault="0078310B" w:rsidP="0078310B">
      <w:pPr>
        <w:pStyle w:val="Heading3"/>
        <w:spacing w:before="0" w:beforeAutospacing="0" w:after="120" w:afterAutospacing="0"/>
        <w:rPr>
          <w:i/>
        </w:rPr>
      </w:pPr>
      <w:bookmarkStart w:id="52" w:name="_Toc395790366"/>
      <w:r w:rsidRPr="00083FB8">
        <w:rPr>
          <w:i/>
        </w:rPr>
        <w:t xml:space="preserve">Negative </w:t>
      </w:r>
      <w:r>
        <w:rPr>
          <w:i/>
        </w:rPr>
        <w:t xml:space="preserve">and positive </w:t>
      </w:r>
      <w:r w:rsidRPr="00083FB8">
        <w:rPr>
          <w:i/>
        </w:rPr>
        <w:t>externalities</w:t>
      </w:r>
      <w:bookmarkEnd w:id="52"/>
      <w:r>
        <w:rPr>
          <w:i/>
        </w:rPr>
        <w:t xml:space="preserve"> and Pigovian taxes</w:t>
      </w:r>
    </w:p>
    <w:p w:rsidR="0078310B" w:rsidRDefault="0078310B" w:rsidP="0078310B">
      <w:pPr>
        <w:widowControl w:val="0"/>
        <w:spacing w:after="120"/>
        <w:ind w:firstLine="288"/>
        <w:jc w:val="both"/>
      </w:pPr>
      <w:r>
        <w:rPr>
          <w:b/>
        </w:rPr>
        <w:t>Negative externalities are harms imposed on others that are not captured in market price</w:t>
      </w:r>
      <w:r>
        <w:t xml:space="preserve">. The most common current example is environmental damage. For example, mining companies or oil companies can sometimes 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actually increase economy efficiency. </w:t>
      </w:r>
    </w:p>
    <w:p w:rsidR="0078310B" w:rsidRDefault="0078310B" w:rsidP="0078310B">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Please click and read the following article: </w:t>
      </w:r>
    </w:p>
    <w:p w:rsidR="0078310B" w:rsidRDefault="002B3596" w:rsidP="0078310B">
      <w:pPr>
        <w:widowControl w:val="0"/>
        <w:spacing w:after="120"/>
        <w:jc w:val="both"/>
      </w:pPr>
      <w:hyperlink r:id="rId121" w:history="1">
        <w:r w:rsidR="0078310B" w:rsidRPr="00186E77">
          <w:rPr>
            <w:rStyle w:val="Hyperlink"/>
          </w:rPr>
          <w:t>www.nytimes.com/2012/07/05/opinion/a-carbon-tax-sensible-for-all.html</w:t>
        </w:r>
      </w:hyperlink>
      <w:r w:rsidR="0078310B">
        <w:t xml:space="preserve">. </w:t>
      </w:r>
    </w:p>
    <w:p w:rsidR="0078310B" w:rsidRPr="00EF32FD" w:rsidRDefault="0078310B" w:rsidP="0078310B">
      <w:pPr>
        <w:widowControl w:val="0"/>
        <w:spacing w:after="240"/>
        <w:ind w:firstLine="288"/>
        <w:jc w:val="both"/>
      </w:pPr>
      <w:r>
        <w:t>As shown in the chart below,</w:t>
      </w:r>
      <w:r>
        <w:rPr>
          <w:rStyle w:val="FootnoteReference"/>
        </w:rPr>
        <w:footnoteReference w:id="131"/>
      </w:r>
      <w:r>
        <w:t xml:space="preserve"> drivers in Turkey, Germany, Britain, Finland, and France pay more than $3.00 in tax per gallon of gasoline. Drivers in the United States, in contrast, pay approximately $.40 cents in tax per gallon. Mexico is the only country to subsidize gasoline usage. </w:t>
      </w:r>
    </w:p>
    <w:p w:rsidR="0078310B" w:rsidRDefault="0078310B" w:rsidP="0078310B">
      <w:pPr>
        <w:pStyle w:val="NormalWeb"/>
        <w:widowControl w:val="0"/>
        <w:spacing w:before="0" w:beforeAutospacing="0" w:after="120" w:afterAutospacing="0"/>
        <w:jc w:val="center"/>
      </w:pPr>
      <w:r>
        <w:rPr>
          <w:noProof/>
        </w:rPr>
        <w:drawing>
          <wp:inline distT="0" distB="0" distL="0" distR="0" wp14:anchorId="2A60398F" wp14:editId="488CDF57">
            <wp:extent cx="2733675" cy="2814779"/>
            <wp:effectExtent l="0" t="0" r="0" b="5080"/>
            <wp:docPr id="21" name="Picture 21" descr="http://upload.wikimedia.org/wikipedia/commons/b/bc/Fuel_tax_in_OECD_countries%2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c/Fuel_tax_in_OECD_countries%2C_2010..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37070" cy="2818275"/>
                    </a:xfrm>
                    <a:prstGeom prst="rect">
                      <a:avLst/>
                    </a:prstGeom>
                    <a:noFill/>
                    <a:ln>
                      <a:noFill/>
                    </a:ln>
                  </pic:spPr>
                </pic:pic>
              </a:graphicData>
            </a:graphic>
          </wp:inline>
        </w:drawing>
      </w:r>
    </w:p>
    <w:p w:rsidR="0078310B" w:rsidRDefault="0078310B" w:rsidP="0078310B">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for example, the distributional impact would be quite different than if the revenue raised were used to reduce, say, corporate taxes or the estate tax.</w:t>
      </w:r>
      <w:r>
        <w:rPr>
          <w:rStyle w:val="FootnoteReference"/>
        </w:rPr>
        <w:footnoteReference w:id="132"/>
      </w:r>
      <w:r>
        <w:t xml:space="preserve"> </w:t>
      </w:r>
    </w:p>
    <w:p w:rsidR="0078310B" w:rsidRDefault="0078310B" w:rsidP="0078310B">
      <w:pPr>
        <w:pStyle w:val="NormalWeb"/>
        <w:widowControl w:val="0"/>
        <w:spacing w:before="0" w:beforeAutospacing="0" w:after="120" w:afterAutospacing="0"/>
        <w:ind w:firstLine="288"/>
        <w:jc w:val="both"/>
      </w:pPr>
      <w:r>
        <w:t>Other common Pigovian taxes are those imposed on cigarettes and alcohol. More recently, some have proposed imposing Pigovian taxes on sugared soft drinks in an effort to combat obesity</w:t>
      </w:r>
      <w:r w:rsidR="00797B9F">
        <w:t xml:space="preserve"> an diabetes</w:t>
      </w:r>
      <w:r>
        <w:t>.</w:t>
      </w:r>
      <w:r>
        <w:rPr>
          <w:rStyle w:val="FootnoteReference"/>
        </w:rPr>
        <w:footnoteReference w:id="133"/>
      </w:r>
      <w:r>
        <w:t xml:space="preserve"> But regulation is a common alternative to Pigovian taxes in combatting negative externalities, and former New York City Mayor Michael Bloomberg famously proposed such a regulation, which would </w:t>
      </w:r>
      <w:r w:rsidR="00FF1DBA">
        <w:t xml:space="preserve">have </w:t>
      </w:r>
      <w:r>
        <w:t>proscribe</w:t>
      </w:r>
      <w:r w:rsidR="00FF1DBA">
        <w:t>d</w:t>
      </w:r>
      <w:r>
        <w:t xml:space="preserve"> the sale of soft drinks larger than sixteen ounces by restaurants, sports arenas, movie theaters, and street carts. The proposal relied on several cognitive biases. </w:t>
      </w:r>
    </w:p>
    <w:p w:rsidR="0078310B" w:rsidRDefault="0078310B" w:rsidP="0078310B">
      <w:pPr>
        <w:pStyle w:val="NormalWeb"/>
        <w:widowControl w:val="0"/>
        <w:spacing w:before="0" w:beforeAutospacing="0" w:after="0" w:afterAutospacing="0"/>
        <w:ind w:left="720" w:right="720"/>
        <w:jc w:val="both"/>
      </w:pPr>
      <w:r>
        <w:t>Bloomberg’s proposal makes clever use of what economists call “default bias.” If you offer a choice in which one option is seen as a default, most people go for that default option. People who are automatically enrolled in a retirement plan, for instance, are more likely to stay with their original plan than those who choose plans for themselves. In countries where people have to choose to be an organ donor, most people aren’t donors; in countries where people have to actively say they don’t want to be an organ donor, most are donors. The soda ban makes sixteen ounces or less the default option for soda drinkers; if they want more, they’ll have to make an extra effort.</w:t>
      </w:r>
    </w:p>
    <w:p w:rsidR="0078310B" w:rsidRDefault="0078310B" w:rsidP="0078310B">
      <w:pPr>
        <w:pStyle w:val="NormalWeb"/>
        <w:widowControl w:val="0"/>
        <w:spacing w:before="0" w:beforeAutospacing="0" w:after="120" w:afterAutospacing="0"/>
        <w:ind w:left="720" w:right="720"/>
        <w:jc w:val="both"/>
      </w:pPr>
      <w:r>
        <w:t>…</w:t>
      </w:r>
    </w:p>
    <w:p w:rsidR="0078310B" w:rsidRDefault="0078310B" w:rsidP="0078310B">
      <w:pPr>
        <w:pStyle w:val="NormalWeb"/>
        <w:widowControl w:val="0"/>
        <w:spacing w:before="0" w:beforeAutospacing="0" w:after="0" w:afterAutospacing="0"/>
        <w:ind w:left="720" w:right="720"/>
        <w:jc w:val="both"/>
      </w:pPr>
      <w:r>
        <w:t xml:space="preserve">[R]esearch shows that what people “want” has a lot to do with how choices are framed. In one well-known study, researchers put a bowl of M&amp;M’s on the concierge desk of an apartment building, with a scoop attached and a sign below that said “Eat Your Fill.” On alternating days, the experimenters changed the size of the scoop—from a tablespoon to a quarter-cup scoop, which was four times as big. If people really ate just “what they want,” the amount they ate should have remained roughly the same. But scoop size turned out to matter a lot: people consumed much more when the scoop was big. This suggests that most of us don’t have a fixed idea of how much we want; instead, we look to outside cues—like the size of a package or cup—to instruct us. </w:t>
      </w:r>
    </w:p>
    <w:p w:rsidR="0078310B" w:rsidRDefault="0078310B" w:rsidP="0078310B">
      <w:pPr>
        <w:pStyle w:val="NormalWeb"/>
        <w:widowControl w:val="0"/>
        <w:spacing w:before="0" w:beforeAutospacing="0" w:after="120" w:afterAutospacing="0"/>
        <w:ind w:left="720" w:right="720"/>
        <w:jc w:val="both"/>
      </w:pPr>
      <w:r>
        <w:t>…</w:t>
      </w:r>
    </w:p>
    <w:p w:rsidR="0078310B" w:rsidRDefault="0078310B" w:rsidP="0078310B">
      <w:pPr>
        <w:pStyle w:val="NormalWeb"/>
        <w:widowControl w:val="0"/>
        <w:spacing w:before="0" w:beforeAutospacing="0" w:after="120" w:afterAutospacing="0"/>
        <w:ind w:left="720" w:right="720"/>
        <w:jc w:val="both"/>
      </w:pPr>
      <w:r>
        <w:t>[T]he mere existence of the supersize can change your idea of how much you want to drink. In a classic experiment by Itamar Simonson and Amos Tversky, people asked to choose between a cheap camera and a pricier one with more features were divided more or less equally between the two options. But when a third option—a fancy, very expensive camera—was added to the mix most people went for the mid-range camera. The very expensive camera made the middle one seem less extravagant. In the same way, the fact that a large soda is now forty ounces makes a twenty-ounce soda feel sensible. Bloomberg’s ban is designed to flip this effect on its head ….</w:t>
      </w:r>
    </w:p>
    <w:p w:rsidR="0078310B" w:rsidRDefault="0078310B" w:rsidP="0078310B">
      <w:pPr>
        <w:pStyle w:val="NormalWeb"/>
        <w:widowControl w:val="0"/>
        <w:spacing w:before="0" w:beforeAutospacing="0" w:after="120" w:afterAutospacing="0"/>
        <w:ind w:left="720" w:right="720"/>
        <w:jc w:val="both"/>
      </w:pPr>
      <w:r>
        <w:t>Many economists would say that, if we want to discourage soda consumption, taxing it—the way we do alcohol and tobacco—would be more efficient than a ban. Some European countries do have such taxes, but the idea has been a political non-starter in New York.</w:t>
      </w:r>
      <w:r>
        <w:rPr>
          <w:rStyle w:val="FootnoteReference"/>
        </w:rPr>
        <w:footnoteReference w:id="134"/>
      </w:r>
      <w:r>
        <w:t xml:space="preserve"> </w:t>
      </w:r>
    </w:p>
    <w:p w:rsidR="0078310B" w:rsidRDefault="0078310B" w:rsidP="0078310B">
      <w:pPr>
        <w:pStyle w:val="BodyTextIndent"/>
        <w:widowControl w:val="0"/>
        <w:ind w:left="0" w:firstLine="288"/>
        <w:jc w:val="both"/>
      </w:pPr>
      <w:r>
        <w:t>As the excerpt notes, regulation tends to be less efficient than Pigovian taxes in reducing some types of negative externalities. Returning to the carbon tax example, for instance, reducing gasoline consumption through regulating mileage standards in new cars is not nearly as effective in reducing gasoline consumption as a carbon tax would be.</w:t>
      </w:r>
    </w:p>
    <w:p w:rsidR="0078310B" w:rsidRDefault="0078310B" w:rsidP="0078310B">
      <w:pPr>
        <w:pStyle w:val="BodyTextIndent"/>
        <w:widowControl w:val="0"/>
        <w:ind w:left="720" w:right="720"/>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rsidR="0078310B" w:rsidRDefault="0078310B" w:rsidP="0078310B">
      <w:pPr>
        <w:pStyle w:val="BodyTextIndent"/>
        <w:widowControl w:val="0"/>
        <w:ind w:left="720" w:right="720"/>
        <w:jc w:val="both"/>
      </w:pPr>
      <w:r>
        <w:t>According to economists crunching the numbers, this makes mileage standards somewhere between 2.4 and 13 times more expensive than a gasoline tax as a tool to reduce our use of fuel….</w:t>
      </w:r>
    </w:p>
    <w:p w:rsidR="0078310B" w:rsidRDefault="0078310B" w:rsidP="0078310B">
      <w:pPr>
        <w:pStyle w:val="BodyTextIndent"/>
        <w:widowControl w:val="0"/>
        <w:ind w:left="720" w:right="720"/>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5"/>
      </w:r>
    </w:p>
    <w:p w:rsidR="0078310B" w:rsidRDefault="0078310B" w:rsidP="0078310B">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6"/>
      </w:r>
    </w:p>
    <w:p w:rsidR="0078310B" w:rsidRDefault="0078310B" w:rsidP="0078310B">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rsidR="0078310B" w:rsidRDefault="0078310B" w:rsidP="0078310B">
      <w:pPr>
        <w:pStyle w:val="BodyTextIndent"/>
        <w:widowControl w:val="0"/>
        <w:ind w:left="720" w:right="720"/>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7"/>
      </w:r>
      <w:r>
        <w:t xml:space="preserve"> </w:t>
      </w:r>
    </w:p>
    <w:p w:rsidR="0078310B" w:rsidRDefault="0078310B" w:rsidP="0078310B">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8"/>
      </w:r>
      <w:r>
        <w:t xml:space="preserve"> </w:t>
      </w:r>
    </w:p>
    <w:p w:rsidR="0078310B" w:rsidRPr="00083FB8" w:rsidRDefault="0078310B" w:rsidP="0078310B">
      <w:pPr>
        <w:pStyle w:val="Heading3"/>
        <w:spacing w:before="0" w:beforeAutospacing="0" w:after="120" w:afterAutospacing="0"/>
        <w:rPr>
          <w:i/>
        </w:rPr>
      </w:pPr>
      <w:bookmarkStart w:id="53" w:name="_Toc395790367"/>
      <w:r w:rsidRPr="00083FB8">
        <w:rPr>
          <w:i/>
        </w:rPr>
        <w:t>Rent-seeking behavior</w:t>
      </w:r>
      <w:bookmarkEnd w:id="53"/>
    </w:p>
    <w:p w:rsidR="0078310B" w:rsidRDefault="0078310B" w:rsidP="0078310B">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9"/>
      </w:r>
      <w:r>
        <w:t xml:space="preserve"> The “profit” enjoyed by the rentier is not </w:t>
      </w:r>
      <w:r>
        <w:rPr>
          <w:i/>
        </w:rPr>
        <w:t xml:space="preserve">real </w:t>
      </w:r>
      <w:r>
        <w:t xml:space="preserve">profit; rather, it represents </w:t>
      </w:r>
      <w:r w:rsidR="0090354C">
        <w:t xml:space="preserve">mere </w:t>
      </w:r>
      <w:r>
        <w:t xml:space="preserve">wealth-shifting from one to another </w:t>
      </w:r>
      <w:r>
        <w:rPr>
          <w:i/>
        </w:rPr>
        <w:t xml:space="preserve">without </w:t>
      </w:r>
      <w:r>
        <w:t xml:space="preserve">profit to the economy as a whole. A common example of </w:t>
      </w:r>
      <w:r w:rsidRPr="00F01186">
        <w:t xml:space="preserve">illegal </w:t>
      </w:r>
      <w:r>
        <w:t xml:space="preserve">rent-seeking behavior is blackmail, but much rent-seeking behavior is legal, if inefficient. A recent example </w:t>
      </w:r>
      <w:r w:rsidR="007F19E9">
        <w:t xml:space="preserve">from the popular press </w:t>
      </w:r>
      <w:r>
        <w:t>is the increase in price charged by Turing Pharmaceuticals for a decades-old drug that Turing merely acquired, raising the price overnight from $13.50 to $750 per pill.</w:t>
      </w:r>
      <w:r>
        <w:rPr>
          <w:rStyle w:val="FootnoteReference"/>
        </w:rPr>
        <w:footnoteReference w:id="140"/>
      </w:r>
      <w:r>
        <w:t xml:space="preserve"> Economists Lucian Bebchuk, Jesse Fried, and David Walker have provocatively argued that the very dramatic increases seen in U.S. executive compensation packages over the last several decades (with the average CEO pay rising from 20 times the average worker’s pay in 1965 to 278 times as much today)</w:t>
      </w:r>
      <w:r>
        <w:rPr>
          <w:rStyle w:val="FootnoteReference"/>
        </w:rPr>
        <w:footnoteReference w:id="141"/>
      </w:r>
      <w:r>
        <w:t xml:space="preserve"> are a result of rent-seeking behavior, with the cross-fertilization on corporate boards of these executives blessing each others’ escalating pay packages at the expense of workers and shareholders.</w:t>
      </w:r>
      <w:r>
        <w:rPr>
          <w:rStyle w:val="FootnoteReference"/>
        </w:rPr>
        <w:footnoteReference w:id="142"/>
      </w:r>
      <w:r>
        <w:t xml:space="preserve"> If that is true, a special penalty tax on executive compensation exceeding a stipulated threshold (such as § 162(m), discussed in Chapter 20) could be defended even by champions of a vigorous free market. </w:t>
      </w:r>
    </w:p>
    <w:p w:rsidR="0078310B" w:rsidRDefault="0078310B" w:rsidP="0078310B">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 103 bonds paying 4% interest with borrowed money charging 5% interest (absent effective application of § 265(a)(2)) represents not some daring entrepreneurial activity that created new wealth but, rather, a simple transfer from the Federal Treasury, funded with tax dollars paid by you and me, to Profiteer. Profiteer is a “rentier.”</w:t>
      </w:r>
    </w:p>
    <w:p w:rsidR="0078310B" w:rsidRPr="00083FB8" w:rsidRDefault="0078310B" w:rsidP="0078310B">
      <w:pPr>
        <w:pStyle w:val="Heading3"/>
        <w:spacing w:before="0" w:beforeAutospacing="0" w:after="120" w:afterAutospacing="0"/>
        <w:rPr>
          <w:i/>
        </w:rPr>
      </w:pPr>
      <w:bookmarkStart w:id="54" w:name="_Toc395790368"/>
      <w:r w:rsidRPr="00083FB8">
        <w:rPr>
          <w:i/>
        </w:rPr>
        <w:t>Supply-side economics</w:t>
      </w:r>
      <w:bookmarkEnd w:id="54"/>
    </w:p>
    <w:p w:rsidR="0078310B" w:rsidRDefault="0078310B" w:rsidP="0078310B">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rsidR="0078310B" w:rsidRDefault="0078310B" w:rsidP="0078310B">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offset the revenue loss from the supply-side tax cuts. </w:t>
      </w:r>
    </w:p>
    <w:p w:rsidR="0078310B" w:rsidRDefault="0078310B" w:rsidP="0078310B">
      <w:pPr>
        <w:widowControl w:val="0"/>
        <w:spacing w:after="120"/>
        <w:ind w:firstLine="288"/>
        <w:jc w:val="both"/>
      </w:pPr>
      <w:r>
        <w:t xml:space="preserve">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wages—was partly offset by the increased profits he realized by being able to sell more automobiles.)  </w:t>
      </w:r>
    </w:p>
    <w:p w:rsidR="0078310B" w:rsidRDefault="0078310B" w:rsidP="0078310B">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rsidR="0078310B" w:rsidRDefault="0078310B" w:rsidP="0078310B">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Europe (particularly Britain, Germany, and France) and Japan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actually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rsidR="0078310B" w:rsidRDefault="0078310B" w:rsidP="0078310B">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actually contributes meaningfully to sluggish economic growth rates in the first place because of the demand-side drag when the middle class has less discretionary income to spend.</w:t>
      </w:r>
      <w:r>
        <w:rPr>
          <w:rStyle w:val="FootnoteReference"/>
        </w:rPr>
        <w:footnoteReference w:id="143"/>
      </w:r>
      <w:r>
        <w:t xml:space="preserve"> </w:t>
      </w:r>
    </w:p>
    <w:p w:rsidR="0078310B" w:rsidRDefault="0078310B" w:rsidP="0078310B">
      <w:pPr>
        <w:widowControl w:val="0"/>
        <w:spacing w:after="120"/>
        <w:ind w:firstLine="288"/>
        <w:jc w:val="both"/>
      </w:pPr>
      <w:r>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supply and demand because interest rates go down when there is a lot of capital (savings) chasing productive investments. If capital is scarce, in contrast, savers can demand higher interest rates, and businesses have a harder time raising capital at a cost-effective price. </w:t>
      </w:r>
    </w:p>
    <w:p w:rsidR="00F9480C" w:rsidRDefault="0078310B" w:rsidP="0078310B">
      <w:pPr>
        <w:widowControl w:val="0"/>
        <w:spacing w:after="120"/>
        <w:ind w:firstLine="288"/>
        <w:jc w:val="both"/>
      </w:pPr>
      <w:r>
        <w:t>So the argument is that we can increase the pool (and thus lower the cost) of available capital that can be productively invested by businesses if we tax only consumption and not savings.</w:t>
      </w:r>
      <w:r w:rsidR="00280E9A">
        <w:rPr>
          <w:rStyle w:val="FootnoteReference"/>
        </w:rPr>
        <w:footnoteReference w:id="144"/>
      </w:r>
      <w:r>
        <w:t xml:space="preserve"> The gains from this ensuing increase in economic growth would then be shared by both labor (wages) and capital, increasing living standards for all. </w:t>
      </w:r>
      <w:r w:rsidR="002A6A73">
        <w:t>Again, t</w:t>
      </w:r>
      <w:r>
        <w:t>his view is reflected in the quotation from Congressman Ryan’s tax-reform plan quoted earlier in this chapter.</w:t>
      </w:r>
    </w:p>
    <w:p w:rsidR="0078310B" w:rsidRDefault="00F9480C" w:rsidP="0078310B">
      <w:pPr>
        <w:widowControl w:val="0"/>
        <w:spacing w:after="120"/>
        <w:ind w:firstLine="288"/>
        <w:jc w:val="both"/>
      </w:pPr>
      <w:r>
        <w:t xml:space="preserve">Is it a convincing argument? </w:t>
      </w:r>
      <w:r w:rsidR="0078310B">
        <w:t>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Interest rates are at historic lows, with lots of talk of a “global savings glut” looking for places to invest (even while Americans’ savings rates decreased over the last several decades of stagnant wage growth).</w:t>
      </w:r>
      <w:r w:rsidR="0078310B">
        <w:rPr>
          <w:rStyle w:val="FootnoteReference"/>
        </w:rPr>
        <w:footnoteReference w:id="145"/>
      </w:r>
      <w:r w:rsidR="0078310B">
        <w:t xml:space="preserve">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sidR="0078310B">
        <w:rPr>
          <w:rStyle w:val="FootnoteReference"/>
        </w:rPr>
        <w:footnoteReference w:id="146"/>
      </w:r>
      <w:r w:rsidR="0078310B">
        <w:t xml:space="preserve"> And corporations are sitting on literally trillions of undistributed profits—a huge pool of untapped capital. But, for the sake of argument, let’s assume that we need to increase the savings rates of Americans to increase av</w:t>
      </w:r>
      <w:r w:rsidR="007248E8">
        <w:t>ailable capital for businesses to start and expand.</w:t>
      </w:r>
    </w:p>
    <w:p w:rsidR="0078310B" w:rsidRDefault="0078310B" w:rsidP="0078310B">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w:t>
      </w:r>
      <w:r w:rsidR="007248E8">
        <w:t>tax all savings at a zero rate—</w:t>
      </w:r>
      <w:r>
        <w:t>t</w:t>
      </w:r>
      <w:r w:rsidR="007248E8">
        <w:t>he argument goes—</w:t>
      </w:r>
      <w:r>
        <w:t>the average consumer will increase his savings rate (the percentage of income saved), interest rates will fall as the poo</w:t>
      </w:r>
      <w:r w:rsidR="006231CD">
        <w:t xml:space="preserve">l of capital enlarges, and this increased pool of cheap </w:t>
      </w:r>
      <w:r>
        <w:t xml:space="preserve">capital can be exploited by business to generate more goods and services to sell to the public to meet unmet demand. Is that true? </w:t>
      </w:r>
    </w:p>
    <w:p w:rsidR="0078310B" w:rsidRDefault="0078310B" w:rsidP="0078310B">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however,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rsidR="0078310B" w:rsidRDefault="0078310B" w:rsidP="0078310B">
      <w:pPr>
        <w:widowControl w:val="0"/>
        <w:spacing w:after="120"/>
        <w:ind w:firstLine="288"/>
        <w:jc w:val="both"/>
      </w:pPr>
      <w:r>
        <w:t>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7"/>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rsidR="0078310B" w:rsidRPr="00A41DBD" w:rsidRDefault="0078310B" w:rsidP="0078310B">
      <w:pPr>
        <w:widowControl w:val="0"/>
        <w:spacing w:after="120"/>
        <w:ind w:firstLine="288"/>
        <w:jc w:val="both"/>
      </w:pPr>
      <w:r>
        <w:t xml:space="preserve">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18), and (3) the inside build-up of life-insurance policies, which are tax-free to the insured while living and tax-free to the recipient (under § 101) when the proceeds are paid by reason of the death of the insured (considered in Chapter 7). </w:t>
      </w:r>
      <w:r w:rsidRPr="00A41DBD">
        <w:t>Thus, a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 xml:space="preserve">Thus, a move to pure consumption taxation would surely move the tax burden down the income scale. </w:t>
      </w:r>
    </w:p>
    <w:p w:rsidR="0078310B" w:rsidRPr="00083FB8" w:rsidRDefault="0078310B" w:rsidP="0078310B">
      <w:pPr>
        <w:pStyle w:val="Heading3"/>
        <w:spacing w:before="0" w:beforeAutospacing="0" w:after="120" w:afterAutospacing="0"/>
        <w:rPr>
          <w:i/>
        </w:rPr>
      </w:pPr>
      <w:bookmarkStart w:id="55" w:name="_Toc395790369"/>
      <w:r w:rsidRPr="00083FB8">
        <w:rPr>
          <w:i/>
        </w:rPr>
        <w:t>The limits of economic theory</w:t>
      </w:r>
      <w:bookmarkEnd w:id="55"/>
    </w:p>
    <w:p w:rsidR="0078310B" w:rsidRDefault="0078310B" w:rsidP="0078310B">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income “deserve” that share). As retired law Professor Alan Gunn once memorably put it: </w:t>
      </w:r>
    </w:p>
    <w:p w:rsidR="0078310B" w:rsidRDefault="0078310B" w:rsidP="0078310B">
      <w:pPr>
        <w:pStyle w:val="BodyTextIndent"/>
        <w:widowControl w:val="0"/>
        <w:ind w:left="720" w:right="720"/>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8"/>
      </w:r>
      <w:r>
        <w:t xml:space="preserve"> </w:t>
      </w:r>
    </w:p>
    <w:p w:rsidR="0078310B" w:rsidRDefault="0078310B" w:rsidP="0078310B">
      <w:pPr>
        <w:pStyle w:val="BodyTextIndent"/>
        <w:widowControl w:val="0"/>
        <w:ind w:left="0" w:firstLine="288"/>
        <w:jc w:val="both"/>
      </w:pPr>
      <w:r>
        <w:t>Two public finance economists put it this way:</w:t>
      </w:r>
    </w:p>
    <w:p w:rsidR="0078310B" w:rsidRDefault="0078310B" w:rsidP="0078310B">
      <w:pPr>
        <w:widowControl w:val="0"/>
        <w:spacing w:after="120"/>
        <w:ind w:left="720" w:right="720"/>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9"/>
      </w:r>
    </w:p>
    <w:p w:rsidR="0078310B" w:rsidRDefault="0078310B" w:rsidP="0078310B">
      <w:pPr>
        <w:widowControl w:val="0"/>
        <w:ind w:firstLine="288"/>
        <w:jc w:val="both"/>
      </w:pPr>
      <w:r>
        <w:t xml:space="preserve">Within the proper realm of economic evidence, we must take care regarding the limits of economic models premised on assumed behavior that may not reflect real-world behavior. </w:t>
      </w:r>
    </w:p>
    <w:p w:rsidR="0078310B" w:rsidRDefault="0078310B" w:rsidP="0078310B">
      <w:pPr>
        <w:widowControl w:val="0"/>
        <w:jc w:val="both"/>
      </w:pPr>
    </w:p>
    <w:p w:rsidR="0078310B" w:rsidRDefault="0078310B" w:rsidP="0078310B">
      <w:pPr>
        <w:widowControl w:val="0"/>
        <w:jc w:val="center"/>
        <w:rPr>
          <w:rStyle w:val="Heading3Char"/>
        </w:rPr>
      </w:pPr>
      <w:bookmarkStart w:id="56" w:name="_Toc395790370"/>
      <w:r w:rsidRPr="00083FB8">
        <w:rPr>
          <w:rStyle w:val="Heading3Char"/>
        </w:rPr>
        <w:t xml:space="preserve">What Legal Scholars Need to Know About Economic Research </w:t>
      </w:r>
      <w:r>
        <w:rPr>
          <w:rStyle w:val="Heading3Char"/>
        </w:rPr>
        <w:t>on</w:t>
      </w:r>
    </w:p>
    <w:p w:rsidR="0078310B" w:rsidRDefault="0078310B" w:rsidP="0078310B">
      <w:pPr>
        <w:widowControl w:val="0"/>
        <w:spacing w:after="120"/>
        <w:jc w:val="center"/>
        <w:rPr>
          <w:b/>
        </w:rPr>
      </w:pPr>
      <w:r w:rsidRPr="00083FB8">
        <w:rPr>
          <w:rStyle w:val="Heading3Char"/>
        </w:rPr>
        <w:t>Taxation: The Evidence Thoroughly Debunks the Conventional Wisdom</w:t>
      </w:r>
      <w:bookmarkEnd w:id="56"/>
      <w:r w:rsidRPr="002356F4">
        <w:rPr>
          <w:rStyle w:val="FootnoteReference"/>
        </w:rPr>
        <w:footnoteReference w:id="150"/>
      </w:r>
    </w:p>
    <w:p w:rsidR="0078310B" w:rsidRDefault="0078310B" w:rsidP="0078310B">
      <w:pPr>
        <w:widowControl w:val="0"/>
        <w:spacing w:after="120"/>
        <w:jc w:val="center"/>
      </w:pPr>
      <w:r>
        <w:t>Neil H. Buchanan</w:t>
      </w:r>
    </w:p>
    <w:p w:rsidR="0078310B" w:rsidRPr="009930A8" w:rsidRDefault="0078310B" w:rsidP="0078310B">
      <w:pPr>
        <w:widowControl w:val="0"/>
        <w:spacing w:after="120"/>
        <w:ind w:left="720" w:right="720"/>
        <w:jc w:val="both"/>
      </w:pPr>
      <w:r>
        <w:rPr>
          <w:i/>
        </w:rPr>
        <w:t xml:space="preserve">Reviewing </w:t>
      </w:r>
      <w:r w:rsidRPr="009930A8">
        <w:t xml:space="preserve">Peter Diamond &amp; Emmanuel Saez, </w:t>
      </w:r>
      <w:hyperlink r:id="rId123"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p>
    <w:p w:rsidR="0078310B" w:rsidRDefault="0078310B" w:rsidP="0078310B">
      <w:pPr>
        <w:widowControl w:val="0"/>
        <w:spacing w:after="120"/>
        <w:ind w:firstLine="288"/>
        <w:jc w:val="both"/>
      </w:pPr>
      <w:r>
        <w:t xml:space="preserve">Too often, policy research relies more on the misleadingly elegant results of economic theory than on actual evidence. Tax policy discussions, as I will describe below, are especially prone to being infected by this evidence-free approach to analysis. Fortunately, two of the best public finance economists in the world, Peter Diamond and Emmanuel Saez, have recently provided a much-needed antidote: </w:t>
      </w:r>
      <w:r>
        <w:rPr>
          <w:i/>
          <w:iCs/>
        </w:rPr>
        <w:t>The Case for a Progressive Tax: From Basic Research to Policy Recommendations</w:t>
      </w:r>
      <w:r>
        <w:t>. To understand just how important their article is, it is necessary to appreciate the deep roots of the problem that their article addresses.</w:t>
      </w:r>
    </w:p>
    <w:p w:rsidR="0078310B" w:rsidRDefault="0078310B" w:rsidP="0078310B">
      <w:pPr>
        <w:widowControl w:val="0"/>
        <w:spacing w:after="120"/>
        <w:ind w:firstLine="288"/>
        <w:jc w:val="both"/>
      </w:pPr>
      <w:r>
        <w:t>As an economics graduate student, and later as a young economics professor, I often felt a deep sense of unease about the disconnect between economic theory and the empirical research that was relevant to evaluating that theory. Overwhelmingly, we learned in classes (and from theoretical scholarship) a series of “known results” that followed from the manipulation of economic models—results that, however nicely derived from the assumptions of those models, either were not backed up by any empirical research, or the magnitude of which turned out to be quite trivial.</w:t>
      </w:r>
    </w:p>
    <w:p w:rsidR="0078310B" w:rsidRDefault="0078310B" w:rsidP="0078310B">
      <w:pPr>
        <w:widowControl w:val="0"/>
        <w:spacing w:after="120"/>
        <w:ind w:firstLine="288"/>
        <w:jc w:val="both"/>
      </w:pPr>
      <w:r>
        <w:t>For example, in macroeconomic theory courses (both those that were required of all first-year graduate students, and those that were only required of those of us who planned to specialize in macroeconomics), we learned that nearly all macroeconomic models included a deceptively simple assumption: Increases in the real interest rate (</w:t>
      </w:r>
      <w:r w:rsidRPr="00D17F9D">
        <w:rPr>
          <w:i/>
        </w:rPr>
        <w:t>r</w:t>
      </w:r>
      <w:r>
        <w:t>) cause decreases in real business investment (</w:t>
      </w:r>
      <w:r w:rsidRPr="00D17F9D">
        <w:rPr>
          <w:i/>
        </w:rPr>
        <w:t>I</w:t>
      </w:r>
      <w:r>
        <w:t xml:space="preserve">), and decreases in </w:t>
      </w:r>
      <w:r w:rsidRPr="00D17F9D">
        <w:rPr>
          <w:i/>
        </w:rPr>
        <w:t>r</w:t>
      </w:r>
      <w:r>
        <w:t xml:space="preserve"> lead to increases in </w:t>
      </w:r>
      <w:r w:rsidRPr="00D17F9D">
        <w:rPr>
          <w:i/>
        </w:rPr>
        <w:t>I</w:t>
      </w:r>
      <w:r>
        <w:t xml:space="preserve">. If </w:t>
      </w:r>
      <w:r w:rsidRPr="00D17F9D">
        <w:rPr>
          <w:i/>
        </w:rPr>
        <w:t>I</w:t>
      </w:r>
      <w:r>
        <w:t xml:space="preserve"> is desirable, therefore, </w:t>
      </w:r>
      <w:r w:rsidRPr="00D17F9D">
        <w:rPr>
          <w:i/>
        </w:rPr>
        <w:t>r</w:t>
      </w:r>
      <w:r>
        <w:t xml:space="preserve"> should not rise.</w:t>
      </w:r>
    </w:p>
    <w:p w:rsidR="0078310B" w:rsidRDefault="0078310B" w:rsidP="0078310B">
      <w:pPr>
        <w:widowControl w:val="0"/>
        <w:spacing w:after="120"/>
        <w:ind w:firstLine="288"/>
        <w:jc w:val="both"/>
      </w:pPr>
      <w:r>
        <w:t xml:space="preserve">This was, moreover, presented to us as not merely an assumption that “makes the math work,” but as an intuitively obvious matter as well. The real interest rate is a “price,” that is, it is the cost of borrowing money to finance business investment, and every good economist simply </w:t>
      </w:r>
      <w:r>
        <w:rPr>
          <w:i/>
          <w:iCs/>
        </w:rPr>
        <w:t>knows</w:t>
      </w:r>
      <w:r>
        <w:t xml:space="preserve"> that an increase in the price of anything leads to a decrease in its demand. In a revealing attempt to invoke the imprimatur of the hard sciences, this was confidently referred to as an application of “the law of demand.”</w:t>
      </w:r>
    </w:p>
    <w:p w:rsidR="0078310B" w:rsidRDefault="0078310B" w:rsidP="0078310B">
      <w:pPr>
        <w:widowControl w:val="0"/>
        <w:spacing w:after="120"/>
        <w:ind w:firstLine="288"/>
        <w:jc w:val="both"/>
      </w:pPr>
      <w:r>
        <w:t xml:space="preserve">But </w:t>
      </w:r>
      <w:r>
        <w:rPr>
          <w:i/>
          <w:iCs/>
        </w:rPr>
        <w:t>how big</w:t>
      </w:r>
      <w:r>
        <w:t xml:space="preserve"> is the response of </w:t>
      </w:r>
      <w:r w:rsidRPr="00D17F9D">
        <w:rPr>
          <w:i/>
        </w:rPr>
        <w:t>I</w:t>
      </w:r>
      <w:r>
        <w:t xml:space="preserve"> to </w:t>
      </w:r>
      <w:r w:rsidRPr="00D17F9D">
        <w:rPr>
          <w:i/>
        </w:rPr>
        <w:t>r</w:t>
      </w:r>
      <w:r>
        <w:t xml:space="preserve">? Can it be entirely unresponsive? Can it, like some well-known “paradoxes,” respond positively to changes in r, rather than negatively? When I began to look at the empirical research, I found not just that the evidence of a negative relationship between </w:t>
      </w:r>
      <w:r w:rsidRPr="00D17F9D">
        <w:rPr>
          <w:i/>
        </w:rPr>
        <w:t>I</w:t>
      </w:r>
      <w:r>
        <w:t xml:space="preserve"> and </w:t>
      </w:r>
      <w:r w:rsidRPr="00D17F9D">
        <w:rPr>
          <w:i/>
        </w:rPr>
        <w:t>r</w:t>
      </w:r>
      <w:r>
        <w:t xml:space="preserve"> was weak, but that decades of research had failed to turn up credible evidence of any relationship at all between the two variables (even ignoring questions regarding the direction of causality). Almost as a hobby, I found myself collecting quotations from top-tier macroeconomists, all of them confessing in various ways, “We keep looking for that elusive negative relationship between </w:t>
      </w:r>
      <w:r w:rsidRPr="00D17F9D">
        <w:rPr>
          <w:i/>
        </w:rPr>
        <w:t>r</w:t>
      </w:r>
      <w:r>
        <w:t xml:space="preserve"> and </w:t>
      </w:r>
      <w:r w:rsidRPr="00D17F9D">
        <w:rPr>
          <w:i/>
        </w:rPr>
        <w:t>I</w:t>
      </w:r>
      <w:r>
        <w:t xml:space="preserve">, but we can’t find it.”  Even so, if you ask almost any economist today, “What is the relationship between </w:t>
      </w:r>
      <w:r w:rsidRPr="00D17F9D">
        <w:rPr>
          <w:i/>
        </w:rPr>
        <w:t>r</w:t>
      </w:r>
      <w:r>
        <w:t xml:space="preserve"> and </w:t>
      </w:r>
      <w:r w:rsidRPr="00D17F9D">
        <w:rPr>
          <w:i/>
        </w:rPr>
        <w:t>I</w:t>
      </w:r>
      <w:r>
        <w:t>?” he will almost surely say, with great confidence, “They’re inversely related.”</w:t>
      </w:r>
    </w:p>
    <w:p w:rsidR="0078310B" w:rsidRDefault="0078310B" w:rsidP="0078310B">
      <w:pPr>
        <w:widowControl w:val="0"/>
        <w:spacing w:after="120"/>
        <w:ind w:firstLine="288"/>
        <w:jc w:val="both"/>
      </w:pPr>
      <w:r>
        <w:t>After I became a legal scholar, I focused on tax law and policy. This, too, is an area in which the “law of demand” is supposed to give us definitive answers to important questions. Taxes alter the prices that people face, and therefore, economic theory should supposedly be essential in telling us how to think about tax issues.</w:t>
      </w:r>
    </w:p>
    <w:p w:rsidR="0078310B" w:rsidRDefault="0078310B" w:rsidP="0078310B">
      <w:pPr>
        <w:widowControl w:val="0"/>
        <w:spacing w:after="120"/>
        <w:ind w:firstLine="288"/>
        <w:jc w:val="both"/>
      </w:pPr>
      <w:r>
        <w:t>What makes the landscape of legal scholarship different, of course, is that most legal scholars have not been trained in economic theory. Perhaps understandably, therefore, they tend to defer to the views of economists on many issues. If an economist confidently states that “Economic theory tells us _____,” the temptation for many legal scholars is to say, “Well, I don’t know the economics, so I am in no position to say otherwise.”</w:t>
      </w:r>
    </w:p>
    <w:p w:rsidR="0078310B" w:rsidRDefault="0078310B" w:rsidP="0078310B">
      <w:pPr>
        <w:widowControl w:val="0"/>
        <w:spacing w:after="120"/>
        <w:ind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rsidR="0078310B" w:rsidRDefault="0078310B" w:rsidP="0078310B">
      <w:pPr>
        <w:widowControl w:val="0"/>
        <w:spacing w:after="120"/>
        <w:ind w:firstLine="288"/>
        <w:jc w:val="both"/>
      </w:pPr>
      <w:r>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rsidR="0078310B" w:rsidRDefault="0078310B" w:rsidP="0078310B">
      <w:pPr>
        <w:widowControl w:val="0"/>
        <w:spacing w:after="120"/>
        <w:ind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rsidR="0078310B" w:rsidRDefault="0078310B" w:rsidP="0078310B">
      <w:pPr>
        <w:widowControl w:val="0"/>
        <w:spacing w:after="120"/>
        <w:ind w:firstLine="288"/>
        <w:jc w:val="both"/>
      </w:pPr>
      <w:r>
        <w:t>The problem is that none of those cause-and-effect relationships is established by economic evidence—and, for most of them, the evidence leads to precisely the opposite conclusions. Just as I had found that the supposed relationship between interest rates and investment was not what was so often assumed, the empirical research on all of these tax-related questions does not support the received wisdom, either. By my reading, in fact, the evidence for those assertions is so weak that continuing to believe in them is little more than an act of faith—or superstition.</w:t>
      </w:r>
    </w:p>
    <w:p w:rsidR="0078310B" w:rsidRDefault="0078310B" w:rsidP="0078310B">
      <w:pPr>
        <w:widowControl w:val="0"/>
        <w:spacing w:after="120"/>
        <w:ind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rsidR="0078310B" w:rsidRDefault="0078310B" w:rsidP="0078310B">
      <w:pPr>
        <w:widowControl w:val="0"/>
        <w:spacing w:after="120"/>
        <w:ind w:left="720" w:right="720"/>
        <w:jc w:val="both"/>
      </w:pPr>
      <w:r>
        <w:t>(1) “Very high earnings should be subject to rising marginal rates and higher rates than current U.S. policy for top earners,”</w:t>
      </w:r>
    </w:p>
    <w:p w:rsidR="0078310B" w:rsidRDefault="0078310B" w:rsidP="0078310B">
      <w:pPr>
        <w:widowControl w:val="0"/>
        <w:spacing w:after="120"/>
        <w:ind w:left="720" w:right="720"/>
        <w:jc w:val="both"/>
      </w:pPr>
      <w:r>
        <w:t>(2) “Tax (and transfer) policy toward low earners should include subsidization of earnings and should phase out the subsidization at a relatively high rate,” and</w:t>
      </w:r>
    </w:p>
    <w:p w:rsidR="0078310B" w:rsidRDefault="0078310B" w:rsidP="0078310B">
      <w:pPr>
        <w:widowControl w:val="0"/>
        <w:spacing w:after="120"/>
        <w:ind w:left="720" w:right="720"/>
        <w:jc w:val="both"/>
      </w:pPr>
      <w:r>
        <w:t>(3) “Capital income should be taxed.”</w:t>
      </w:r>
    </w:p>
    <w:p w:rsidR="0078310B" w:rsidRDefault="0078310B" w:rsidP="0078310B">
      <w:pPr>
        <w:widowControl w:val="0"/>
        <w:spacing w:after="120"/>
        <w:ind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rsidR="0078310B" w:rsidRDefault="0078310B" w:rsidP="0078310B">
      <w:pPr>
        <w:widowControl w:val="0"/>
        <w:spacing w:after="120"/>
        <w:ind w:firstLine="288"/>
        <w:jc w:val="both"/>
      </w:pPr>
      <w:r>
        <w:t>What makes the Diamond and Saez paper especially helpful is that it was published in an economics journal that requires authors to minimize the use of mathematical exposition, which makes the results comprehensible to non-economists. (For those who care about credentials, it also helps that Diamond recently won the Sveriges Riksbank Prize in Economic Sciences in Memory of Alfred Nobel, commonly—though inaccurately—known as the Nobel Prize in Economics.) The exposition, while still tough sledding in places, allows interested readers to follow the logic and evidence that the authors present.</w:t>
      </w:r>
    </w:p>
    <w:p w:rsidR="0078310B" w:rsidRDefault="0078310B" w:rsidP="0078310B">
      <w:pPr>
        <w:widowControl w:val="0"/>
        <w:ind w:firstLine="288"/>
        <w:jc w:val="both"/>
      </w:pPr>
      <w:r>
        <w:t xml:space="preserve">Notably, Diamond and Saez do not merely say that the evidence is lacking to support the conventional superstitions about taxes, but that the evidence supports the </w:t>
      </w:r>
      <w:r>
        <w:rPr>
          <w:i/>
          <w:iCs/>
        </w:rPr>
        <w:t>opposite</w:t>
      </w:r>
      <w:r>
        <w:t xml:space="preserve"> conclusions: that marginal tax rates on high incomes should be increased, that lower incomes should be subsidized, and that capital income should be taxed. Diamond and Saez are not writing on a blank slate. They are debunking received wisdom, exposing shibboleths that legal scholars need to un-learn if scholarship in taxation is to move forward, fulfilling its promise to guide policymakers toward wise decisions. For legal scholars with interests in tax policy, this is the essential article to read.</w:t>
      </w:r>
    </w:p>
    <w:p w:rsidR="0078310B" w:rsidRDefault="0078310B" w:rsidP="0078310B">
      <w:pPr>
        <w:widowControl w:val="0"/>
        <w:jc w:val="center"/>
      </w:pPr>
      <w:r>
        <w:t>___________________________________________</w:t>
      </w:r>
    </w:p>
    <w:p w:rsidR="0078310B" w:rsidRDefault="0078310B" w:rsidP="0078310B">
      <w:pPr>
        <w:pStyle w:val="Heading3"/>
        <w:spacing w:before="0" w:beforeAutospacing="0" w:after="0" w:afterAutospacing="0"/>
        <w:ind w:firstLine="288"/>
        <w:rPr>
          <w:b w:val="0"/>
        </w:rPr>
      </w:pPr>
      <w:bookmarkStart w:id="57" w:name="_Toc395790371"/>
    </w:p>
    <w:p w:rsidR="0078310B" w:rsidRPr="00083FB8" w:rsidRDefault="0078310B" w:rsidP="0078310B">
      <w:pPr>
        <w:pStyle w:val="Heading3"/>
        <w:spacing w:before="0" w:beforeAutospacing="0" w:after="120" w:afterAutospacing="0"/>
        <w:rPr>
          <w:i/>
        </w:rPr>
      </w:pPr>
      <w:r w:rsidRPr="00083FB8">
        <w:rPr>
          <w:i/>
        </w:rPr>
        <w:t>Tax expenditures</w:t>
      </w:r>
      <w:bookmarkEnd w:id="57"/>
    </w:p>
    <w:p w:rsidR="0078310B" w:rsidRDefault="0078310B" w:rsidP="0078310B">
      <w:pPr>
        <w:widowControl w:val="0"/>
        <w:spacing w:after="120"/>
        <w:ind w:firstLine="288"/>
        <w:jc w:val="both"/>
      </w:pPr>
      <w:r>
        <w:t xml:space="preserve">The concept of “tax expenditures,” first coined by then-Assistant Secretary for Tax Policy Stanley Surrey in the 1960s, is a critical one in tax policy debates, and it is one that deeply implicates both strands of tax policy analysis that we have been considering—fairness and efficiency—thus providing an apt topic to end this chapter. </w:t>
      </w:r>
    </w:p>
    <w:p w:rsidR="0078310B" w:rsidRDefault="0078310B" w:rsidP="0078310B">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that is </w:t>
      </w:r>
      <w:r w:rsidRPr="00A569AC">
        <w:rPr>
          <w:b/>
        </w:rPr>
        <w:t>the functional equivalent of a direct-spending program</w:t>
      </w:r>
      <w:r>
        <w:rPr>
          <w:b/>
        </w:rPr>
        <w:t xml:space="preserve">. Tax expenditures </w:t>
      </w:r>
      <w:r w:rsidRPr="00A569AC">
        <w:rPr>
          <w:b/>
        </w:rPr>
        <w:t xml:space="preserve">can be in the form of special deductions, exclusions, </w:t>
      </w:r>
      <w:r>
        <w:rPr>
          <w:b/>
        </w:rPr>
        <w:t xml:space="preserve">credits, </w:t>
      </w:r>
      <w:r w:rsidRPr="00A569AC">
        <w:rPr>
          <w:b/>
        </w:rPr>
        <w:t>or t</w:t>
      </w:r>
      <w:r>
        <w:rPr>
          <w:b/>
        </w:rPr>
        <w:t xml:space="preserve">ax rates. </w:t>
      </w:r>
    </w:p>
    <w:p w:rsidR="0078310B" w:rsidRDefault="0078310B" w:rsidP="0078310B">
      <w:pPr>
        <w:widowControl w:val="0"/>
        <w:spacing w:after="120"/>
        <w:ind w:firstLine="288"/>
        <w:jc w:val="both"/>
      </w:pPr>
      <w:r>
        <w:t>Assume, for example, that Congress adopts a pure SHS income tax, with no non-normative departures (except for the realization requirement). Under a pure SHS income tax</w:t>
      </w:r>
      <w:r w:rsidR="009814FE">
        <w:t xml:space="preserve"> (or a consumption tax, for that matter)</w:t>
      </w:r>
      <w:r>
        <w:t xml:space="preserve">,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once made. It can leave the “pure” 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w:t>
      </w:r>
      <w:r w:rsidRPr="00A8554E">
        <w:t>a “tax expenditure,” creating a chil</w:t>
      </w:r>
      <w:r>
        <w:t xml:space="preserve">dcare deduction (or </w:t>
      </w:r>
      <w:r w:rsidRPr="00A8554E">
        <w:t xml:space="preserve">credit) </w:t>
      </w:r>
      <w:r>
        <w:t xml:space="preserve">that reduces the revenue collected in the first place by $100 billion each year—but only if the amount that would otherwise be included in the tax base is spent by the taxpayer on a qualified childcare program. </w:t>
      </w:r>
      <w:r>
        <w:rPr>
          <w:i/>
        </w:rPr>
        <w:t>Both</w:t>
      </w:r>
      <w:r>
        <w:t xml:space="preserve"> options can be seen as government spending, but one is done via a direct-spending program while the other is done indirectly through a tax provision that deviates from a normative SHS income tax.</w:t>
      </w:r>
    </w:p>
    <w:p w:rsidR="0078310B" w:rsidRDefault="0078310B" w:rsidP="0078310B">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tax subsidy for child-care costs may increase employment of mothers less than would a direct spending childcare program. Please click and read the following article:</w:t>
      </w:r>
    </w:p>
    <w:p w:rsidR="0078310B" w:rsidRDefault="002B3596" w:rsidP="0078310B">
      <w:pPr>
        <w:widowControl w:val="0"/>
        <w:spacing w:after="120"/>
        <w:jc w:val="both"/>
      </w:pPr>
      <w:hyperlink r:id="rId124" w:history="1">
        <w:r w:rsidR="0078310B" w:rsidRPr="000A54C5">
          <w:rPr>
            <w:rStyle w:val="Hyperlink"/>
          </w:rPr>
          <w:t>www.nytimes.com/2014/12/18/upshot/nordic-nations-show-that-big-safety-net-can-allow-for-leap-in-employment-rate-.html?_r=0&amp;abt=0002&amp;abg=0</w:t>
        </w:r>
      </w:hyperlink>
      <w:r w:rsidR="0078310B">
        <w:t xml:space="preserve"> </w:t>
      </w:r>
    </w:p>
    <w:p w:rsidR="0078310B" w:rsidRDefault="0078310B" w:rsidP="0078310B">
      <w:pPr>
        <w:widowControl w:val="0"/>
        <w:spacing w:after="120"/>
        <w:ind w:firstLine="288"/>
        <w:jc w:val="both"/>
      </w:pPr>
      <w:r>
        <w:t>Tax expenditures are non-neutral on their face; the</w:t>
      </w:r>
      <w:r w:rsidR="005760A0">
        <w:t xml:space="preserve">y can cause changes in </w:t>
      </w:r>
      <w:r>
        <w:t>behavior</w:t>
      </w:r>
      <w:r w:rsidR="009814FE">
        <w:t>.</w:t>
      </w:r>
      <w:r>
        <w:t xml:space="preserve"> Examples include buying a </w:t>
      </w:r>
      <w:r w:rsidRPr="00886038">
        <w:t xml:space="preserve">larger </w:t>
      </w:r>
      <w:r>
        <w:t xml:space="preserve">home than you otherwise might (instead of, say, investing in the stock market) because of all the tax preferences for personal residences or </w:t>
      </w:r>
      <w:r w:rsidR="009A366D">
        <w:t xml:space="preserve">providing compensation to employees in the form of health care instead of cash </w:t>
      </w:r>
      <w:r>
        <w:t xml:space="preserve">because of the exclusion for employer-provided health care. </w:t>
      </w:r>
    </w:p>
    <w:p w:rsidR="0078310B" w:rsidRPr="00FE13C3" w:rsidRDefault="0078310B" w:rsidP="0078310B">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w:t>
      </w:r>
      <w:r w:rsidR="00123F1E">
        <w:t xml:space="preserve">or that would have been engaged </w:t>
      </w:r>
      <w:r>
        <w:t xml:space="preserve">in without the tax benefit loses revenue that must be made up with tax </w:t>
      </w:r>
      <w:r w:rsidRPr="001B0DAE">
        <w:rPr>
          <w:i/>
        </w:rPr>
        <w:t>rates</w:t>
      </w:r>
      <w:r>
        <w:t xml:space="preserve"> that are higher than they otherwise would have to be on, say, wages to raise </w:t>
      </w:r>
      <w:r w:rsidRPr="00C927F5">
        <w:rPr>
          <w:i/>
        </w:rPr>
        <w:t>$X</w:t>
      </w:r>
      <w:r>
        <w:t>. In other words, these base-narrowing provisions are not costless</w:t>
      </w:r>
      <w:r w:rsidR="005E01CE">
        <w:t>.</w:t>
      </w:r>
      <w:r>
        <w:t xml:space="preserve"> </w:t>
      </w:r>
    </w:p>
    <w:p w:rsidR="0078310B" w:rsidRDefault="005E01CE" w:rsidP="0078310B">
      <w:pPr>
        <w:widowControl w:val="0"/>
        <w:ind w:firstLine="288"/>
        <w:jc w:val="both"/>
      </w:pPr>
      <w:r>
        <w:t xml:space="preserve">Tax expenditures </w:t>
      </w:r>
      <w:r w:rsidR="0078310B">
        <w:t>have exploded in recent decades, as shown in the chart below.</w:t>
      </w:r>
      <w:r w:rsidR="0078310B">
        <w:rPr>
          <w:rStyle w:val="FootnoteReference"/>
        </w:rPr>
        <w:footnoteReference w:id="151"/>
      </w:r>
    </w:p>
    <w:p w:rsidR="0078310B" w:rsidRDefault="0078310B" w:rsidP="0078310B">
      <w:pPr>
        <w:widowControl w:val="0"/>
        <w:jc w:val="both"/>
      </w:pPr>
    </w:p>
    <w:p w:rsidR="0078310B" w:rsidRDefault="0078310B" w:rsidP="0078310B">
      <w:pPr>
        <w:widowControl w:val="0"/>
        <w:jc w:val="center"/>
      </w:pPr>
      <w:r>
        <w:rPr>
          <w:noProof/>
        </w:rPr>
        <w:drawing>
          <wp:inline distT="0" distB="0" distL="0" distR="0" wp14:anchorId="5F60F5E1" wp14:editId="25C59A72">
            <wp:extent cx="4800600" cy="2742077"/>
            <wp:effectExtent l="0" t="0" r="0" b="1270"/>
            <wp:docPr id="2" name="Picture 2"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xfoundation.org/sites/taxfoundation.org/files/docs/wam_chart3_small.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09529" cy="2747177"/>
                    </a:xfrm>
                    <a:prstGeom prst="rect">
                      <a:avLst/>
                    </a:prstGeom>
                    <a:noFill/>
                    <a:ln>
                      <a:noFill/>
                    </a:ln>
                  </pic:spPr>
                </pic:pic>
              </a:graphicData>
            </a:graphic>
          </wp:inline>
        </w:drawing>
      </w:r>
    </w:p>
    <w:p w:rsidR="0078310B" w:rsidRDefault="0078310B" w:rsidP="0078310B">
      <w:pPr>
        <w:widowControl w:val="0"/>
        <w:ind w:firstLine="288"/>
        <w:jc w:val="both"/>
      </w:pPr>
    </w:p>
    <w:p w:rsidR="005E01CE" w:rsidRDefault="00F359DC" w:rsidP="00F359DC">
      <w:pPr>
        <w:widowControl w:val="0"/>
        <w:spacing w:after="120"/>
        <w:ind w:firstLine="288"/>
        <w:jc w:val="both"/>
      </w:pPr>
      <w:r>
        <w:t>T</w:t>
      </w:r>
      <w:r w:rsidR="0078310B">
        <w:t>he revenue that goes uncollected each year because of tax expenditures (approximately $1 trillion) is only slightly less than the annual revenue collected under the individual income tax. Moreover, if all tax expenditures were repealed, the budget would be balanced (though virtually no one supports repealing them all).</w:t>
      </w:r>
      <w:r w:rsidRPr="00F359DC">
        <w:rPr>
          <w:rStyle w:val="FootnoteReference"/>
        </w:rPr>
        <w:t xml:space="preserve"> </w:t>
      </w:r>
    </w:p>
    <w:p w:rsidR="0078310B" w:rsidRDefault="0078310B" w:rsidP="005E01CE">
      <w:pPr>
        <w:widowControl w:val="0"/>
        <w:ind w:firstLine="288"/>
        <w:jc w:val="both"/>
      </w:pPr>
      <w:r>
        <w:t>Here are a few of the more notable income tax expenditures under the income tax aimed at individuals and their anticipated revenue costs for 2015 and from 2015-2019 (in billions).</w:t>
      </w:r>
      <w:r>
        <w:rPr>
          <w:rStyle w:val="FootnoteReference"/>
        </w:rPr>
        <w:footnoteReference w:id="152"/>
      </w:r>
      <w:r>
        <w:t xml:space="preserve"> </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                                                                                                                   </w:t>
      </w:r>
      <w:r>
        <w:rPr>
          <w:u w:val="single"/>
        </w:rPr>
        <w:t>2015</w:t>
      </w:r>
      <w:r>
        <w:t xml:space="preserve">        </w:t>
      </w:r>
      <w:r>
        <w:rPr>
          <w:u w:val="single"/>
        </w:rPr>
        <w:t>2015-2019</w:t>
      </w:r>
    </w:p>
    <w:p w:rsidR="0078310B" w:rsidRDefault="0078310B" w:rsidP="0078310B">
      <w:pPr>
        <w:widowControl w:val="0"/>
        <w:jc w:val="both"/>
      </w:pPr>
      <w:r>
        <w:t>Employer-provided and individual retirement savings incentives               $149.4           $937.1</w:t>
      </w:r>
    </w:p>
    <w:p w:rsidR="0078310B" w:rsidRDefault="0078310B" w:rsidP="0078310B">
      <w:pPr>
        <w:widowControl w:val="0"/>
        <w:jc w:val="both"/>
      </w:pPr>
      <w:r>
        <w:t>Exclusion of employer-provided health care                                                 145.5             769.8</w:t>
      </w:r>
    </w:p>
    <w:p w:rsidR="0078310B" w:rsidRDefault="0078310B" w:rsidP="0078310B">
      <w:pPr>
        <w:widowControl w:val="0"/>
        <w:jc w:val="both"/>
      </w:pPr>
      <w:r>
        <w:t>Deductions for nonbusiness state income (or sales) and property taxes        133.2             762.1</w:t>
      </w:r>
    </w:p>
    <w:p w:rsidR="0078310B" w:rsidRDefault="0078310B" w:rsidP="0078310B">
      <w:pPr>
        <w:widowControl w:val="0"/>
        <w:jc w:val="both"/>
      </w:pPr>
      <w:r>
        <w:t>Reduced rate on net capital gain and qualified dividends                              131.7             689.6</w:t>
      </w:r>
    </w:p>
    <w:p w:rsidR="0078310B" w:rsidRDefault="0078310B" w:rsidP="0078310B">
      <w:pPr>
        <w:widowControl w:val="0"/>
        <w:jc w:val="both"/>
      </w:pPr>
      <w:r>
        <w:t>Deduction of mortgage interest on owner-occupied residences                      71.0              419.8</w:t>
      </w:r>
    </w:p>
    <w:p w:rsidR="0078310B" w:rsidRDefault="0078310B" w:rsidP="0078310B">
      <w:pPr>
        <w:widowControl w:val="0"/>
        <w:tabs>
          <w:tab w:val="left" w:pos="7200"/>
          <w:tab w:val="left" w:pos="8625"/>
        </w:tabs>
        <w:jc w:val="both"/>
      </w:pPr>
      <w:r>
        <w:t>Earned income tax credit                                                                                 72.7              371.4</w:t>
      </w:r>
    </w:p>
    <w:p w:rsidR="0078310B" w:rsidRDefault="0078310B" w:rsidP="0078310B">
      <w:pPr>
        <w:widowControl w:val="0"/>
        <w:tabs>
          <w:tab w:val="left" w:pos="7200"/>
          <w:tab w:val="left" w:pos="8625"/>
        </w:tabs>
        <w:jc w:val="both"/>
      </w:pPr>
      <w:r>
        <w:t>Step-up in basis at death                                                                                  32.4              171.3</w:t>
      </w:r>
    </w:p>
    <w:p w:rsidR="0078310B" w:rsidRDefault="0078310B" w:rsidP="0078310B">
      <w:pPr>
        <w:widowControl w:val="0"/>
        <w:tabs>
          <w:tab w:val="left" w:pos="7200"/>
          <w:tab w:val="left" w:pos="8625"/>
        </w:tabs>
        <w:jc w:val="both"/>
      </w:pPr>
      <w:r>
        <w:t>Capital gains exclusion for sales of primary residences                                  24.1              149.9</w:t>
      </w:r>
    </w:p>
    <w:p w:rsidR="0078310B" w:rsidRDefault="0078310B" w:rsidP="0078310B">
      <w:pPr>
        <w:widowControl w:val="0"/>
        <w:jc w:val="both"/>
      </w:pPr>
    </w:p>
    <w:p w:rsidR="0078310B" w:rsidRDefault="0078310B" w:rsidP="0078310B">
      <w:pPr>
        <w:widowControl w:val="0"/>
        <w:spacing w:after="120"/>
        <w:ind w:firstLine="288"/>
        <w:jc w:val="both"/>
      </w:pPr>
      <w:r>
        <w:t>In addition, we shall in due course examine a few tax expenditures aimed at business activity, such as accelerated depreciation and the ability of small businesses to deduct certain capital expenditures immediately under § 179 as though they were current “expenses.”</w:t>
      </w:r>
      <w:r w:rsidRPr="00660C37">
        <w:rPr>
          <w:rStyle w:val="FootnoteReference"/>
        </w:rPr>
        <w:t xml:space="preserve"> </w:t>
      </w:r>
    </w:p>
    <w:p w:rsidR="0078310B" w:rsidRDefault="0078310B" w:rsidP="0078310B">
      <w:pPr>
        <w:widowControl w:val="0"/>
        <w:spacing w:after="120"/>
        <w:ind w:firstLine="288"/>
        <w:jc w:val="both"/>
      </w:pPr>
      <w:r>
        <w:t xml:space="preserve">Tax expenditures have proliferated in part because some conservatives on the right see them as simply reducing tax revenues and thus reducing the size of government, while some liberals on the left see them as the only available political means to enact social spending. Because of this confluence, they are much easier to enact than direct spending programs and, once enacted, are very difficult to reduce, not only because of entrenched interests that spring up to defend them but also because of our shared cognitive biases. As mentioned earlier, under the </w:t>
      </w:r>
      <w:r w:rsidRPr="00B60815">
        <w:rPr>
          <w:b/>
        </w:rPr>
        <w:t>loss aversion</w:t>
      </w:r>
      <w:r w:rsidRPr="001868B4">
        <w:rPr>
          <w:b/>
          <w:i/>
        </w:rPr>
        <w:t xml:space="preserve"> </w:t>
      </w:r>
      <w:r w:rsidRPr="001868B4">
        <w:rPr>
          <w:b/>
        </w:rPr>
        <w:t>cognitive bias</w:t>
      </w:r>
      <w:r>
        <w:t xml:space="preserve">, we hate losing $1 more than we enjoy gaining $1. For example, phasing out the deduction for qualified residence interest paid with respect to personal residences is a tougher sell in a world with it than would failing to adopt it in a pretend world that does not already contain it. Also, under the </w:t>
      </w:r>
      <w:r w:rsidRPr="00B60815">
        <w:rPr>
          <w:b/>
        </w:rPr>
        <w:t>status quo c</w:t>
      </w:r>
      <w:r w:rsidRPr="001868B4">
        <w:rPr>
          <w:b/>
        </w:rPr>
        <w:t>ognitive bias</w:t>
      </w:r>
      <w:r>
        <w:t xml:space="preserve">, we like things to stay relatively the same, or, stated differently, we are resistant to change. But they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78310B" w:rsidRDefault="0078310B" w:rsidP="0078310B">
      <w:pPr>
        <w:widowControl w:val="0"/>
        <w:spacing w:after="120"/>
        <w:ind w:firstLine="288"/>
        <w:jc w:val="both"/>
      </w:pPr>
      <w:r>
        <w:t xml:space="preserve">For example, a taxpayer in the 39.6% tax bracket saves 39.6% cents in tax for every $1 of employer-provided health care excluded under § 106 (examined in Chapter 18), a taxpayer working for the same employer at a lower salary saves 25 cents for that </w:t>
      </w:r>
      <w:r>
        <w:rPr>
          <w:i/>
        </w:rPr>
        <w:t>same $1</w:t>
      </w:r>
      <w:r>
        <w:t xml:space="preserve"> of employer-provided healthcare if the excluded dollar would otherwise fall in the 25%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3"/>
      </w:r>
    </w:p>
    <w:p w:rsidR="0078310B" w:rsidRDefault="0078310B" w:rsidP="0078310B">
      <w:pPr>
        <w:widowControl w:val="0"/>
        <w:ind w:firstLine="288"/>
        <w:jc w:val="both"/>
      </w:pPr>
      <w:r>
        <w:t>The extent of these upside-down effects can be seen in the chart below,</w:t>
      </w:r>
      <w:r>
        <w:rPr>
          <w:rStyle w:val="FootnoteReference"/>
        </w:rPr>
        <w:footnoteReference w:id="154"/>
      </w:r>
      <w:r>
        <w:t xml:space="preserve"> which shows that 17% of the benefits are absorbed by the top 1%, more than 50% by the top 20%, and only 8% by the lowest 20%.</w:t>
      </w:r>
    </w:p>
    <w:p w:rsidR="0078310B" w:rsidRDefault="0078310B" w:rsidP="0078310B">
      <w:pPr>
        <w:widowControl w:val="0"/>
        <w:ind w:firstLine="288"/>
        <w:jc w:val="both"/>
      </w:pPr>
    </w:p>
    <w:p w:rsidR="0078310B" w:rsidRDefault="0078310B" w:rsidP="0078310B">
      <w:pPr>
        <w:widowControl w:val="0"/>
        <w:ind w:firstLine="288"/>
        <w:jc w:val="center"/>
      </w:pPr>
      <w:r>
        <w:rPr>
          <w:noProof/>
        </w:rPr>
        <w:drawing>
          <wp:inline distT="0" distB="0" distL="0" distR="0" wp14:anchorId="07D59DC9" wp14:editId="2912DB46">
            <wp:extent cx="5410200" cy="2528847"/>
            <wp:effectExtent l="0" t="0" r="0" b="5080"/>
            <wp:docPr id="4" name="Picture 4" descr="Shares of Selected Major Tax Expenditures by Income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 of Selected Major Tax Expenditures by Income Group, 20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10200" cy="2528847"/>
                    </a:xfrm>
                    <a:prstGeom prst="rect">
                      <a:avLst/>
                    </a:prstGeom>
                    <a:noFill/>
                    <a:ln>
                      <a:noFill/>
                    </a:ln>
                  </pic:spPr>
                </pic:pic>
              </a:graphicData>
            </a:graphic>
          </wp:inline>
        </w:drawing>
      </w:r>
    </w:p>
    <w:p w:rsidR="0078310B" w:rsidRDefault="0078310B" w:rsidP="0078310B">
      <w:pPr>
        <w:widowControl w:val="0"/>
        <w:jc w:val="center"/>
      </w:pPr>
    </w:p>
    <w:p w:rsidR="0078310B" w:rsidRDefault="0078310B" w:rsidP="0078310B">
      <w:pPr>
        <w:widowControl w:val="0"/>
        <w:spacing w:after="120"/>
        <w:ind w:firstLine="288"/>
      </w:pPr>
      <w:r>
        <w:t xml:space="preserve">While direct spending programs and tax expenditures can be seen as economic equivalents, the beneficiaries of indirect spending </w:t>
      </w:r>
      <w:r w:rsidR="005F2BA8">
        <w:t xml:space="preserve">(tax expenditures) </w:t>
      </w:r>
      <w:r>
        <w:t>often do not perceive themselves as benefiting from government programs, which clearly skews political debate. Please click and read the following article:</w:t>
      </w:r>
    </w:p>
    <w:p w:rsidR="0078310B" w:rsidRDefault="002B3596" w:rsidP="0078310B">
      <w:pPr>
        <w:widowControl w:val="0"/>
        <w:spacing w:after="120"/>
        <w:ind w:firstLine="288"/>
      </w:pPr>
      <w:hyperlink r:id="rId127" w:history="1">
        <w:r w:rsidR="0078310B" w:rsidRPr="000A54C5">
          <w:rPr>
            <w:rStyle w:val="Hyperlink"/>
          </w:rPr>
          <w:t>www.nytimes.com/2015/10/08/opinion/we-all-get-free-stuff-from-the-government.html?_r=0</w:t>
        </w:r>
      </w:hyperlink>
      <w:r w:rsidR="0078310B">
        <w:t xml:space="preserve"> </w:t>
      </w:r>
    </w:p>
    <w:p w:rsidR="0078310B" w:rsidRDefault="0078310B" w:rsidP="0078310B">
      <w:pPr>
        <w:widowControl w:val="0"/>
        <w:spacing w:after="120"/>
        <w:ind w:firstLine="288"/>
      </w:pPr>
      <w:r>
        <w:t xml:space="preserve">Those interested in reading more about tax expenditures at this point can take a sneak preview of Chapter 17, Part A., and the introduction to Chapter 18. </w:t>
      </w:r>
    </w:p>
    <w:p w:rsidR="0078310B" w:rsidRDefault="0078310B" w:rsidP="0078310B">
      <w:pPr>
        <w:widowControl w:val="0"/>
        <w:spacing w:after="120"/>
        <w:ind w:firstLine="288"/>
        <w:jc w:val="both"/>
      </w:pPr>
    </w:p>
    <w:p w:rsidR="0078310B" w:rsidRPr="007966E6" w:rsidRDefault="0078310B" w:rsidP="0078310B">
      <w:pPr>
        <w:widowControl w:val="0"/>
        <w:spacing w:after="120"/>
        <w:jc w:val="both"/>
        <w:sectPr w:rsidR="0078310B" w:rsidRPr="007966E6" w:rsidSect="005337BA">
          <w:headerReference w:type="even" r:id="rId128"/>
          <w:headerReference w:type="default" r:id="rId129"/>
          <w:footerReference w:type="even" r:id="rId130"/>
          <w:headerReference w:type="first" r:id="rId131"/>
          <w:footerReference w:type="first" r:id="rId132"/>
          <w:footnotePr>
            <w:numRestart w:val="eachSect"/>
          </w:footnotePr>
          <w:pgSz w:w="12240" w:h="15840"/>
          <w:pgMar w:top="1440" w:right="1440" w:bottom="1440" w:left="1440" w:header="1008" w:footer="720" w:gutter="0"/>
          <w:cols w:space="720"/>
          <w:titlePg/>
          <w:docGrid w:linePitch="360"/>
        </w:sectPr>
      </w:pPr>
    </w:p>
    <w:p w:rsidR="0078310B" w:rsidRDefault="0078310B" w:rsidP="0078310B">
      <w:pPr>
        <w:widowControl w:val="0"/>
        <w:jc w:val="both"/>
        <w:sectPr w:rsidR="0078310B" w:rsidSect="005337BA">
          <w:footnotePr>
            <w:numRestart w:val="eachSect"/>
          </w:footnotePr>
          <w:pgSz w:w="12240" w:h="15840"/>
          <w:pgMar w:top="1440" w:right="1440" w:bottom="1440" w:left="1440" w:header="1008" w:footer="720" w:gutter="0"/>
          <w:pgNumType w:start="126"/>
          <w:cols w:space="720"/>
          <w:titlePg/>
          <w:docGrid w:linePitch="360"/>
        </w:sectPr>
      </w:pPr>
    </w:p>
    <w:p w:rsidR="0078310B" w:rsidRDefault="0078310B" w:rsidP="0078310B">
      <w:pPr>
        <w:pStyle w:val="Heading2"/>
        <w:spacing w:before="0"/>
        <w:rPr>
          <w:sz w:val="36"/>
          <w:szCs w:val="36"/>
        </w:rPr>
      </w:pPr>
      <w:bookmarkStart w:id="58" w:name="_Toc395790372"/>
      <w:r w:rsidRPr="009E4E47">
        <w:rPr>
          <w:sz w:val="36"/>
          <w:szCs w:val="36"/>
        </w:rPr>
        <w:t xml:space="preserve">Chapter 4: The Contours of “Capital </w:t>
      </w:r>
    </w:p>
    <w:p w:rsidR="0078310B" w:rsidRPr="009E4E47" w:rsidRDefault="0078310B" w:rsidP="0078310B">
      <w:pPr>
        <w:pStyle w:val="Heading2"/>
        <w:spacing w:before="0"/>
        <w:rPr>
          <w:sz w:val="36"/>
          <w:szCs w:val="36"/>
          <w:u w:val="single"/>
        </w:rPr>
      </w:pPr>
      <w:r w:rsidRPr="009E4E47">
        <w:rPr>
          <w:sz w:val="36"/>
          <w:szCs w:val="36"/>
          <w:u w:val="single"/>
        </w:rPr>
        <w:t>Expenditure” v. “Expense” (or Current Depreciation)</w:t>
      </w:r>
      <w:bookmarkEnd w:id="58"/>
      <w:r w:rsidRPr="009E4E47">
        <w:rPr>
          <w:sz w:val="36"/>
          <w:szCs w:val="36"/>
          <w:u w:val="single"/>
        </w:rPr>
        <w:t xml:space="preserve"> </w:t>
      </w:r>
    </w:p>
    <w:p w:rsidR="0078310B" w:rsidRDefault="0078310B" w:rsidP="0078310B">
      <w:pPr>
        <w:widowControl w:val="0"/>
        <w:spacing w:after="120"/>
        <w:jc w:val="both"/>
      </w:pPr>
    </w:p>
    <w:p w:rsidR="0078310B" w:rsidRDefault="0078310B" w:rsidP="0078310B">
      <w:pPr>
        <w:widowControl w:val="0"/>
        <w:spacing w:after="120"/>
        <w:ind w:firstLine="288"/>
        <w:jc w:val="both"/>
      </w:pPr>
      <w:r>
        <w:t>In Chapter 1, you learned that business</w:t>
      </w:r>
      <w:r w:rsidR="00E35AF0">
        <w:t xml:space="preserve"> and investment</w:t>
      </w:r>
      <w:r>
        <w:t xml:space="preserve"> outlays that qualify as current “expenses” can be immediately deducted under §</w:t>
      </w:r>
      <w:r w:rsidR="00E35AF0">
        <w:t>§</w:t>
      </w:r>
      <w:r>
        <w:t xml:space="preserve"> 162</w:t>
      </w:r>
      <w:r w:rsidR="00E35AF0">
        <w:t xml:space="preserve"> and 212, respectively</w:t>
      </w:r>
      <w:r>
        <w:t xml:space="preserve">. In contrast, outlays that are categorized as “capital expenditures” are nondeductible </w:t>
      </w:r>
      <w:r w:rsidR="00E35AF0">
        <w:t xml:space="preserve">(regardless of whether incurred in business, investment, or personal consumption activity) </w:t>
      </w:r>
      <w:r>
        <w:t xml:space="preserve">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In contrast, he would be able to deduct immediately that addition to his savings in the purchase year under a cash-flow consumption tax,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rsidR="0078310B" w:rsidRPr="008532E8" w:rsidRDefault="0078310B" w:rsidP="0078310B">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rsidR="0078310B" w:rsidRDefault="0078310B" w:rsidP="0078310B">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rsidR="0078310B" w:rsidRPr="00FB0234" w:rsidRDefault="0078310B" w:rsidP="0078310B">
      <w:pPr>
        <w:widowControl w:val="0"/>
        <w:spacing w:after="120"/>
        <w:ind w:firstLine="288"/>
        <w:jc w:val="both"/>
      </w:pPr>
      <w:r>
        <w:t xml:space="preserve">The issue becomes even more important if borrowed money is used to make the outlay at issue. You learned in Chapter 2 that business and investment interest (generally deductible under an income tax) should be nondeductible under a cash-flow consumption tax that permits borrowed principal to be excluded. In other words, the tax arbitrage possibilities of combining the income tax rules pertaining to debt (an interest deduction) with respect to an investment that is otherwise accorded consumption tax treatment (where interest would not be deductible) would provide a tax outcome that is more 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rsidR="0078310B" w:rsidRDefault="0078310B" w:rsidP="0078310B">
      <w:pPr>
        <w:widowControl w:val="0"/>
        <w:spacing w:after="120"/>
        <w:ind w:firstLine="288"/>
        <w:jc w:val="both"/>
      </w:pPr>
      <w:r>
        <w:t xml:space="preserve">This chapter will begin in Part A. by considering outlays pertaining to the acquisition or creation of an intangible asset (typically referred to merely as an “intangible”).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rsidR="0078310B" w:rsidRDefault="0078310B" w:rsidP="0078310B">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 xml:space="preserve">incurred in </w:t>
      </w:r>
      <w:r w:rsidR="008D7715" w:rsidRPr="008D7715">
        <w:rPr>
          <w:i/>
        </w:rPr>
        <w:t>the process creating an asset</w:t>
      </w:r>
      <w:r w:rsidR="008D7715">
        <w:t xml:space="preserve"> </w:t>
      </w:r>
      <w:r>
        <w:t xml:space="preserve">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rsidR="0078310B" w:rsidRDefault="0078310B" w:rsidP="0078310B">
      <w:pPr>
        <w:widowControl w:val="0"/>
        <w:ind w:firstLine="288"/>
        <w:jc w:val="both"/>
      </w:pPr>
    </w:p>
    <w:p w:rsidR="0078310B" w:rsidRPr="00E9346D" w:rsidRDefault="0078310B" w:rsidP="0078310B">
      <w:pPr>
        <w:pStyle w:val="Heading2"/>
        <w:spacing w:before="0"/>
        <w:rPr>
          <w:sz w:val="32"/>
          <w:szCs w:val="32"/>
          <w:u w:val="single"/>
        </w:rPr>
      </w:pPr>
      <w:bookmarkStart w:id="59" w:name="_Toc395790373"/>
      <w:r w:rsidRPr="00E9346D">
        <w:rPr>
          <w:sz w:val="32"/>
          <w:szCs w:val="32"/>
          <w:u w:val="single"/>
        </w:rPr>
        <w:t>A. Outlays pertaining to intangibles</w:t>
      </w:r>
      <w:bookmarkEnd w:id="59"/>
    </w:p>
    <w:p w:rsidR="0078310B" w:rsidRDefault="0078310B" w:rsidP="0078310B">
      <w:pPr>
        <w:widowControl w:val="0"/>
        <w:ind w:firstLine="288"/>
        <w:jc w:val="both"/>
      </w:pPr>
    </w:p>
    <w:p w:rsidR="0078310B" w:rsidRDefault="0078310B" w:rsidP="0078310B">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5"/>
      </w:r>
      <w:r>
        <w:t xml:space="preserve"> in which the taxpayer purchased and paid for, in Year 1, insurance coverage for his business that would last for three years. The taxpayer sought to deduct the entire payment in Year 1 as a business expense under § 162,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14. Right now, we are interested solely in exploring the threshold capitalization question. </w:t>
      </w:r>
    </w:p>
    <w:p w:rsidR="0078310B" w:rsidRDefault="0078310B" w:rsidP="0078310B">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categorized as a current business “expense” (deductible under § 162) or as a nondeductible “capital expenditure” (creating basis).</w:t>
      </w:r>
      <w:r>
        <w:rPr>
          <w:rStyle w:val="FootnoteReference"/>
        </w:rPr>
        <w:footnoteReference w:id="156"/>
      </w:r>
      <w:r>
        <w:t xml:space="preserve">  </w:t>
      </w:r>
    </w:p>
    <w:p w:rsidR="0078310B" w:rsidRPr="000C67FD"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60" w:name="_Toc448131347"/>
      <w:bookmarkStart w:id="61" w:name="_Toc450978617"/>
      <w:bookmarkStart w:id="62" w:name="_Toc395790374"/>
      <w:r>
        <w:t>INDOPCO, INC. v. COMMISSIONER</w:t>
      </w:r>
      <w:bookmarkEnd w:id="60"/>
      <w:bookmarkEnd w:id="61"/>
      <w:bookmarkEnd w:id="62"/>
      <w:r>
        <w:fldChar w:fldCharType="begin"/>
      </w:r>
      <w:r>
        <w:instrText xml:space="preserve"> TA \l "INDOPCO, INC. v. COMMISSIONER, 503 U.S. 79 (1992)" \s "INDOPCO, INC. v. COMMISSIONER, 503 U.S. 79 (1992)" \c 1 </w:instrText>
      </w:r>
      <w:r>
        <w:fldChar w:fldCharType="end"/>
      </w:r>
    </w:p>
    <w:p w:rsidR="0078310B" w:rsidRDefault="0078310B" w:rsidP="0078310B">
      <w:pPr>
        <w:pStyle w:val="SetOutCaseCitationbottom"/>
        <w:keepNext w:val="0"/>
        <w:keepLines w:val="0"/>
        <w:widowControl w:val="0"/>
        <w:spacing w:after="0" w:line="240" w:lineRule="auto"/>
        <w:rPr>
          <w:sz w:val="24"/>
        </w:rPr>
      </w:pPr>
      <w:r>
        <w:rPr>
          <w:sz w:val="24"/>
        </w:rPr>
        <w:t>503 U.S. 79 (1992)</w:t>
      </w:r>
    </w:p>
    <w:p w:rsidR="0078310B" w:rsidRDefault="0078310B" w:rsidP="0078310B">
      <w:pPr>
        <w:pStyle w:val="BodyText"/>
        <w:widowControl w:val="0"/>
        <w:spacing w:line="240" w:lineRule="auto"/>
        <w:ind w:firstLine="288"/>
        <w:rPr>
          <w:smallCaps/>
          <w:sz w:val="24"/>
        </w:rPr>
      </w:pPr>
    </w:p>
    <w:p w:rsidR="0078310B" w:rsidRDefault="0078310B" w:rsidP="0078310B">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rsidR="0078310B" w:rsidRDefault="0078310B" w:rsidP="0078310B">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rsidR="0078310B" w:rsidRDefault="0078310B" w:rsidP="0078310B">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78310B" w:rsidRPr="007A7A70" w:rsidRDefault="0078310B" w:rsidP="0078310B">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corporate subsidiary of Unilever.]</w:t>
      </w:r>
    </w:p>
    <w:p w:rsidR="0078310B" w:rsidRDefault="0078310B" w:rsidP="0078310B">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rsidR="0078310B" w:rsidRDefault="0078310B" w:rsidP="0078310B">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rsidR="0078310B" w:rsidRPr="004475A3" w:rsidRDefault="0078310B" w:rsidP="0078310B">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63" w:name="clsccl4"/>
      <w:bookmarkEnd w:id="63"/>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rsidR="0078310B" w:rsidRDefault="0078310B" w:rsidP="0078310B">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rsidR="0078310B" w:rsidRDefault="0078310B" w:rsidP="0078310B">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rsidR="0078310B" w:rsidRPr="004475A3" w:rsidRDefault="0078310B" w:rsidP="0078310B">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rsidR="0078310B" w:rsidRDefault="0078310B" w:rsidP="0078310B">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rsidR="0078310B" w:rsidRDefault="0078310B" w:rsidP="0078310B">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rsidR="0078310B" w:rsidRDefault="0078310B" w:rsidP="0078310B">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rsidR="0078310B" w:rsidRDefault="0078310B" w:rsidP="0078310B">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rsidR="0078310B" w:rsidRDefault="0078310B" w:rsidP="0078310B">
      <w:pPr>
        <w:pStyle w:val="BodyText"/>
        <w:widowControl w:val="0"/>
        <w:spacing w:line="240" w:lineRule="auto"/>
        <w:jc w:val="center"/>
        <w:rPr>
          <w:sz w:val="24"/>
        </w:rPr>
      </w:pPr>
      <w:r>
        <w:rPr>
          <w:sz w:val="24"/>
        </w:rPr>
        <w:t>______________________________________</w:t>
      </w:r>
    </w:p>
    <w:p w:rsidR="0078310B" w:rsidRDefault="0078310B" w:rsidP="0078310B">
      <w:pPr>
        <w:widowControl w:val="0"/>
        <w:ind w:firstLine="288"/>
        <w:jc w:val="both"/>
      </w:pPr>
    </w:p>
    <w:p w:rsidR="0078310B" w:rsidRPr="008203B5" w:rsidRDefault="0078310B" w:rsidP="0078310B">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w:t>
      </w:r>
      <w:r w:rsidRPr="00E05E58">
        <w:t xml:space="preserve"> an “expense”) before an outlay can be deducted under § 162. What does “ordinary” mean, according to the Court? Necessary? </w:t>
      </w:r>
      <w:r>
        <w:t xml:space="preserve">We shall explore this issue in more detail in Chapter 22. </w:t>
      </w:r>
    </w:p>
    <w:p w:rsidR="0078310B" w:rsidRPr="00AB602D" w:rsidRDefault="0078310B" w:rsidP="0078310B">
      <w:pPr>
        <w:pStyle w:val="Heading3"/>
        <w:spacing w:before="0" w:beforeAutospacing="0" w:after="120" w:afterAutospacing="0"/>
        <w:rPr>
          <w:i/>
        </w:rPr>
      </w:pPr>
      <w:bookmarkStart w:id="64" w:name="_Toc395790375"/>
      <w:r w:rsidRPr="00AB602D">
        <w:rPr>
          <w:i/>
        </w:rPr>
        <w:t>Post-INDOPCO developments</w:t>
      </w:r>
      <w:bookmarkEnd w:id="64"/>
    </w:p>
    <w:p w:rsidR="0078310B" w:rsidRDefault="0078310B" w:rsidP="0078310B">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makes sense as a theoretical matter. After all, your appreciation of the difference between an income tax and consumption tax shows that the major feature distinguishing between a current “expense” and a nondeductible “capital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w:t>
      </w:r>
      <w:r w:rsidR="006C204B">
        <w:rPr>
          <w:sz w:val="24"/>
          <w:szCs w:val="24"/>
        </w:rPr>
        <w:t xml:space="preserve">the investment producing that return was </w:t>
      </w:r>
      <w:r>
        <w:rPr>
          <w:sz w:val="24"/>
          <w:szCs w:val="24"/>
        </w:rPr>
        <w:t>prematurely de</w:t>
      </w:r>
      <w:r w:rsidR="006C204B">
        <w:rPr>
          <w:sz w:val="24"/>
          <w:szCs w:val="24"/>
        </w:rPr>
        <w:t xml:space="preserve">ducted and the time it </w:t>
      </w:r>
      <w:r>
        <w:rPr>
          <w:sz w:val="24"/>
          <w:szCs w:val="24"/>
        </w:rPr>
        <w:t>would have been deducted under a pure SHS income tax, as you learned in Chapter 2.</w:t>
      </w:r>
    </w:p>
    <w:p w:rsidR="0078310B" w:rsidRDefault="0078310B" w:rsidP="0078310B">
      <w:pPr>
        <w:pStyle w:val="BodyText"/>
        <w:widowControl w:val="0"/>
        <w:spacing w:after="120" w:line="240" w:lineRule="auto"/>
        <w:ind w:firstLine="288"/>
        <w:rPr>
          <w:sz w:val="24"/>
          <w:szCs w:val="24"/>
        </w:rPr>
      </w:pPr>
      <w:r>
        <w:rPr>
          <w:sz w:val="24"/>
          <w:szCs w:val="24"/>
        </w:rPr>
        <w:t xml:space="preserve">While understandable as a theoretical matter, the </w:t>
      </w:r>
      <w:r w:rsidR="00C224D7">
        <w:rPr>
          <w:sz w:val="24"/>
          <w:szCs w:val="24"/>
        </w:rPr>
        <w:t>“</w:t>
      </w:r>
      <w:r>
        <w:rPr>
          <w:sz w:val="24"/>
          <w:szCs w:val="24"/>
        </w:rPr>
        <w:t>future benefits</w:t>
      </w:r>
      <w:r w:rsidR="00C224D7">
        <w:rPr>
          <w:sz w:val="24"/>
          <w:szCs w:val="24"/>
        </w:rPr>
        <w:t>”</w:t>
      </w:r>
      <w:r>
        <w:rPr>
          <w:sz w:val="24"/>
          <w:szCs w:val="24"/>
        </w:rPr>
        <w:t xml:space="preserve">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 xml:space="preserve">commercial TV spot advertising a product, could conceivably be reconsidered under this opinion. Thus, the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7"/>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8"/>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rsidR="0078310B" w:rsidRDefault="0078310B" w:rsidP="0078310B">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9"/>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rsidR="0078310B" w:rsidRPr="00790AFD" w:rsidRDefault="0078310B" w:rsidP="0078310B">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government would no longer cite the “substantial future benefits test”—alone—as justification for capitalization without prior notice published in the Federal Register.</w:t>
      </w:r>
      <w:r w:rsidRPr="00790AFD">
        <w:rPr>
          <w:rStyle w:val="FootnoteReference"/>
          <w:sz w:val="24"/>
          <w:szCs w:val="24"/>
        </w:rPr>
        <w:footnoteReference w:id="160"/>
      </w:r>
      <w:r w:rsidRPr="00790AFD">
        <w:rPr>
          <w:sz w:val="24"/>
          <w:szCs w:val="24"/>
        </w:rPr>
        <w:t xml:space="preserve"> </w:t>
      </w:r>
    </w:p>
    <w:p w:rsidR="0078310B" w:rsidRPr="00790AFD" w:rsidRDefault="0078310B" w:rsidP="0078310B">
      <w:pPr>
        <w:pStyle w:val="Heading3"/>
        <w:spacing w:before="0" w:beforeAutospacing="0" w:after="120" w:afterAutospacing="0"/>
        <w:rPr>
          <w:i/>
          <w:szCs w:val="24"/>
        </w:rPr>
      </w:pPr>
      <w:bookmarkStart w:id="65" w:name="_Toc395790376"/>
      <w:r w:rsidRPr="00790AFD">
        <w:rPr>
          <w:i/>
          <w:szCs w:val="24"/>
        </w:rPr>
        <w:t>Outline of the regulations pertaining to intangibles</w:t>
      </w:r>
      <w:bookmarkEnd w:id="65"/>
    </w:p>
    <w:p w:rsidR="0078310B" w:rsidRDefault="000C14A7" w:rsidP="0078310B">
      <w:pPr>
        <w:pStyle w:val="BodyText"/>
        <w:widowControl w:val="0"/>
        <w:spacing w:after="120" w:line="240" w:lineRule="auto"/>
        <w:ind w:firstLine="288"/>
        <w:rPr>
          <w:sz w:val="24"/>
          <w:szCs w:val="24"/>
        </w:rPr>
      </w:pPr>
      <w:r w:rsidRPr="00790AFD">
        <w:rPr>
          <w:sz w:val="24"/>
          <w:szCs w:val="24"/>
        </w:rPr>
        <w:t xml:space="preserve">The Treasury Regulations pertaining to intangibles are now found at </w:t>
      </w:r>
      <w:hyperlink r:id="rId133" w:history="1">
        <w:r w:rsidRPr="00790AFD">
          <w:rPr>
            <w:rStyle w:val="Hyperlink"/>
            <w:sz w:val="24"/>
            <w:szCs w:val="24"/>
          </w:rPr>
          <w:t>Treas. Reg. § 1.263(a)-4</w:t>
        </w:r>
      </w:hyperlink>
      <w:r w:rsidRPr="00790AFD">
        <w:rPr>
          <w:sz w:val="24"/>
          <w:szCs w:val="24"/>
        </w:rPr>
        <w:t xml:space="preserve">, and </w:t>
      </w:r>
      <w:r w:rsidR="0032602D" w:rsidRPr="00790AFD">
        <w:rPr>
          <w:sz w:val="24"/>
          <w:szCs w:val="24"/>
        </w:rPr>
        <w:t xml:space="preserve">those regulations at </w:t>
      </w:r>
      <w:r w:rsidRPr="00790AFD">
        <w:rPr>
          <w:sz w:val="24"/>
          <w:szCs w:val="24"/>
        </w:rPr>
        <w:t>-4(b)(1), (c), and (d) confirm that t</w:t>
      </w:r>
      <w:r w:rsidR="0078310B" w:rsidRPr="00790AFD">
        <w:rPr>
          <w:sz w:val="24"/>
          <w:szCs w:val="24"/>
        </w:rPr>
        <w:t>axpayers must capitalize amounts paid to acquire an intangible from another or to create an intangible, including ownership interests in business entities, a financial in</w:t>
      </w:r>
      <w:r w:rsidR="0078310B" w:rsidRPr="001911EE">
        <w:rPr>
          <w:sz w:val="24"/>
          <w:szCs w:val="24"/>
        </w:rPr>
        <w:t>strument (such as a bond, futures contr</w:t>
      </w:r>
      <w:r w:rsidR="0078310B">
        <w:rPr>
          <w:sz w:val="24"/>
          <w:szCs w:val="24"/>
        </w:rPr>
        <w:t>acts, foreign currency contract</w:t>
      </w:r>
      <w:r w:rsidR="0078310B" w:rsidRPr="001911EE">
        <w:rPr>
          <w:sz w:val="24"/>
          <w:szCs w:val="24"/>
        </w:rPr>
        <w:t>), a lease, a patent, a copyright, a trademark,</w:t>
      </w:r>
      <w:r w:rsidR="0078310B">
        <w:rPr>
          <w:sz w:val="24"/>
          <w:szCs w:val="24"/>
        </w:rPr>
        <w:t xml:space="preserve"> goodwill, a customer list, </w:t>
      </w:r>
      <w:r w:rsidR="0078310B" w:rsidRPr="001911EE">
        <w:rPr>
          <w:sz w:val="24"/>
          <w:szCs w:val="24"/>
        </w:rPr>
        <w:t>software</w:t>
      </w:r>
      <w:r w:rsidR="0078310B">
        <w:rPr>
          <w:sz w:val="24"/>
          <w:szCs w:val="24"/>
        </w:rPr>
        <w:t>, and more</w:t>
      </w:r>
      <w:r w:rsidR="0078310B" w:rsidRPr="001911EE">
        <w:rPr>
          <w:sz w:val="24"/>
          <w:szCs w:val="24"/>
        </w:rPr>
        <w:t xml:space="preserve">. </w:t>
      </w:r>
      <w:r w:rsidR="0078310B">
        <w:rPr>
          <w:sz w:val="24"/>
          <w:szCs w:val="24"/>
        </w:rPr>
        <w:t xml:space="preserve">Thus, a $250,000 loan made by National Bank to client </w:t>
      </w:r>
      <w:r w:rsidR="0078310B">
        <w:rPr>
          <w:i/>
          <w:sz w:val="24"/>
          <w:szCs w:val="24"/>
        </w:rPr>
        <w:t>A</w:t>
      </w:r>
      <w:r w:rsidR="0078310B">
        <w:rPr>
          <w:sz w:val="24"/>
          <w:szCs w:val="24"/>
        </w:rPr>
        <w:t xml:space="preserve"> is a nondeductible capital expenditure for National Bank because it creates a debt instrument (an intangible),</w:t>
      </w:r>
      <w:r w:rsidR="0078310B">
        <w:rPr>
          <w:rStyle w:val="FootnoteReference"/>
          <w:sz w:val="24"/>
          <w:szCs w:val="24"/>
        </w:rPr>
        <w:footnoteReference w:id="161"/>
      </w:r>
      <w:r w:rsidR="0078310B">
        <w:rPr>
          <w:sz w:val="24"/>
          <w:szCs w:val="24"/>
        </w:rPr>
        <w:t xml:space="preserve"> and the purchase of a patent from the inventor is similarly a nondeductible capital expenditure. Such amounts include transaction costs incurred to investigate or facilitate the transaction, as well, unless the aggregate of such costs is </w:t>
      </w:r>
      <w:r w:rsidR="0078310B">
        <w:rPr>
          <w:i/>
          <w:sz w:val="24"/>
          <w:szCs w:val="24"/>
        </w:rPr>
        <w:t>de minimis</w:t>
      </w:r>
      <w:r w:rsidR="0078310B">
        <w:rPr>
          <w:sz w:val="24"/>
          <w:szCs w:val="24"/>
        </w:rPr>
        <w:t>, defined as not exceeding $5,000.</w:t>
      </w:r>
      <w:r w:rsidR="0078310B">
        <w:rPr>
          <w:rStyle w:val="FootnoteReference"/>
          <w:sz w:val="24"/>
          <w:szCs w:val="24"/>
        </w:rPr>
        <w:footnoteReference w:id="162"/>
      </w:r>
      <w:r w:rsidR="0078310B">
        <w:rPr>
          <w:sz w:val="24"/>
          <w:szCs w:val="24"/>
        </w:rPr>
        <w:t xml:space="preserve"> In addition, costs incurred to defend or perfect title to an intangible already owned must be capitalized.</w:t>
      </w:r>
      <w:r w:rsidR="0078310B">
        <w:rPr>
          <w:rStyle w:val="FootnoteReference"/>
          <w:sz w:val="24"/>
          <w:szCs w:val="24"/>
        </w:rPr>
        <w:footnoteReference w:id="163"/>
      </w:r>
      <w:r w:rsidR="0078310B">
        <w:rPr>
          <w:sz w:val="24"/>
          <w:szCs w:val="24"/>
        </w:rPr>
        <w:t xml:space="preserve"> Subject to the 12-month exception (more below), prepaid expenses must be capitalized.</w:t>
      </w:r>
      <w:r w:rsidR="0078310B">
        <w:rPr>
          <w:rStyle w:val="FootnoteReference"/>
          <w:sz w:val="24"/>
          <w:szCs w:val="24"/>
        </w:rPr>
        <w:footnoteReference w:id="164"/>
      </w:r>
      <w:r w:rsidR="0078310B">
        <w:rPr>
          <w:sz w:val="24"/>
          <w:szCs w:val="24"/>
        </w:rPr>
        <w:t xml:space="preserve"> Drawing directly from </w:t>
      </w:r>
      <w:r w:rsidR="0078310B">
        <w:rPr>
          <w:i/>
          <w:sz w:val="24"/>
          <w:szCs w:val="24"/>
        </w:rPr>
        <w:t>Boylston Market</w:t>
      </w:r>
      <w:r w:rsidR="0078310B">
        <w:rPr>
          <w:sz w:val="24"/>
          <w:szCs w:val="24"/>
        </w:rPr>
        <w:t xml:space="preserve">, </w:t>
      </w:r>
      <w:r w:rsidR="0078310B">
        <w:rPr>
          <w:i/>
          <w:sz w:val="24"/>
          <w:szCs w:val="24"/>
        </w:rPr>
        <w:t>supra</w:t>
      </w:r>
      <w:r w:rsidR="0078310B">
        <w:rPr>
          <w:sz w:val="24"/>
          <w:szCs w:val="24"/>
        </w:rPr>
        <w:t xml:space="preserve">, for example, Treas. Reg. </w:t>
      </w:r>
      <w:r w:rsidR="0078310B" w:rsidRPr="000C14A7">
        <w:rPr>
          <w:sz w:val="24"/>
          <w:szCs w:val="24"/>
        </w:rPr>
        <w:t>§ 1.263(a)-4</w:t>
      </w:r>
      <w:r w:rsidR="0078310B">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sidR="0078310B">
        <w:rPr>
          <w:rStyle w:val="FootnoteReference"/>
          <w:sz w:val="24"/>
          <w:szCs w:val="24"/>
        </w:rPr>
        <w:footnoteReference w:id="165"/>
      </w:r>
      <w:r w:rsidR="0078310B">
        <w:rPr>
          <w:sz w:val="24"/>
          <w:szCs w:val="24"/>
        </w:rPr>
        <w:t xml:space="preserve"> </w:t>
      </w:r>
    </w:p>
    <w:p w:rsidR="0078310B" w:rsidRDefault="0078310B" w:rsidP="0078310B">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rsidR="0078310B" w:rsidRDefault="002B3596" w:rsidP="0078310B">
      <w:pPr>
        <w:pStyle w:val="BodyText"/>
        <w:widowControl w:val="0"/>
        <w:spacing w:line="240" w:lineRule="auto"/>
        <w:ind w:firstLine="288"/>
        <w:rPr>
          <w:sz w:val="24"/>
          <w:szCs w:val="24"/>
        </w:rPr>
      </w:pPr>
      <w:hyperlink r:id="rId134" w:history="1">
        <w:r w:rsidR="0078310B" w:rsidRPr="00790AFD">
          <w:rPr>
            <w:rStyle w:val="Hyperlink"/>
            <w:sz w:val="24"/>
            <w:szCs w:val="24"/>
          </w:rPr>
          <w:t>Treas. Reg. § 1.263(a)-5</w:t>
        </w:r>
      </w:hyperlink>
      <w:r w:rsidR="0078310B">
        <w:rPr>
          <w:sz w:val="24"/>
          <w:szCs w:val="24"/>
        </w:rPr>
        <w:t xml:space="preserve"> generally provides that the costs incurred to rearrange the capital structure of a corporation, such as the costs incurred in the acquisition of National Starch by Unilever in </w:t>
      </w:r>
      <w:r w:rsidR="0078310B">
        <w:rPr>
          <w:i/>
          <w:sz w:val="24"/>
          <w:szCs w:val="24"/>
        </w:rPr>
        <w:t>INDOPCO</w:t>
      </w:r>
      <w:r w:rsidR="0078310B">
        <w:rPr>
          <w:sz w:val="24"/>
          <w:szCs w:val="24"/>
        </w:rPr>
        <w:t xml:space="preserve">, must be capitalized. </w:t>
      </w:r>
    </w:p>
    <w:p w:rsidR="0078310B" w:rsidRDefault="0078310B" w:rsidP="0078310B">
      <w:pPr>
        <w:pStyle w:val="BodyText"/>
        <w:widowControl w:val="0"/>
        <w:spacing w:line="240" w:lineRule="auto"/>
        <w:ind w:firstLine="288"/>
        <w:rPr>
          <w:sz w:val="24"/>
          <w:szCs w:val="24"/>
        </w:rPr>
      </w:pPr>
    </w:p>
    <w:p w:rsidR="0078310B" w:rsidRDefault="0078310B" w:rsidP="0078310B">
      <w:pPr>
        <w:pStyle w:val="Heading3"/>
        <w:spacing w:before="0" w:beforeAutospacing="0" w:after="0" w:afterAutospacing="0"/>
        <w:jc w:val="center"/>
        <w:rPr>
          <w:b w:val="0"/>
        </w:rPr>
      </w:pPr>
      <w:bookmarkStart w:id="66" w:name="_Toc395790377"/>
      <w:r w:rsidRPr="00AB602D">
        <w:rPr>
          <w:u w:val="single"/>
        </w:rPr>
        <w:t>Problems</w:t>
      </w:r>
      <w:bookmarkEnd w:id="66"/>
    </w:p>
    <w:p w:rsidR="0078310B" w:rsidRPr="00891608" w:rsidRDefault="0078310B" w:rsidP="0078310B">
      <w:pPr>
        <w:pStyle w:val="Heading3"/>
        <w:spacing w:before="0" w:beforeAutospacing="0" w:after="0" w:afterAutospacing="0"/>
        <w:jc w:val="center"/>
        <w:rPr>
          <w:b w:val="0"/>
        </w:rPr>
      </w:pPr>
    </w:p>
    <w:p w:rsidR="0078310B" w:rsidRDefault="0078310B" w:rsidP="0078310B">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w:t>
      </w:r>
      <w:r w:rsidR="00193787">
        <w:rPr>
          <w:sz w:val="24"/>
          <w:szCs w:val="24"/>
        </w:rPr>
        <w:t xml:space="preserve">Instead of paying for coverage monthly, Mary pays the entire contract amount on </w:t>
      </w:r>
      <w:r w:rsidR="005F0310">
        <w:rPr>
          <w:sz w:val="24"/>
          <w:szCs w:val="24"/>
        </w:rPr>
        <w:t>September 1 of Year 1</w:t>
      </w:r>
      <w:r w:rsidR="00193787">
        <w:rPr>
          <w:sz w:val="24"/>
          <w:szCs w:val="24"/>
        </w:rPr>
        <w:t xml:space="preserve">. Can May deduct her payment as an “expense” under § 162 in the year of payment, or must she capitalize the cost under § 263, instead? </w:t>
      </w:r>
    </w:p>
    <w:p w:rsidR="0078310B" w:rsidRPr="001F1480" w:rsidRDefault="0078310B" w:rsidP="0078310B">
      <w:pPr>
        <w:pStyle w:val="BodyText"/>
        <w:widowControl w:val="0"/>
        <w:spacing w:after="120" w:line="240" w:lineRule="auto"/>
        <w:ind w:left="288"/>
      </w:pPr>
      <w:r>
        <w:rPr>
          <w:b/>
          <w:sz w:val="24"/>
          <w:szCs w:val="24"/>
        </w:rPr>
        <w:t xml:space="preserve">a. </w:t>
      </w:r>
      <w:r w:rsidR="00193787">
        <w:rPr>
          <w:sz w:val="24"/>
          <w:szCs w:val="24"/>
        </w:rPr>
        <w:t>On September 1 of Year 1, she pays $12,000 for</w:t>
      </w:r>
      <w:r>
        <w:rPr>
          <w:sz w:val="24"/>
          <w:szCs w:val="24"/>
        </w:rPr>
        <w:t xml:space="preserve"> </w:t>
      </w:r>
      <w:r w:rsidR="00193787">
        <w:rPr>
          <w:sz w:val="24"/>
          <w:szCs w:val="24"/>
        </w:rPr>
        <w:t>24-month coverage</w:t>
      </w:r>
      <w:r>
        <w:rPr>
          <w:sz w:val="24"/>
          <w:szCs w:val="24"/>
        </w:rPr>
        <w:t xml:space="preserve">, effective on that date and extending to August 31 of Year 3? </w:t>
      </w:r>
      <w:r>
        <w:rPr>
          <w:i/>
          <w:sz w:val="24"/>
          <w:szCs w:val="24"/>
        </w:rPr>
        <w:t>See</w:t>
      </w:r>
      <w:r>
        <w:rPr>
          <w:sz w:val="24"/>
          <w:szCs w:val="24"/>
        </w:rPr>
        <w:t xml:space="preserve"> </w:t>
      </w:r>
      <w:hyperlink r:id="rId135" w:history="1">
        <w:r w:rsidRPr="00790AFD">
          <w:rPr>
            <w:rStyle w:val="Hyperlink"/>
            <w:sz w:val="24"/>
            <w:szCs w:val="24"/>
          </w:rPr>
          <w:t>Treas. Reg. § 1.263(a)-4</w:t>
        </w:r>
      </w:hyperlink>
      <w:r>
        <w:rPr>
          <w:sz w:val="24"/>
          <w:szCs w:val="24"/>
        </w:rPr>
        <w:t>(f)(1).</w:t>
      </w:r>
    </w:p>
    <w:p w:rsidR="0078310B" w:rsidRDefault="0078310B" w:rsidP="0078310B">
      <w:pPr>
        <w:pStyle w:val="BodyText"/>
        <w:widowControl w:val="0"/>
        <w:spacing w:after="120" w:line="240" w:lineRule="auto"/>
        <w:ind w:left="288"/>
        <w:rPr>
          <w:sz w:val="24"/>
          <w:szCs w:val="24"/>
        </w:rPr>
      </w:pPr>
      <w:r>
        <w:rPr>
          <w:b/>
          <w:sz w:val="24"/>
          <w:szCs w:val="24"/>
        </w:rPr>
        <w:t>b.</w:t>
      </w:r>
      <w:r>
        <w:rPr>
          <w:sz w:val="24"/>
          <w:szCs w:val="24"/>
        </w:rPr>
        <w:t xml:space="preserve"> </w:t>
      </w:r>
      <w:r w:rsidR="006F2419">
        <w:rPr>
          <w:sz w:val="24"/>
          <w:szCs w:val="24"/>
        </w:rPr>
        <w:t>On September 1 of Year 1, she pays $6,000 for</w:t>
      </w:r>
      <w:r>
        <w:rPr>
          <w:sz w:val="24"/>
          <w:szCs w:val="24"/>
        </w:rPr>
        <w:t xml:space="preserve"> 12-month coverage, effective on that date and extending to August 31 of Year 2?</w:t>
      </w:r>
    </w:p>
    <w:p w:rsidR="0078310B" w:rsidRDefault="0078310B" w:rsidP="0078310B">
      <w:pPr>
        <w:pStyle w:val="BodyText"/>
        <w:widowControl w:val="0"/>
        <w:spacing w:after="120" w:line="240" w:lineRule="auto"/>
        <w:ind w:left="288"/>
        <w:rPr>
          <w:sz w:val="24"/>
          <w:szCs w:val="24"/>
        </w:rPr>
      </w:pPr>
      <w:r>
        <w:rPr>
          <w:b/>
          <w:sz w:val="24"/>
          <w:szCs w:val="24"/>
        </w:rPr>
        <w:t>c.</w:t>
      </w:r>
      <w:r>
        <w:rPr>
          <w:sz w:val="24"/>
          <w:szCs w:val="24"/>
        </w:rPr>
        <w:t xml:space="preserve"> </w:t>
      </w:r>
      <w:r w:rsidR="006F2419">
        <w:rPr>
          <w:sz w:val="24"/>
          <w:szCs w:val="24"/>
        </w:rPr>
        <w:t xml:space="preserve">On September 1 of Year 1, </w:t>
      </w:r>
      <w:r>
        <w:rPr>
          <w:sz w:val="24"/>
          <w:szCs w:val="24"/>
        </w:rPr>
        <w:t xml:space="preserve">she </w:t>
      </w:r>
      <w:r w:rsidR="006F2419">
        <w:rPr>
          <w:sz w:val="24"/>
          <w:szCs w:val="24"/>
        </w:rPr>
        <w:t>pays $6,000 for</w:t>
      </w:r>
      <w:r>
        <w:rPr>
          <w:sz w:val="24"/>
          <w:szCs w:val="24"/>
        </w:rPr>
        <w:t xml:space="preserve"> 12-month coverage, effective February 1 of Year 2 and extending to January 31 of Year 3?</w:t>
      </w:r>
    </w:p>
    <w:p w:rsidR="0078310B" w:rsidRPr="001F1480" w:rsidRDefault="0078310B" w:rsidP="0078310B">
      <w:pPr>
        <w:pStyle w:val="BodyText"/>
        <w:widowControl w:val="0"/>
        <w:spacing w:line="240" w:lineRule="auto"/>
        <w:ind w:left="288"/>
        <w:rPr>
          <w:sz w:val="24"/>
          <w:szCs w:val="24"/>
        </w:rPr>
      </w:pPr>
      <w:r>
        <w:rPr>
          <w:b/>
          <w:sz w:val="24"/>
          <w:szCs w:val="24"/>
        </w:rPr>
        <w:t>d.</w:t>
      </w:r>
      <w:r w:rsidR="006F2419">
        <w:rPr>
          <w:sz w:val="24"/>
          <w:szCs w:val="24"/>
        </w:rPr>
        <w:t xml:space="preserve"> S</w:t>
      </w:r>
      <w:r>
        <w:rPr>
          <w:sz w:val="24"/>
          <w:szCs w:val="24"/>
        </w:rPr>
        <w:t xml:space="preserve">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36" w:history="1">
        <w:r w:rsidRPr="00790AFD">
          <w:rPr>
            <w:rStyle w:val="Hyperlink"/>
            <w:sz w:val="24"/>
            <w:szCs w:val="24"/>
          </w:rPr>
          <w:t>Treas. Reg. § 1.263(a)-4</w:t>
        </w:r>
      </w:hyperlink>
      <w:r>
        <w:rPr>
          <w:sz w:val="24"/>
          <w:szCs w:val="24"/>
        </w:rPr>
        <w:t>(f)(5).</w:t>
      </w:r>
    </w:p>
    <w:p w:rsidR="0078310B" w:rsidRDefault="0078310B" w:rsidP="0078310B">
      <w:pPr>
        <w:pStyle w:val="BodyText"/>
        <w:widowControl w:val="0"/>
        <w:spacing w:line="240" w:lineRule="auto"/>
        <w:ind w:firstLine="288"/>
        <w:rPr>
          <w:sz w:val="24"/>
          <w:szCs w:val="24"/>
        </w:rPr>
      </w:pPr>
    </w:p>
    <w:p w:rsidR="0078310B" w:rsidRDefault="0078310B" w:rsidP="0078310B">
      <w:pPr>
        <w:pStyle w:val="BodyText"/>
        <w:widowControl w:val="0"/>
        <w:spacing w:line="240" w:lineRule="auto"/>
        <w:ind w:firstLine="288"/>
        <w:rPr>
          <w:sz w:val="24"/>
          <w:szCs w:val="24"/>
        </w:rPr>
      </w:pPr>
      <w:r>
        <w:rPr>
          <w:b/>
          <w:sz w:val="24"/>
          <w:szCs w:val="24"/>
        </w:rPr>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w:t>
      </w:r>
      <w:r w:rsidR="00ED6A1B">
        <w:rPr>
          <w:sz w:val="24"/>
          <w:szCs w:val="24"/>
        </w:rPr>
        <w:t>Can Sally deduct the payment as an “expense” under § 162 in the year of payment, or must she capitalize the cost under § 263, instead?</w:t>
      </w:r>
      <w:r>
        <w:rPr>
          <w:sz w:val="24"/>
          <w:szCs w:val="24"/>
        </w:rPr>
        <w:t xml:space="preserve"> </w:t>
      </w:r>
      <w:r>
        <w:rPr>
          <w:i/>
          <w:sz w:val="24"/>
          <w:szCs w:val="24"/>
        </w:rPr>
        <w:t>See</w:t>
      </w:r>
      <w:r>
        <w:rPr>
          <w:sz w:val="24"/>
          <w:szCs w:val="24"/>
        </w:rPr>
        <w:t xml:space="preserve"> </w:t>
      </w:r>
      <w:hyperlink r:id="rId137" w:history="1">
        <w:r w:rsidRPr="00790AFD">
          <w:rPr>
            <w:rStyle w:val="Hyperlink"/>
            <w:sz w:val="24"/>
            <w:szCs w:val="24"/>
          </w:rPr>
          <w:t>Treas. Reg. § 1.263(a)-4</w:t>
        </w:r>
      </w:hyperlink>
      <w:r>
        <w:rPr>
          <w:sz w:val="24"/>
          <w:szCs w:val="24"/>
        </w:rPr>
        <w:t xml:space="preserve">(d)(9). </w:t>
      </w:r>
    </w:p>
    <w:p w:rsidR="0078310B" w:rsidRDefault="0078310B" w:rsidP="0078310B">
      <w:pPr>
        <w:pStyle w:val="BodyText"/>
        <w:widowControl w:val="0"/>
        <w:spacing w:line="240" w:lineRule="auto"/>
        <w:ind w:firstLine="288"/>
        <w:rPr>
          <w:b/>
          <w:sz w:val="24"/>
          <w:szCs w:val="24"/>
        </w:rPr>
      </w:pPr>
    </w:p>
    <w:p w:rsidR="0078310B" w:rsidRDefault="0078310B" w:rsidP="0078310B">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w:t>
      </w:r>
      <w:r w:rsidR="00ED6A1B">
        <w:rPr>
          <w:sz w:val="24"/>
          <w:szCs w:val="24"/>
        </w:rPr>
        <w:t>in Year 2 as expenses u</w:t>
      </w:r>
      <w:r>
        <w:rPr>
          <w:sz w:val="24"/>
          <w:szCs w:val="24"/>
        </w:rPr>
        <w:t>nder § 162, or must he capitalize the costs to his lease agreement</w:t>
      </w:r>
      <w:r w:rsidR="00ED6A1B">
        <w:rPr>
          <w:sz w:val="24"/>
          <w:szCs w:val="24"/>
        </w:rPr>
        <w:t xml:space="preserve"> under § 263, instead</w:t>
      </w:r>
      <w:r>
        <w:rPr>
          <w:sz w:val="24"/>
          <w:szCs w:val="24"/>
        </w:rPr>
        <w:t xml:space="preserve">? </w:t>
      </w:r>
      <w:r>
        <w:rPr>
          <w:i/>
          <w:sz w:val="24"/>
          <w:szCs w:val="24"/>
        </w:rPr>
        <w:t>See</w:t>
      </w:r>
      <w:r>
        <w:rPr>
          <w:sz w:val="24"/>
          <w:szCs w:val="24"/>
        </w:rPr>
        <w:t xml:space="preserve"> </w:t>
      </w:r>
      <w:hyperlink r:id="rId138"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rsidR="0078310B" w:rsidRPr="003D4042" w:rsidRDefault="0078310B" w:rsidP="0078310B">
      <w:pPr>
        <w:pStyle w:val="BodyText"/>
        <w:widowControl w:val="0"/>
        <w:spacing w:line="240" w:lineRule="auto"/>
        <w:ind w:firstLine="288"/>
      </w:pPr>
    </w:p>
    <w:p w:rsidR="0078310B" w:rsidRPr="00993653" w:rsidRDefault="0078310B" w:rsidP="0078310B">
      <w:pPr>
        <w:pStyle w:val="Heading2"/>
        <w:spacing w:before="0"/>
        <w:rPr>
          <w:sz w:val="32"/>
          <w:szCs w:val="32"/>
          <w:u w:val="single"/>
        </w:rPr>
      </w:pPr>
      <w:bookmarkStart w:id="67" w:name="_Toc395790378"/>
      <w:r w:rsidRPr="00993653">
        <w:rPr>
          <w:sz w:val="32"/>
          <w:szCs w:val="32"/>
          <w:u w:val="single"/>
        </w:rPr>
        <w:t>B. Outlays pertaining to tangible assets</w:t>
      </w:r>
      <w:bookmarkEnd w:id="67"/>
    </w:p>
    <w:p w:rsidR="0078310B" w:rsidRPr="00860949" w:rsidRDefault="0078310B" w:rsidP="0078310B">
      <w:pPr>
        <w:widowControl w:val="0"/>
        <w:jc w:val="both"/>
      </w:pPr>
    </w:p>
    <w:p w:rsidR="0078310B" w:rsidRDefault="009F454C" w:rsidP="0078310B">
      <w:pPr>
        <w:widowControl w:val="0"/>
        <w:spacing w:after="120"/>
        <w:ind w:firstLine="288"/>
        <w:jc w:val="both"/>
      </w:pPr>
      <w:r>
        <w:t xml:space="preserve">The Treasury Regulations pertaining to tangible property are chiefly found at </w:t>
      </w:r>
      <w:hyperlink r:id="rId139" w:history="1">
        <w:r w:rsidRPr="00790AFD">
          <w:rPr>
            <w:rStyle w:val="Hyperlink"/>
          </w:rPr>
          <w:t>Treas. Reg. § 1.263(a)-2</w:t>
        </w:r>
      </w:hyperlink>
      <w:r>
        <w:t xml:space="preserve">. </w:t>
      </w:r>
      <w:r w:rsidR="0078310B">
        <w:t xml:space="preserve">Subject to two mutually exclusive exceptions—a </w:t>
      </w:r>
      <w:r w:rsidR="0078310B">
        <w:rPr>
          <w:i/>
        </w:rPr>
        <w:t xml:space="preserve">de minimis </w:t>
      </w:r>
      <w:r w:rsidR="0078310B">
        <w:t xml:space="preserve">rule and a rule pertaining to “materials and supplies”—the costs </w:t>
      </w:r>
      <w:r w:rsidR="0078310B" w:rsidRPr="00524523">
        <w:t>to acquire</w:t>
      </w:r>
      <w:r w:rsidR="0078310B">
        <w:t>, produce, or improve tangible assets, such as land, buildings, and business equipment, must be capitalized.</w:t>
      </w:r>
      <w:r w:rsidR="0078310B">
        <w:rPr>
          <w:rStyle w:val="FootnoteReference"/>
        </w:rPr>
        <w:footnoteReference w:id="166"/>
      </w:r>
      <w:r w:rsidR="0078310B">
        <w:t xml:space="preserve"> On the flip side of the coin, amounts incurred to </w:t>
      </w:r>
      <w:r w:rsidR="0078310B" w:rsidRPr="00C14681">
        <w:rPr>
          <w:i/>
        </w:rPr>
        <w:t>sell</w:t>
      </w:r>
      <w:r w:rsidR="0078310B">
        <w:t xml:space="preserve"> property must also be capitalized, and capitalization occurs by reducing the “amount realized” under § 1001 in determining gain or loss. Selling costs incurred by “dealers” selling inventory, however, can be deducted immediately as ordinary and necessary business expenses under § 162.</w:t>
      </w:r>
      <w:r w:rsidR="0078310B">
        <w:rPr>
          <w:rStyle w:val="FootnoteReference"/>
        </w:rPr>
        <w:footnoteReference w:id="167"/>
      </w:r>
      <w:r w:rsidR="0078310B">
        <w:t xml:space="preserve"> Just as in the case of intangibles, costs incurred to defend or perfect title to real or personal</w:t>
      </w:r>
      <w:r w:rsidR="0078310B">
        <w:rPr>
          <w:rStyle w:val="FootnoteReference"/>
        </w:rPr>
        <w:footnoteReference w:id="168"/>
      </w:r>
      <w:r w:rsidR="0078310B">
        <w:t xml:space="preserve"> tangible property must also be capitalized.</w:t>
      </w:r>
      <w:r w:rsidR="0078310B">
        <w:rPr>
          <w:rStyle w:val="FootnoteReference"/>
        </w:rPr>
        <w:footnoteReference w:id="169"/>
      </w:r>
      <w:r w:rsidR="0078310B">
        <w:t xml:space="preserve"> </w:t>
      </w:r>
    </w:p>
    <w:p w:rsidR="0078310B" w:rsidRDefault="0078310B" w:rsidP="0078310B">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70"/>
      </w:r>
      <w:r>
        <w:t xml:space="preserve"> If the business or investment property is not purchased after the investigation, the basis created by the capitalized cost can be deducted as a “loss” under § 165 (recall from Chapter 1, Part A., that the definition of a “loss” in the tax sense is </w:t>
      </w:r>
      <w:r>
        <w:rPr>
          <w:i/>
        </w:rPr>
        <w:t>unrecovered basis</w:t>
      </w:r>
      <w:r>
        <w:t xml:space="preserve">). </w:t>
      </w:r>
      <w:r w:rsidR="00EA71D6">
        <w:t>Because not “sale or exchange” occurs, this loss deduction would be ordinary, unhampered by § 1211(b).</w:t>
      </w:r>
    </w:p>
    <w:p w:rsidR="0078310B" w:rsidRDefault="0078310B" w:rsidP="0078310B">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71"/>
      </w:r>
      <w:r>
        <w:t xml:space="preserve"> The list of “inherently facilitative costs” is found at </w:t>
      </w:r>
      <w:hyperlink r:id="rId140" w:history="1">
        <w:r w:rsidRPr="00790AFD">
          <w:rPr>
            <w:rStyle w:val="Hyperlink"/>
          </w:rPr>
          <w:t>Treas. Reg. § 1.263(a)-2</w:t>
        </w:r>
      </w:hyperlink>
      <w:r>
        <w:t xml:space="preserve">(f)(2)(ii) and includes, for example, appraisal costs, the cost of negotiating the acquisition terms or obtaining tax advice in connection with the acquisition, sales and transfer taxes, title registration costs, and brokers’ commissions. </w:t>
      </w:r>
    </w:p>
    <w:p w:rsidR="0078310B" w:rsidRPr="00D23439" w:rsidRDefault="0078310B" w:rsidP="0078310B">
      <w:pPr>
        <w:pStyle w:val="Heading3"/>
        <w:spacing w:before="0" w:beforeAutospacing="0" w:after="120" w:afterAutospacing="0"/>
        <w:rPr>
          <w:i/>
        </w:rPr>
      </w:pPr>
      <w:bookmarkStart w:id="68" w:name="_Toc395790379"/>
      <w:r w:rsidRPr="00D23439">
        <w:rPr>
          <w:i/>
        </w:rPr>
        <w:t xml:space="preserve">Two </w:t>
      </w:r>
      <w:r>
        <w:rPr>
          <w:i/>
        </w:rPr>
        <w:t>mutually exclusive</w:t>
      </w:r>
      <w:r w:rsidRPr="00D23439">
        <w:rPr>
          <w:i/>
        </w:rPr>
        <w:t xml:space="preserve"> de minimis elections</w:t>
      </w:r>
      <w:bookmarkEnd w:id="68"/>
    </w:p>
    <w:p w:rsidR="0078310B" w:rsidRDefault="0078310B" w:rsidP="0078310B">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41"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rsidR="0078310B" w:rsidRDefault="0078310B" w:rsidP="0078310B">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rsidR="0078310B" w:rsidRDefault="0078310B" w:rsidP="0078310B">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rsidR="0078310B" w:rsidRDefault="0078310B" w:rsidP="0078310B">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rsidR="0078310B" w:rsidRDefault="0078310B" w:rsidP="0078310B">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rsidR="0078310B" w:rsidRDefault="0078310B" w:rsidP="0078310B">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72"/>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rsidR="0078310B" w:rsidRDefault="0078310B" w:rsidP="0078310B">
      <w:pPr>
        <w:widowControl w:val="0"/>
        <w:spacing w:after="120"/>
        <w:ind w:firstLine="288"/>
        <w:jc w:val="both"/>
      </w:pPr>
      <w:r>
        <w:t xml:space="preserve">To make either </w:t>
      </w:r>
      <w:r>
        <w:rPr>
          <w:i/>
        </w:rPr>
        <w:t xml:space="preserve">de minimis </w:t>
      </w:r>
      <w:r>
        <w:t>election, the taxpayer must attach a statement that he is making the election to a timely filed tax return.</w:t>
      </w:r>
      <w:r>
        <w:rPr>
          <w:rStyle w:val="FootnoteReference"/>
        </w:rPr>
        <w:footnoteReference w:id="173"/>
      </w:r>
      <w:r>
        <w:t xml:space="preserve"> In no case can either of the </w:t>
      </w:r>
      <w:r>
        <w:rPr>
          <w:i/>
        </w:rPr>
        <w:t xml:space="preserve">de minimis </w:t>
      </w:r>
      <w:r>
        <w:t xml:space="preserve">rules described above apply to the acquisition of land or inventory. </w:t>
      </w:r>
    </w:p>
    <w:p w:rsidR="0078310B" w:rsidRPr="00D23439" w:rsidRDefault="0078310B" w:rsidP="0078310B">
      <w:pPr>
        <w:pStyle w:val="Heading3"/>
        <w:spacing w:before="0" w:beforeAutospacing="0" w:after="120" w:afterAutospacing="0"/>
        <w:rPr>
          <w:i/>
        </w:rPr>
      </w:pPr>
      <w:bookmarkStart w:id="69" w:name="_Toc395790380"/>
      <w:r w:rsidRPr="00D23439">
        <w:rPr>
          <w:i/>
        </w:rPr>
        <w:t>The § 162 deduction for “materials and supplies”</w:t>
      </w:r>
      <w:bookmarkEnd w:id="69"/>
      <w:r w:rsidRPr="00D23439">
        <w:rPr>
          <w:i/>
        </w:rPr>
        <w:t xml:space="preserve"> </w:t>
      </w:r>
    </w:p>
    <w:p w:rsidR="0078310B" w:rsidRDefault="0078310B" w:rsidP="0078310B">
      <w:pPr>
        <w:widowControl w:val="0"/>
        <w:spacing w:after="120"/>
        <w:ind w:firstLine="288"/>
        <w:jc w:val="both"/>
      </w:pPr>
      <w:r>
        <w:t xml:space="preserve">Finally, only taxpayers who do </w:t>
      </w:r>
      <w:r w:rsidRPr="009F454C">
        <w:rPr>
          <w:i/>
          <w:u w:val="single"/>
        </w:rPr>
        <w:t>not</w:t>
      </w:r>
      <w:r>
        <w:t xml:space="preserve"> elect to use the </w:t>
      </w:r>
      <w:r>
        <w:rPr>
          <w:i/>
        </w:rPr>
        <w:t xml:space="preserve">de minimus </w:t>
      </w:r>
      <w:r>
        <w:t xml:space="preserve">safe harbors described above can use the companion § 162 regulation pertaining to “materials and supplies,” the cost of which can be treated as an expense rather than a capital expenditure. </w:t>
      </w:r>
      <w:hyperlink r:id="rId142" w:history="1">
        <w:r w:rsidR="009F454C" w:rsidRPr="0078717F">
          <w:rPr>
            <w:rStyle w:val="Hyperlink"/>
          </w:rPr>
          <w:t>Treas. Reg. § 1.162-3</w:t>
        </w:r>
      </w:hyperlink>
      <w:r w:rsidR="009F454C">
        <w:t xml:space="preserve">(c) identifies as “materials and supplies” items such as </w:t>
      </w:r>
      <w:r>
        <w:t xml:space="preserve">“fuel, lubricants, water, and similar items that are reasonably expected to be consumed in 12 months or less” or property costing $200 or less (increased from $100 in the proposed regulations). Think oil used to lubricate lawnmowers in a landscaping business, spare parts for the lawn mowers (such as spark plugs), and pencils, paper, and toner cartridges used in the landscaper’s business office. Taxpayers making either of the </w:t>
      </w:r>
      <w:r>
        <w:rPr>
          <w:i/>
        </w:rPr>
        <w:t>de minimis</w:t>
      </w:r>
      <w:r>
        <w:t xml:space="preserve"> safe harbor elections described above must account for such costs under those safe harbors, inst</w:t>
      </w:r>
      <w:r w:rsidR="009F454C">
        <w:t>ead of the “materials and supplies” rule in Treas. Reg. § 1.162-3(c).</w:t>
      </w:r>
      <w:r>
        <w:rPr>
          <w:rStyle w:val="FootnoteReference"/>
        </w:rPr>
        <w:footnoteReference w:id="174"/>
      </w:r>
      <w:r>
        <w:t xml:space="preserve"> </w:t>
      </w:r>
    </w:p>
    <w:p w:rsidR="0078310B" w:rsidRDefault="0078310B" w:rsidP="0078310B">
      <w:pPr>
        <w:widowControl w:val="0"/>
        <w:ind w:firstLine="288"/>
        <w:jc w:val="both"/>
      </w:pPr>
      <w:r>
        <w:t xml:space="preserve">Property that is expensed (either under the </w:t>
      </w:r>
      <w:r>
        <w:rPr>
          <w:i/>
        </w:rPr>
        <w:t xml:space="preserve">de minimis </w:t>
      </w:r>
      <w:r>
        <w:t>rule or “materials and supplies” rule) has a zero basis, which means that if the property is sold, the taxpayer will certainly realize a gain. This gain must be treated as ordinary gain, even if the asset otherwise qualifies as a capital asset or § 1231 property (considered in Chapter 15).</w:t>
      </w:r>
      <w:r>
        <w:rPr>
          <w:rStyle w:val="FootnoteReference"/>
        </w:rPr>
        <w:footnoteReference w:id="175"/>
      </w:r>
    </w:p>
    <w:p w:rsidR="0078310B" w:rsidRPr="00674414"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70" w:name="_Toc395790381"/>
      <w:r w:rsidRPr="00D23439">
        <w:rPr>
          <w:u w:val="single"/>
        </w:rPr>
        <w:t>Problems</w:t>
      </w:r>
      <w:bookmarkEnd w:id="70"/>
    </w:p>
    <w:p w:rsidR="0078310B" w:rsidRPr="00993653" w:rsidRDefault="0078310B" w:rsidP="0078310B">
      <w:pPr>
        <w:pStyle w:val="Heading3"/>
        <w:spacing w:before="0" w:beforeAutospacing="0" w:after="0" w:afterAutospacing="0"/>
        <w:jc w:val="center"/>
        <w:rPr>
          <w:b w:val="0"/>
        </w:rPr>
      </w:pPr>
    </w:p>
    <w:p w:rsidR="002A7125" w:rsidRDefault="0078310B" w:rsidP="0078310B">
      <w:pPr>
        <w:widowControl w:val="0"/>
        <w:ind w:firstLine="288"/>
        <w:jc w:val="both"/>
      </w:pPr>
      <w:r>
        <w:rPr>
          <w:b/>
        </w:rPr>
        <w:t>1.</w:t>
      </w:r>
      <w:r>
        <w:t xml:space="preserve"> Ringo, who does not have an “applicable financial statement,” decides that he wants to relocate his music busine</w:t>
      </w:r>
      <w:r w:rsidR="001C1F30">
        <w:t xml:space="preserve">ss to a larger building. He pays $5,000 to </w:t>
      </w:r>
      <w:r>
        <w:t>a</w:t>
      </w:r>
      <w:r w:rsidR="001C1F30">
        <w:t xml:space="preserve"> real estate broker t</w:t>
      </w:r>
      <w:r>
        <w:t xml:space="preserve">o find a suitable building for his purposes. After she locates a suitable building, Ringo hires a contractor to perform an inspection for termites and other potential problems, paying $3,000. After a good report, Ringo purchases the building for $1,000,000. </w:t>
      </w:r>
      <w:r w:rsidR="002A7125">
        <w:t>Can he deduct any of these payments as “expenses” under § 162, or must he capitalize the cost</w:t>
      </w:r>
      <w:r w:rsidR="001C1F30">
        <w:t>s</w:t>
      </w:r>
      <w:r w:rsidR="002A7125">
        <w:t xml:space="preserve"> under § 263, instead?</w:t>
      </w:r>
    </w:p>
    <w:p w:rsidR="0078310B" w:rsidRDefault="002A7125" w:rsidP="0078310B">
      <w:pPr>
        <w:widowControl w:val="0"/>
        <w:ind w:firstLine="288"/>
        <w:jc w:val="both"/>
        <w:rPr>
          <w:b/>
        </w:rPr>
      </w:pPr>
      <w:r>
        <w:rPr>
          <w:b/>
        </w:rPr>
        <w:t xml:space="preserve"> </w:t>
      </w:r>
    </w:p>
    <w:p w:rsidR="0078310B" w:rsidRDefault="0078310B" w:rsidP="0078310B">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In March of Year 2, Paul decides not to acquire the property. Must he capitalize these costs? What if the appraiser charges $3,000?</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George, a landscaper, does not have an “applicable financial statement” and (unlike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George. Must he capitalize these costs? (Ignore the possible applicability of other Code sections, such as § 179. Consider only the initial capitalization question.) </w:t>
      </w:r>
    </w:p>
    <w:p w:rsidR="0078310B" w:rsidRDefault="0078310B" w:rsidP="0078310B">
      <w:pPr>
        <w:widowControl w:val="0"/>
        <w:ind w:firstLine="288"/>
        <w:jc w:val="both"/>
      </w:pPr>
    </w:p>
    <w:p w:rsidR="0078310B" w:rsidRPr="002E3B81" w:rsidRDefault="0078310B" w:rsidP="0078310B">
      <w:pPr>
        <w:widowControl w:val="0"/>
        <w:ind w:firstLine="288"/>
        <w:jc w:val="both"/>
      </w:pPr>
      <w:r>
        <w:rPr>
          <w:b/>
        </w:rPr>
        <w:t>4.</w:t>
      </w:r>
      <w:r>
        <w:t xml:space="preserve"> John sells Blackacre, A/B of $600,000, for $900,000. In so doing, he incurs legal fees of $1,000, as well as a sales commission to a broker of $9,000. Must he capitalize these costs? How does one do that in connection with a sale of property? What if John is a real estate dealer?</w:t>
      </w:r>
    </w:p>
    <w:p w:rsidR="0078310B" w:rsidRDefault="0078310B" w:rsidP="0078310B">
      <w:pPr>
        <w:widowControl w:val="0"/>
        <w:jc w:val="center"/>
      </w:pPr>
      <w:r>
        <w:t>_______________________________________________</w:t>
      </w:r>
    </w:p>
    <w:p w:rsidR="0078310B" w:rsidRDefault="0078310B" w:rsidP="0078310B">
      <w:pPr>
        <w:widowControl w:val="0"/>
        <w:jc w:val="center"/>
      </w:pPr>
    </w:p>
    <w:p w:rsidR="0078310B" w:rsidRPr="00C500C2" w:rsidRDefault="0078310B" w:rsidP="0078310B">
      <w:pPr>
        <w:pStyle w:val="Heading3"/>
        <w:spacing w:before="0" w:beforeAutospacing="0" w:after="120" w:afterAutospacing="0"/>
        <w:rPr>
          <w:i/>
        </w:rPr>
      </w:pPr>
      <w:bookmarkStart w:id="71" w:name="_Toc395790382"/>
      <w:r w:rsidRPr="00C500C2">
        <w:rPr>
          <w:i/>
        </w:rPr>
        <w:t>The difficult distinction between repair (expense) and improvement (capital expenditure)</w:t>
      </w:r>
      <w:bookmarkEnd w:id="71"/>
    </w:p>
    <w:p w:rsidR="0078310B" w:rsidRDefault="0078310B" w:rsidP="0078310B">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43"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6"/>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 second firm with expertise in “subsoil engineering,” and it recommended “an elaborate program of drilling and grouting and making some replacements,” which the taxpayer had to do or “abandon its plant.”  The taxpayer </w:t>
      </w:r>
      <w:r w:rsidRPr="0022369F">
        <w:t xml:space="preserve">expended nearly $1 million </w:t>
      </w:r>
      <w:r>
        <w:t>(about $14.6 million in 2015</w:t>
      </w:r>
      <w:r w:rsidRPr="0022369F">
        <w:t xml:space="preserve"> dollars)</w:t>
      </w:r>
      <w:r>
        <w:t xml:space="preserve"> </w:t>
      </w:r>
      <w:r w:rsidRPr="0022369F">
        <w:t xml:space="preserve">to </w:t>
      </w:r>
      <w:r>
        <w:t xml:space="preserve">complete the required work, which fixed the problems. </w:t>
      </w:r>
    </w:p>
    <w:p w:rsidR="0078310B" w:rsidRDefault="0078310B" w:rsidP="0078310B">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rsidR="0078310B" w:rsidRDefault="0078310B" w:rsidP="0078310B">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rsidR="0078310B" w:rsidRDefault="0078310B" w:rsidP="0078310B">
      <w:pPr>
        <w:pStyle w:val="BodyText"/>
        <w:widowControl w:val="0"/>
        <w:spacing w:after="120" w:line="240" w:lineRule="auto"/>
        <w:ind w:left="720" w:right="720"/>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rsidR="0078310B" w:rsidRDefault="0078310B" w:rsidP="0078310B">
      <w:pPr>
        <w:pStyle w:val="BodyText"/>
        <w:widowControl w:val="0"/>
        <w:spacing w:after="120" w:line="240" w:lineRule="auto"/>
        <w:ind w:left="720" w:right="720"/>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rsidR="0078310B" w:rsidRDefault="0078310B" w:rsidP="0078310B">
      <w:pPr>
        <w:pStyle w:val="BodyText"/>
        <w:widowControl w:val="0"/>
        <w:spacing w:after="120" w:line="240" w:lineRule="auto"/>
        <w:ind w:left="720" w:right="720"/>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rsidR="0078310B" w:rsidRDefault="0078310B" w:rsidP="0078310B">
      <w:pPr>
        <w:widowControl w:val="0"/>
        <w:spacing w:after="120"/>
        <w:ind w:firstLine="288"/>
        <w:jc w:val="both"/>
      </w:pPr>
      <w:r>
        <w:t xml:space="preserve">Thus, the majority held in favor of the taxpayer. </w:t>
      </w:r>
      <w:r w:rsidRPr="0022369F">
        <w:t>The dissent</w:t>
      </w:r>
      <w:r>
        <w:t>, in contrast, argued:</w:t>
      </w:r>
    </w:p>
    <w:p w:rsidR="0078310B" w:rsidRDefault="0078310B" w:rsidP="0078310B">
      <w:pPr>
        <w:pStyle w:val="BodyText"/>
        <w:widowControl w:val="0"/>
        <w:spacing w:after="120" w:line="240" w:lineRule="auto"/>
        <w:ind w:left="720" w:right="720"/>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rsidR="0078310B" w:rsidRDefault="0078310B" w:rsidP="0078310B">
      <w:pPr>
        <w:widowControl w:val="0"/>
        <w:spacing w:after="120"/>
        <w:ind w:firstLine="288"/>
        <w:jc w:val="both"/>
      </w:pPr>
      <w:r>
        <w:t>In light of the underlying tax values at stake described at the beginning of this chapter, which is the better approach? Many contradictory court decisions on similar facts contributed to the need for Treasury to amend the regulations pertaining to this troublesome distinction. Today, the new regulations</w:t>
      </w:r>
      <w:r w:rsidR="001E3967">
        <w:t xml:space="preserve">, found at </w:t>
      </w:r>
      <w:hyperlink r:id="rId144" w:history="1">
        <w:r w:rsidR="001E3967" w:rsidRPr="0078717F">
          <w:rPr>
            <w:rStyle w:val="Hyperlink"/>
          </w:rPr>
          <w:t>Treas. Reg. § 1.263(a)-3</w:t>
        </w:r>
      </w:hyperlink>
      <w:r w:rsidR="001E3967">
        <w:t>,</w:t>
      </w:r>
      <w:r>
        <w:t xml:space="preserve"> provide a detailed roadmap to the analysis that effectively supersedes this large body of contradictory case law. </w:t>
      </w:r>
    </w:p>
    <w:p w:rsidR="0078310B" w:rsidRPr="00C500C2" w:rsidRDefault="0078310B" w:rsidP="0078310B">
      <w:pPr>
        <w:pStyle w:val="Heading3"/>
        <w:spacing w:before="0" w:beforeAutospacing="0" w:after="120" w:afterAutospacing="0"/>
        <w:rPr>
          <w:i/>
        </w:rPr>
      </w:pPr>
      <w:bookmarkStart w:id="72" w:name="_Toc395790384"/>
      <w:r w:rsidRPr="00C500C2">
        <w:rPr>
          <w:i/>
        </w:rPr>
        <w:t>Improvement: betterment, restoration, or adapting the property to a new use</w:t>
      </w:r>
      <w:bookmarkEnd w:id="72"/>
    </w:p>
    <w:p w:rsidR="0078310B" w:rsidRDefault="002B3596" w:rsidP="0078310B">
      <w:pPr>
        <w:widowControl w:val="0"/>
        <w:spacing w:after="120"/>
        <w:ind w:firstLine="288"/>
        <w:jc w:val="both"/>
      </w:pPr>
      <w:hyperlink r:id="rId145" w:history="1">
        <w:r w:rsidR="001E3967" w:rsidRPr="0078717F">
          <w:rPr>
            <w:rStyle w:val="Hyperlink"/>
          </w:rPr>
          <w:t>Treas. Reg. § 1.263(a)-3</w:t>
        </w:r>
      </w:hyperlink>
      <w:r w:rsidR="001E3967">
        <w:t xml:space="preserve">(d) now provides that outlays </w:t>
      </w:r>
      <w:r w:rsidR="0078310B">
        <w:t xml:space="preserve">must be treated as capital expenditures if they “improve” the unit of property, and property is considered “improved” if the costs (1) result in a </w:t>
      </w:r>
      <w:r w:rsidR="0078310B" w:rsidRPr="008433CB">
        <w:rPr>
          <w:i/>
        </w:rPr>
        <w:t>betterment</w:t>
      </w:r>
      <w:r w:rsidR="0078310B">
        <w:t xml:space="preserve"> to the unit of property, (2) </w:t>
      </w:r>
      <w:r w:rsidR="0078310B" w:rsidRPr="00D644FA">
        <w:rPr>
          <w:i/>
        </w:rPr>
        <w:t>restore</w:t>
      </w:r>
      <w:r w:rsidR="0078310B">
        <w:t xml:space="preserve"> the unit of property, or (3) </w:t>
      </w:r>
      <w:r w:rsidR="0078310B" w:rsidRPr="00D644FA">
        <w:rPr>
          <w:i/>
        </w:rPr>
        <w:t>adapt</w:t>
      </w:r>
      <w:r w:rsidR="0078310B">
        <w:t xml:space="preserve"> the unit of property to a new or different use (unless the requirements for the alternative </w:t>
      </w:r>
      <w:r w:rsidR="0078310B">
        <w:rPr>
          <w:i/>
        </w:rPr>
        <w:t xml:space="preserve">de minimis </w:t>
      </w:r>
      <w:r w:rsidR="0078310B">
        <w:t xml:space="preserve">exceptions are satisfied). </w:t>
      </w:r>
    </w:p>
    <w:p w:rsidR="0078310B" w:rsidRPr="001960F3" w:rsidRDefault="0078310B" w:rsidP="0078310B">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7"/>
      </w:r>
      <w:r>
        <w:t xml:space="preserve"> Outlays incurred to correct “normal wear and tear” do not result in betterment.</w:t>
      </w:r>
      <w:r>
        <w:rPr>
          <w:rStyle w:val="FootnoteReference"/>
        </w:rPr>
        <w:footnoteReference w:id="178"/>
      </w:r>
      <w:r>
        <w:t xml:space="preserve"> </w:t>
      </w:r>
    </w:p>
    <w:p w:rsidR="0078310B" w:rsidRDefault="0078310B" w:rsidP="0078310B">
      <w:pPr>
        <w:widowControl w:val="0"/>
        <w:spacing w:after="120"/>
        <w:ind w:firstLine="288"/>
        <w:jc w:val="both"/>
      </w:pPr>
      <w:r>
        <w:t xml:space="preserve">An amount is paid to </w:t>
      </w:r>
      <w:r w:rsidRPr="00D644FA">
        <w:rPr>
          <w:i/>
        </w:rPr>
        <w:t>restore</w:t>
      </w:r>
      <w:r>
        <w:t xml:space="preserve"> property if, for example, it repairs damage or replaces a component that was deducted as a loss under § 165 (such as in the case of a casualty loss deduction that reduces basis),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79"/>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80"/>
      </w:r>
      <w:r>
        <w:t xml:space="preserve"> </w:t>
      </w:r>
    </w:p>
    <w:p w:rsidR="0078310B" w:rsidRDefault="0078310B" w:rsidP="0078310B">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1"/>
      </w:r>
      <w:r>
        <w:t xml:space="preserve"> </w:t>
      </w:r>
    </w:p>
    <w:p w:rsidR="00271EEB" w:rsidRDefault="00271EEB" w:rsidP="0078310B">
      <w:pPr>
        <w:widowControl w:val="0"/>
        <w:spacing w:after="120"/>
        <w:ind w:firstLine="288"/>
        <w:jc w:val="both"/>
      </w:pPr>
      <w:r>
        <w:t>In contrast, outlays constitute a mere repair (expense)—rather than in improvement</w:t>
      </w:r>
      <w:r w:rsidR="00A731A9">
        <w:t xml:space="preserve"> (capital expenditure)</w:t>
      </w:r>
      <w:r>
        <w:t>—if they are “necessitated by normal wear and tear or damage to the unit pf property that occurred during the taxpayer’s use of the unit and of property” and “correct the effects of normal wear and tear to the unit of property that occ</w:t>
      </w:r>
      <w:r w:rsidR="00625334">
        <w:t>urred during the taxpayer’s use</w:t>
      </w:r>
      <w:r>
        <w:t xml:space="preserve"> of the unit of property.”</w:t>
      </w:r>
      <w:r>
        <w:rPr>
          <w:rStyle w:val="FootnoteReference"/>
        </w:rPr>
        <w:footnoteReference w:id="182"/>
      </w:r>
      <w:r>
        <w:t xml:space="preserve"> </w:t>
      </w:r>
    </w:p>
    <w:p w:rsidR="0078310B" w:rsidRPr="00C500C2" w:rsidRDefault="0078310B" w:rsidP="0078310B">
      <w:pPr>
        <w:pStyle w:val="Heading3"/>
        <w:spacing w:before="0" w:beforeAutospacing="0" w:after="120" w:afterAutospacing="0"/>
        <w:rPr>
          <w:i/>
        </w:rPr>
      </w:pPr>
      <w:bookmarkStart w:id="73" w:name="_Toc395790385"/>
      <w:r w:rsidRPr="00C500C2">
        <w:rPr>
          <w:i/>
        </w:rPr>
        <w:t>Determining the “unit of property”</w:t>
      </w:r>
      <w:bookmarkEnd w:id="73"/>
    </w:p>
    <w:p w:rsidR="0078310B" w:rsidRDefault="0078310B" w:rsidP="0078310B">
      <w:pPr>
        <w:widowControl w:val="0"/>
        <w:spacing w:after="120"/>
        <w:ind w:firstLine="288"/>
        <w:jc w:val="both"/>
      </w:pPr>
      <w:r>
        <w:t>The threshold task in making the “improvement” determination, however, is to establish the “unit of property” that should be</w:t>
      </w:r>
      <w:r w:rsidR="004B67C8">
        <w:t xml:space="preserve"> the focus of the inquiry. With respect to real property</w:t>
      </w:r>
      <w:r>
        <w:t>, each building,</w:t>
      </w:r>
      <w:r w:rsidRPr="003941AE">
        <w:t xml:space="preserve"> its structural components</w:t>
      </w:r>
      <w:r>
        <w:t>, and significant systems</w:t>
      </w:r>
      <w:r w:rsidRPr="003941AE">
        <w:t xml:space="preserve"> i</w:t>
      </w:r>
      <w:r>
        <w:t xml:space="preserve">s considered to be a single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3"/>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4"/>
      </w:r>
      <w:r>
        <w:t xml:space="preserve"> </w:t>
      </w:r>
    </w:p>
    <w:p w:rsidR="0078310B" w:rsidRDefault="0078310B" w:rsidP="0078310B">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5"/>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6"/>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7"/>
      </w:r>
      <w:r>
        <w:t xml:space="preserve"> </w:t>
      </w:r>
    </w:p>
    <w:p w:rsidR="0078310B" w:rsidRPr="00C500C2" w:rsidRDefault="0078310B" w:rsidP="0078310B">
      <w:pPr>
        <w:pStyle w:val="Heading3"/>
        <w:spacing w:before="0" w:beforeAutospacing="0" w:after="120" w:afterAutospacing="0"/>
        <w:rPr>
          <w:i/>
        </w:rPr>
      </w:pPr>
      <w:bookmarkStart w:id="74" w:name="_Toc395790386"/>
      <w:r w:rsidRPr="00C500C2">
        <w:rPr>
          <w:i/>
        </w:rPr>
        <w:t>Routine maintenance safe harbor</w:t>
      </w:r>
      <w:bookmarkEnd w:id="74"/>
    </w:p>
    <w:p w:rsidR="0078310B" w:rsidRDefault="0078310B" w:rsidP="0078310B">
      <w:pPr>
        <w:widowControl w:val="0"/>
        <w:spacing w:after="120"/>
        <w:ind w:firstLine="288"/>
        <w:jc w:val="both"/>
      </w:pPr>
      <w:r>
        <w:t xml:space="preserve">One of the most important innovations of the new regulations is the creation of a new “safe </w:t>
      </w:r>
      <w:r w:rsidR="00B63FF7">
        <w:t>h</w:t>
      </w:r>
      <w:r>
        <w:t>arbor” for routine maintenance with respect to both buildings and other tangible property.</w:t>
      </w:r>
      <w:r>
        <w:rPr>
          <w:rStyle w:val="FootnoteReference"/>
        </w:rPr>
        <w:footnoteReference w:id="188"/>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89"/>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90"/>
      </w:r>
      <w:r>
        <w:t xml:space="preserve"> At a minimum, however, the taxpayer must reasonably expect to perform the activities at least once every 10 years.</w:t>
      </w:r>
      <w:r>
        <w:rPr>
          <w:rStyle w:val="FootnoteReference"/>
        </w:rPr>
        <w:footnoteReference w:id="191"/>
      </w:r>
      <w:r>
        <w:t xml:space="preserve"> </w:t>
      </w:r>
    </w:p>
    <w:p w:rsidR="0078310B" w:rsidRDefault="0078310B" w:rsidP="0078310B">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14).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2"/>
      </w:r>
      <w:r>
        <w:t xml:space="preserve"> </w:t>
      </w:r>
    </w:p>
    <w:p w:rsidR="0078310B" w:rsidRPr="00C500C2" w:rsidRDefault="0078310B" w:rsidP="0078310B">
      <w:pPr>
        <w:pStyle w:val="Heading3"/>
        <w:spacing w:before="0" w:beforeAutospacing="0" w:after="120" w:afterAutospacing="0"/>
        <w:rPr>
          <w:i/>
        </w:rPr>
      </w:pPr>
      <w:bookmarkStart w:id="75" w:name="_Toc395790387"/>
      <w:r w:rsidRPr="00C500C2">
        <w:rPr>
          <w:i/>
        </w:rPr>
        <w:t>Small business safe harbor election for building improvements</w:t>
      </w:r>
      <w:bookmarkEnd w:id="75"/>
    </w:p>
    <w:p w:rsidR="0078310B" w:rsidRDefault="0078310B" w:rsidP="0078310B">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3"/>
      </w:r>
      <w:r>
        <w:t xml:space="preserve"> Eligible building property must have an unadjusted basis of $1 million or less.</w:t>
      </w:r>
      <w:r>
        <w:rPr>
          <w:rStyle w:val="FootnoteReference"/>
        </w:rPr>
        <w:footnoteReference w:id="194"/>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5"/>
      </w:r>
      <w:r>
        <w:t xml:space="preserve"> </w:t>
      </w:r>
    </w:p>
    <w:p w:rsidR="0078310B" w:rsidRPr="00CC450A"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76" w:name="_Toc395790388"/>
      <w:r w:rsidRPr="00C500C2">
        <w:rPr>
          <w:u w:val="single"/>
        </w:rPr>
        <w:t>Problems</w:t>
      </w:r>
      <w:bookmarkEnd w:id="76"/>
    </w:p>
    <w:p w:rsidR="0078310B" w:rsidRPr="00993653"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rPr>
          <w:b/>
        </w:rPr>
        <w:t>1.</w:t>
      </w:r>
      <w:r>
        <w:t xml:space="preserve"> In Year 1, Danielle purchases a store on a parcel of land that includes underground gasoline storage tanks. Though she was not aware of the fact when she purchased the land, Danielle learns in Year 2 that the tanks have leaked, contaminating the soil, and she incurs $10,000 to remediate the spillage. Must she capitalize the costs, or can she deduct them immediately as business expenses under § 162?</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David </w:t>
      </w:r>
      <w:r w:rsidR="00DD51E2">
        <w:t>has long owned a</w:t>
      </w:r>
      <w:r>
        <w:t xml:space="preserve"> meat processing plant. Federal meat inspectors find 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rsidR="0078310B" w:rsidRDefault="0078310B" w:rsidP="0078310B">
      <w:pPr>
        <w:widowControl w:val="0"/>
        <w:ind w:firstLine="288"/>
        <w:jc w:val="both"/>
        <w:rPr>
          <w:b/>
        </w:rPr>
      </w:pPr>
    </w:p>
    <w:p w:rsidR="0078310B" w:rsidRDefault="0078310B" w:rsidP="0078310B">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he replaces the shingles with a lightweight composite material of improved quality that extends the useful life of the roof? What if the roof inspection reveals that a major portion of the sheathing and rafters has rotted and the entire roof, including the decking, insulation, membrane and shingles, needs to be replaced? </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and the replacement of minor parts. Must she capitalize the cost? In Year 6, when the next scheduled maintenance occurs, Rhonda decides to upgrade the engines to increase their horsepower and propulsion, thus 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rsidR="0078310B" w:rsidRDefault="0078310B" w:rsidP="0078310B">
      <w:pPr>
        <w:widowControl w:val="0"/>
        <w:ind w:firstLine="288"/>
        <w:jc w:val="both"/>
      </w:pPr>
    </w:p>
    <w:p w:rsidR="0078310B" w:rsidRPr="00C662C3" w:rsidRDefault="0078310B" w:rsidP="0078310B">
      <w:pPr>
        <w:pStyle w:val="Heading2"/>
        <w:spacing w:before="0"/>
        <w:rPr>
          <w:sz w:val="32"/>
          <w:szCs w:val="32"/>
          <w:u w:val="single"/>
        </w:rPr>
      </w:pPr>
      <w:bookmarkStart w:id="77" w:name="_Toc395790389"/>
      <w:r w:rsidRPr="00C662C3">
        <w:rPr>
          <w:sz w:val="32"/>
          <w:szCs w:val="32"/>
          <w:u w:val="single"/>
        </w:rPr>
        <w:t>C. Indirect costs of producing inventory (and other property)</w:t>
      </w:r>
      <w:bookmarkEnd w:id="77"/>
    </w:p>
    <w:p w:rsidR="0078310B" w:rsidRPr="0080136A" w:rsidRDefault="0078310B" w:rsidP="0078310B">
      <w:pPr>
        <w:widowControl w:val="0"/>
        <w:jc w:val="both"/>
      </w:pPr>
    </w:p>
    <w:p w:rsidR="0078310B" w:rsidRDefault="0078310B" w:rsidP="0078310B">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78" w:name="_Toc448131358"/>
      <w:bookmarkStart w:id="79" w:name="_Toc450978628"/>
      <w:bookmarkStart w:id="80" w:name="_Toc395790390"/>
      <w:r>
        <w:t>COMMISSIONER v. IDAHO POWER CO.</w:t>
      </w:r>
      <w:bookmarkEnd w:id="78"/>
      <w:bookmarkEnd w:id="79"/>
      <w:bookmarkEnd w:id="80"/>
      <w:r>
        <w:fldChar w:fldCharType="begin"/>
      </w:r>
      <w:r>
        <w:instrText xml:space="preserve"> TA \l "COMMISSIONER v. IDAHO POWER CO., 418 U.S. 1 (1974)" \s "COMMISSIONER v. IDAHO POWER CO., 418 U.S. 1 (1974)" \c 1 </w:instrText>
      </w:r>
      <w:r>
        <w:fldChar w:fldCharType="end"/>
      </w:r>
    </w:p>
    <w:p w:rsidR="0078310B" w:rsidRDefault="0078310B" w:rsidP="0078310B">
      <w:pPr>
        <w:pStyle w:val="SetOutCaseCitationbottom"/>
        <w:keepNext w:val="0"/>
        <w:keepLines w:val="0"/>
        <w:widowControl w:val="0"/>
        <w:spacing w:after="0" w:line="240" w:lineRule="auto"/>
        <w:rPr>
          <w:sz w:val="24"/>
        </w:rPr>
      </w:pPr>
      <w:r>
        <w:rPr>
          <w:sz w:val="24"/>
        </w:rPr>
        <w:t>418 U.S. 1 (1974)</w:t>
      </w:r>
    </w:p>
    <w:p w:rsidR="0078310B" w:rsidRDefault="0078310B" w:rsidP="0078310B">
      <w:pPr>
        <w:pStyle w:val="BodyText"/>
        <w:widowControl w:val="0"/>
        <w:spacing w:line="240" w:lineRule="auto"/>
        <w:ind w:firstLine="288"/>
        <w:rPr>
          <w:smallCaps/>
          <w:sz w:val="24"/>
        </w:rPr>
      </w:pPr>
    </w:p>
    <w:p w:rsidR="0078310B" w:rsidRDefault="0078310B" w:rsidP="0078310B">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rsidR="0078310B" w:rsidRDefault="0078310B" w:rsidP="0078310B">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rsidR="0078310B" w:rsidRDefault="0078310B" w:rsidP="0078310B">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rsidR="0078310B" w:rsidRDefault="0078310B" w:rsidP="0078310B">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rsidR="0078310B" w:rsidRDefault="0078310B" w:rsidP="0078310B">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rsidR="0078310B" w:rsidRDefault="0078310B" w:rsidP="0078310B">
      <w:pPr>
        <w:pStyle w:val="BodyText"/>
        <w:widowControl w:val="0"/>
        <w:spacing w:after="120" w:line="240" w:lineRule="auto"/>
        <w:ind w:firstLine="288"/>
        <w:rPr>
          <w:sz w:val="24"/>
        </w:rPr>
      </w:pPr>
      <w:r>
        <w:rPr>
          <w:sz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rsidR="0078310B" w:rsidRDefault="0078310B" w:rsidP="0078310B">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rsidR="0078310B" w:rsidRDefault="0078310B" w:rsidP="0078310B">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rsidR="0078310B" w:rsidRDefault="0078310B" w:rsidP="0078310B">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rsidR="0078310B" w:rsidRDefault="0078310B" w:rsidP="0078310B">
      <w:pPr>
        <w:pStyle w:val="BodyText"/>
        <w:widowControl w:val="0"/>
        <w:spacing w:line="240" w:lineRule="auto"/>
        <w:jc w:val="center"/>
        <w:rPr>
          <w:sz w:val="24"/>
        </w:rPr>
      </w:pPr>
      <w:r>
        <w:rPr>
          <w:sz w:val="24"/>
        </w:rPr>
        <w:t>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When Baker Bob owns a delivery truck and uses it to deliver baked goods to restaurants around town, Bob would currently deduct the depreciation allowable on the truck under §§ 167 and 168, as that depreciation is a cost of producing this year’s Gross Income</w:t>
      </w:r>
      <w:r w:rsidR="00A70117">
        <w:t xml:space="preserve"> (only)</w:t>
      </w:r>
      <w:r>
        <w:t xml:space="preserve">. In contrast, when Developer Diana owns a backhoe </w:t>
      </w:r>
      <w:r w:rsidR="00A70117">
        <w:t xml:space="preserve">that she uses in constructing </w:t>
      </w:r>
      <w:r w:rsidR="00A70117">
        <w:rPr>
          <w:i/>
        </w:rPr>
        <w:t>other property</w:t>
      </w:r>
      <w:r w:rsidR="00A70117">
        <w:t xml:space="preserve">—a </w:t>
      </w:r>
      <w:r>
        <w:t>building for her own use or for sale to others, the depreciation otherwise allowable on the backhoe during the construction period must be added to the basis of the constructed building, instead</w:t>
      </w:r>
      <w:r w:rsidR="00A70117">
        <w:t xml:space="preserve"> of being currently deductible</w:t>
      </w:r>
      <w:r>
        <w:t>. If the building is going to be used by Developer Diana in her own business, the building’s</w:t>
      </w:r>
      <w:r w:rsidR="00A70117">
        <w:t xml:space="preserve"> basis (which includes the construction-period depreciation on the backhoe</w:t>
      </w:r>
      <w:r>
        <w:t>) would be depreciated over the much longer life of the building. If Developer Diana is, instead, going to sell the building, the basis (</w:t>
      </w:r>
      <w:r w:rsidR="00A70117">
        <w:t>which includes the construction-period depreciation on the backhoe</w:t>
      </w:r>
      <w:r>
        <w:t xml:space="preserve">) would be offset against the § 1001(b) “amount realized” on sale. </w:t>
      </w:r>
    </w:p>
    <w:p w:rsidR="0078310B" w:rsidRPr="003E54CA" w:rsidRDefault="0078310B" w:rsidP="0078310B">
      <w:pPr>
        <w:widowControl w:val="0"/>
        <w:spacing w:after="120"/>
        <w:jc w:val="both"/>
        <w:rPr>
          <w:b/>
          <w:i/>
        </w:rPr>
      </w:pPr>
      <w:r w:rsidRPr="003E54CA">
        <w:rPr>
          <w:b/>
          <w:i/>
        </w:rPr>
        <w:t>§ 263A</w:t>
      </w:r>
      <w:r>
        <w:rPr>
          <w:b/>
          <w:i/>
        </w:rPr>
        <w:t xml:space="preserve"> codification</w:t>
      </w:r>
    </w:p>
    <w:p w:rsidR="0078310B" w:rsidRDefault="0078310B" w:rsidP="0078310B">
      <w:pPr>
        <w:widowControl w:val="0"/>
        <w:spacing w:after="120"/>
        <w:ind w:firstLine="288"/>
        <w:jc w:val="both"/>
      </w:pPr>
      <w:r>
        <w:t xml:space="preserve">Congress enacted </w:t>
      </w:r>
      <w:hyperlink r:id="rId146"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rsidR="0078310B" w:rsidRDefault="0078310B" w:rsidP="0078310B">
      <w:pPr>
        <w:widowControl w:val="0"/>
        <w:spacing w:after="120"/>
        <w:ind w:firstLine="288"/>
        <w:jc w:val="both"/>
      </w:pPr>
      <w:r>
        <w:t>Section 263A generally applies to real or personal property produced by the taxpayer or acquired for resale, except that it does not apply to personal property acquired for resale by taxpayers whose average annual gross receipts for the prior three years did not exceed $10 million.</w:t>
      </w:r>
      <w:r>
        <w:rPr>
          <w:rStyle w:val="FootnoteReference"/>
        </w:rPr>
        <w:footnoteReference w:id="196"/>
      </w:r>
      <w:r>
        <w:t xml:space="preserve"> Section 263A(a) requires that the “direct costs” and an allocable share of “indirect costs” be capitalized into the property produced or acquired, but exceptions apply to the production of animals and plants by farmers,</w:t>
      </w:r>
      <w:r>
        <w:rPr>
          <w:rStyle w:val="FootnoteReference"/>
        </w:rPr>
        <w:footnoteReference w:id="197"/>
      </w:r>
      <w:r>
        <w:t xml:space="preserve"> as well as to any “qualified creative expense” incurred by professional writers, photographers, and artists.</w:t>
      </w:r>
      <w:r>
        <w:rPr>
          <w:rStyle w:val="FootnoteReference"/>
        </w:rPr>
        <w:footnoteReference w:id="198"/>
      </w:r>
      <w:r>
        <w:t xml:space="preserve"> </w:t>
      </w:r>
    </w:p>
    <w:p w:rsidR="0078310B" w:rsidRDefault="0078310B" w:rsidP="0078310B">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 under § 163.</w:t>
      </w:r>
      <w:r>
        <w:rPr>
          <w:rStyle w:val="FootnoteReference"/>
        </w:rPr>
        <w:footnoteReference w:id="199"/>
      </w:r>
      <w:r>
        <w:t xml:space="preserve"> Other indire</w:t>
      </w:r>
      <w:r w:rsidR="009170B9">
        <w:t xml:space="preserve">ct costs that must be capitalized generally </w:t>
      </w:r>
      <w:r>
        <w:t>include labor costs, storage costs, depreciation, rent, state sales and property taxes, insurance, utilities, repairs and maintenance, engineering and design costs, licensing fees, and more.</w:t>
      </w:r>
      <w:r>
        <w:rPr>
          <w:rStyle w:val="FootnoteReference"/>
        </w:rPr>
        <w:footnoteReference w:id="200"/>
      </w:r>
      <w:r>
        <w:t xml:space="preserve"> Indirect costs specifically excepted from capitalization include selling and distribution costs, research and experimental costs, and amounts permitted to be deducted under § 179.</w:t>
      </w:r>
      <w:r>
        <w:rPr>
          <w:rStyle w:val="FootnoteReference"/>
        </w:rPr>
        <w:footnoteReference w:id="201"/>
      </w:r>
      <w:r>
        <w:t xml:space="preserve"> The </w:t>
      </w:r>
      <w:r w:rsidR="009170B9">
        <w:t xml:space="preserve">Treasury regulations under § 1.263A </w:t>
      </w:r>
      <w:r>
        <w:t>are lengthy and detailed, but this short description gives you a flavor. (Chocolate.)</w:t>
      </w:r>
    </w:p>
    <w:p w:rsidR="0078310B" w:rsidRPr="003633D1"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Pr="00B521BD"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Pr="003633D1" w:rsidRDefault="0078310B" w:rsidP="0078310B">
      <w:pPr>
        <w:widowControl w:val="0"/>
        <w:spacing w:after="120"/>
        <w:ind w:firstLine="288"/>
        <w:jc w:val="both"/>
      </w:pPr>
    </w:p>
    <w:p w:rsidR="0078310B" w:rsidRDefault="0078310B" w:rsidP="0078310B">
      <w:pPr>
        <w:widowControl w:val="0"/>
        <w:spacing w:after="120"/>
        <w:ind w:firstLine="288"/>
        <w:jc w:val="both"/>
        <w:sectPr w:rsidR="0078310B" w:rsidSect="005337BA">
          <w:headerReference w:type="default" r:id="rId147"/>
          <w:footnotePr>
            <w:numRestart w:val="eachSect"/>
          </w:footnotePr>
          <w:type w:val="continuous"/>
          <w:pgSz w:w="12240" w:h="15840"/>
          <w:pgMar w:top="1440" w:right="1440" w:bottom="1440" w:left="1440" w:header="1008" w:footer="720" w:gutter="0"/>
          <w:pgNumType w:start="109"/>
          <w:cols w:space="720"/>
          <w:titlePg/>
          <w:docGrid w:linePitch="360"/>
        </w:sectPr>
      </w:pPr>
    </w:p>
    <w:p w:rsidR="0078310B" w:rsidRDefault="0078310B" w:rsidP="0078310B">
      <w:pPr>
        <w:pStyle w:val="Heading1"/>
        <w:spacing w:before="0"/>
        <w:rPr>
          <w:b w:val="0"/>
          <w:sz w:val="40"/>
          <w:szCs w:val="40"/>
          <w:u w:val="none"/>
        </w:rPr>
      </w:pPr>
      <w:bookmarkStart w:id="81" w:name="_Toc395790391"/>
      <w:r w:rsidRPr="00802B66">
        <w:rPr>
          <w:sz w:val="40"/>
          <w:szCs w:val="40"/>
          <w:u w:val="none"/>
        </w:rPr>
        <w:t>Unit II</w:t>
      </w:r>
      <w:r>
        <w:rPr>
          <w:sz w:val="40"/>
          <w:szCs w:val="40"/>
          <w:u w:val="none"/>
        </w:rPr>
        <w:t>:</w:t>
      </w:r>
    </w:p>
    <w:p w:rsidR="0078310B" w:rsidRPr="00802B66" w:rsidRDefault="0078310B" w:rsidP="0078310B">
      <w:pPr>
        <w:rPr>
          <w:sz w:val="36"/>
          <w:szCs w:val="36"/>
        </w:rPr>
      </w:pPr>
    </w:p>
    <w:p w:rsidR="0078310B" w:rsidRPr="00802B66" w:rsidRDefault="0078310B" w:rsidP="0078310B">
      <w:pPr>
        <w:pStyle w:val="Heading1"/>
        <w:spacing w:before="0"/>
        <w:rPr>
          <w:sz w:val="36"/>
          <w:szCs w:val="36"/>
          <w:u w:val="none"/>
        </w:rPr>
      </w:pPr>
      <w:r>
        <w:rPr>
          <w:sz w:val="36"/>
          <w:szCs w:val="36"/>
          <w:u w:val="none"/>
        </w:rPr>
        <w:t>Two Types of Gross Income:</w:t>
      </w:r>
    </w:p>
    <w:p w:rsidR="0078310B" w:rsidRPr="00802B66" w:rsidRDefault="0078310B" w:rsidP="0078310B">
      <w:pPr>
        <w:pStyle w:val="Heading1"/>
        <w:spacing w:before="0"/>
        <w:rPr>
          <w:sz w:val="36"/>
          <w:szCs w:val="36"/>
        </w:rPr>
      </w:pPr>
      <w:r w:rsidRPr="00802B66">
        <w:rPr>
          <w:sz w:val="36"/>
          <w:szCs w:val="36"/>
        </w:rPr>
        <w:t>Compensation and Residual Gross Income</w:t>
      </w:r>
      <w:bookmarkEnd w:id="81"/>
    </w:p>
    <w:p w:rsidR="0078310B" w:rsidRDefault="0078310B" w:rsidP="0078310B">
      <w:pPr>
        <w:widowControl w:val="0"/>
        <w:spacing w:after="120"/>
        <w:ind w:firstLine="288"/>
      </w:pPr>
    </w:p>
    <w:p w:rsidR="0078310B" w:rsidRDefault="0078310B" w:rsidP="0078310B">
      <w:pPr>
        <w:pStyle w:val="Heading2"/>
        <w:spacing w:before="0"/>
        <w:rPr>
          <w:b w:val="0"/>
        </w:rPr>
      </w:pPr>
      <w:bookmarkStart w:id="82" w:name="_Toc395790392"/>
      <w:r w:rsidRPr="00A355E9">
        <w:rPr>
          <w:u w:val="single"/>
        </w:rPr>
        <w:t>Introduction to Chapters 5 and 6</w:t>
      </w:r>
      <w:bookmarkEnd w:id="82"/>
    </w:p>
    <w:p w:rsidR="0078310B" w:rsidRPr="00DC1F67" w:rsidRDefault="0078310B" w:rsidP="0078310B"/>
    <w:p w:rsidR="0078310B" w:rsidRDefault="0078310B" w:rsidP="0078310B">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13. This unit explores more closely two other types of § 61 gross income: § 61(a)(1) compensation for services rendered and so-called residual gross income.</w:t>
      </w:r>
    </w:p>
    <w:p w:rsidR="0078310B" w:rsidRDefault="0078310B" w:rsidP="0078310B">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rsidR="0078310B" w:rsidRDefault="0078310B" w:rsidP="0078310B">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18, and the details of the latter are beyond the basic income taxation course, though they will be mentioned again in connection with the cash method of accounting in Chapter 22.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rsidR="0078310B" w:rsidRDefault="0078310B" w:rsidP="0078310B">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that items of includable Gross Income must be described by that language, because the parenthetical in § 61—“(including but not limited to)”—states that the fifteen listed items do not exhaust the universe of Gross Income items. The very vagueness of that language, however, means that both the administrators of the statute and the courts appear to have more leeway t</w:t>
      </w:r>
      <w:r w:rsidR="003763AA">
        <w:t>o conclude that a receipt does—</w:t>
      </w:r>
      <w:r>
        <w:t>o</w:t>
      </w:r>
      <w:r w:rsidR="003763AA">
        <w:t>r does not—</w:t>
      </w:r>
      <w:r>
        <w:t xml:space="preserve">constitute 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jc w:val="both"/>
      </w:pPr>
    </w:p>
    <w:p w:rsidR="0078310B" w:rsidRDefault="0078310B" w:rsidP="0078310B">
      <w:pPr>
        <w:widowControl w:val="0"/>
        <w:sectPr w:rsidR="0078310B" w:rsidSect="005337BA">
          <w:headerReference w:type="default" r:id="rId148"/>
          <w:footnotePr>
            <w:numRestart w:val="eachSect"/>
          </w:footnotePr>
          <w:pgSz w:w="12240" w:h="15840"/>
          <w:pgMar w:top="1440" w:right="1440" w:bottom="1440" w:left="1440" w:header="1008" w:footer="720" w:gutter="0"/>
          <w:pgNumType w:start="126"/>
          <w:cols w:space="720"/>
          <w:docGrid w:linePitch="360"/>
        </w:sectPr>
      </w:pPr>
    </w:p>
    <w:p w:rsidR="0078310B" w:rsidRPr="00870C7C" w:rsidRDefault="0078310B" w:rsidP="0078310B">
      <w:pPr>
        <w:pStyle w:val="Heading2"/>
        <w:spacing w:before="0"/>
        <w:rPr>
          <w:sz w:val="36"/>
          <w:szCs w:val="36"/>
          <w:u w:val="single"/>
        </w:rPr>
      </w:pPr>
      <w:bookmarkStart w:id="83" w:name="_Toc395790393"/>
      <w:r w:rsidRPr="00870C7C">
        <w:rPr>
          <w:sz w:val="36"/>
          <w:szCs w:val="36"/>
          <w:u w:val="single"/>
        </w:rPr>
        <w:t>Chapter 5: § 61(a)(1) Compensation</w:t>
      </w:r>
      <w:bookmarkEnd w:id="83"/>
    </w:p>
    <w:p w:rsidR="0078310B" w:rsidRDefault="0078310B" w:rsidP="0078310B">
      <w:pPr>
        <w:widowControl w:val="0"/>
        <w:spacing w:after="120"/>
        <w:jc w:val="both"/>
      </w:pPr>
    </w:p>
    <w:p w:rsidR="0078310B" w:rsidRDefault="0078310B" w:rsidP="0078310B">
      <w:pPr>
        <w:widowControl w:val="0"/>
        <w:spacing w:after="120"/>
        <w:ind w:firstLine="288"/>
        <w:jc w:val="both"/>
      </w:pPr>
      <w:r>
        <w:t xml:space="preserve">As just described in the introduction to this unit, this chapter will consider the general contours of the compensation inclusion under § 61(a)(1), two statutory exclusions pertaining to compensation (§§ 119 and 132), as well as the rules in § 83 that apply to property paid in kind as compensation that is subject to a substantial risk of forfeiture. The most important compensation exclusion (for employer-provided health care) will be examined in Chapter 18 (pertaining to the personal consumption tax expenditures), an introductory consideration of compensation paid to tax-preferred retirement accounts will be considered in Chapter 22 (in connection with the cash method of accounting), and certain education fringe benefits will be addressed in Chapter 17 (addressing the acquisition of human capital). </w:t>
      </w:r>
    </w:p>
    <w:p w:rsidR="0078310B" w:rsidRDefault="0078310B" w:rsidP="0078310B">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9"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84" w:name="_Toc395790394"/>
      <w:r>
        <w:t>OLD COLONY TRUST CO. v. COMMISSIONER</w:t>
      </w:r>
      <w:bookmarkEnd w:id="84"/>
    </w:p>
    <w:p w:rsidR="0078310B" w:rsidRDefault="0078310B" w:rsidP="0078310B">
      <w:pPr>
        <w:pStyle w:val="BodyText"/>
        <w:widowControl w:val="0"/>
        <w:spacing w:line="240" w:lineRule="auto"/>
        <w:jc w:val="center"/>
        <w:rPr>
          <w:sz w:val="24"/>
        </w:rPr>
      </w:pPr>
      <w:r>
        <w:rPr>
          <w:sz w:val="24"/>
        </w:rPr>
        <w:t>279 U.S. 716 (1929)</w:t>
      </w:r>
    </w:p>
    <w:p w:rsidR="0078310B" w:rsidRDefault="0078310B" w:rsidP="0078310B">
      <w:pPr>
        <w:pStyle w:val="BodyText"/>
        <w:widowControl w:val="0"/>
        <w:spacing w:line="240" w:lineRule="auto"/>
        <w:ind w:firstLine="288"/>
        <w:rPr>
          <w:sz w:val="24"/>
        </w:rPr>
      </w:pPr>
    </w:p>
    <w:p w:rsidR="0078310B" w:rsidRDefault="0078310B" w:rsidP="0078310B">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rsidR="0078310B" w:rsidRDefault="0078310B" w:rsidP="0078310B">
      <w:pPr>
        <w:widowControl w:val="0"/>
        <w:spacing w:after="120"/>
        <w:ind w:firstLine="288"/>
        <w:jc w:val="both"/>
        <w:rPr>
          <w:rFonts w:eastAsia="Times New Roman" w:cs="Times New Roman"/>
        </w:rPr>
      </w:pPr>
      <w:r w:rsidRPr="00BF3C58">
        <w:rPr>
          <w:rFonts w:eastAsia="Times New Roman" w:cs="Times New Roman"/>
        </w:rPr>
        <w:t xml:space="preserve">William M. Wood was president of the </w:t>
      </w:r>
      <w:r>
        <w:rPr>
          <w:rFonts w:eastAsia="Times New Roman" w:cs="Times New Roman"/>
        </w:rPr>
        <w:t xml:space="preserve">American Woolen Company </w:t>
      </w:r>
      <w:r w:rsidRPr="00BF3C58">
        <w:rPr>
          <w:rFonts w:eastAsia="Times New Roman" w:cs="Times New Roman"/>
        </w:rPr>
        <w:t>during the years 1918, 1919 and 1920. In 1918 he received as salary and</w:t>
      </w:r>
      <w:r>
        <w:rPr>
          <w:rFonts w:eastAsia="Times New Roman" w:cs="Times New Roman"/>
        </w:rPr>
        <w:t xml:space="preserve"> commissions from the company $</w:t>
      </w:r>
      <w:r w:rsidRPr="00BF3C58">
        <w:rPr>
          <w:rFonts w:eastAsia="Times New Roman" w:cs="Times New Roman"/>
        </w:rPr>
        <w:t xml:space="preserve">978,725, which he included in his </w:t>
      </w:r>
      <w:r>
        <w:rPr>
          <w:rFonts w:eastAsia="Times New Roman" w:cs="Times New Roman"/>
        </w:rPr>
        <w:t>Federal</w:t>
      </w:r>
      <w:r w:rsidRPr="00BF3C58">
        <w:rPr>
          <w:rFonts w:eastAsia="Times New Roman" w:cs="Times New Roman"/>
        </w:rPr>
        <w:t xml:space="preserve"> income tax return for 1918. In 1919 he received as salary and</w:t>
      </w:r>
      <w:r>
        <w:rPr>
          <w:rFonts w:eastAsia="Times New Roman" w:cs="Times New Roman"/>
        </w:rPr>
        <w:t xml:space="preserve"> commissions from the company $</w:t>
      </w:r>
      <w:r w:rsidRPr="00BF3C58">
        <w:rPr>
          <w:rFonts w:eastAsia="Times New Roman" w:cs="Times New Roman"/>
        </w:rPr>
        <w:t>548,132.27, which he in</w:t>
      </w:r>
      <w:r>
        <w:rPr>
          <w:rFonts w:eastAsia="Times New Roman" w:cs="Times New Roman"/>
        </w:rPr>
        <w:t>cluded in his return for 1919.</w:t>
      </w:r>
    </w:p>
    <w:p w:rsidR="0078310B" w:rsidRDefault="0078310B" w:rsidP="0078310B">
      <w:pPr>
        <w:widowControl w:val="0"/>
        <w:spacing w:after="120"/>
        <w:ind w:firstLine="288"/>
        <w:jc w:val="both"/>
        <w:rPr>
          <w:rFonts w:eastAsia="Times New Roman" w:cs="Times New Roman"/>
        </w:rPr>
      </w:pPr>
      <w:r w:rsidRPr="00BF3C58">
        <w:rPr>
          <w:rFonts w:eastAsia="Times New Roman" w:cs="Times New Roman"/>
        </w:rPr>
        <w:t xml:space="preserve">August 3, 1916, the </w:t>
      </w:r>
      <w:r>
        <w:rPr>
          <w:rFonts w:eastAsia="Times New Roman" w:cs="Times New Roman"/>
        </w:rPr>
        <w:t xml:space="preserve">American Woolen Company </w:t>
      </w:r>
      <w:r w:rsidRPr="00BF3C58">
        <w:rPr>
          <w:rFonts w:eastAsia="Times New Roman" w:cs="Times New Roman"/>
        </w:rPr>
        <w:t>had adopted the following resolution, which was in effect in 1919 and 1920:</w:t>
      </w:r>
    </w:p>
    <w:p w:rsidR="0078310B" w:rsidRDefault="0078310B" w:rsidP="0078310B">
      <w:pPr>
        <w:widowControl w:val="0"/>
        <w:spacing w:after="120"/>
        <w:ind w:left="720" w:right="720"/>
        <w:jc w:val="both"/>
        <w:rPr>
          <w:rFonts w:eastAsia="Times New Roman" w:cs="Times New Roman"/>
        </w:rPr>
      </w:pPr>
      <w:r w:rsidRPr="00BF3C58">
        <w:rPr>
          <w:rFonts w:eastAsia="Times New Roman" w:cs="Times New Roman"/>
        </w:rPr>
        <w:t xml:space="preserve">Voted: That this company pay any and all income taxes, State and </w:t>
      </w:r>
      <w:r>
        <w:rPr>
          <w:rFonts w:eastAsia="Times New Roman" w:cs="Times New Roman"/>
        </w:rPr>
        <w:t>Federal</w:t>
      </w:r>
      <w:r w:rsidRPr="00BF3C58">
        <w:rPr>
          <w:rFonts w:eastAsia="Times New Roman" w:cs="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cs="Times New Roman"/>
        </w:rPr>
        <w:t>Federal</w:t>
      </w:r>
      <w:r w:rsidRPr="00BF3C58">
        <w:rPr>
          <w:rFonts w:eastAsia="Times New Roman" w:cs="Times New Roman"/>
        </w:rPr>
        <w:t>, which taxes are to be paid out of th</w:t>
      </w:r>
      <w:r>
        <w:rPr>
          <w:rFonts w:eastAsia="Times New Roman" w:cs="Times New Roman"/>
        </w:rPr>
        <w:t>e treasury of this corporation.</w:t>
      </w:r>
    </w:p>
    <w:p w:rsidR="0078310B" w:rsidRPr="00BF3C58" w:rsidRDefault="0078310B" w:rsidP="0078310B">
      <w:pPr>
        <w:widowControl w:val="0"/>
        <w:spacing w:after="120"/>
        <w:jc w:val="both"/>
        <w:rPr>
          <w:rFonts w:eastAsia="Times New Roman" w:cs="Times New Roman"/>
        </w:rPr>
      </w:pPr>
      <w:r w:rsidRPr="00BF3C58">
        <w:rPr>
          <w:rFonts w:eastAsia="Times New Roman" w:cs="Times New Roman"/>
        </w:rPr>
        <w:t xml:space="preserve">Pursuant to these resolutions, the </w:t>
      </w:r>
      <w:r>
        <w:rPr>
          <w:rFonts w:eastAsia="Times New Roman" w:cs="Times New Roman"/>
        </w:rPr>
        <w:t xml:space="preserve">company </w:t>
      </w:r>
      <w:r w:rsidRPr="00BF3C58">
        <w:rPr>
          <w:rFonts w:eastAsia="Times New Roman" w:cs="Times New Roman"/>
        </w:rPr>
        <w:t xml:space="preserve">paid to the collector of internal revenue Mr. Wood's </w:t>
      </w:r>
      <w:r>
        <w:rPr>
          <w:rFonts w:eastAsia="Times New Roman" w:cs="Times New Roman"/>
        </w:rPr>
        <w:t>Federal</w:t>
      </w:r>
      <w:r w:rsidRPr="00BF3C58">
        <w:rPr>
          <w:rFonts w:eastAsia="Times New Roman" w:cs="Times New Roman"/>
        </w:rPr>
        <w:t xml:space="preserve"> income and surtaxes due to salary and commissions paid him by the company, as follows: </w:t>
      </w:r>
      <w:r>
        <w:rPr>
          <w:rFonts w:eastAsia="Times New Roman" w:cs="Times New Roman"/>
        </w:rPr>
        <w:t xml:space="preserve">taxes paid for 1918: $681,169.88; taxes paid for 1919: $351,179.20. </w:t>
      </w:r>
    </w:p>
    <w:p w:rsidR="0078310B" w:rsidRDefault="0078310B" w:rsidP="0078310B">
      <w:pPr>
        <w:widowControl w:val="0"/>
        <w:spacing w:after="120"/>
        <w:ind w:firstLine="288"/>
        <w:jc w:val="both"/>
        <w:rPr>
          <w:rFonts w:eastAsia="Times New Roman" w:cs="Times New Roman"/>
        </w:rPr>
      </w:pPr>
      <w:r w:rsidRPr="00BF3C58">
        <w:rPr>
          <w:rFonts w:eastAsia="Times New Roman" w:cs="Times New Roman"/>
        </w:rPr>
        <w:t>The decision of the Board of Tax Appeals here sought to be rev</w:t>
      </w:r>
      <w:r>
        <w:rPr>
          <w:rFonts w:eastAsia="Times New Roman" w:cs="Times New Roman"/>
        </w:rPr>
        <w:t xml:space="preserve">iewed was that the income taxes </w:t>
      </w:r>
      <w:r w:rsidRPr="00BF3C58">
        <w:rPr>
          <w:rFonts w:eastAsia="Times New Roman" w:cs="Times New Roman"/>
        </w:rPr>
        <w:t xml:space="preserve">paid by the </w:t>
      </w:r>
      <w:r>
        <w:rPr>
          <w:rFonts w:eastAsia="Times New Roman" w:cs="Times New Roman"/>
        </w:rPr>
        <w:t xml:space="preserve">company </w:t>
      </w:r>
      <w:r w:rsidRPr="00BF3C58">
        <w:rPr>
          <w:rFonts w:eastAsia="Times New Roman" w:cs="Times New Roman"/>
        </w:rPr>
        <w:t>for Mr. Wood were additional income to him for the years 1919 and 1920.</w:t>
      </w:r>
      <w:r>
        <w:rPr>
          <w:rFonts w:eastAsia="Times New Roman" w:cs="Times New Roman"/>
        </w:rPr>
        <w:t xml:space="preserve"> </w:t>
      </w:r>
    </w:p>
    <w:p w:rsidR="0078310B" w:rsidRDefault="0078310B" w:rsidP="0078310B">
      <w:pPr>
        <w:widowControl w:val="0"/>
        <w:spacing w:after="120"/>
        <w:ind w:firstLine="288"/>
        <w:jc w:val="both"/>
        <w:rPr>
          <w:rFonts w:eastAsia="Times New Roman" w:cs="Times New Roman"/>
        </w:rPr>
      </w:pPr>
      <w:r>
        <w:rPr>
          <w:rFonts w:eastAsia="Times New Roman" w:cs="Times New Roman"/>
        </w:rPr>
        <w:t>[W]</w:t>
      </w:r>
      <w:r w:rsidRPr="00BF3C58">
        <w:rPr>
          <w:rFonts w:eastAsia="Times New Roman" w:cs="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cs="Times New Roman"/>
        </w:rPr>
        <w:t xml:space="preserve"> [current § 61(a)(1)]</w:t>
      </w:r>
      <w:r w:rsidRPr="00BF3C58">
        <w:rPr>
          <w:rFonts w:eastAsia="Times New Roman" w:cs="Times New Roman"/>
        </w:rPr>
        <w:t>. It is therefore immaterial that the taxes were directly paid over to the Government. The discharge by a third per</w:t>
      </w:r>
      <w:r>
        <w:rPr>
          <w:rFonts w:eastAsia="Times New Roman" w:cs="Times New Roman"/>
        </w:rPr>
        <w:t xml:space="preserve">son of an obligation to him is </w:t>
      </w:r>
      <w:r w:rsidRPr="00BF3C58">
        <w:rPr>
          <w:rFonts w:eastAsia="Times New Roman" w:cs="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5" w:name="clsccl6"/>
      <w:bookmarkEnd w:id="85"/>
      <w:r w:rsidRPr="00BF3C58">
        <w:rPr>
          <w:rFonts w:eastAsia="Times New Roman" w:cs="Times New Roman"/>
        </w:rPr>
        <w:t>the payment constituted income to the employee.</w:t>
      </w:r>
    </w:p>
    <w:p w:rsidR="0078310B" w:rsidRDefault="0078310B" w:rsidP="0078310B">
      <w:pPr>
        <w:widowControl w:val="0"/>
        <w:spacing w:after="120"/>
        <w:ind w:firstLine="288"/>
        <w:jc w:val="both"/>
        <w:rPr>
          <w:rFonts w:eastAsia="Times New Roman" w:cs="Times New Roman"/>
        </w:rPr>
      </w:pPr>
      <w:r w:rsidRPr="00BF3C58">
        <w:rPr>
          <w:rFonts w:eastAsia="Times New Roman" w:cs="Times New Roman"/>
        </w:rPr>
        <w:t>Nor can it be argued that th</w:t>
      </w:r>
      <w:r>
        <w:rPr>
          <w:rFonts w:eastAsia="Times New Roman" w:cs="Times New Roman"/>
        </w:rPr>
        <w:t xml:space="preserve">e payment of the tax </w:t>
      </w:r>
      <w:r w:rsidRPr="00BF3C58">
        <w:rPr>
          <w:rFonts w:eastAsia="Times New Roman" w:cs="Times New Roman"/>
        </w:rPr>
        <w:t xml:space="preserve">was a gift. The payment for services, even though entirely voluntary, was nevertheless compensation within the statute. </w:t>
      </w:r>
    </w:p>
    <w:p w:rsidR="0078310B" w:rsidRDefault="0078310B" w:rsidP="0078310B">
      <w:pPr>
        <w:widowControl w:val="0"/>
        <w:spacing w:after="120"/>
        <w:ind w:firstLine="288"/>
        <w:jc w:val="both"/>
        <w:rPr>
          <w:rFonts w:eastAsia="Times New Roman" w:cs="Times New Roman"/>
        </w:rPr>
      </w:pPr>
      <w:r w:rsidRPr="00BF3C58">
        <w:rPr>
          <w:rFonts w:eastAsia="Times New Roman" w:cs="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cs="Times New Roman"/>
        </w:rPr>
        <w:t>is the result of the Government’</w:t>
      </w:r>
      <w:r w:rsidRPr="00BF3C58">
        <w:rPr>
          <w:rFonts w:eastAsia="Times New Roman" w:cs="Times New Roman"/>
        </w:rPr>
        <w:t xml:space="preserve">s theory, when carried to </w:t>
      </w:r>
      <w:r>
        <w:rPr>
          <w:rFonts w:eastAsia="Times New Roman" w:cs="Times New Roman"/>
        </w:rPr>
        <w:t xml:space="preserve">its </w:t>
      </w:r>
      <w:r w:rsidRPr="00BF3C58">
        <w:rPr>
          <w:rFonts w:eastAsia="Times New Roman" w:cs="Times New Roman"/>
        </w:rPr>
        <w:t xml:space="preserve">logical conclusion, and results in an absurdity which Congress </w:t>
      </w:r>
      <w:r>
        <w:rPr>
          <w:rFonts w:eastAsia="Times New Roman" w:cs="Times New Roman"/>
        </w:rPr>
        <w:t xml:space="preserve">could not have contemplated. </w:t>
      </w:r>
    </w:p>
    <w:p w:rsidR="0078310B" w:rsidRDefault="0078310B" w:rsidP="0078310B">
      <w:pPr>
        <w:widowControl w:val="0"/>
        <w:ind w:firstLine="288"/>
        <w:jc w:val="both"/>
        <w:rPr>
          <w:rFonts w:eastAsia="Times New Roman" w:cs="Times New Roman"/>
        </w:rPr>
      </w:pPr>
      <w:r w:rsidRPr="00BF3C58">
        <w:rPr>
          <w:rFonts w:eastAsia="Times New Roman" w:cs="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cs="Times New Roman"/>
        </w:rPr>
        <w:t>“</w:t>
      </w:r>
      <w:r w:rsidRPr="00BF3C58">
        <w:rPr>
          <w:rFonts w:eastAsia="Times New Roman" w:cs="Times New Roman"/>
        </w:rPr>
        <w:t>Did the payment by the employer of the income taxes assessable against the employee constitute additional t</w:t>
      </w:r>
      <w:r>
        <w:rPr>
          <w:rFonts w:eastAsia="Times New Roman" w:cs="Times New Roman"/>
        </w:rPr>
        <w:t>axable income to such  employee?”</w:t>
      </w:r>
      <w:r w:rsidRPr="00BF3C58">
        <w:rPr>
          <w:rFonts w:eastAsia="Times New Roman" w:cs="Times New Roman"/>
        </w:rPr>
        <w:t xml:space="preserve"> The answer m</w:t>
      </w:r>
      <w:r>
        <w:rPr>
          <w:rFonts w:eastAsia="Times New Roman" w:cs="Times New Roman"/>
        </w:rPr>
        <w:t>ust be “Yes.”</w:t>
      </w:r>
      <w:r w:rsidRPr="00BF3C58">
        <w:rPr>
          <w:rFonts w:eastAsia="Times New Roman" w:cs="Times New Roman"/>
        </w:rPr>
        <w:t xml:space="preserve"> </w:t>
      </w:r>
    </w:p>
    <w:p w:rsidR="0078310B" w:rsidRDefault="0078310B" w:rsidP="0078310B">
      <w:pPr>
        <w:pStyle w:val="BodyText"/>
        <w:widowControl w:val="0"/>
        <w:spacing w:line="240" w:lineRule="auto"/>
        <w:jc w:val="center"/>
        <w:rPr>
          <w:sz w:val="24"/>
        </w:rPr>
      </w:pPr>
      <w:r>
        <w:rPr>
          <w:sz w:val="24"/>
        </w:rPr>
        <w:t>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Note the Court’s rejection of exclusion by Mr. Wood as a “gift.” In 1986, Congress amended </w:t>
      </w:r>
      <w:hyperlink r:id="rId150"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 exclusions may apply, including exclusion as a </w:t>
      </w:r>
      <w:r>
        <w:rPr>
          <w:i/>
        </w:rPr>
        <w:t>de minimis</w:t>
      </w:r>
      <w:r>
        <w:t xml:space="preserve"> fringe under § 132(e) (considered below) or as an employee achievement award under § 74(c). </w:t>
      </w:r>
    </w:p>
    <w:p w:rsidR="0078310B" w:rsidRDefault="0078310B" w:rsidP="0078310B">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xml:space="preserve">, however, the cash implicitly went first to Mr. Wood (includable compensation) and then from Mr. Wood to the IRS and to his state’s treasury. Or this could case could illustrate another common law doctrine: the step transaction doctrine. </w:t>
      </w:r>
      <w:r w:rsidR="009277D6">
        <w:t xml:space="preserve">In form, one step occurs (the payment of money by the corporation to the IRS), but in substance two steps occur: the payment of cash to Mr. Wood (step 1), followed the payment of that cash by Mr. Wood to the IRS and his state’s treasury (step 2). </w:t>
      </w:r>
      <w:r>
        <w:t>The portion deemed paid by him to the IRS would be nondeductible under § 275(1), but the portion deemed paid by Mr. Wood to his state’s treasury would likely be deductible under § 164(a)(3) today, though it would be an Itemized Deduction, as described in Chapter 1, Part B.</w:t>
      </w:r>
    </w:p>
    <w:p w:rsidR="0078310B" w:rsidRDefault="0078310B" w:rsidP="0078310B">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rsidR="0078310B" w:rsidRDefault="0078310B" w:rsidP="0078310B">
      <w:pPr>
        <w:widowControl w:val="0"/>
        <w:spacing w:after="120"/>
        <w:ind w:firstLine="288"/>
        <w:jc w:val="both"/>
      </w:pPr>
      <w:r>
        <w:t xml:space="preserve">Even in the case of a full gross-up, this practice does not affect the total tax collected by Treasury. For example, assume a combined Federal and state flat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rsidR="0078310B" w:rsidRDefault="0078310B" w:rsidP="0078310B">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rsidR="0078310B" w:rsidRDefault="0078310B" w:rsidP="0078310B">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cs="Times New Roman"/>
        </w:rPr>
        <w:t>etails of the</w:t>
      </w:r>
      <w:r>
        <w:rPr>
          <w:rFonts w:eastAsia="Times New Roman" w:cs="Times New Roman"/>
        </w:rPr>
        <w:t xml:space="preserve"> little-known payments, called ‘tax gross-ups,’</w:t>
      </w:r>
      <w:r w:rsidRPr="007B6EF7">
        <w:rPr>
          <w:rFonts w:eastAsia="Times New Roman" w:cs="Times New Roman"/>
        </w:rPr>
        <w:t xml:space="preserve"> are often buried in impenetrab</w:t>
      </w:r>
      <w:r>
        <w:rPr>
          <w:rFonts w:eastAsia="Times New Roman" w:cs="Times New Roman"/>
        </w:rPr>
        <w:t>le footnotes or obscure filings.”</w:t>
      </w:r>
      <w:r>
        <w:rPr>
          <w:rStyle w:val="FootnoteReference"/>
        </w:rPr>
        <w:footnoteReference w:id="202"/>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actually $1.82 million. Thus, in 2009 the Wall Street Journal reported that some companies were beginning to scale back on tax gross-ups as more light has been shed on them by advocacy groups.</w:t>
      </w:r>
      <w:r>
        <w:rPr>
          <w:rStyle w:val="FootnoteReference"/>
        </w:rPr>
        <w:footnoteReference w:id="203"/>
      </w:r>
    </w:p>
    <w:p w:rsidR="0078310B" w:rsidRPr="0089543B" w:rsidRDefault="0078310B" w:rsidP="0078310B">
      <w:pPr>
        <w:widowControl w:val="0"/>
        <w:spacing w:after="120"/>
        <w:ind w:firstLine="288"/>
        <w:jc w:val="both"/>
      </w:pPr>
      <w:r>
        <w:t xml:space="preserve">The issue illustrated in </w:t>
      </w:r>
      <w:r>
        <w:rPr>
          <w:i/>
        </w:rPr>
        <w:t xml:space="preserve">Old Colony Trust </w:t>
      </w:r>
      <w:r>
        <w:t xml:space="preserve">goes far beyond tax gross-ups, however. What if Sue is the CEO of Realty, Inc., and Realty pays CEO Sue’s gym membership for her at a cost of $1,000 each year? Under </w:t>
      </w:r>
      <w:r>
        <w:rPr>
          <w:i/>
        </w:rPr>
        <w:t>Old Colony Trust</w:t>
      </w:r>
      <w:r>
        <w:t xml:space="preserve">, she must include that $1,000 in her Gross Income under § 61(a)(1), even if the payment goes directly from Realty to the gym. Moreover, because gym membership is a personal expense, she cannot deduct the payment that she is deemed to have made. </w:t>
      </w:r>
      <w:hyperlink r:id="rId151" w:history="1">
        <w:r w:rsidRPr="00B623D8">
          <w:rPr>
            <w:rStyle w:val="Hyperlink"/>
          </w:rPr>
          <w:t>§ 262</w:t>
        </w:r>
      </w:hyperlink>
      <w:r>
        <w:t>(a).</w:t>
      </w:r>
    </w:p>
    <w:p w:rsidR="0078310B" w:rsidRDefault="0078310B" w:rsidP="0078310B">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rsidR="0078310B" w:rsidRDefault="0078310B" w:rsidP="0078310B">
      <w:pPr>
        <w:widowControl w:val="0"/>
        <w:spacing w:after="120"/>
        <w:ind w:firstLine="288"/>
        <w:jc w:val="both"/>
      </w:pPr>
      <w:r>
        <w:t>For example, assume that Realty, Inc., sells to CEO Sue Blackacre, which is demonstrably worth $100,000, for only $10,000. CEO Sue must include the $90,000 worth of Blackacre that she received in kind (for free) in her Gross Income as compensation.</w:t>
      </w:r>
      <w:r>
        <w:rPr>
          <w:rStyle w:val="FootnoteReference"/>
        </w:rPr>
        <w:footnoteReference w:id="204"/>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5"/>
      </w:r>
      <w:r>
        <w:t xml:space="preserve"> Thus,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Thus, Sue needs a $100,000 Blackacre basis to ensure that she is not taxed on any part of that $100,000 a second time when she sells Blackacre in the future. </w:t>
      </w:r>
    </w:p>
    <w:p w:rsidR="0078310B" w:rsidRDefault="0078310B" w:rsidP="0078310B">
      <w:pPr>
        <w:widowControl w:val="0"/>
        <w:ind w:firstLine="288"/>
        <w:jc w:val="both"/>
      </w:pPr>
      <w:r>
        <w:t>Ditto with respect to services (as opposed to property) received in kind, as illustrated in the revenue ruling below.</w:t>
      </w:r>
    </w:p>
    <w:p w:rsidR="0078310B" w:rsidRDefault="0078310B" w:rsidP="0078310B">
      <w:pPr>
        <w:widowControl w:val="0"/>
        <w:ind w:firstLine="288"/>
        <w:jc w:val="both"/>
      </w:pPr>
    </w:p>
    <w:p w:rsidR="0078310B" w:rsidRPr="00E719AB" w:rsidRDefault="0078310B" w:rsidP="0078310B">
      <w:pPr>
        <w:pStyle w:val="Heading3"/>
        <w:spacing w:before="0" w:beforeAutospacing="0" w:after="120" w:afterAutospacing="0"/>
        <w:jc w:val="center"/>
      </w:pPr>
      <w:bookmarkStart w:id="86" w:name="_Toc395790395"/>
      <w:r w:rsidRPr="00E719AB">
        <w:t>REVENUE RULING 79-24</w:t>
      </w:r>
      <w:bookmarkEnd w:id="86"/>
    </w:p>
    <w:p w:rsidR="0078310B" w:rsidRPr="00113E38" w:rsidRDefault="0078310B" w:rsidP="0078310B">
      <w:pPr>
        <w:widowControl w:val="0"/>
        <w:jc w:val="center"/>
      </w:pPr>
      <w:r>
        <w:t>1979-1 C.B. 60</w:t>
      </w:r>
    </w:p>
    <w:p w:rsidR="0078310B" w:rsidRDefault="0078310B" w:rsidP="0078310B">
      <w:pPr>
        <w:widowControl w:val="0"/>
        <w:ind w:firstLine="288"/>
        <w:jc w:val="center"/>
      </w:pPr>
    </w:p>
    <w:p w:rsidR="0078310B" w:rsidRDefault="0078310B" w:rsidP="0078310B">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rsidR="0078310B" w:rsidRDefault="0078310B" w:rsidP="0078310B">
      <w:pPr>
        <w:widowControl w:val="0"/>
        <w:spacing w:after="120"/>
        <w:jc w:val="both"/>
      </w:pPr>
      <w:r>
        <w:t>FACTS</w:t>
      </w:r>
    </w:p>
    <w:p w:rsidR="0078310B" w:rsidRDefault="0078310B" w:rsidP="0078310B">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persons. Members contact other members directly and negotiate the value of the services to be performed.</w:t>
      </w:r>
    </w:p>
    <w:p w:rsidR="0078310B" w:rsidRDefault="0078310B" w:rsidP="0078310B">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rsidR="0078310B" w:rsidRDefault="0078310B" w:rsidP="0078310B">
      <w:pPr>
        <w:widowControl w:val="0"/>
        <w:spacing w:after="120"/>
        <w:jc w:val="both"/>
      </w:pPr>
      <w:r>
        <w:t>LAW</w:t>
      </w:r>
    </w:p>
    <w:p w:rsidR="0078310B" w:rsidRDefault="0078310B" w:rsidP="0078310B">
      <w:pPr>
        <w:widowControl w:val="0"/>
        <w:spacing w:after="120"/>
        <w:ind w:firstLine="288"/>
        <w:jc w:val="both"/>
      </w:pPr>
      <w:r>
        <w:t>The applicable sections of the Internal Revenue Code and the Income Tax Regulations thereunder are 61(a) and 1.61-2, relating to compensation for services.</w:t>
      </w:r>
    </w:p>
    <w:p w:rsidR="0078310B" w:rsidRDefault="0078310B" w:rsidP="0078310B">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78310B" w:rsidRDefault="0078310B" w:rsidP="0078310B">
      <w:pPr>
        <w:widowControl w:val="0"/>
        <w:spacing w:after="120"/>
        <w:jc w:val="both"/>
      </w:pPr>
      <w:r>
        <w:t>HOLDINGS</w:t>
      </w:r>
    </w:p>
    <w:p w:rsidR="0078310B" w:rsidRDefault="0078310B" w:rsidP="0078310B">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rsidR="0078310B" w:rsidRDefault="0078310B" w:rsidP="0078310B">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rsidR="0078310B" w:rsidRDefault="0078310B" w:rsidP="0078310B">
      <w:pPr>
        <w:widowControl w:val="0"/>
        <w:jc w:val="center"/>
      </w:pPr>
      <w:r>
        <w:t>_______________________________________</w:t>
      </w:r>
    </w:p>
    <w:p w:rsidR="0078310B" w:rsidRDefault="0078310B" w:rsidP="0078310B">
      <w:pPr>
        <w:widowControl w:val="0"/>
        <w:jc w:val="both"/>
      </w:pPr>
    </w:p>
    <w:p w:rsidR="0078310B" w:rsidRPr="001864C3" w:rsidRDefault="0078310B" w:rsidP="0078310B">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06"/>
      </w:r>
      <w:r w:rsidR="005C6FB2">
        <w:t xml:space="preserve"> Of course, the TV stars had to include in their Gross Incomes the fair market value (FMV) of the cars under § 61(a)(1). </w:t>
      </w:r>
    </w:p>
    <w:p w:rsidR="0078310B" w:rsidRDefault="0078310B" w:rsidP="0078310B">
      <w:pPr>
        <w:widowControl w:val="0"/>
        <w:spacing w:after="120"/>
        <w:ind w:firstLine="288"/>
        <w:jc w:val="both"/>
      </w:pPr>
      <w:r>
        <w:t xml:space="preserve">Here is another example: </w:t>
      </w:r>
    </w:p>
    <w:p w:rsidR="0078310B" w:rsidRDefault="0078310B" w:rsidP="0078310B">
      <w:pPr>
        <w:widowControl w:val="0"/>
        <w:spacing w:after="120"/>
        <w:ind w:left="720" w:right="720"/>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rsidR="0078310B" w:rsidRDefault="0078310B" w:rsidP="0078310B">
      <w:pPr>
        <w:widowControl w:val="0"/>
        <w:spacing w:after="120"/>
        <w:ind w:left="720" w:right="720"/>
        <w:jc w:val="both"/>
      </w:pPr>
      <w:r>
        <w:t xml:space="preserve">Today, Evernote’s 250 employees—every full-time worker, from receptionist to top executive—have their homes cleaned twice a month, free. </w:t>
      </w:r>
    </w:p>
    <w:p w:rsidR="0078310B" w:rsidRDefault="0078310B" w:rsidP="0078310B">
      <w:pPr>
        <w:widowControl w:val="0"/>
        <w:spacing w:after="120"/>
        <w:ind w:left="720" w:right="720"/>
        <w:jc w:val="both"/>
      </w:pPr>
      <w:r>
        <w:t>It is the latest innovation from Silicon Valley: the employee perk is moving from the office to the home…. Stanford School of Medicine is piloting a project to provide doctors with housecleaning and in-home dinner delivery. Genentech offers take-home dinners ….</w:t>
      </w:r>
      <w:r>
        <w:rPr>
          <w:rStyle w:val="FootnoteReference"/>
        </w:rPr>
        <w:footnoteReference w:id="207"/>
      </w:r>
    </w:p>
    <w:p w:rsidR="005C6FB2" w:rsidRDefault="005C6FB2" w:rsidP="005C6FB2">
      <w:pPr>
        <w:widowControl w:val="0"/>
        <w:spacing w:after="120"/>
        <w:jc w:val="both"/>
      </w:pPr>
      <w:r>
        <w:t xml:space="preserve">As with the TV stars, the Evernote employees must include in their Gross Incomes the FMV of these services. </w:t>
      </w:r>
    </w:p>
    <w:p w:rsidR="0078310B" w:rsidRDefault="005C6FB2" w:rsidP="0078310B">
      <w:pPr>
        <w:widowControl w:val="0"/>
        <w:spacing w:after="120"/>
        <w:ind w:firstLine="288"/>
        <w:jc w:val="both"/>
      </w:pPr>
      <w:r>
        <w:t>W</w:t>
      </w:r>
      <w:r w:rsidR="0078310B">
        <w:t>hy would employers go to the bother of paying compensation in the form of property or services in kind—rather than cash—if employees (or independent contractors) must include the fair market value (FMV) of the property or services in Gross Income (absent application of an exclusion provi</w:t>
      </w:r>
      <w:r w:rsidR="00CB243F">
        <w:t>sion, such as §§ 119 and 132)? After all, p</w:t>
      </w:r>
      <w:r w:rsidR="0078310B">
        <w:t>aying cash is clearly easier for employers. A cash economy is also much more efficient th</w:t>
      </w:r>
      <w:r w:rsidR="00CB243F">
        <w:t>an a barter economy. Moreover</w:t>
      </w:r>
      <w:r w:rsidR="0078310B">
        <w:t>, perhaps the employee does not really wa</w:t>
      </w:r>
      <w:r w:rsidR="00CB243F">
        <w:t xml:space="preserve">nt that particular property or service and would have preferred the cash, instead, so that she </w:t>
      </w:r>
      <w:r w:rsidR="0078310B">
        <w:t xml:space="preserve">could buy something that </w:t>
      </w:r>
      <w:r w:rsidR="00CB243F">
        <w:t>s</w:t>
      </w:r>
      <w:r w:rsidR="0078310B">
        <w:t xml:space="preserve">he really wants. </w:t>
      </w:r>
    </w:p>
    <w:p w:rsidR="0078310B" w:rsidRDefault="0078310B" w:rsidP="0078310B">
      <w:pPr>
        <w:widowControl w:val="0"/>
        <w:spacing w:after="120"/>
        <w:ind w:firstLine="288"/>
        <w:jc w:val="both"/>
      </w:pPr>
      <w:r>
        <w:t xml:space="preserve">Richard Thaler is one of the leading economists in the behavioral economics movement introduced in Chapter 3, which explores behavior that appears irrational on its surface. Please click and read the following article: </w:t>
      </w:r>
    </w:p>
    <w:p w:rsidR="0078310B" w:rsidRDefault="002B3596" w:rsidP="0078310B">
      <w:pPr>
        <w:widowControl w:val="0"/>
        <w:spacing w:after="120"/>
        <w:jc w:val="both"/>
      </w:pPr>
      <w:hyperlink r:id="rId152" w:history="1">
        <w:r w:rsidR="0078310B" w:rsidRPr="005E4D53">
          <w:rPr>
            <w:rStyle w:val="Hyperlink"/>
          </w:rPr>
          <w:t>www.nytimes.com/1999/06/30/opinion/the-gasoline-powered-raise.html</w:t>
        </w:r>
      </w:hyperlink>
      <w:r w:rsidR="0078310B">
        <w:t>. (Come this holiday season, do not say that I never taught you anything practical.)</w:t>
      </w:r>
    </w:p>
    <w:p w:rsidR="0078310B" w:rsidRDefault="0078310B" w:rsidP="0078310B">
      <w:pPr>
        <w:widowControl w:val="0"/>
        <w:ind w:firstLine="288"/>
        <w:jc w:val="both"/>
        <w:rPr>
          <w:rFonts w:eastAsia="Times New Roman" w:cs="Times New Roman"/>
        </w:rPr>
      </w:pPr>
      <w:r>
        <w:rPr>
          <w:rFonts w:eastAsia="Times New Roman" w:cs="Times New Roman"/>
        </w:rPr>
        <w:t xml:space="preserve">Thus, do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rsidR="0078310B" w:rsidRDefault="0078310B" w:rsidP="0078310B">
      <w:pPr>
        <w:widowControl w:val="0"/>
        <w:ind w:firstLine="288"/>
        <w:jc w:val="both"/>
        <w:rPr>
          <w:rFonts w:eastAsia="Times New Roman" w:cs="Times New Roman"/>
        </w:rPr>
      </w:pPr>
    </w:p>
    <w:p w:rsidR="0078310B" w:rsidRPr="000A0133" w:rsidRDefault="0078310B" w:rsidP="0078310B">
      <w:pPr>
        <w:pStyle w:val="Heading2"/>
        <w:spacing w:before="0"/>
        <w:rPr>
          <w:sz w:val="32"/>
          <w:szCs w:val="32"/>
          <w:u w:val="single"/>
        </w:rPr>
      </w:pPr>
      <w:bookmarkStart w:id="87" w:name="_Toc395790396"/>
      <w:r w:rsidRPr="000A0133">
        <w:rPr>
          <w:rFonts w:eastAsia="Times New Roman"/>
          <w:sz w:val="32"/>
          <w:szCs w:val="32"/>
          <w:u w:val="single"/>
        </w:rPr>
        <w:t>A. Section 119</w:t>
      </w:r>
      <w:bookmarkEnd w:id="87"/>
    </w:p>
    <w:p w:rsidR="0078310B" w:rsidRDefault="0078310B" w:rsidP="0078310B">
      <w:pPr>
        <w:widowControl w:val="0"/>
        <w:ind w:firstLine="288"/>
        <w:jc w:val="both"/>
        <w:rPr>
          <w:rFonts w:eastAsia="Times New Roman" w:cs="Times New Roman"/>
        </w:rPr>
      </w:pPr>
    </w:p>
    <w:p w:rsidR="0078310B" w:rsidRDefault="002B3596" w:rsidP="0078310B">
      <w:pPr>
        <w:widowControl w:val="0"/>
        <w:spacing w:after="120"/>
        <w:ind w:firstLine="288"/>
        <w:jc w:val="both"/>
        <w:rPr>
          <w:rFonts w:eastAsia="Times New Roman" w:cs="Times New Roman"/>
        </w:rPr>
      </w:pPr>
      <w:hyperlink r:id="rId153" w:history="1">
        <w:r w:rsidR="0078310B" w:rsidRPr="003D2248">
          <w:rPr>
            <w:rStyle w:val="Hyperlink"/>
            <w:rFonts w:eastAsia="Times New Roman" w:cs="Times New Roman"/>
          </w:rPr>
          <w:t>Section 119</w:t>
        </w:r>
      </w:hyperlink>
      <w:r w:rsidR="0078310B">
        <w:rPr>
          <w:rFonts w:eastAsia="Times New Roman" w:cs="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sidR="0078310B">
        <w:rPr>
          <w:rFonts w:eastAsia="Times New Roman" w:cs="Times New Roman"/>
          <w:i/>
        </w:rPr>
        <w:t>Jones v. United States</w:t>
      </w:r>
      <w:r w:rsidR="0078310B">
        <w:t>.</w:t>
      </w:r>
      <w:r w:rsidR="0078310B">
        <w:rPr>
          <w:rStyle w:val="FootnoteReference"/>
        </w:rPr>
        <w:footnoteReference w:id="208"/>
      </w:r>
      <w:r w:rsidR="0078310B">
        <w:rPr>
          <w:rFonts w:eastAsia="Times New Roman" w:cs="Times New Roman"/>
          <w:i/>
        </w:rPr>
        <w:t xml:space="preserve"> </w:t>
      </w:r>
      <w:r w:rsidR="0078310B">
        <w:rPr>
          <w:rFonts w:eastAsia="Times New Roman" w:cs="Times New Roman"/>
        </w:rPr>
        <w:t xml:space="preserve">Should the value of the food and bunk provided in kind to the major be includable in Gross Income as compensation under § 61(a)(1)? The </w:t>
      </w:r>
      <w:r w:rsidR="0078310B">
        <w:rPr>
          <w:rFonts w:eastAsia="Times New Roman" w:cs="Times New Roman"/>
          <w:i/>
        </w:rPr>
        <w:t>Jones</w:t>
      </w:r>
      <w:r w:rsidR="0078310B">
        <w:t xml:space="preserve"> court said</w:t>
      </w:r>
      <w:r w:rsidR="0078310B">
        <w:rPr>
          <w:rFonts w:eastAsia="Times New Roman" w:cs="Times New Roman"/>
        </w:rPr>
        <w:t xml:space="preserve"> “no” in 1925 because the food and lodgings were provided for the convenience of the employer (the U.S. Army) in order for the employee to perform his duties properly, not to provide remuneration to the employee.</w:t>
      </w:r>
      <w:r w:rsidR="0078310B">
        <w:rPr>
          <w:rStyle w:val="FootnoteReference"/>
          <w:rFonts w:eastAsia="Times New Roman" w:cs="Times New Roman"/>
        </w:rPr>
        <w:footnoteReference w:id="209"/>
      </w:r>
      <w:r w:rsidR="0078310B">
        <w:rPr>
          <w:rFonts w:eastAsia="Times New Roman" w:cs="Times New Roman"/>
        </w:rPr>
        <w:t xml:space="preserve"> As early as 1919, the IRS agreed that a seaman away on the high seas need not include the value of meals and lodgings provided by his employer on the ship (or boat).</w:t>
      </w:r>
      <w:r w:rsidR="0078310B">
        <w:rPr>
          <w:rStyle w:val="FootnoteReference"/>
          <w:rFonts w:eastAsia="Times New Roman" w:cs="Times New Roman"/>
        </w:rPr>
        <w:footnoteReference w:id="210"/>
      </w:r>
      <w:r w:rsidR="0078310B">
        <w:rPr>
          <w:rFonts w:eastAsia="Times New Roman" w:cs="Times New Roman"/>
        </w:rPr>
        <w:t xml:space="preserve"> Treasury memorialized this position in a 1920 regulation.</w:t>
      </w:r>
      <w:r w:rsidR="0078310B">
        <w:rPr>
          <w:rStyle w:val="FootnoteReference"/>
          <w:rFonts w:eastAsia="Times New Roman" w:cs="Times New Roman"/>
        </w:rPr>
        <w:footnoteReference w:id="211"/>
      </w:r>
      <w:r w:rsidR="0078310B">
        <w:rPr>
          <w:rFonts w:eastAsia="Times New Roman" w:cs="Times New Roman"/>
        </w:rPr>
        <w:t xml:space="preserve"> The doctrine was codified in 1954 when Congress enacted § 119, but it did not take long for taxpayers far afield of army majors and fishermen to argue that meals and lodgings should be excluded under § 119.</w:t>
      </w:r>
      <w:r w:rsidR="0078310B">
        <w:rPr>
          <w:rStyle w:val="FootnoteReference"/>
          <w:rFonts w:eastAsia="Times New Roman" w:cs="Times New Roman"/>
        </w:rPr>
        <w:footnoteReference w:id="212"/>
      </w:r>
      <w:r w:rsidR="0078310B">
        <w:rPr>
          <w:rFonts w:eastAsia="Times New Roman" w:cs="Times New Roman"/>
        </w:rPr>
        <w:t xml:space="preserve"> </w:t>
      </w:r>
    </w:p>
    <w:p w:rsidR="0078310B" w:rsidRDefault="0078310B" w:rsidP="0078310B">
      <w:pPr>
        <w:widowControl w:val="0"/>
        <w:ind w:firstLine="288"/>
        <w:jc w:val="both"/>
        <w:rPr>
          <w:rFonts w:eastAsia="Times New Roman" w:cs="Times New Roman"/>
        </w:rPr>
      </w:pPr>
      <w:r>
        <w:rPr>
          <w:rFonts w:eastAsia="Times New Roman" w:cs="Times New Roman"/>
        </w:rPr>
        <w:t xml:space="preserve">Note each, separate requirement listed in </w:t>
      </w:r>
      <w:hyperlink r:id="rId154" w:history="1">
        <w:r w:rsidRPr="00C145CE">
          <w:rPr>
            <w:rStyle w:val="Hyperlink"/>
            <w:rFonts w:eastAsia="Times New Roman" w:cs="Times New Roman"/>
          </w:rPr>
          <w:t>§ 119</w:t>
        </w:r>
      </w:hyperlink>
      <w:r>
        <w:rPr>
          <w:rFonts w:eastAsia="Times New Roman" w:cs="Times New Roman"/>
        </w:rPr>
        <w:t xml:space="preserve"> that must be satisfied in order for the meals or lodgings to qualify for exclusion. Does lunch money (cash) constitute “meals”? What are “the 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rsidR="0078310B" w:rsidRDefault="0078310B" w:rsidP="0078310B">
      <w:pPr>
        <w:widowControl w:val="0"/>
        <w:ind w:firstLine="288"/>
        <w:jc w:val="both"/>
        <w:rPr>
          <w:rFonts w:eastAsia="Times New Roman" w:cs="Times New Roman"/>
        </w:rPr>
      </w:pPr>
    </w:p>
    <w:p w:rsidR="0078310B" w:rsidRPr="00497A3E" w:rsidRDefault="0078310B" w:rsidP="0078310B">
      <w:pPr>
        <w:pStyle w:val="Heading3"/>
        <w:spacing w:before="0" w:beforeAutospacing="0" w:after="120" w:afterAutospacing="0"/>
        <w:jc w:val="center"/>
      </w:pPr>
      <w:bookmarkStart w:id="88" w:name="_Toc448129595"/>
      <w:bookmarkStart w:id="89" w:name="_Toc450962386"/>
      <w:bookmarkStart w:id="90" w:name="_Toc395790397"/>
      <w:r w:rsidRPr="00497A3E">
        <w:t>COMMISSIONER v. KOWALSKI</w:t>
      </w:r>
      <w:bookmarkEnd w:id="88"/>
      <w:bookmarkEnd w:id="89"/>
      <w:bookmarkEnd w:id="90"/>
      <w:r w:rsidRPr="00497A3E">
        <w:fldChar w:fldCharType="begin"/>
      </w:r>
      <w:r w:rsidRPr="00497A3E">
        <w:instrText xml:space="preserve"> TA \l "COMMISSIONER v. KOWALSKI, 434 U.S. 77 (1977)" \s "COMMISSIONER v. KOWALSKI, 434 U.S. 77 (1977)" \c 1 </w:instrText>
      </w:r>
      <w:r w:rsidRPr="00497A3E">
        <w:fldChar w:fldCharType="end"/>
      </w:r>
    </w:p>
    <w:p w:rsidR="0078310B" w:rsidRDefault="0078310B" w:rsidP="0078310B">
      <w:pPr>
        <w:pStyle w:val="SetOutCaseCitationbottom"/>
        <w:keepNext w:val="0"/>
        <w:keepLines w:val="0"/>
        <w:widowControl w:val="0"/>
        <w:spacing w:after="0" w:line="240" w:lineRule="auto"/>
        <w:rPr>
          <w:sz w:val="24"/>
        </w:rPr>
      </w:pPr>
      <w:r>
        <w:rPr>
          <w:sz w:val="24"/>
        </w:rPr>
        <w:t>434 U.S. 77 (1977)</w:t>
      </w:r>
    </w:p>
    <w:p w:rsidR="0078310B" w:rsidRDefault="0078310B" w:rsidP="0078310B">
      <w:pPr>
        <w:pStyle w:val="BodyText"/>
        <w:widowControl w:val="0"/>
        <w:spacing w:line="240" w:lineRule="auto"/>
        <w:ind w:firstLine="288"/>
        <w:rPr>
          <w:smallCaps/>
          <w:sz w:val="24"/>
        </w:rPr>
      </w:pPr>
    </w:p>
    <w:p w:rsidR="0078310B" w:rsidRDefault="0078310B" w:rsidP="0078310B">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rsidR="0078310B" w:rsidRDefault="0078310B" w:rsidP="0078310B">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rsidR="0078310B" w:rsidRDefault="0078310B" w:rsidP="0078310B">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rsidR="0078310B" w:rsidRDefault="0078310B" w:rsidP="0078310B">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rsidR="0078310B" w:rsidRDefault="0078310B" w:rsidP="0078310B">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rsidR="0078310B" w:rsidRDefault="0078310B" w:rsidP="0078310B">
      <w:pPr>
        <w:pStyle w:val="BodyTextIndent"/>
        <w:widowControl w:val="0"/>
        <w:ind w:left="720" w:right="720"/>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rsidR="0078310B" w:rsidRDefault="0078310B" w:rsidP="0078310B">
      <w:pPr>
        <w:pStyle w:val="BodyText"/>
        <w:widowControl w:val="0"/>
        <w:spacing w:after="120" w:line="240" w:lineRule="auto"/>
        <w:ind w:firstLine="288"/>
        <w:rPr>
          <w:sz w:val="24"/>
        </w:rPr>
      </w:pPr>
      <w:r>
        <w:rPr>
          <w:sz w:val="24"/>
        </w:rPr>
        <w:t>O.D. 514, 2 C.B. 90 (1920), extended the convenience-of-the-employer doctrine to cash payments for “supper money.” ….</w:t>
      </w:r>
    </w:p>
    <w:p w:rsidR="0078310B" w:rsidRDefault="0078310B" w:rsidP="0078310B">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rsidR="0078310B" w:rsidRDefault="0078310B" w:rsidP="0078310B">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rsidR="0078310B" w:rsidRDefault="0078310B" w:rsidP="0078310B">
      <w:pPr>
        <w:pStyle w:val="BodyTextIndent"/>
        <w:widowControl w:val="0"/>
        <w:ind w:left="720" w:right="720"/>
        <w:jc w:val="both"/>
      </w:pPr>
      <w:r>
        <w:t xml:space="preserve">Your committee has provided that the basic test of exclusion is to be whether the meals or lodging are furnished primarily for the convenience of the employer. </w:t>
      </w:r>
    </w:p>
    <w:p w:rsidR="0078310B" w:rsidRDefault="0078310B" w:rsidP="0078310B">
      <w:pPr>
        <w:pStyle w:val="BodyText"/>
        <w:widowControl w:val="0"/>
        <w:spacing w:after="120" w:line="240" w:lineRule="auto"/>
        <w:ind w:firstLine="288"/>
        <w:rPr>
          <w:sz w:val="24"/>
        </w:rPr>
      </w:pPr>
      <w:r>
        <w:rPr>
          <w:sz w:val="24"/>
        </w:rPr>
        <w:t>In a technical appendix, the Senate Report further elaborated that:</w:t>
      </w:r>
    </w:p>
    <w:p w:rsidR="0078310B" w:rsidRDefault="0078310B" w:rsidP="0078310B">
      <w:pPr>
        <w:pStyle w:val="BodyTextIndent"/>
        <w:widowControl w:val="0"/>
        <w:ind w:left="720" w:right="720"/>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rsidR="0078310B" w:rsidRDefault="0078310B" w:rsidP="0078310B">
      <w:pPr>
        <w:pStyle w:val="BodyText"/>
        <w:widowControl w:val="0"/>
        <w:spacing w:after="120" w:line="240" w:lineRule="auto"/>
        <w:ind w:firstLine="288"/>
        <w:rPr>
          <w:sz w:val="24"/>
        </w:rPr>
      </w:pPr>
      <w:r>
        <w:rPr>
          <w:sz w:val="24"/>
        </w:rPr>
        <w:t xml:space="preserve">After conference, the House acquiesced in the Senate’s version of § 119. </w:t>
      </w:r>
    </w:p>
    <w:p w:rsidR="0078310B" w:rsidRDefault="0078310B" w:rsidP="0078310B">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rsidR="0078310B" w:rsidRDefault="0078310B" w:rsidP="0078310B">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rsidR="0078310B" w:rsidRDefault="0078310B" w:rsidP="0078310B">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rsidR="0078310B" w:rsidRDefault="0078310B" w:rsidP="0078310B">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rsidR="0078310B" w:rsidRDefault="0078310B" w:rsidP="0078310B">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rsidR="0078310B" w:rsidRPr="00955F35" w:rsidRDefault="0078310B" w:rsidP="0078310B">
      <w:pPr>
        <w:pStyle w:val="BodyText"/>
        <w:widowControl w:val="0"/>
        <w:spacing w:line="240" w:lineRule="auto"/>
        <w:jc w:val="center"/>
        <w:rPr>
          <w:sz w:val="24"/>
        </w:rPr>
      </w:pPr>
      <w:r>
        <w:rPr>
          <w:szCs w:val="24"/>
        </w:rPr>
        <w:t>_______________________________________</w:t>
      </w:r>
    </w:p>
    <w:p w:rsidR="0078310B" w:rsidRDefault="0078310B" w:rsidP="0078310B">
      <w:pPr>
        <w:widowControl w:val="0"/>
        <w:jc w:val="both"/>
        <w:rPr>
          <w:rFonts w:eastAsia="Times New Roman" w:cs="Times New Roman"/>
        </w:rPr>
      </w:pPr>
    </w:p>
    <w:p w:rsidR="0078310B" w:rsidRDefault="0078310B" w:rsidP="0078310B">
      <w:pPr>
        <w:widowControl w:val="0"/>
        <w:spacing w:after="120"/>
        <w:ind w:firstLine="288"/>
        <w:jc w:val="both"/>
      </w:pPr>
      <w:r>
        <w:t xml:space="preserve">What does “convenience of the employer” mean? </w:t>
      </w:r>
      <w:hyperlink r:id="rId155"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w:t>
      </w:r>
      <w:r w:rsidR="00DC573C">
        <w:t xml:space="preserve">Also note that providing meals merely to boost employee morale is </w:t>
      </w:r>
      <w:r w:rsidR="00DC573C" w:rsidRPr="00DC573C">
        <w:rPr>
          <w:i/>
        </w:rPr>
        <w:t>not</w:t>
      </w:r>
      <w:r w:rsidR="00DC573C">
        <w:t xml:space="preserve"> a substantial noncompensatory business reason.</w:t>
      </w:r>
    </w:p>
    <w:p w:rsidR="0078310B" w:rsidRDefault="0078310B" w:rsidP="0078310B">
      <w:pPr>
        <w:widowControl w:val="0"/>
        <w:spacing w:after="120"/>
        <w:ind w:firstLine="288"/>
        <w:jc w:val="both"/>
      </w:pPr>
      <w:r>
        <w:t xml:space="preserve">If a hospital provides meals in kind to all employees for free at the hospital cafeteria, and it can be shown that the doctors and nurses that are employed by the hospital are not infrequently called back to their wards during meals, can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56" w:history="1">
        <w:r w:rsidRPr="00D01931">
          <w:rPr>
            <w:rStyle w:val="Hyperlink"/>
          </w:rPr>
          <w:t>§ 119</w:t>
        </w:r>
      </w:hyperlink>
      <w:r>
        <w:t xml:space="preserve">(b)(4) in 1998. </w:t>
      </w:r>
    </w:p>
    <w:p w:rsidR="0078310B" w:rsidRDefault="0078310B" w:rsidP="0078310B">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rsidR="0078310B" w:rsidRDefault="0078310B" w:rsidP="0078310B">
      <w:pPr>
        <w:widowControl w:val="0"/>
        <w:ind w:firstLine="288"/>
        <w:jc w:val="both"/>
      </w:pPr>
      <w:r>
        <w:rPr>
          <w:rFonts w:eastAsia="Times New Roman" w:cs="Times New Roman"/>
        </w:rPr>
        <w:t xml:space="preserve">What does the “business premises of the employer” mean? </w:t>
      </w:r>
      <w:r w:rsidRPr="00DC5822">
        <w:rPr>
          <w:i/>
        </w:rPr>
        <w:t>See</w:t>
      </w:r>
      <w:r>
        <w:t xml:space="preserve"> </w:t>
      </w:r>
      <w:hyperlink r:id="rId157" w:history="1">
        <w:r w:rsidRPr="00DC573C">
          <w:rPr>
            <w:rStyle w:val="Hyperlink"/>
          </w:rPr>
          <w:t>Treas. Reg. § 1.119-1</w:t>
        </w:r>
      </w:hyperlink>
      <w:r>
        <w:t xml:space="preserve">(c)(1).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91" w:name="_Toc395790398"/>
      <w:r>
        <w:t>LINDEMAN v. COMMISSIONER</w:t>
      </w:r>
      <w:bookmarkEnd w:id="91"/>
    </w:p>
    <w:p w:rsidR="0078310B" w:rsidRPr="005A11FC" w:rsidRDefault="0078310B" w:rsidP="0078310B">
      <w:pPr>
        <w:widowControl w:val="0"/>
        <w:jc w:val="center"/>
      </w:pPr>
      <w:r>
        <w:t>60 T.C. 609 (1973)</w:t>
      </w:r>
    </w:p>
    <w:p w:rsidR="0078310B" w:rsidRDefault="0078310B" w:rsidP="0078310B">
      <w:pPr>
        <w:widowControl w:val="0"/>
        <w:ind w:firstLine="288"/>
        <w:jc w:val="both"/>
      </w:pPr>
    </w:p>
    <w:p w:rsidR="0078310B" w:rsidRDefault="0078310B" w:rsidP="0078310B">
      <w:pPr>
        <w:widowControl w:val="0"/>
        <w:spacing w:after="120"/>
        <w:ind w:right="187" w:firstLine="288"/>
        <w:jc w:val="both"/>
        <w:rPr>
          <w:rFonts w:eastAsia="Times New Roman" w:cs="Times New Roman"/>
        </w:rPr>
      </w:pPr>
      <w:r>
        <w:rPr>
          <w:rFonts w:eastAsia="Times New Roman" w:cs="Times New Roman"/>
          <w:smallCaps/>
        </w:rPr>
        <w:t>Judge Featherston</w:t>
      </w:r>
      <w:r>
        <w:rPr>
          <w:rFonts w:eastAsia="Times New Roman" w:cs="Times New Roman"/>
        </w:rPr>
        <w:t xml:space="preserve">: </w:t>
      </w:r>
      <w:bookmarkStart w:id="92" w:name="clsccl1"/>
      <w:bookmarkEnd w:id="92"/>
      <w:r>
        <w:rPr>
          <w:rFonts w:eastAsia="Times New Roman" w:cs="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Thus, his employer purchased a house across a 50-foot-wide street from the hotel and allowed Mr. Lindeman to live there rent-free. The government sought to include the fair rental value of the home in Mr. Lindeman’s Gross Income under § 61(a)(1).]</w:t>
      </w:r>
    </w:p>
    <w:p w:rsidR="0078310B" w:rsidRDefault="0078310B" w:rsidP="0078310B">
      <w:pPr>
        <w:widowControl w:val="0"/>
        <w:spacing w:after="120"/>
        <w:ind w:right="187" w:firstLine="288"/>
        <w:jc w:val="both"/>
        <w:rPr>
          <w:rFonts w:eastAsia="Times New Roman" w:cs="Times New Roman"/>
        </w:rPr>
      </w:pPr>
      <w:r w:rsidRPr="005A11FC">
        <w:rPr>
          <w:rFonts w:eastAsia="Times New Roman" w:cs="Times New Roman"/>
        </w:rPr>
        <w:t xml:space="preserve">As a general rule, all remuneration for services is </w:t>
      </w:r>
      <w:r>
        <w:rPr>
          <w:rFonts w:eastAsia="Times New Roman" w:cs="Times New Roman"/>
        </w:rPr>
        <w:t>Gross Income</w:t>
      </w:r>
      <w:r w:rsidRPr="005A11FC">
        <w:rPr>
          <w:rFonts w:eastAsia="Times New Roman" w:cs="Times New Roman"/>
        </w:rPr>
        <w:t>, and an empl</w:t>
      </w:r>
      <w:r>
        <w:rPr>
          <w:rFonts w:eastAsia="Times New Roman" w:cs="Times New Roman"/>
        </w:rPr>
        <w:t>oyee’</w:t>
      </w:r>
      <w:r w:rsidRPr="005A11FC">
        <w:rPr>
          <w:rFonts w:eastAsia="Times New Roman" w:cs="Times New Roman"/>
        </w:rPr>
        <w:t>s remuneration includes the value of lodging or living quarters</w:t>
      </w:r>
      <w:r>
        <w:rPr>
          <w:rFonts w:eastAsia="Times New Roman" w:cs="Times New Roman"/>
        </w:rPr>
        <w:t xml:space="preserve"> furnished by his employer. </w:t>
      </w:r>
      <w:r w:rsidRPr="00F96A09">
        <w:rPr>
          <w:rFonts w:eastAsia="Times New Roman" w:cs="Times New Roman"/>
          <w:i/>
        </w:rPr>
        <w:t>See</w:t>
      </w:r>
      <w:r>
        <w:rPr>
          <w:rFonts w:eastAsia="Times New Roman" w:cs="Times New Roman"/>
        </w:rPr>
        <w:t xml:space="preserve"> Treas. Reg. sec. 1.61-2(d)(1). However, section 119 excludes from an employee’</w:t>
      </w:r>
      <w:r w:rsidRPr="005A11FC">
        <w:rPr>
          <w:rFonts w:eastAsia="Times New Roman" w:cs="Times New Roman"/>
        </w:rPr>
        <w:t xml:space="preserve">s </w:t>
      </w:r>
      <w:r>
        <w:rPr>
          <w:rFonts w:eastAsia="Times New Roman" w:cs="Times New Roman"/>
        </w:rPr>
        <w:t>Gross Income</w:t>
      </w:r>
      <w:r w:rsidRPr="005A11FC">
        <w:rPr>
          <w:rFonts w:eastAsia="Times New Roman" w:cs="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cs="Times New Roman"/>
        </w:rPr>
        <w:t>oyment; and (3) the lodging is “</w:t>
      </w:r>
      <w:r w:rsidRPr="005A11FC">
        <w:rPr>
          <w:rFonts w:eastAsia="Times New Roman" w:cs="Times New Roman"/>
        </w:rPr>
        <w:t>on the bus</w:t>
      </w:r>
      <w:r>
        <w:rPr>
          <w:rFonts w:eastAsia="Times New Roman" w:cs="Times New Roman"/>
        </w:rPr>
        <w:t xml:space="preserve">iness premises” of the employer. </w:t>
      </w:r>
      <w:r w:rsidRPr="005A11FC">
        <w:rPr>
          <w:rFonts w:eastAsia="Times New Roman" w:cs="Times New Roman"/>
        </w:rPr>
        <w:t xml:space="preserve">The sole issue in the instant case is whether the house in which petitioner and his family </w:t>
      </w:r>
      <w:r>
        <w:rPr>
          <w:rFonts w:eastAsia="Times New Roman" w:cs="Times New Roman"/>
        </w:rPr>
        <w:t>lived during 1968 and 1969 was “</w:t>
      </w:r>
      <w:r w:rsidRPr="005A11FC">
        <w:rPr>
          <w:rFonts w:eastAsia="Times New Roman" w:cs="Times New Roman"/>
        </w:rPr>
        <w:t>on the business pre</w:t>
      </w:r>
      <w:r>
        <w:rPr>
          <w:rFonts w:eastAsia="Times New Roman" w:cs="Times New Roman"/>
        </w:rPr>
        <w:t>mises” of Beach Club Hotel.</w:t>
      </w:r>
    </w:p>
    <w:p w:rsidR="0078310B" w:rsidRDefault="0078310B" w:rsidP="0078310B">
      <w:pPr>
        <w:widowControl w:val="0"/>
        <w:spacing w:after="120"/>
        <w:ind w:right="187" w:firstLine="288"/>
        <w:jc w:val="both"/>
      </w:pPr>
      <w:r w:rsidRPr="005A11FC">
        <w:rPr>
          <w:rFonts w:eastAsia="Times New Roman" w:cs="Times New Roman"/>
        </w:rPr>
        <w:t>These deceptively simple wo</w:t>
      </w:r>
      <w:r>
        <w:rPr>
          <w:rFonts w:eastAsia="Times New Roman" w:cs="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58" w:history="1">
        <w:r w:rsidRPr="005A11FC">
          <w:t>42 T.C. 410 (1964)</w:t>
        </w:r>
      </w:hyperlink>
      <w:r w:rsidRPr="005A11FC">
        <w:t xml:space="preserve">, and </w:t>
      </w:r>
      <w:hyperlink r:id="rId159" w:history="1">
        <w:r w:rsidRPr="0096351D">
          <w:rPr>
            <w:i/>
          </w:rPr>
          <w:t>Gordon S. Dole</w:t>
        </w:r>
        <w:r w:rsidRPr="005A11FC">
          <w:t>, 43 T.C. 697 (1965)</w:t>
        </w:r>
      </w:hyperlink>
      <w:r w:rsidRPr="005A11FC">
        <w:t xml:space="preserve">, affirmed per curiam </w:t>
      </w:r>
      <w:hyperlink r:id="rId160" w:history="1">
        <w:r w:rsidRPr="005A11FC">
          <w:t>351 F.2d 308</w:t>
        </w:r>
      </w:hyperlink>
      <w:r w:rsidRPr="005A11FC">
        <w:t xml:space="preserve"> (C.A. 1, 1965)</w:t>
      </w:r>
      <w:r>
        <w:t>.</w:t>
      </w:r>
      <w:r w:rsidRPr="005A11FC">
        <w:t xml:space="preserve"> We examine anew the legislative history of </w:t>
      </w:r>
      <w:hyperlink r:id="rId161" w:history="1">
        <w:r w:rsidRPr="005A11FC">
          <w:t>section 119</w:t>
        </w:r>
      </w:hyperlink>
      <w:r w:rsidRPr="005A11FC">
        <w:t xml:space="preserve"> insofar as it bears on the issue presented for decision.</w:t>
      </w:r>
    </w:p>
    <w:p w:rsidR="0078310B" w:rsidRDefault="0078310B" w:rsidP="0078310B">
      <w:pPr>
        <w:widowControl w:val="0"/>
        <w:spacing w:after="120"/>
        <w:ind w:right="187" w:firstLine="288"/>
        <w:jc w:val="both"/>
        <w:rPr>
          <w:rFonts w:eastAsia="Times New Roman" w:cs="Times New Roman"/>
        </w:rPr>
      </w:pPr>
      <w:r w:rsidRPr="00EA364F">
        <w:t xml:space="preserve">The requirement of </w:t>
      </w:r>
      <w:hyperlink r:id="rId162" w:history="1">
        <w:r w:rsidRPr="00EA364F">
          <w:t>section 119</w:t>
        </w:r>
      </w:hyperlink>
      <w:r w:rsidRPr="00EA364F">
        <w:t xml:space="preserve"> that, </w:t>
      </w:r>
      <w:r w:rsidRPr="005A11FC">
        <w:rPr>
          <w:rFonts w:eastAsia="Times New Roman" w:cs="Times New Roman"/>
        </w:rPr>
        <w:t xml:space="preserve">to be excludable from </w:t>
      </w:r>
      <w:r>
        <w:rPr>
          <w:rFonts w:eastAsia="Times New Roman" w:cs="Times New Roman"/>
        </w:rPr>
        <w:t>Gross Income</w:t>
      </w:r>
      <w:r w:rsidRPr="005A11FC">
        <w:rPr>
          <w:rFonts w:eastAsia="Times New Roman" w:cs="Times New Roman"/>
        </w:rPr>
        <w:t>, lodging must be</w:t>
      </w:r>
      <w:r>
        <w:rPr>
          <w:rFonts w:eastAsia="Times New Roman" w:cs="Times New Roman"/>
        </w:rPr>
        <w:t xml:space="preserve"> furnished and accepted “on the business premises”</w:t>
      </w:r>
      <w:r w:rsidRPr="005A11FC">
        <w:rPr>
          <w:rFonts w:eastAsia="Times New Roman" w:cs="Times New Roman"/>
        </w:rPr>
        <w:t xml:space="preserve"> of the employer was first adopted as part of the 1954 Code. As passed by the House of Representati</w:t>
      </w:r>
      <w:r>
        <w:rPr>
          <w:rFonts w:eastAsia="Times New Roman" w:cs="Times New Roman"/>
        </w:rPr>
        <w:t>ves, the section used the term “place of employment” rather than “business premises.”</w:t>
      </w:r>
      <w:r w:rsidRPr="005A11FC">
        <w:rPr>
          <w:rFonts w:eastAsia="Times New Roman" w:cs="Times New Roman"/>
        </w:rPr>
        <w:t xml:space="preserve"> H. Rept. No. 1337, to accompany H.R. 8300 (Pub. L. No. 591), 83d Cong., 2d Sess., pp. 18, A39 (1954). </w:t>
      </w:r>
      <w:r>
        <w:rPr>
          <w:rFonts w:eastAsia="Times New Roman" w:cs="Times New Roman"/>
        </w:rPr>
        <w:t>The Senate changed the term to “business premises,”</w:t>
      </w:r>
      <w:r w:rsidRPr="005A11FC">
        <w:rPr>
          <w:rFonts w:eastAsia="Times New Roman" w:cs="Times New Roman"/>
        </w:rPr>
        <w:t xml:space="preserve"> but the acco</w:t>
      </w:r>
      <w:r>
        <w:rPr>
          <w:rFonts w:eastAsia="Times New Roman" w:cs="Times New Roman"/>
        </w:rPr>
        <w:t>mpanying report explained that “</w:t>
      </w:r>
      <w:r w:rsidRPr="005A11FC">
        <w:rPr>
          <w:rFonts w:eastAsia="Times New Roman" w:cs="Times New Roman"/>
        </w:rPr>
        <w:t>Under both bills meals and lodging are to be excluded from the employee's income if they are furnished at the place of employment and the employee is required to</w:t>
      </w:r>
      <w:r>
        <w:rPr>
          <w:rFonts w:eastAsia="Times New Roman" w:cs="Times New Roman"/>
        </w:rPr>
        <w:t xml:space="preserve"> meet certain other conditions.”</w:t>
      </w:r>
      <w:r w:rsidRPr="005A11FC">
        <w:rPr>
          <w:rFonts w:eastAsia="Times New Roman" w:cs="Times New Roman"/>
        </w:rPr>
        <w:t xml:space="preserve"> S. Rept. No. 1622, to accompany H. R. 8300 (Pub. L. No. 591), 83d Cong., 2d S</w:t>
      </w:r>
      <w:r>
        <w:rPr>
          <w:rFonts w:eastAsia="Times New Roman" w:cs="Times New Roman"/>
        </w:rPr>
        <w:t>ess., pp. 19, 190-191 (1954).</w:t>
      </w:r>
    </w:p>
    <w:p w:rsidR="0078310B" w:rsidRDefault="0078310B" w:rsidP="0078310B">
      <w:pPr>
        <w:widowControl w:val="0"/>
        <w:spacing w:after="120"/>
        <w:ind w:right="187" w:firstLine="288"/>
        <w:jc w:val="both"/>
        <w:rPr>
          <w:rFonts w:eastAsia="Times New Roman" w:cs="Times New Roman"/>
        </w:rPr>
      </w:pPr>
      <w:r w:rsidRPr="005A11FC">
        <w:rPr>
          <w:rFonts w:eastAsia="Times New Roman" w:cs="Times New Roman"/>
        </w:rPr>
        <w:t>The Senate version was adopted with the following explanation in Conf. Rept. No. 2543, 83d Cong., 2d Sess., p. 27 (1954):</w:t>
      </w:r>
    </w:p>
    <w:p w:rsidR="0078310B" w:rsidRDefault="0078310B" w:rsidP="0078310B">
      <w:pPr>
        <w:widowControl w:val="0"/>
        <w:spacing w:after="120"/>
        <w:ind w:left="720" w:right="720"/>
        <w:jc w:val="both"/>
        <w:rPr>
          <w:rFonts w:eastAsia="Times New Roman" w:cs="Times New Roman"/>
        </w:rPr>
      </w:pPr>
      <w:r>
        <w:rPr>
          <w:rFonts w:eastAsia="Times New Roman" w:cs="Times New Roman"/>
        </w:rPr>
        <w:t>The term “</w:t>
      </w:r>
      <w:r w:rsidRPr="005A11FC">
        <w:rPr>
          <w:rFonts w:eastAsia="Times New Roman" w:cs="Times New Roman"/>
        </w:rPr>
        <w:t>bu</w:t>
      </w:r>
      <w:r>
        <w:rPr>
          <w:rFonts w:eastAsia="Times New Roman" w:cs="Times New Roman"/>
        </w:rPr>
        <w:t>siness premises of the employer”</w:t>
      </w:r>
      <w:r w:rsidRPr="005A11FC">
        <w:rPr>
          <w:rFonts w:eastAsia="Times New Roman" w:cs="Times New Roman"/>
        </w:rPr>
        <w:t xml:space="preserve"> is intended, in general, to have the same effect a</w:t>
      </w:r>
      <w:r>
        <w:rPr>
          <w:rFonts w:eastAsia="Times New Roman" w:cs="Times New Roman"/>
        </w:rPr>
        <w:t>s the term “place of employment”</w:t>
      </w:r>
      <w:r w:rsidRPr="005A11FC">
        <w:rPr>
          <w:rFonts w:eastAsia="Times New Roman" w:cs="Times New Roman"/>
        </w:rPr>
        <w:t xml:space="preserve"> in the House bill. For example, lodging furnished in the home to a domestic serva</w:t>
      </w:r>
      <w:r>
        <w:rPr>
          <w:rFonts w:eastAsia="Times New Roman" w:cs="Times New Roman"/>
        </w:rPr>
        <w:t xml:space="preserve">nt would be considered lodging  </w:t>
      </w:r>
      <w:r w:rsidRPr="005A11FC">
        <w:rPr>
          <w:rFonts w:eastAsia="Times New Roman" w:cs="Times New Roman"/>
        </w:rPr>
        <w:t>furnished on the business premises of the employer. Similarly, meals furnished to a cow</w:t>
      </w:r>
      <w:r>
        <w:rPr>
          <w:rFonts w:eastAsia="Times New Roman" w:cs="Times New Roman"/>
        </w:rPr>
        <w:t>hand while herding his employer’</w:t>
      </w:r>
      <w:r w:rsidRPr="005A11FC">
        <w:rPr>
          <w:rFonts w:eastAsia="Times New Roman" w:cs="Times New Roman"/>
        </w:rPr>
        <w:t>s cattle on leased lands, or on national forest lands used under a permit, would also be regarded as furnished on the business premises of the employer. * * *</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 xml:space="preserve">As in the case of other exclusions from </w:t>
      </w:r>
      <w:r>
        <w:rPr>
          <w:rFonts w:eastAsia="Times New Roman" w:cs="Times New Roman"/>
        </w:rPr>
        <w:t>Gross Income</w:t>
      </w:r>
      <w:r w:rsidRPr="005A11FC">
        <w:rPr>
          <w:rFonts w:eastAsia="Times New Roman" w:cs="Times New Roman"/>
        </w:rPr>
        <w:t xml:space="preserve">, this one is subject to abuse, and the statutory language must be construed with this thought in mind. Accordingly, </w:t>
      </w:r>
      <w:bookmarkStart w:id="93" w:name="clsccl3"/>
      <w:bookmarkEnd w:id="93"/>
      <w:r w:rsidRPr="005A11FC">
        <w:rPr>
          <w:rFonts w:eastAsia="Times New Roman" w:cs="Times New Roman"/>
        </w:rPr>
        <w:t>the</w:t>
      </w:r>
      <w:r>
        <w:rPr>
          <w:rFonts w:eastAsia="Times New Roman" w:cs="Times New Roman"/>
        </w:rPr>
        <w:t xml:space="preserve"> term “on”</w:t>
      </w:r>
      <w:r w:rsidRPr="005A11FC">
        <w:rPr>
          <w:rFonts w:eastAsia="Times New Roman" w:cs="Times New Roman"/>
        </w:rPr>
        <w:t xml:space="preserve"> in relation to the employer</w:t>
      </w:r>
      <w:r>
        <w:rPr>
          <w:rFonts w:eastAsia="Times New Roman" w:cs="Times New Roman"/>
        </w:rPr>
        <w:t>’</w:t>
      </w:r>
      <w:r w:rsidRPr="005A11FC">
        <w:rPr>
          <w:rFonts w:eastAsia="Times New Roman" w:cs="Times New Roman"/>
        </w:rPr>
        <w:t>s b</w:t>
      </w:r>
      <w:r>
        <w:rPr>
          <w:rFonts w:eastAsia="Times New Roman" w:cs="Times New Roman"/>
        </w:rPr>
        <w:t>usiness premises does not mean “in the vicinity of” or “nearby”</w:t>
      </w:r>
      <w:r w:rsidRPr="005A11FC">
        <w:rPr>
          <w:rFonts w:eastAsia="Times New Roman" w:cs="Times New Roman"/>
        </w:rPr>
        <w:t xml:space="preserve"> or </w:t>
      </w:r>
      <w:r>
        <w:rPr>
          <w:rFonts w:eastAsia="Times New Roman" w:cs="Times New Roman"/>
        </w:rPr>
        <w:t>“close to” or “contiguous to”</w:t>
      </w:r>
      <w:r w:rsidRPr="00EA364F">
        <w:t xml:space="preserve"> or similar language, but is to be read literally. </w:t>
      </w:r>
      <w:hyperlink r:id="rId163"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cs="Times New Roman"/>
        </w:rPr>
        <w:t xml:space="preserve">lodging is furnished at a location some distance from the place where the employee works, the lodging is not </w:t>
      </w:r>
      <w:r>
        <w:rPr>
          <w:rFonts w:eastAsia="Times New Roman" w:cs="Times New Roman"/>
        </w:rPr>
        <w:t>furnished on his employer’</w:t>
      </w:r>
      <w:r w:rsidRPr="005A11FC">
        <w:rPr>
          <w:rFonts w:eastAsia="Times New Roman" w:cs="Times New Roman"/>
        </w:rPr>
        <w:t>s business premises.</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In de</w:t>
      </w:r>
      <w:r>
        <w:rPr>
          <w:rFonts w:eastAsia="Times New Roman" w:cs="Times New Roman"/>
        </w:rPr>
        <w:t>termining what are the employer’s “business premises,”</w:t>
      </w:r>
      <w:r w:rsidRPr="005A11FC">
        <w:rPr>
          <w:rFonts w:eastAsia="Times New Roman" w:cs="Times New Roman"/>
        </w:rPr>
        <w:t xml:space="preserve"> Congress quite obviously intended a commonsense approach. Read literally, the statutory language ordinarily would not permit any exclusion for lodging furnished a domestic servant</w:t>
      </w:r>
      <w:r>
        <w:rPr>
          <w:rFonts w:eastAsia="Times New Roman" w:cs="Times New Roman"/>
        </w:rPr>
        <w:t>, since a servant’</w:t>
      </w:r>
      <w:r w:rsidRPr="005A11FC">
        <w:rPr>
          <w:rFonts w:eastAsia="Times New Roman" w:cs="Times New Roman"/>
        </w:rPr>
        <w:t xml:space="preserve">s </w:t>
      </w:r>
      <w:r>
        <w:rPr>
          <w:rFonts w:eastAsia="Times New Roman" w:cs="Times New Roman"/>
        </w:rPr>
        <w:t>lodging is rarely furnished on “</w:t>
      </w:r>
      <w:r w:rsidRPr="005A11FC">
        <w:rPr>
          <w:rFonts w:eastAsia="Times New Roman" w:cs="Times New Roman"/>
        </w:rPr>
        <w:t>the business premises of his </w:t>
      </w:r>
      <w:r>
        <w:rPr>
          <w:rFonts w:eastAsia="Times New Roman" w:cs="Times New Roman"/>
        </w:rPr>
        <w:t>employer”</w:t>
      </w:r>
      <w:r w:rsidRPr="005A11FC">
        <w:rPr>
          <w:rFonts w:eastAsia="Times New Roman" w:cs="Times New Roman"/>
        </w:rPr>
        <w:t xml:space="preserve">; yet the committee report, quoted above, shows a clear intention to allow </w:t>
      </w:r>
      <w:r>
        <w:rPr>
          <w:rFonts w:eastAsia="Times New Roman" w:cs="Times New Roman"/>
        </w:rPr>
        <w:t>the exclusion where the servant’</w:t>
      </w:r>
      <w:r w:rsidRPr="005A11FC">
        <w:rPr>
          <w:rFonts w:eastAsia="Times New Roman" w:cs="Times New Roman"/>
        </w:rPr>
        <w:t>s lodgi</w:t>
      </w:r>
      <w:r>
        <w:rPr>
          <w:rFonts w:eastAsia="Times New Roman" w:cs="Times New Roman"/>
        </w:rPr>
        <w:t>ng is furnished in the employer’</w:t>
      </w:r>
      <w:r w:rsidRPr="005A11FC">
        <w:rPr>
          <w:rFonts w:eastAsia="Times New Roman" w:cs="Times New Roman"/>
        </w:rPr>
        <w:t>s home. Similarly, the section, as a condition to the exclusion, does not require that the meals or lodging be furnished at any part</w:t>
      </w:r>
      <w:r>
        <w:rPr>
          <w:rFonts w:eastAsia="Times New Roman" w:cs="Times New Roman"/>
        </w:rPr>
        <w:t>icular location on the employer’</w:t>
      </w:r>
      <w:r w:rsidRPr="005A11FC">
        <w:rPr>
          <w:rFonts w:eastAsia="Times New Roman" w:cs="Times New Roman"/>
        </w:rPr>
        <w:t>s property; thus, the same committee report clearly states that meals provided for a cowhand are excludable even though they are furnished on leased lands or</w:t>
      </w:r>
      <w:r>
        <w:rPr>
          <w:rFonts w:eastAsia="Times New Roman" w:cs="Times New Roman"/>
        </w:rPr>
        <w:t xml:space="preserve"> on lands used under a permit.</w:t>
      </w:r>
    </w:p>
    <w:p w:rsidR="0078310B" w:rsidRDefault="0078310B" w:rsidP="0078310B">
      <w:pPr>
        <w:widowControl w:val="0"/>
        <w:spacing w:after="120"/>
        <w:ind w:firstLine="288"/>
        <w:jc w:val="both"/>
      </w:pPr>
      <w:r w:rsidRPr="005A11FC">
        <w:rPr>
          <w:rFonts w:eastAsia="Times New Roman" w:cs="Times New Roman"/>
        </w:rPr>
        <w:t xml:space="preserve">These illustrations in the committee report, moreover, demonstrate that </w:t>
      </w:r>
      <w:bookmarkStart w:id="94" w:name="clsccl5"/>
      <w:bookmarkEnd w:id="94"/>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cs="Times New Roman"/>
        </w:rPr>
        <w:t>es not embody a requirement that the meals or lodging be furnished in the princip</w:t>
      </w:r>
      <w:r>
        <w:rPr>
          <w:rFonts w:eastAsia="Times New Roman" w:cs="Times New Roman"/>
        </w:rPr>
        <w:t>al structure on the employer’</w:t>
      </w:r>
      <w:r w:rsidRPr="005A11FC">
        <w:rPr>
          <w:rFonts w:eastAsia="Times New Roman" w:cs="Times New Roman"/>
        </w:rPr>
        <w:t xml:space="preserve">s business premises. Thus, the committee report makes it </w:t>
      </w:r>
      <w:r>
        <w:rPr>
          <w:rFonts w:eastAsia="Times New Roman" w:cs="Times New Roman"/>
        </w:rPr>
        <w:t>explicitly clear that a cowhand’</w:t>
      </w:r>
      <w:r w:rsidRPr="005A11FC">
        <w:rPr>
          <w:rFonts w:eastAsia="Times New Roman" w:cs="Times New Roman"/>
        </w:rPr>
        <w:t>s meals and lodging need not be furnished at the ranch headquarters. And surely the right of a domestic servant to t</w:t>
      </w:r>
      <w:r w:rsidRPr="00EA364F">
        <w:t xml:space="preserve">he </w:t>
      </w:r>
      <w:hyperlink r:id="rId164" w:history="1">
        <w:r w:rsidRPr="00EA364F">
          <w:t>section 119</w:t>
        </w:r>
      </w:hyperlink>
      <w:r w:rsidRPr="00EA364F">
        <w:t xml:space="preserve"> exclu</w:t>
      </w:r>
      <w:r w:rsidRPr="005A11FC">
        <w:rPr>
          <w:rFonts w:eastAsia="Times New Roman" w:cs="Times New Roman"/>
        </w:rPr>
        <w:t>sion cannot be made to turn on whether his lodging is furnished in the family residence or in servants</w:t>
      </w:r>
      <w:r>
        <w:rPr>
          <w:rFonts w:eastAsia="Times New Roman" w:cs="Times New Roman"/>
        </w:rPr>
        <w:t>’</w:t>
      </w:r>
      <w:r w:rsidRPr="005A11FC">
        <w:rPr>
          <w:rFonts w:eastAsia="Times New Roman" w:cs="Times New Roman"/>
        </w:rPr>
        <w:t xml:space="preserve"> quarters located elsewhere on the </w:t>
      </w:r>
      <w:r w:rsidRPr="002D5467">
        <w:t xml:space="preserve">estate. Indeed, in </w:t>
      </w:r>
      <w:hyperlink r:id="rId165" w:history="1">
        <w:r>
          <w:rPr>
            <w:i/>
          </w:rPr>
          <w:t>Boykin v. Commissione</w:t>
        </w:r>
        <w:r w:rsidRPr="00002405">
          <w:rPr>
            <w:i/>
          </w:rPr>
          <w:t>r</w:t>
        </w:r>
        <w:r w:rsidRPr="002D5467">
          <w:t>, 260 F.2d 249</w:t>
        </w:r>
      </w:hyperlink>
      <w:r w:rsidRPr="002D5467">
        <w:t xml:space="preserve"> (</w:t>
      </w:r>
      <w:r w:rsidRPr="005A11FC">
        <w:rPr>
          <w:rFonts w:eastAsia="Times New Roman" w:cs="Times New Roman"/>
        </w:rPr>
        <w:t>C.A. 8, 1958), affirming in part and  </w:t>
      </w:r>
      <w:r w:rsidRPr="002D5467">
        <w:t xml:space="preserve">reversing in part </w:t>
      </w:r>
      <w:hyperlink r:id="rId166" w:history="1">
        <w:r w:rsidRPr="002D5467">
          <w:t>29 T.C. 813 (1958)</w:t>
        </w:r>
      </w:hyperlink>
      <w:r w:rsidRPr="002D5467">
        <w:t>, the Co</w:t>
      </w:r>
      <w:r w:rsidRPr="005A11FC">
        <w:rPr>
          <w:rFonts w:eastAsia="Times New Roman" w:cs="Times New Roman"/>
        </w:rPr>
        <w:t>mmissioner at least impli</w:t>
      </w:r>
      <w:r>
        <w:rPr>
          <w:rFonts w:eastAsia="Times New Roman" w:cs="Times New Roman"/>
        </w:rPr>
        <w:t>citly conceded that a physician’</w:t>
      </w:r>
      <w:r w:rsidRPr="005A11FC">
        <w:rPr>
          <w:rFonts w:eastAsia="Times New Roman" w:cs="Times New Roman"/>
        </w:rPr>
        <w:t>s living quarters, located on the grounds of a Veterans Administration H</w:t>
      </w:r>
      <w:r>
        <w:rPr>
          <w:rFonts w:eastAsia="Times New Roman" w:cs="Times New Roman"/>
        </w:rPr>
        <w:t>ospital, were on his employer’</w:t>
      </w:r>
      <w:r w:rsidRPr="005A11FC">
        <w:rPr>
          <w:rFonts w:eastAsia="Times New Roman" w:cs="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67" w:history="1">
        <w:r w:rsidRPr="002D5467">
          <w:t>Rev. Rul. 71-411, 1971-2 C.B. 103</w:t>
        </w:r>
      </w:hyperlink>
      <w:r w:rsidRPr="002D5467">
        <w:t>.</w:t>
      </w:r>
    </w:p>
    <w:p w:rsidR="0078310B" w:rsidRDefault="0078310B" w:rsidP="0078310B">
      <w:pPr>
        <w:widowControl w:val="0"/>
        <w:spacing w:after="120"/>
        <w:ind w:firstLine="288"/>
        <w:jc w:val="both"/>
      </w:pPr>
      <w:r w:rsidRPr="005A11FC">
        <w:rPr>
          <w:rFonts w:eastAsia="Times New Roman" w:cs="Times New Roman"/>
        </w:rPr>
        <w:t>The issue as to the extent or the boundaries of the business premises in each case is a factual issue, and in resolving that question consideratio</w:t>
      </w:r>
      <w:r>
        <w:rPr>
          <w:rFonts w:eastAsia="Times New Roman" w:cs="Times New Roman"/>
        </w:rPr>
        <w:t>n must be given to the employee’</w:t>
      </w:r>
      <w:r w:rsidRPr="005A11FC">
        <w:rPr>
          <w:rFonts w:eastAsia="Times New Roman" w:cs="Times New Roman"/>
        </w:rPr>
        <w:t>s duties as well a</w:t>
      </w:r>
      <w:r>
        <w:rPr>
          <w:rFonts w:eastAsia="Times New Roman" w:cs="Times New Roman"/>
        </w:rPr>
        <w:t>s the nature of the employer’</w:t>
      </w:r>
      <w:r w:rsidRPr="005A11FC">
        <w:rPr>
          <w:rFonts w:eastAsia="Times New Roman" w:cs="Times New Roman"/>
        </w:rPr>
        <w:t>s business</w:t>
      </w:r>
      <w:r w:rsidRPr="002D5467">
        <w:t xml:space="preserve">. The </w:t>
      </w:r>
      <w:hyperlink r:id="rId168"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9" w:history="1">
        <w:r w:rsidRPr="00002405">
          <w:rPr>
            <w:i/>
          </w:rPr>
          <w:t>Comm’r v. Anderson</w:t>
        </w:r>
        <w:r w:rsidRPr="002D5467">
          <w:t>, 371 F.2d at 67</w:t>
        </w:r>
      </w:hyperlink>
      <w:r w:rsidRPr="002D5467">
        <w:t xml:space="preserve">. Or, in the words of this Court in </w:t>
      </w:r>
      <w:hyperlink r:id="rId170"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We think petitioner has shown that the house which his employer furnished him during 1968 and 1</w:t>
      </w:r>
      <w:r>
        <w:rPr>
          <w:rFonts w:eastAsia="Times New Roman" w:cs="Times New Roman"/>
        </w:rPr>
        <w:t>969 was part and parcel of the “business premises”</w:t>
      </w:r>
      <w:r w:rsidRPr="005A11FC">
        <w:rPr>
          <w:rFonts w:eastAsia="Times New Roman" w:cs="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cs="Times New Roman"/>
        </w:rPr>
        <w:t>r.</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There is a large parking lot on the property where the hotel building is located, but it is by no means adequate to meet the needs of the hotel guests. The parking lot situated across Oakla</w:t>
      </w:r>
      <w:r>
        <w:rPr>
          <w:rFonts w:eastAsia="Times New Roman" w:cs="Times New Roman"/>
        </w:rPr>
        <w:t xml:space="preserve">nd Park Boulevard </w:t>
      </w:r>
      <w:r w:rsidRPr="005A11FC">
        <w:rPr>
          <w:rFonts w:eastAsia="Times New Roman" w:cs="Times New Roman"/>
        </w:rPr>
        <w:t>is used by hotel guests and employees and is essential to the operation of the hotel business. Even though these lots are across a street from the hotel building, they are o</w:t>
      </w:r>
      <w:r>
        <w:rPr>
          <w:rFonts w:eastAsia="Times New Roman" w:cs="Times New Roman"/>
        </w:rPr>
        <w:t>bviously as much a part of the “business premises”</w:t>
      </w:r>
      <w:r w:rsidRPr="005A11FC">
        <w:rPr>
          <w:rFonts w:eastAsia="Times New Roman" w:cs="Times New Roman"/>
        </w:rPr>
        <w:t xml:space="preserve"> of the hotel as the parking area located</w:t>
      </w:r>
      <w:r>
        <w:rPr>
          <w:rFonts w:eastAsia="Times New Roman" w:cs="Times New Roman"/>
        </w:rPr>
        <w:t xml:space="preserve"> on the lot at 3100 North Ocean </w:t>
      </w:r>
      <w:r w:rsidRPr="005A11FC">
        <w:rPr>
          <w:rFonts w:eastAsia="Times New Roman" w:cs="Times New Roman"/>
        </w:rPr>
        <w:t>Boulevard.</w:t>
      </w:r>
    </w:p>
    <w:p w:rsidR="0078310B" w:rsidRDefault="0078310B" w:rsidP="0078310B">
      <w:pPr>
        <w:widowControl w:val="0"/>
        <w:spacing w:after="120"/>
        <w:ind w:firstLine="288"/>
        <w:jc w:val="both"/>
      </w:pPr>
      <w:r w:rsidRPr="005A11FC">
        <w:rPr>
          <w:rFonts w:eastAsia="Times New Roman" w:cs="Times New Roman"/>
        </w:rPr>
        <w:t>Similarly, we think the house in which pet</w:t>
      </w:r>
      <w:r>
        <w:rPr>
          <w:rFonts w:eastAsia="Times New Roman" w:cs="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Moreover, the nature of the Beach Club Hotel business is such as to require the general manager to live where he is immediately accessible at al</w:t>
      </w:r>
      <w:r>
        <w:rPr>
          <w:rFonts w:eastAsia="Times New Roman" w:cs="Times New Roman"/>
        </w:rPr>
        <w:t>l hours, and the house</w:t>
      </w:r>
      <w:r w:rsidRPr="005A11FC">
        <w:rPr>
          <w:rFonts w:eastAsia="Times New Roman" w:cs="Times New Roman"/>
        </w:rPr>
        <w:t xml:space="preserve"> meets this need. It is stipulated that:</w:t>
      </w:r>
    </w:p>
    <w:p w:rsidR="0078310B" w:rsidRDefault="0078310B" w:rsidP="0078310B">
      <w:pPr>
        <w:widowControl w:val="0"/>
        <w:spacing w:after="120"/>
        <w:ind w:left="720" w:right="720"/>
        <w:jc w:val="both"/>
        <w:rPr>
          <w:rFonts w:eastAsia="Times New Roman" w:cs="Times New Roman"/>
        </w:rPr>
      </w:pPr>
      <w:r w:rsidRPr="005A11FC">
        <w:rPr>
          <w:rFonts w:eastAsia="Times New Roman" w:cs="Times New Roman"/>
        </w:rPr>
        <w:t>In 1963, after a cost study, Beach Hotel Corporation determined it should be more profitable to purchase or rent accom</w:t>
      </w:r>
      <w:r>
        <w:rPr>
          <w:rFonts w:eastAsia="Times New Roman" w:cs="Times New Roman"/>
        </w:rPr>
        <w:t>m</w:t>
      </w:r>
      <w:r w:rsidRPr="005A11FC">
        <w:rPr>
          <w:rFonts w:eastAsia="Times New Roman" w:cs="Times New Roman"/>
        </w:rPr>
        <w:t>odations [sic] for * * * [petitioner] and his family as close to the hotel as possible and have the suite of four rooms he was occupying available to be rented.</w:t>
      </w:r>
    </w:p>
    <w:p w:rsidR="0078310B" w:rsidRDefault="0078310B" w:rsidP="0078310B">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71"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172" w:history="1">
        <w:r w:rsidRPr="002D5467">
          <w:t>section 119</w:t>
        </w:r>
      </w:hyperlink>
      <w:r w:rsidRPr="002D5467">
        <w:t xml:space="preserve"> exclusion.</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The house is so situated and so used that it is part of th</w:t>
      </w:r>
      <w:r>
        <w:rPr>
          <w:rFonts w:eastAsia="Times New Roman" w:cs="Times New Roman"/>
        </w:rPr>
        <w:t>e hotel plant. While petitioner’</w:t>
      </w:r>
      <w:r w:rsidRPr="005A11FC">
        <w:rPr>
          <w:rFonts w:eastAsia="Times New Roman" w:cs="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cs="Times New Roman"/>
        </w:rPr>
        <w:t>h half of the building and can “</w:t>
      </w:r>
      <w:r w:rsidRPr="005A11FC">
        <w:rPr>
          <w:rFonts w:eastAsia="Times New Roman" w:cs="Times New Roman"/>
        </w:rPr>
        <w:t xml:space="preserve">tell if there is a disturbance of any kind, see if lights are on </w:t>
      </w:r>
      <w:r>
        <w:rPr>
          <w:rFonts w:eastAsia="Times New Roman" w:cs="Times New Roman"/>
        </w:rPr>
        <w:t>or off, if the night lights don’</w:t>
      </w:r>
      <w:r w:rsidRPr="005A11FC">
        <w:rPr>
          <w:rFonts w:eastAsia="Times New Roman" w:cs="Times New Roman"/>
        </w:rPr>
        <w:t>t come on early enough,</w:t>
      </w:r>
      <w:r>
        <w:rPr>
          <w:rFonts w:eastAsia="Times New Roman" w:cs="Times New Roman"/>
        </w:rPr>
        <w:t>”</w:t>
      </w:r>
      <w:r w:rsidRPr="005A11FC">
        <w:rPr>
          <w:rFonts w:eastAsia="Times New Roman" w:cs="Times New Roman"/>
        </w:rPr>
        <w:t xml:space="preserve"> and the like.</w:t>
      </w:r>
    </w:p>
    <w:p w:rsidR="0078310B" w:rsidRDefault="0078310B" w:rsidP="0078310B">
      <w:pPr>
        <w:widowControl w:val="0"/>
        <w:spacing w:after="120"/>
        <w:ind w:firstLine="288"/>
        <w:jc w:val="both"/>
        <w:rPr>
          <w:rFonts w:eastAsia="Times New Roman" w:cs="Times New Roman"/>
        </w:rPr>
      </w:pPr>
      <w:r w:rsidRPr="005A11FC">
        <w:rPr>
          <w:rFonts w:eastAsia="Times New Roman" w:cs="Times New Roman"/>
        </w:rPr>
        <w:t xml:space="preserve">While petitioner does most of his management work in his office in the hotel building, he also has </w:t>
      </w:r>
      <w:r>
        <w:rPr>
          <w:rFonts w:eastAsia="Times New Roman" w:cs="Times New Roman"/>
        </w:rPr>
        <w:t>an office in the house</w:t>
      </w:r>
      <w:r w:rsidRPr="005A11FC">
        <w:rPr>
          <w:rFonts w:eastAsia="Times New Roman" w:cs="Times New Roman"/>
        </w:rPr>
        <w:t>. In this latter office in his home, he receives calls from the hotel personnel or guests on the direct telephone line from the hotel while he is not on regular duty. He also uses this office when he is working on new brochures or rate structures and when he is planning a program for fu</w:t>
      </w:r>
      <w:r>
        <w:rPr>
          <w:rFonts w:eastAsia="Times New Roman" w:cs="Times New Roman"/>
        </w:rPr>
        <w:t>ture hotel activities, such as “</w:t>
      </w:r>
      <w:r w:rsidRPr="005A11FC">
        <w:rPr>
          <w:rFonts w:eastAsia="Times New Roman" w:cs="Times New Roman"/>
        </w:rPr>
        <w:t>cook-outs, games, picnics on the beach, cocktail p</w:t>
      </w:r>
      <w:r>
        <w:rPr>
          <w:rFonts w:eastAsia="Times New Roman" w:cs="Times New Roman"/>
        </w:rPr>
        <w:t>arties, and this sort of thing.”</w:t>
      </w:r>
      <w:r w:rsidRPr="005A11FC">
        <w:rPr>
          <w:rFonts w:eastAsia="Times New Roman" w:cs="Times New Roman"/>
        </w:rPr>
        <w:t xml:space="preserve"> In addition, he occasionally e</w:t>
      </w:r>
      <w:r>
        <w:rPr>
          <w:rFonts w:eastAsia="Times New Roman" w:cs="Times New Roman"/>
        </w:rPr>
        <w:t>ntertains a guest of the hotel.</w:t>
      </w:r>
      <w:r>
        <w:rPr>
          <w:rStyle w:val="FootnoteReference"/>
          <w:rFonts w:eastAsia="Times New Roman" w:cs="Times New Roman"/>
        </w:rPr>
        <w:footnoteReference w:customMarkFollows="1" w:id="213"/>
        <w:t>[5]</w:t>
      </w:r>
    </w:p>
    <w:p w:rsidR="0078310B" w:rsidRDefault="0078310B" w:rsidP="0078310B">
      <w:pPr>
        <w:widowControl w:val="0"/>
        <w:spacing w:after="120"/>
        <w:ind w:firstLine="288"/>
        <w:jc w:val="both"/>
        <w:rPr>
          <w:rFonts w:eastAsia="Times New Roman" w:cs="Times New Roman"/>
        </w:rPr>
      </w:pPr>
      <w:r w:rsidRPr="002D5467">
        <w:t xml:space="preserve">In our view, these facts demonstrate that the lodging furnished petitioner is, within the meaning of </w:t>
      </w:r>
      <w:hyperlink r:id="rId173"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74" w:history="1">
        <w:r w:rsidRPr="002D5467">
          <w:t>section 119</w:t>
        </w:r>
      </w:hyperlink>
      <w:r w:rsidRPr="005A11FC">
        <w:rPr>
          <w:rFonts w:eastAsia="Times New Roman" w:cs="Times New Roman"/>
        </w:rPr>
        <w:t xml:space="preserve"> exclusion.</w:t>
      </w:r>
    </w:p>
    <w:p w:rsidR="0078310B" w:rsidRDefault="002B3596" w:rsidP="0078310B">
      <w:pPr>
        <w:widowControl w:val="0"/>
        <w:ind w:firstLine="288"/>
        <w:jc w:val="both"/>
        <w:rPr>
          <w:rFonts w:eastAsia="Times New Roman" w:cs="Times New Roman"/>
        </w:rPr>
      </w:pPr>
      <w:hyperlink r:id="rId175" w:history="1">
        <w:r w:rsidR="0078310B" w:rsidRPr="000737CD">
          <w:rPr>
            <w:i/>
          </w:rPr>
          <w:t>Commissioner v. Anderson</w:t>
        </w:r>
        <w:r w:rsidR="0078310B" w:rsidRPr="002D5467">
          <w:t>, 371 F.2d 59</w:t>
        </w:r>
      </w:hyperlink>
      <w:r w:rsidR="0078310B" w:rsidRPr="002D5467">
        <w:t xml:space="preserve"> (C.A. 6, 1966), on which respondent relies, is factually distinguishable. In that case, the hous</w:t>
      </w:r>
      <w:r w:rsidR="0078310B">
        <w:t>ing furnished the employee was “</w:t>
      </w:r>
      <w:r w:rsidR="0078310B" w:rsidRPr="002D5467">
        <w:t>two short blo</w:t>
      </w:r>
      <w:r w:rsidR="0078310B">
        <w:rPr>
          <w:rFonts w:eastAsia="Times New Roman" w:cs="Times New Roman"/>
        </w:rPr>
        <w:t>cks”</w:t>
      </w:r>
      <w:r w:rsidR="0078310B" w:rsidRPr="005A11FC">
        <w:rPr>
          <w:rFonts w:eastAsia="Times New Roman" w:cs="Times New Roman"/>
        </w:rPr>
        <w:t xml:space="preserve"> from the fa</w:t>
      </w:r>
      <w:r w:rsidR="0078310B">
        <w:rPr>
          <w:rFonts w:eastAsia="Times New Roman" w:cs="Times New Roman"/>
        </w:rPr>
        <w:t>cility being managed by the tax</w:t>
      </w:r>
      <w:r w:rsidR="0078310B" w:rsidRPr="005A11FC">
        <w:rPr>
          <w:rFonts w:eastAsia="Times New Roman" w:cs="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rsidR="0078310B" w:rsidRDefault="0078310B" w:rsidP="0078310B">
      <w:pPr>
        <w:widowControl w:val="0"/>
        <w:jc w:val="center"/>
      </w:pPr>
      <w:r>
        <w:t>______________________________________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rsidR="0078310B" w:rsidRDefault="0078310B" w:rsidP="0078310B">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4"/>
      </w:r>
      <w:r>
        <w:t xml:space="preserve"> which one tax professor</w:t>
      </w:r>
      <w:r>
        <w:rPr>
          <w:rStyle w:val="FootnoteReference"/>
        </w:rPr>
        <w:footnoteReference w:id="215"/>
      </w:r>
      <w:r>
        <w:t xml:space="preserve"> described thusly: </w:t>
      </w:r>
    </w:p>
    <w:p w:rsidR="0078310B" w:rsidRPr="0076459C" w:rsidRDefault="0078310B" w:rsidP="0078310B">
      <w:pPr>
        <w:widowControl w:val="0"/>
        <w:spacing w:after="120"/>
        <w:ind w:left="720" w:right="720"/>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t>Famous Events in Tax History</w:t>
      </w:r>
      <w:r>
        <w:t xml:space="preserve">, 1 </w:t>
      </w:r>
      <w:r>
        <w:rPr>
          <w:smallCaps/>
        </w:rPr>
        <w:t>Tax Notes Int’l</w:t>
      </w:r>
      <w:r>
        <w:t xml:space="preserve"> 260 (1989).</w:t>
      </w:r>
    </w:p>
    <w:p w:rsidR="0078310B" w:rsidRDefault="0078310B" w:rsidP="0078310B">
      <w:pPr>
        <w:widowControl w:val="0"/>
        <w:spacing w:after="120"/>
        <w:ind w:firstLine="288"/>
        <w:jc w:val="both"/>
      </w:pPr>
      <w:r>
        <w:t>Is Mr. Benaglia’s exclusion</w:t>
      </w:r>
      <w:r w:rsidR="00DC573C">
        <w:t>—very different from the soldiers and sailors at sea with which the common law doctrine originated—</w:t>
      </w:r>
      <w:r>
        <w:t>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in reaching Taxable Income</w:t>
      </w:r>
      <w:r w:rsidRPr="003C2CA2">
        <w:t>).</w:t>
      </w:r>
      <w:r>
        <w:t xml:space="preserve"> I</w:t>
      </w:r>
      <w:r w:rsidRPr="003C2CA2">
        <w:t xml:space="preserve">f an employer provides meals or lodgings to an employee that satisfies each of the requirements of § 119, </w:t>
      </w:r>
      <w:r>
        <w:t xml:space="preserve">however, </w:t>
      </w:r>
      <w:r w:rsidRPr="003C2CA2">
        <w:t>the employee can ex</w:t>
      </w:r>
      <w:r>
        <w:t>clude from Gro</w:t>
      </w:r>
      <w:r w:rsidR="00DC573C">
        <w:t xml:space="preserve">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rsidR="0078310B" w:rsidRDefault="0078310B" w:rsidP="0078310B">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Thus, his Taxable Income is $100, including the amount expended on the meal that he ate. Sally is provided $90 in cash salary and is provided a free $10 meal by her employer that is excludable under § 119. Thus,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rsidR="0078310B" w:rsidRDefault="0078310B" w:rsidP="0078310B">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precisely the same meal or rented precisely the same premises if she had been provided cash compensation instead? After all, if we can determine that the employee would have bought precisely the same consumption, we can be comfortable in assuming that having it provided in kind is the equivalent of (1) receiving additional cash compensation (clearly includable), which was then (2) used to purchase the nondeductible personal consumption. 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indirectly. If there is a strong noncompensatory business reason why the employer provided the meals or lodgings (relevant to the ability of the employee to perform his or her job duties), perhaps we can be less sure that the employee would have used an equivalent amount of cash compensation to purchase the same meals or lodgings and thus should be wary of applying the </w:t>
      </w:r>
      <w:r>
        <w:rPr>
          <w:i/>
        </w:rPr>
        <w:t xml:space="preserve">Old Colony Trust </w:t>
      </w:r>
      <w:r>
        <w:t xml:space="preserve">two-step. </w:t>
      </w:r>
    </w:p>
    <w:p w:rsidR="0078310B" w:rsidRPr="00213C79" w:rsidRDefault="0078310B" w:rsidP="0078310B">
      <w:pPr>
        <w:widowControl w:val="0"/>
        <w:spacing w:after="120"/>
        <w:ind w:firstLine="288"/>
        <w:jc w:val="both"/>
      </w:pPr>
      <w:r>
        <w:t xml:space="preserve">Notice that this sort of analysis is premised on the ability to pay fairness norm rather than the standard of living fairness norm. The more certain we are that the meals and lodgings are of the same sort that the taxpayer would have purchased, the more reasonable it is to deem an intermediate cash receipt </w:t>
      </w:r>
      <w:r>
        <w:rPr>
          <w:rFonts w:cs="Times New Roman"/>
        </w:rPr>
        <w:t>à</w:t>
      </w:r>
      <w:r>
        <w:t xml:space="preserve">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the same reasoning underlies the refusal to allow cash (or a cash equivalent) to be excluded as a </w:t>
      </w:r>
      <w:r>
        <w:rPr>
          <w:i/>
        </w:rPr>
        <w:t xml:space="preserve">de minimis </w:t>
      </w:r>
      <w:r>
        <w:t>fringe under § 132(e) (with one narrow exception for “s</w:t>
      </w:r>
      <w:r w:rsidR="00610579">
        <w:t xml:space="preserve">upper money”), as you will learn </w:t>
      </w:r>
      <w:r>
        <w:t>in Part B., below.</w:t>
      </w:r>
    </w:p>
    <w:p w:rsidR="0078310B" w:rsidRDefault="0078310B" w:rsidP="0078310B">
      <w:pPr>
        <w:widowControl w:val="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20,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w:t>
      </w:r>
      <w:hyperlink r:id="rId176" w:history="1">
        <w:r w:rsidRPr="00D01931">
          <w:rPr>
            <w:rStyle w:val="Hyperlink"/>
          </w:rPr>
          <w:t>§ 162</w:t>
        </w:r>
      </w:hyperlink>
      <w:r>
        <w:t xml:space="preserve">(a)(2). In 1986, however, Congress enacted </w:t>
      </w:r>
      <w:hyperlink r:id="rId177" w:history="1">
        <w:r w:rsidRPr="00D01931">
          <w:rPr>
            <w:rStyle w:val="Hyperlink"/>
          </w:rPr>
          <w:t>§ 274</w:t>
        </w:r>
      </w:hyperlink>
      <w:r>
        <w:t>(n)(1),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Thus, 50% of the cost is allocated to nourishment (nondeductible personal consumption) and 50% is allocated to the business purpose underlying t</w:t>
      </w:r>
      <w:r w:rsidR="00913B44">
        <w:t xml:space="preserve">he meal (deductible). So here is the question: </w:t>
      </w:r>
      <w:r>
        <w:t xml:space="preserve">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rsidR="0078310B" w:rsidRDefault="0078310B" w:rsidP="0078310B">
      <w:pPr>
        <w:widowControl w:val="0"/>
        <w:ind w:firstLine="288"/>
        <w:jc w:val="both"/>
      </w:pPr>
    </w:p>
    <w:p w:rsidR="0078310B" w:rsidRPr="000A0133" w:rsidRDefault="0078310B" w:rsidP="0078310B">
      <w:pPr>
        <w:pStyle w:val="Heading2"/>
        <w:spacing w:before="0"/>
        <w:rPr>
          <w:sz w:val="32"/>
          <w:szCs w:val="32"/>
          <w:u w:val="single"/>
        </w:rPr>
      </w:pPr>
      <w:bookmarkStart w:id="95" w:name="_Toc395790399"/>
      <w:r w:rsidRPr="000A0133">
        <w:rPr>
          <w:sz w:val="32"/>
          <w:szCs w:val="32"/>
          <w:u w:val="single"/>
        </w:rPr>
        <w:t>B. Section 132</w:t>
      </w:r>
      <w:bookmarkEnd w:id="95"/>
    </w:p>
    <w:p w:rsidR="0078310B" w:rsidRPr="006F1D91" w:rsidRDefault="0078310B" w:rsidP="0078310B">
      <w:pPr>
        <w:widowControl w:val="0"/>
        <w:jc w:val="both"/>
      </w:pPr>
    </w:p>
    <w:p w:rsidR="0078310B" w:rsidRDefault="0078310B" w:rsidP="0078310B">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thus making it clear that no common law exclusions exist with respect to compensation. Absent explicit statutory authority to exclude, </w:t>
      </w:r>
      <w:r>
        <w:rPr>
          <w:i/>
        </w:rPr>
        <w:t>all</w:t>
      </w:r>
      <w:r w:rsidR="004D3525">
        <w:t xml:space="preserve"> compensation—</w:t>
      </w:r>
      <w:r>
        <w:t>w</w:t>
      </w:r>
      <w:r w:rsidR="004D3525">
        <w:t>hether paid in cash or in kind—</w:t>
      </w:r>
      <w:r>
        <w:t>must be included in Gross Income under § 61(a)(1).</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pPr>
      <w:bookmarkStart w:id="96" w:name="_Toc395790400"/>
      <w:r>
        <w:rPr>
          <w:i/>
        </w:rPr>
        <w:t>Excerpt from</w:t>
      </w:r>
      <w:r>
        <w:t xml:space="preserve"> General Explanation of the Revenue Provisions </w:t>
      </w:r>
    </w:p>
    <w:p w:rsidR="0078310B" w:rsidRDefault="0078310B" w:rsidP="0078310B">
      <w:pPr>
        <w:pStyle w:val="Heading3"/>
        <w:spacing w:before="0" w:beforeAutospacing="0" w:after="120" w:afterAutospacing="0"/>
        <w:jc w:val="center"/>
      </w:pPr>
      <w:r>
        <w:t>of the Deficit Reduction Act of 1984</w:t>
      </w:r>
      <w:r w:rsidRPr="000A0133">
        <w:rPr>
          <w:rStyle w:val="FootnoteReference"/>
          <w:b w:val="0"/>
        </w:rPr>
        <w:footnoteReference w:id="216"/>
      </w:r>
      <w:bookmarkEnd w:id="96"/>
    </w:p>
    <w:p w:rsidR="0078310B" w:rsidRDefault="0078310B" w:rsidP="0078310B">
      <w:pPr>
        <w:widowControl w:val="0"/>
        <w:jc w:val="center"/>
      </w:pPr>
      <w:r>
        <w:rPr>
          <w:b/>
          <w:i/>
        </w:rPr>
        <w:t>Reasons for Change</w:t>
      </w:r>
    </w:p>
    <w:p w:rsidR="0078310B" w:rsidRDefault="0078310B" w:rsidP="0078310B">
      <w:pPr>
        <w:widowControl w:val="0"/>
        <w:ind w:firstLine="288"/>
        <w:jc w:val="both"/>
      </w:pPr>
    </w:p>
    <w:p w:rsidR="0078310B" w:rsidRDefault="0078310B" w:rsidP="0078310B">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rsidR="0078310B" w:rsidRDefault="0078310B" w:rsidP="0078310B">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rsidR="0078310B" w:rsidRDefault="0078310B" w:rsidP="0078310B">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rsidR="0078310B" w:rsidRDefault="0078310B" w:rsidP="0078310B">
      <w:pPr>
        <w:widowControl w:val="0"/>
        <w:spacing w:after="120"/>
        <w:ind w:firstLine="288"/>
        <w:jc w:val="both"/>
      </w:pPr>
      <w:r>
        <w:t xml:space="preserve">Accordingly, the Congress determined that specific rules of exclusion should be set forth in the 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rsidR="0078310B" w:rsidRDefault="0078310B" w:rsidP="0078310B">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rsidR="0078310B" w:rsidRDefault="0078310B" w:rsidP="0078310B">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rsidR="0078310B" w:rsidRDefault="0078310B" w:rsidP="0078310B">
      <w:pPr>
        <w:widowControl w:val="0"/>
        <w:jc w:val="center"/>
      </w:pPr>
      <w:r>
        <w:t>__________________________________________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rsidR="0078310B" w:rsidRDefault="0078310B" w:rsidP="0078310B">
      <w:pPr>
        <w:widowControl w:val="0"/>
        <w:spacing w:after="120"/>
        <w:ind w:firstLine="288"/>
        <w:jc w:val="both"/>
      </w:pPr>
      <w:r>
        <w:t xml:space="preserve">The original version of </w:t>
      </w:r>
      <w:hyperlink r:id="rId178"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17). Subsequent acts have since expanded § 132 to address the qualified transportation fringe, the qualified moving expense reimbursement, the qualified retirement planning service, and the qualified military base realignment and closure fringe. </w:t>
      </w:r>
    </w:p>
    <w:p w:rsidR="0078310B" w:rsidRDefault="0078310B" w:rsidP="0078310B">
      <w:pPr>
        <w:widowControl w:val="0"/>
        <w:spacing w:after="120"/>
        <w:ind w:firstLine="288"/>
        <w:jc w:val="both"/>
      </w:pPr>
      <w:r>
        <w:t xml:space="preserve">Compensation excludable for Federal income tax purposes under § 132 is also not taxed as “wages” under the payroll taxes (Social Security and Medicare). </w:t>
      </w:r>
    </w:p>
    <w:p w:rsidR="0078310B" w:rsidRDefault="0078310B" w:rsidP="0078310B">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rsidR="0078310B" w:rsidRDefault="0078310B" w:rsidP="0078310B">
      <w:pPr>
        <w:widowControl w:val="0"/>
        <w:ind w:firstLine="288"/>
        <w:jc w:val="both"/>
      </w:pPr>
      <w:r>
        <w:t xml:space="preserve">For example, in </w:t>
      </w:r>
      <w:r>
        <w:rPr>
          <w:i/>
        </w:rPr>
        <w:t>American Airlines, Inc. v. United States</w:t>
      </w:r>
      <w:r>
        <w:t>,</w:t>
      </w:r>
      <w:r>
        <w:rPr>
          <w:rStyle w:val="FootnoteReference"/>
        </w:rPr>
        <w:footnoteReference w:id="217"/>
      </w:r>
      <w:r>
        <w:t xml:space="preserve"> American Airlines gave to every employee a $50 American Express “Be My Guest” voucher that could be used like cash at any establishment that accepted American Express credit cards as a gesture of appreciation for the 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9"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80" w:history="1">
        <w:r w:rsidRPr="00D01931">
          <w:rPr>
            <w:rStyle w:val="Hyperlink"/>
          </w:rPr>
          <w:t>Treas. Reg. § 1.132-6</w:t>
        </w:r>
      </w:hyperlink>
      <w:r>
        <w:t xml:space="preserve">(e)(1),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97" w:name="_Toc395790401"/>
      <w:r w:rsidRPr="000E03BE">
        <w:rPr>
          <w:u w:val="single"/>
        </w:rPr>
        <w:t>Problems</w:t>
      </w:r>
      <w:bookmarkEnd w:id="97"/>
    </w:p>
    <w:p w:rsidR="0078310B" w:rsidRPr="000A0133"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These problems provide an opportunity for close parsing of the statute and regulations. While I sometimes cite helpful Treasury regulations, </w:t>
      </w:r>
      <w:r>
        <w:rPr>
          <w:i/>
        </w:rPr>
        <w:t xml:space="preserve">always </w:t>
      </w:r>
      <w:r>
        <w:t>start with the statutory language at issue in each problem before turning to the cited regu</w:t>
      </w:r>
      <w:r w:rsidR="00F0191A">
        <w:t>la</w:t>
      </w:r>
      <w:r>
        <w:t xml:space="preserve">tions. </w:t>
      </w:r>
      <w:r w:rsidRPr="00BC32B0">
        <w:t>In</w:t>
      </w:r>
      <w:r>
        <w:t xml:space="preserve"> particular, before embarking on the problems, carefully read </w:t>
      </w:r>
      <w:hyperlink r:id="rId181" w:history="1">
        <w:r w:rsidRPr="00F0191A">
          <w:rPr>
            <w:rStyle w:val="Hyperlink"/>
          </w:rPr>
          <w:t>§ 132</w:t>
        </w:r>
      </w:hyperlink>
      <w:r>
        <w:t xml:space="preserve">(a), (b), (c), (d), (e), (f), (j)(1), and (h)(2)(A), (h)(3). </w:t>
      </w:r>
    </w:p>
    <w:p w:rsidR="0078310B" w:rsidRDefault="0078310B" w:rsidP="0078310B">
      <w:pPr>
        <w:widowControl w:val="0"/>
        <w:ind w:firstLine="288"/>
        <w:jc w:val="both"/>
      </w:pPr>
      <w:r>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rsidR="0078310B" w:rsidRDefault="0078310B" w:rsidP="0078310B">
      <w:pPr>
        <w:widowControl w:val="0"/>
        <w:ind w:firstLine="288"/>
        <w:jc w:val="both"/>
        <w:rPr>
          <w:b/>
        </w:rPr>
      </w:pPr>
    </w:p>
    <w:p w:rsidR="0078310B" w:rsidRDefault="0078310B" w:rsidP="0078310B">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w:t>
      </w:r>
      <w:hyperlink r:id="rId182" w:history="1">
        <w:r w:rsidRPr="00D01931">
          <w:rPr>
            <w:rStyle w:val="Hyperlink"/>
          </w:rPr>
          <w:t>Treas. Reg. §§ 1.132-2</w:t>
        </w:r>
      </w:hyperlink>
      <w:r>
        <w:t xml:space="preserve">(a)(5)(ii) and </w:t>
      </w:r>
      <w:hyperlink r:id="rId183" w:history="1">
        <w:r w:rsidRPr="00D01931">
          <w:rPr>
            <w:rStyle w:val="Hyperlink"/>
          </w:rPr>
          <w:t>-4</w:t>
        </w:r>
      </w:hyperlink>
      <w:r>
        <w:t xml:space="preserve">(a)(1)(i) for help in resolving them. </w:t>
      </w:r>
    </w:p>
    <w:p w:rsidR="0078310B" w:rsidRDefault="0078310B" w:rsidP="0078310B">
      <w:pPr>
        <w:widowControl w:val="0"/>
        <w:ind w:firstLine="288"/>
        <w:jc w:val="both"/>
        <w:rPr>
          <w:b/>
        </w:rPr>
      </w:pPr>
    </w:p>
    <w:p w:rsidR="0078310B" w:rsidRPr="006C4A9A" w:rsidRDefault="0078310B" w:rsidP="0078310B">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Thus, on the same flight that Holly and her husband took, non-executives would have had to pay $300 each for the flight seats (worth $600 each). </w:t>
      </w:r>
      <w:r>
        <w:rPr>
          <w:i/>
        </w:rPr>
        <w:t>See</w:t>
      </w:r>
      <w:r>
        <w:t xml:space="preserve"> </w:t>
      </w:r>
      <w:hyperlink r:id="rId184" w:history="1">
        <w:r w:rsidRPr="00D01931">
          <w:rPr>
            <w:rStyle w:val="Hyperlink"/>
          </w:rPr>
          <w:t>Treas. Reg. § 1.132-8</w:t>
        </w:r>
      </w:hyperlink>
      <w:r>
        <w:t>(a)(2).</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w:t>
      </w:r>
      <w:hyperlink r:id="rId185" w:history="1">
        <w:r w:rsidRPr="00370CAC">
          <w:rPr>
            <w:rStyle w:val="Hyperlink"/>
          </w:rPr>
          <w:t>§ 1.132-2</w:t>
        </w:r>
      </w:hyperlink>
      <w:r>
        <w:t xml:space="preserve">(a)(2); </w:t>
      </w:r>
      <w:hyperlink r:id="rId186" w:history="1">
        <w:r w:rsidRPr="00370CAC">
          <w:rPr>
            <w:rStyle w:val="Hyperlink"/>
          </w:rPr>
          <w:t>-3</w:t>
        </w:r>
      </w:hyperlink>
      <w:r>
        <w:t xml:space="preserve">(e). </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87" w:history="1">
        <w:r w:rsidRPr="00370CAC">
          <w:rPr>
            <w:rStyle w:val="Hyperlink"/>
          </w:rPr>
          <w:t>§ 132</w:t>
        </w:r>
      </w:hyperlink>
      <w:r>
        <w:t xml:space="preserve">(c)(4), read </w:t>
      </w:r>
      <w:hyperlink r:id="rId188" w:history="1">
        <w:r w:rsidRPr="00D01931">
          <w:rPr>
            <w:rStyle w:val="Hyperlink"/>
          </w:rPr>
          <w:t>Treas. Reg. § 1.132-3</w:t>
        </w:r>
      </w:hyperlink>
      <w:r>
        <w:t>(a)(2)(ii).</w:t>
      </w:r>
    </w:p>
    <w:p w:rsidR="0078310B" w:rsidRDefault="0078310B" w:rsidP="0078310B">
      <w:pPr>
        <w:widowControl w:val="0"/>
        <w:ind w:firstLine="288"/>
        <w:jc w:val="both"/>
      </w:pPr>
    </w:p>
    <w:p w:rsidR="0078310B" w:rsidRDefault="0078310B" w:rsidP="0078310B">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agrees to pay 100% of the cost of professional association dues for all employees. Conglomerate pays Sally’s $275 American Bar Association dues for the year. 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w:t>
      </w:r>
      <w:r w:rsidR="00514E47">
        <w:t xml:space="preserve">the </w:t>
      </w:r>
      <w:r>
        <w:t>Hilarity and Hooyacht</w:t>
      </w:r>
      <w:r w:rsidR="00514E47">
        <w:t xml:space="preserve"> lines of business</w:t>
      </w:r>
      <w:r>
        <w:t xml:space="preserve">. </w:t>
      </w:r>
      <w:r>
        <w:rPr>
          <w:i/>
        </w:rPr>
        <w:t>See</w:t>
      </w:r>
      <w:r>
        <w:t xml:space="preserve"> </w:t>
      </w:r>
      <w:hyperlink r:id="rId189" w:history="1">
        <w:r w:rsidRPr="00D01931">
          <w:rPr>
            <w:rStyle w:val="Hyperlink"/>
          </w:rPr>
          <w:t>Treas. Reg. § 1.132-4</w:t>
        </w:r>
      </w:hyperlink>
      <w:r>
        <w:t xml:space="preserve">(a)(1)(iii), (iv).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w:t>
      </w:r>
      <w:hyperlink r:id="rId190" w:history="1">
        <w:r w:rsidRPr="00D01931">
          <w:rPr>
            <w:rStyle w:val="Hyperlink"/>
          </w:rPr>
          <w:t>Treas. Reg. § 1.132-6</w:t>
        </w:r>
      </w:hyperlink>
      <w:r>
        <w:t xml:space="preserve">(e)(1) and -6(c). </w:t>
      </w:r>
    </w:p>
    <w:p w:rsidR="0078310B" w:rsidRDefault="0078310B" w:rsidP="0078310B">
      <w:pPr>
        <w:widowControl w:val="0"/>
        <w:ind w:firstLine="288"/>
        <w:jc w:val="both"/>
      </w:pPr>
    </w:p>
    <w:p w:rsidR="0078310B" w:rsidRDefault="0078310B" w:rsidP="0078310B">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91" w:history="1">
        <w:r w:rsidRPr="00D01931">
          <w:rPr>
            <w:rStyle w:val="Hyperlink"/>
          </w:rPr>
          <w:t>Treas. Reg. § 1.132-6</w:t>
        </w:r>
      </w:hyperlink>
      <w:r>
        <w:t xml:space="preserve">(d)(2). </w:t>
      </w:r>
    </w:p>
    <w:p w:rsidR="0078310B" w:rsidRDefault="0078310B" w:rsidP="0078310B">
      <w:pPr>
        <w:widowControl w:val="0"/>
        <w:ind w:firstLine="288"/>
        <w:jc w:val="both"/>
      </w:pPr>
    </w:p>
    <w:p w:rsidR="0078310B" w:rsidRDefault="0078310B" w:rsidP="0078310B">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92" w:history="1">
        <w:r w:rsidRPr="00514E47">
          <w:rPr>
            <w:rStyle w:val="Hyperlink"/>
          </w:rPr>
          <w:t>§ 132</w:t>
        </w:r>
      </w:hyperlink>
      <w:r>
        <w:t xml:space="preserve">(e)(2). What if the facility is an Executive Dining Room open only to Executives?  </w:t>
      </w:r>
    </w:p>
    <w:p w:rsidR="0078310B" w:rsidRPr="00B8391C" w:rsidRDefault="0078310B" w:rsidP="0078310B">
      <w:pPr>
        <w:widowControl w:val="0"/>
        <w:ind w:firstLine="288"/>
        <w:jc w:val="both"/>
      </w:pPr>
    </w:p>
    <w:p w:rsidR="0078310B" w:rsidRDefault="0078310B" w:rsidP="0078310B">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rsidR="0078310B" w:rsidRDefault="0078310B" w:rsidP="0078310B">
      <w:pPr>
        <w:widowControl w:val="0"/>
        <w:jc w:val="center"/>
      </w:pPr>
      <w:r>
        <w:t>__________________________________</w:t>
      </w:r>
    </w:p>
    <w:p w:rsidR="0078310B" w:rsidRDefault="0078310B" w:rsidP="0078310B">
      <w:pPr>
        <w:widowControl w:val="0"/>
        <w:ind w:firstLine="288"/>
        <w:jc w:val="both"/>
      </w:pPr>
    </w:p>
    <w:p w:rsidR="0078310B" w:rsidRDefault="0078310B" w:rsidP="0078310B">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18"/>
      </w:r>
      <w:r>
        <w:t xml:space="preserve"> as occurred in </w:t>
      </w:r>
      <w:r>
        <w:rPr>
          <w:i/>
        </w:rPr>
        <w:t>Charley v. Commissioner</w:t>
      </w:r>
      <w:r>
        <w:t>.</w:t>
      </w:r>
      <w:r>
        <w:rPr>
          <w:rStyle w:val="FootnoteReference"/>
        </w:rPr>
        <w:footnoteReference w:id="219"/>
      </w:r>
      <w:r>
        <w:t xml:space="preserve"> </w:t>
      </w:r>
    </w:p>
    <w:p w:rsidR="0078310B" w:rsidRDefault="0078310B" w:rsidP="0078310B">
      <w:pPr>
        <w:widowControl w:val="0"/>
        <w:ind w:firstLine="288"/>
        <w:jc w:val="both"/>
      </w:pPr>
    </w:p>
    <w:p w:rsidR="0078310B" w:rsidRPr="000A0133" w:rsidRDefault="0078310B" w:rsidP="0078310B">
      <w:pPr>
        <w:pStyle w:val="Heading2"/>
        <w:spacing w:before="0"/>
        <w:rPr>
          <w:sz w:val="32"/>
          <w:szCs w:val="32"/>
          <w:u w:val="single"/>
        </w:rPr>
      </w:pPr>
      <w:bookmarkStart w:id="98" w:name="_Toc395790402"/>
      <w:r w:rsidRPr="000A0133">
        <w:rPr>
          <w:sz w:val="32"/>
          <w:szCs w:val="32"/>
          <w:u w:val="single"/>
        </w:rPr>
        <w:t>C. Section 83</w:t>
      </w:r>
      <w:bookmarkEnd w:id="98"/>
    </w:p>
    <w:p w:rsidR="0078310B" w:rsidRPr="006D5F4D" w:rsidRDefault="0078310B" w:rsidP="0078310B">
      <w:pPr>
        <w:widowControl w:val="0"/>
        <w:jc w:val="both"/>
      </w:pPr>
    </w:p>
    <w:p w:rsidR="0078310B" w:rsidRDefault="0078310B" w:rsidP="0078310B">
      <w:pPr>
        <w:widowControl w:val="0"/>
        <w:spacing w:after="120"/>
        <w:ind w:firstLine="288"/>
        <w:jc w:val="both"/>
      </w:pPr>
      <w:r>
        <w:t xml:space="preserve">Recall Mary from Chapter 1, </w:t>
      </w:r>
      <w:r w:rsidR="00193F43">
        <w:t xml:space="preserve">Part A., who was </w:t>
      </w:r>
      <w:r>
        <w:t>a CEO</w:t>
      </w:r>
      <w:r w:rsidR="00193F43">
        <w:t xml:space="preserve"> of a mid-size corporation receiving</w:t>
      </w:r>
      <w:r>
        <w:t xml:space="preserve"> $1 million in annual compensation. We considered then the case in which she received her compensation in the form of $500,000 in cash and shares</w:t>
      </w:r>
      <w:r w:rsidR="00193F43">
        <w:t xml:space="preserve"> of corporate stock with a FMV</w:t>
      </w:r>
      <w:r>
        <w:t xml:space="preserve"> of $500,000. We confirmed then that Mary must include the full $1 million of compensation in her Gross Income under § 61(a)(1), including not only the cash but also the $500,000 FMV of the corporate shares, under </w:t>
      </w:r>
      <w:hyperlink r:id="rId193"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rsidR="0078310B" w:rsidRDefault="0030452E" w:rsidP="0078310B">
      <w:pPr>
        <w:widowControl w:val="0"/>
        <w:spacing w:after="120"/>
        <w:ind w:firstLine="288"/>
        <w:jc w:val="both"/>
      </w:pPr>
      <w:r>
        <w:t>Let’s change the facts a bit.</w:t>
      </w:r>
      <w:r w:rsidR="0078310B">
        <w:t xml:space="preserve">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sidR="0078310B">
        <w:rPr>
          <w:i/>
        </w:rPr>
        <w:t>i.e.</w:t>
      </w:r>
      <w:r w:rsidR="0078310B">
        <w:t xml:space="preserve">, the potential that she might have to return the shares? Or should she wait to include the FMV of those shares until the risk of forfeiture lapses at the end of Year 5 and include their FMV at that time, which may be more or less than $500,000? </w:t>
      </w:r>
    </w:p>
    <w:p w:rsidR="0078310B" w:rsidRDefault="0078310B" w:rsidP="0078310B">
      <w:pPr>
        <w:widowControl w:val="0"/>
        <w:spacing w:after="120"/>
        <w:ind w:firstLine="288"/>
        <w:jc w:val="both"/>
      </w:pPr>
      <w:r>
        <w:t xml:space="preserve">Congress enacted </w:t>
      </w:r>
      <w:hyperlink r:id="rId194" w:history="1">
        <w:r w:rsidRPr="0030452E">
          <w:rPr>
            <w:rStyle w:val="Hyperlink"/>
          </w:rPr>
          <w:t>§ 83</w:t>
        </w:r>
      </w:hyperlink>
      <w:r>
        <w:t xml:space="preserve"> in 1969 to answer these questions. Under § 83(a), Mary would defer inclusion of the FMV of her stock until the forfeiture risk lapses in Year 5 and the property vests in Mary outright. Thus, she would include nothing in Year 1 on the receipt of the restricted stock. If it were worth, say, $600,000 in Year 5 when the forfeiture risk lapses, she would include $600,000 of compensation Gross Income under § 61(a)(1) at that time (as ordinary income) and take a $600,000 cost basis at that time, reflecting the income inclusion. Any additional increase in value (or loss in value) would produce capital gain or loss, as the case may be, when realized because the stock is a capital asset in Mary’s hands within the meaning of § 1221. Under </w:t>
      </w:r>
      <w:hyperlink r:id="rId195"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rsidR="0078310B" w:rsidRDefault="0078310B" w:rsidP="0078310B">
      <w:pPr>
        <w:widowControl w:val="0"/>
        <w:spacing w:after="120"/>
        <w:ind w:firstLine="288"/>
        <w:jc w:val="both"/>
      </w:pPr>
      <w:r>
        <w:t xml:space="preserve">Under </w:t>
      </w:r>
      <w:hyperlink r:id="rId196" w:history="1">
        <w:r w:rsidRPr="0030452E">
          <w:rPr>
            <w:rStyle w:val="Hyperlink"/>
          </w:rPr>
          <w:t>§ 83</w:t>
        </w:r>
      </w:hyperlink>
      <w:r>
        <w:t>(b), however, Mary can make an election (within 30 days of receipt) to include the FMV of the re</w:t>
      </w:r>
      <w:r w:rsidR="0030452E">
        <w:t xml:space="preserve">stricted property in the year of receipt (thus creating </w:t>
      </w:r>
      <w:r>
        <w:t>a basis equal to that Gross Income inclusion</w:t>
      </w:r>
      <w:r w:rsidR="0030452E">
        <w:t>)</w:t>
      </w:r>
      <w:r>
        <w:t>. The FMV is determined without regard to the forfeiture risk</w:t>
      </w:r>
      <w:r w:rsidR="0030452E">
        <w:t xml:space="preserve"> inherent in the stock. </w:t>
      </w:r>
      <w:r>
        <w:t>What factors should Mary consider in deciding whether to make a § 83(b) election?</w:t>
      </w:r>
    </w:p>
    <w:p w:rsidR="0078310B" w:rsidRDefault="0078310B" w:rsidP="0078310B">
      <w:pPr>
        <w:widowControl w:val="0"/>
        <w:spacing w:after="120"/>
        <w:ind w:firstLine="288"/>
        <w:jc w:val="both"/>
      </w:pPr>
      <w:r>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39.6% before the stock vests in Year 5? She would have to weigh two factors—possibly higher tax rates in the future and the time value of deferral—against each other in determining whether deferral would be beneficial. That is to say, even though she would lose the time value of money by giving up deferral and including the $500,000 now, that real economic loss may be more than made up for by having that inclusion taxed at 39.6% if she believes that future tax rates will be significantly higher. </w:t>
      </w:r>
    </w:p>
    <w:p w:rsidR="0078310B" w:rsidRDefault="00780969" w:rsidP="0078310B">
      <w:pPr>
        <w:widowControl w:val="0"/>
        <w:spacing w:after="120"/>
        <w:ind w:firstLine="288"/>
        <w:jc w:val="both"/>
      </w:pPr>
      <w:r>
        <w:t>Moreover, e</w:t>
      </w:r>
      <w:r w:rsidR="0078310B">
        <w:t>ven if tax rates remain absolutely unchanged between Year 1 and Year 5, Mary may still wish to include the $500,000 FMV in Year 1 because the property received (stock) is a capital asset. While the top tax rate applicable to ordinary income (such as compensation) is 39.6%, recall from Chapter 1 that the top tax rate applicable to “net capital gain” (which requires at least some long-term capital gain, as explored more fully in Chapter 15) is generally 15% for those with Taxable Income of less than $400,000 ($450,000 for married couples filing jointly) or less and 20% for those with Taxable Income exceeding those thre</w:t>
      </w:r>
      <w:r>
        <w:t xml:space="preserve">sholds. Suppose that Mary </w:t>
      </w:r>
      <w:r w:rsidR="0078310B">
        <w:t xml:space="preserve">expects that stock to be worth $600,000 in Year 5 when the forfeiture risk lapses. If she defers inclusion until Year 5, she will include $600,000 of high-taxed ordinary income at that time. If, in contrast, she makes a </w:t>
      </w:r>
      <w:hyperlink r:id="rId197" w:history="1">
        <w:r w:rsidR="0078310B" w:rsidRPr="00780969">
          <w:rPr>
            <w:rStyle w:val="Hyperlink"/>
          </w:rPr>
          <w:t>§ 83</w:t>
        </w:r>
      </w:hyperlink>
      <w:r w:rsidR="0078310B">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sidR="0078310B">
        <w:rPr>
          <w:i/>
        </w:rPr>
        <w:t>less</w:t>
      </w:r>
      <w:r w:rsidR="0078310B">
        <w:t xml:space="preserve"> $500,000 A/B). Which would be better? Once again, she would have to weigh the pain of losing the time-value-of-money benefit against the reduction in tax rate that could potentially apply to the $100,000 </w:t>
      </w:r>
      <w:r>
        <w:t xml:space="preserve">expected future </w:t>
      </w:r>
      <w:r w:rsidR="0078310B">
        <w:t xml:space="preserve">appreciation. </w:t>
      </w:r>
    </w:p>
    <w:p w:rsidR="0078310B" w:rsidRPr="00E478F4" w:rsidRDefault="0078310B" w:rsidP="0078310B">
      <w:pPr>
        <w:widowControl w:val="0"/>
        <w:spacing w:after="120"/>
        <w:ind w:firstLine="288"/>
        <w:jc w:val="both"/>
      </w:pPr>
      <w:r>
        <w:t>Suppose that</w:t>
      </w:r>
      <w:r w:rsidR="001A7C6A">
        <w:t xml:space="preserve"> Mary expects the stock (</w:t>
      </w:r>
      <w:r>
        <w:t>FMV of $500,000 on receipt i</w:t>
      </w:r>
      <w:r w:rsidR="001A7C6A">
        <w:t xml:space="preserve">n Year 1) </w:t>
      </w:r>
      <w:r>
        <w:t xml:space="preserve">to </w:t>
      </w:r>
      <w:r w:rsidRPr="001A7C6A">
        <w:rPr>
          <w:i/>
        </w:rPr>
        <w:t>lose</w:t>
      </w:r>
      <w:r>
        <w:t xml:space="preserve"> value to, say, $200,000, before the forfeiture restriction lapses in Year 5. In that case, she clearly would not want to make the § 83(b) election to include $500,000 of high-taxed income now, creating a $500,000 basis, only to realize a $300,000 capital loss later ($200,000 A/R </w:t>
      </w:r>
      <w:r>
        <w:rPr>
          <w:i/>
        </w:rPr>
        <w:t>less</w:t>
      </w:r>
      <w:r>
        <w:t xml:space="preserve"> $500,000 A/B). Not only would Mary lose the time value of money but, under the § 1211(b) capital 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when the forfeiture risk lapses (and would realize no loss). In this way, she enjoys both the time value of money and avoids the capital loss deduction restrictions in § 1211(b). </w:t>
      </w:r>
    </w:p>
    <w:p w:rsidR="0078310B" w:rsidRDefault="0078310B" w:rsidP="0078310B">
      <w:pPr>
        <w:widowControl w:val="0"/>
        <w:spacing w:after="120"/>
        <w:ind w:firstLine="288"/>
        <w:jc w:val="both"/>
      </w:pPr>
      <w:r>
        <w:t>How good is Mary’s crystal ball</w:t>
      </w:r>
      <w:r w:rsidR="001A7C6A">
        <w:t xml:space="preserve"> …</w:t>
      </w:r>
      <w:r>
        <w:t xml:space="preserve">? </w:t>
      </w:r>
    </w:p>
    <w:p w:rsidR="0078310B" w:rsidRDefault="0078310B" w:rsidP="0078310B">
      <w:pPr>
        <w:widowControl w:val="0"/>
        <w:spacing w:after="120"/>
        <w:ind w:firstLine="288"/>
        <w:jc w:val="both"/>
      </w:pPr>
      <w:r>
        <w:t xml:space="preserve">Read the last sentence in </w:t>
      </w:r>
      <w:hyperlink r:id="rId198" w:history="1">
        <w:r w:rsidRPr="00883584">
          <w:rPr>
            <w:rStyle w:val="Hyperlink"/>
          </w:rPr>
          <w:t>§ 83</w:t>
        </w:r>
      </w:hyperlink>
      <w:r>
        <w:t xml:space="preserve">(b)(1). A downside of making the § 83(b) election (which, recall, creates basis equal to the amount included) is that, should the forfeiture occur, Mary would be denied deduction of her otherwise allowable $500,000 loss deduction (equal to her basis) under §§ 165(b) and (c)(2). Thus, if Mary does </w:t>
      </w:r>
      <w:r>
        <w:rPr>
          <w:i/>
        </w:rPr>
        <w:t xml:space="preserve">not </w:t>
      </w:r>
      <w:r>
        <w:t xml:space="preserve">make a § 83(b) election and quits in Year 3, she would avoid any income inclusion. If Mary </w:t>
      </w:r>
      <w:r>
        <w:rPr>
          <w:i/>
        </w:rPr>
        <w:t xml:space="preserve">does </w:t>
      </w:r>
      <w:r>
        <w:t>make a § 83(b) election</w:t>
      </w:r>
      <w:r w:rsidR="00883584">
        <w:t xml:space="preserve"> and quits in Year 3</w:t>
      </w:r>
      <w:r>
        <w:t>, she would include the $500,000 FMV in Year 1 on receipt (creating a $500,000 basis in the stock); when she quits in Year 3 and must forfeit her st</w:t>
      </w:r>
      <w:r w:rsidR="00883584">
        <w:t xml:space="preserve">ock to her employer, she could not </w:t>
      </w:r>
      <w:r>
        <w:t xml:space="preserve">deduct her $500,000 basis. Why should Mary be denied a loss deduction equal to the basis of this lost investment? The legislative history is silent with respect to this question. As a normative matter, it’s incorrect to deny her the loss deduction for investment property. </w:t>
      </w:r>
    </w:p>
    <w:p w:rsidR="0078310B" w:rsidRPr="0097523B" w:rsidRDefault="0078310B" w:rsidP="0078310B">
      <w:pPr>
        <w:widowControl w:val="0"/>
        <w:spacing w:after="120"/>
        <w:ind w:firstLine="288"/>
        <w:jc w:val="both"/>
      </w:pPr>
      <w:r>
        <w:t xml:space="preserve">The employer’s </w:t>
      </w:r>
      <w:hyperlink r:id="rId199" w:history="1">
        <w:r w:rsidRPr="006534D8">
          <w:rPr>
            <w:rStyle w:val="Hyperlink"/>
          </w:rPr>
          <w:t>§ 162</w:t>
        </w:r>
      </w:hyperlink>
      <w:r>
        <w:t xml:space="preserve"> deduction for compensation paid is taken in the same year and in the same amount as the employee’s compensation inclusion.</w:t>
      </w:r>
      <w:r>
        <w:rPr>
          <w:rStyle w:val="FootnoteReference"/>
        </w:rPr>
        <w:footnoteReference w:id="220"/>
      </w:r>
      <w:r>
        <w:t xml:space="preserve"> Thus, both the timing and amount of the employer’s deduction will depend on whether the employee makes a § 83(b) election. </w:t>
      </w:r>
    </w:p>
    <w:p w:rsidR="0078310B" w:rsidRDefault="0078310B" w:rsidP="0078310B">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the end of Year 5, she would not (contrary to our earlier analysis) include the $90,000 received for free in her Gross Income in Year 1, unless she chooses to do so by making a § 83(b) election. </w:t>
      </w:r>
    </w:p>
    <w:p w:rsidR="0078310B" w:rsidRDefault="0078310B" w:rsidP="0078310B">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rsidR="0078310B" w:rsidRDefault="0078310B" w:rsidP="0078310B">
      <w:pPr>
        <w:widowControl w:val="0"/>
        <w:ind w:firstLine="288"/>
        <w:jc w:val="both"/>
      </w:pPr>
      <w:r>
        <w:t xml:space="preserve">Luckily for CEO Sue, </w:t>
      </w:r>
      <w:hyperlink r:id="rId200" w:history="1">
        <w:r w:rsidRPr="00ED6C07">
          <w:rPr>
            <w:rStyle w:val="Hyperlink"/>
          </w:rPr>
          <w:t>Treas. Reg. § 1.83-7</w:t>
        </w:r>
      </w:hyperlink>
      <w:r>
        <w:t>(b)(1) provides that an option like Sue’s must be included on receipt as compensation only if it has a “readily ascertainable” FMV at that time, which will generally be the case only if the option is “actively traded on an established market.”</w:t>
      </w:r>
      <w:r>
        <w:rPr>
          <w:rStyle w:val="FootnoteReference"/>
        </w:rPr>
        <w:footnoteReference w:id="221"/>
      </w:r>
      <w:r>
        <w:t xml:space="preserve"> While some stock options are traded over established markets, the kind received by CEO Sue rarely are. Thus, CEO Sue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continues to increase in value, and CEO Sue is able to sell it for, say $120, her $20 realized gain ($120 A/R </w:t>
      </w:r>
      <w:r>
        <w:rPr>
          <w:i/>
        </w:rPr>
        <w:t>less</w:t>
      </w:r>
      <w:r>
        <w:t xml:space="preserve"> $100 A/B) would be capital gain. Thus,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2"/>
      </w:r>
      <w:r>
        <w:t xml:space="preserve"> Of course, if CEO Sue expects the stock’s FMV to fall below her $90 per share option price, she would likely choose not to exercise her option, and she would thus realize no tax consequences.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99" w:name="_Toc395790403"/>
      <w:r w:rsidRPr="000E03BE">
        <w:rPr>
          <w:u w:val="single"/>
        </w:rPr>
        <w:t>Problems</w:t>
      </w:r>
      <w:bookmarkEnd w:id="99"/>
    </w:p>
    <w:p w:rsidR="0078310B" w:rsidRPr="000A0133"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What are the tax consequences for Employee Erin in each of the following?</w:t>
      </w:r>
    </w:p>
    <w:p w:rsidR="0078310B" w:rsidRDefault="0078310B" w:rsidP="0078310B">
      <w:pPr>
        <w:widowControl w:val="0"/>
        <w:ind w:firstLine="288"/>
        <w:jc w:val="both"/>
      </w:pPr>
    </w:p>
    <w:p w:rsidR="0078310B" w:rsidRDefault="0078310B" w:rsidP="0078310B">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Same as </w:t>
      </w:r>
      <w:r>
        <w:rPr>
          <w:b/>
        </w:rPr>
        <w:t>1.</w:t>
      </w:r>
      <w:r>
        <w:t xml:space="preserve">, except that the stock certificates are stamped with a legend that states that, should Erin quit or be fired for cause before the end of Year 3, she must forfeit the stock back to her employer-corporation. Erin does not make the § 83(b) election. The stock has a FMV of $300 at the end of Year 3, but she does not sell until Year 5, when she sells for $500. </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Same as </w:t>
      </w:r>
      <w:r>
        <w:rPr>
          <w:b/>
        </w:rPr>
        <w:t>2.</w:t>
      </w:r>
      <w:r>
        <w:t xml:space="preserve">, except that Erin decides to make the </w:t>
      </w:r>
      <w:hyperlink r:id="rId201"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rsidR="0078310B" w:rsidRPr="00BA22F0" w:rsidRDefault="0078310B" w:rsidP="0078310B">
      <w:pPr>
        <w:widowControl w:val="0"/>
        <w:ind w:firstLine="288"/>
        <w:jc w:val="both"/>
      </w:pPr>
    </w:p>
    <w:p w:rsidR="0078310B" w:rsidRDefault="0078310B" w:rsidP="0078310B">
      <w:pPr>
        <w:widowControl w:val="0"/>
        <w:ind w:firstLine="288"/>
        <w:jc w:val="both"/>
      </w:pPr>
      <w:r>
        <w:rPr>
          <w:b/>
        </w:rPr>
        <w:t>5.</w:t>
      </w:r>
      <w:r>
        <w:t xml:space="preserve"> Based on the results in 2 through 4, above, what questions would you ask Erin in helping her to decide whether or not to make a § 83(b) election?</w:t>
      </w:r>
    </w:p>
    <w:p w:rsidR="0078310B" w:rsidRDefault="0078310B" w:rsidP="0078310B">
      <w:pPr>
        <w:widowControl w:val="0"/>
        <w:ind w:firstLine="288"/>
        <w:jc w:val="both"/>
      </w:pPr>
    </w:p>
    <w:p w:rsidR="0078310B" w:rsidRDefault="0078310B" w:rsidP="0078310B">
      <w:pPr>
        <w:widowControl w:val="0"/>
        <w:sectPr w:rsidR="0078310B" w:rsidSect="005337BA">
          <w:headerReference w:type="even" r:id="rId202"/>
          <w:headerReference w:type="default" r:id="rId203"/>
          <w:footerReference w:type="even" r:id="rId204"/>
          <w:headerReference w:type="first" r:id="rId205"/>
          <w:footerReference w:type="first" r:id="rId206"/>
          <w:footnotePr>
            <w:numRestart w:val="eachSect"/>
          </w:footnotePr>
          <w:pgSz w:w="12240" w:h="15840"/>
          <w:pgMar w:top="1440" w:right="1440" w:bottom="1440" w:left="1440" w:header="1008" w:footer="720" w:gutter="0"/>
          <w:pgNumType w:start="128"/>
          <w:cols w:space="720"/>
          <w:titlePg/>
          <w:docGrid w:linePitch="360"/>
        </w:sectPr>
      </w:pPr>
    </w:p>
    <w:p w:rsidR="0078310B" w:rsidRDefault="0078310B" w:rsidP="0078310B">
      <w:pPr>
        <w:widowControl w:val="0"/>
        <w:sectPr w:rsidR="0078310B" w:rsidSect="005337BA">
          <w:footnotePr>
            <w:numRestart w:val="eachSect"/>
          </w:footnotePr>
          <w:pgSz w:w="12240" w:h="15840"/>
          <w:pgMar w:top="1440" w:right="1440" w:bottom="1440" w:left="1440" w:header="1008" w:footer="720" w:gutter="0"/>
          <w:pgNumType w:start="140"/>
          <w:cols w:space="720"/>
          <w:titlePg/>
          <w:docGrid w:linePitch="360"/>
        </w:sectPr>
      </w:pPr>
    </w:p>
    <w:p w:rsidR="0078310B" w:rsidRPr="000A0133" w:rsidRDefault="0078310B" w:rsidP="0078310B">
      <w:pPr>
        <w:pStyle w:val="Heading2"/>
        <w:spacing w:before="0"/>
        <w:rPr>
          <w:sz w:val="36"/>
          <w:szCs w:val="36"/>
          <w:u w:val="single"/>
        </w:rPr>
      </w:pPr>
      <w:bookmarkStart w:id="100" w:name="_Toc395790404"/>
      <w:r w:rsidRPr="000A0133">
        <w:rPr>
          <w:sz w:val="36"/>
          <w:szCs w:val="36"/>
          <w:u w:val="single"/>
        </w:rPr>
        <w:t>Chapter 6: § 61 Residual Gross Income</w:t>
      </w:r>
      <w:bookmarkEnd w:id="100"/>
    </w:p>
    <w:p w:rsidR="0078310B" w:rsidRDefault="0078310B" w:rsidP="0078310B">
      <w:pPr>
        <w:widowControl w:val="0"/>
        <w:spacing w:after="120"/>
        <w:jc w:val="both"/>
      </w:pPr>
    </w:p>
    <w:p w:rsidR="0078310B" w:rsidRDefault="002B3596" w:rsidP="0078310B">
      <w:pPr>
        <w:widowControl w:val="0"/>
        <w:spacing w:after="120"/>
        <w:ind w:firstLine="288"/>
        <w:jc w:val="both"/>
      </w:pPr>
      <w:hyperlink r:id="rId207" w:history="1">
        <w:r w:rsidR="0078310B" w:rsidRPr="00A534E1">
          <w:rPr>
            <w:rStyle w:val="Hyperlink"/>
          </w:rPr>
          <w:t>Section 61</w:t>
        </w:r>
      </w:hyperlink>
      <w:r w:rsidR="0078310B">
        <w:t xml:space="preserve">(a) provides that “Gross Income means </w:t>
      </w:r>
      <w:r w:rsidR="0078310B" w:rsidRPr="00931235">
        <w:rPr>
          <w:i/>
        </w:rPr>
        <w:t>all income from whatever source derived</w:t>
      </w:r>
      <w:r w:rsidR="0078310B">
        <w:t xml:space="preserve">, </w:t>
      </w:r>
      <w:r w:rsidR="0078310B" w:rsidRPr="00931235">
        <w:t>including (but not limited to)</w:t>
      </w:r>
      <w:r w:rsidR="0078310B">
        <w:t xml:space="preserve"> the following items ….” (Emphasis added.) Because of that parenthetical, we know that items of Gross Income exist in the world that are not found among the 15 listed items, but what are they? How should that vague residual clause be interpreted by both courts and the administrators of the statute? That issue is what this chapter is all about. </w:t>
      </w:r>
    </w:p>
    <w:p w:rsidR="0078310B" w:rsidRDefault="0078310B" w:rsidP="0078310B">
      <w:pPr>
        <w:widowControl w:val="0"/>
        <w:spacing w:after="120"/>
        <w:ind w:firstLine="288"/>
        <w:jc w:val="both"/>
      </w:pPr>
      <w:r>
        <w:t>In the early days of the income tax, interpreters often turned to the meaning of the term “income” in other disciplines and contexts for help. Thus,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income produced by his capital so that the capital, itself, could be passed intact to his first-born son. If a plot of land proved to be inconveniently situated and he sold it, he would not view the cash sales proceeds (or any profit from the sale)</w:t>
      </w:r>
      <w:r w:rsidR="00194003">
        <w:t xml:space="preserve"> as available for consumption. Rather, </w:t>
      </w:r>
      <w:r>
        <w:t>he would use the sales proceeds to purchase other land or other capital, which would, in turn, produce “income” tha</w:t>
      </w:r>
      <w:r w:rsidR="00390D5B">
        <w:t>t he could legitimately consume under the social conventions of the time.</w:t>
      </w:r>
    </w:p>
    <w:p w:rsidR="0078310B" w:rsidRPr="004307AA" w:rsidRDefault="0078310B" w:rsidP="0078310B">
      <w:pPr>
        <w:widowControl w:val="0"/>
        <w:spacing w:after="120"/>
        <w:ind w:firstLine="288"/>
        <w:jc w:val="both"/>
      </w:pPr>
      <w:r>
        <w:t xml:space="preserve">Notice that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w:t>
      </w:r>
      <w:r w:rsidRPr="00075C09">
        <w:t>Thus</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Thus, the “gain” realized on the sale of land was not considered “income” under the early English income tax but rather the entire proceeds </w:t>
      </w:r>
      <w:r w:rsidR="00F0342F">
        <w:t xml:space="preserve">(including any gain) </w:t>
      </w:r>
      <w:r>
        <w:t xml:space="preserve">were considered a tax-free “capital” receipt. If profit from one-time sales of land were considered “income” and thus taxed, the wealth of the landed gentry might diminish over time when that wealth needed to remain intact to be handed down to the first-born son. </w:t>
      </w:r>
    </w:p>
    <w:p w:rsidR="0078310B" w:rsidRPr="00EE0435" w:rsidRDefault="0078310B" w:rsidP="0078310B">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of that trust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rsidR="0078310B" w:rsidRDefault="0078310B" w:rsidP="0078310B">
      <w:pPr>
        <w:widowControl w:val="0"/>
        <w:spacing w:after="120"/>
        <w:ind w:firstLine="288"/>
        <w:jc w:val="both"/>
      </w:pPr>
      <w:r>
        <w:t>This all sounds quite odd to our 21</w:t>
      </w:r>
      <w:r w:rsidRPr="00EE0435">
        <w:rPr>
          <w:vertAlign w:val="superscript"/>
        </w:rPr>
        <w:t>st</w:t>
      </w:r>
      <w:r>
        <w:t>-century ears. Today, we do not view one-time, lump-sum receipts</w:t>
      </w:r>
      <w:r w:rsidR="00065636">
        <w:t xml:space="preserve"> </w:t>
      </w:r>
      <w:r>
        <w:t>as out of bounds for spending on personal consumption under any social convention</w:t>
      </w:r>
      <w:r w:rsidR="00065636">
        <w:t xml:space="preserve"> (lottery winnings anyone?)</w:t>
      </w:r>
      <w:r>
        <w:t xml:space="preserve">.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under the residual clause was limited to the </w:t>
      </w:r>
      <w:r>
        <w:rPr>
          <w:i/>
        </w:rPr>
        <w:t xml:space="preserve">periodic </w:t>
      </w:r>
      <w:r>
        <w:t xml:space="preserve">receipts from invested financial or human capital so that “gain” or profit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3"/>
      </w:r>
    </w:p>
    <w:p w:rsidR="0078310B" w:rsidRDefault="0078310B" w:rsidP="0078310B">
      <w:pPr>
        <w:widowControl w:val="0"/>
        <w:spacing w:after="120"/>
        <w:ind w:firstLine="288"/>
        <w:jc w:val="both"/>
      </w:pPr>
      <w:r>
        <w:t xml:space="preserve">In the 1920 Supreme Court decision in </w:t>
      </w:r>
      <w:r>
        <w:rPr>
          <w:i/>
        </w:rPr>
        <w:t>Eisner v. Macomber</w:t>
      </w:r>
      <w:r>
        <w:t>,</w:t>
      </w:r>
      <w:r>
        <w:rPr>
          <w:rStyle w:val="FootnoteReference"/>
        </w:rPr>
        <w:footnoteReference w:id="224"/>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25"/>
      </w:r>
    </w:p>
    <w:p w:rsidR="0078310B" w:rsidRDefault="0078310B" w:rsidP="0078310B">
      <w:pPr>
        <w:widowControl w:val="0"/>
        <w:spacing w:after="120"/>
        <w:ind w:firstLine="288"/>
        <w:jc w:val="both"/>
      </w:pPr>
      <w:r>
        <w:t xml:space="preserve">But when you think about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rsidR="0078310B" w:rsidRDefault="0078310B" w:rsidP="0078310B">
      <w:pPr>
        <w:widowControl w:val="0"/>
        <w:ind w:firstLine="288"/>
        <w:jc w:val="both"/>
      </w:pPr>
      <w:r>
        <w:t xml:space="preserve">It seems odd that the facts in the following case had to be litigated all the way up to the Supreme Court, as the outcome seems so intuitive today. But you can see why the issue arose when you appreciate the background described above.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01" w:name="_Toc395790405"/>
      <w:r>
        <w:t>COMMISSIONER V. GLENSHAW GLASS</w:t>
      </w:r>
      <w:bookmarkEnd w:id="101"/>
    </w:p>
    <w:p w:rsidR="0078310B" w:rsidRDefault="0078310B" w:rsidP="0078310B">
      <w:pPr>
        <w:widowControl w:val="0"/>
        <w:jc w:val="center"/>
      </w:pPr>
      <w:r>
        <w:t xml:space="preserve">348 U.S. 426, </w:t>
      </w:r>
      <w:r>
        <w:rPr>
          <w:i/>
        </w:rPr>
        <w:t xml:space="preserve">reh’g denied, </w:t>
      </w:r>
      <w:r>
        <w:t>349 U.S. 925 (1955)</w:t>
      </w:r>
    </w:p>
    <w:p w:rsidR="0078310B" w:rsidRDefault="0078310B" w:rsidP="0078310B">
      <w:pPr>
        <w:widowControl w:val="0"/>
        <w:jc w:val="both"/>
      </w:pPr>
    </w:p>
    <w:p w:rsidR="0078310B" w:rsidRDefault="0078310B" w:rsidP="0078310B">
      <w:pPr>
        <w:widowControl w:val="0"/>
        <w:spacing w:after="120"/>
        <w:ind w:firstLine="288"/>
        <w:jc w:val="both"/>
      </w:pPr>
      <w:r>
        <w:rPr>
          <w:smallCaps/>
        </w:rPr>
        <w:t>Mr. Chief Justice Warren</w:t>
      </w:r>
      <w:r>
        <w:t xml:space="preserve"> delivered the opinion of the Court.</w:t>
      </w:r>
    </w:p>
    <w:p w:rsidR="0078310B" w:rsidRPr="00544A1B" w:rsidRDefault="0078310B" w:rsidP="0078310B">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8"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rsidR="0078310B" w:rsidRDefault="0078310B" w:rsidP="0078310B">
      <w:pPr>
        <w:widowControl w:val="0"/>
        <w:spacing w:after="120"/>
        <w:ind w:firstLine="288"/>
        <w:jc w:val="both"/>
      </w:pPr>
      <w:r w:rsidRPr="00544A1B">
        <w:t>The facts of the cases were largely stipulated and are not in dispute. So far as pertinent they are as follows:</w:t>
      </w:r>
    </w:p>
    <w:p w:rsidR="0078310B" w:rsidRPr="00544A1B" w:rsidRDefault="0078310B" w:rsidP="0078310B">
      <w:pPr>
        <w:widowControl w:val="0"/>
        <w:spacing w:after="120"/>
        <w:ind w:firstLine="288"/>
        <w:jc w:val="both"/>
      </w:pPr>
      <w:r w:rsidRPr="00544A1B">
        <w:t xml:space="preserve">The </w:t>
      </w:r>
      <w:hyperlink r:id="rId209" w:history="1">
        <w:r w:rsidRPr="00544A1B">
          <w:t>Glenshaw Glass Company, </w:t>
        </w:r>
      </w:hyperlink>
      <w:r w:rsidRPr="00544A1B">
        <w:t>a Pennsylvania corporation, manufactures glass bottles and 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rsidR="0078310B" w:rsidRPr="00544A1B" w:rsidRDefault="0078310B" w:rsidP="0078310B">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rsidR="0078310B" w:rsidRPr="00544A1B" w:rsidRDefault="0078310B" w:rsidP="0078310B">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10" w:history="1">
        <w:r>
          <w:t>§ 22</w:t>
        </w:r>
        <w:r w:rsidRPr="00544A1B">
          <w:t>(a)</w:t>
        </w:r>
      </w:hyperlink>
      <w:r>
        <w:t xml:space="preserve"> [predecessor to current § 61(a)]</w:t>
      </w:r>
      <w:r w:rsidRPr="00544A1B">
        <w:t>?</w:t>
      </w:r>
    </w:p>
    <w:p w:rsidR="0078310B" w:rsidRPr="00544A1B" w:rsidRDefault="0078310B" w:rsidP="0078310B">
      <w:pPr>
        <w:widowControl w:val="0"/>
        <w:spacing w:after="120"/>
        <w:ind w:firstLine="288"/>
        <w:jc w:val="both"/>
      </w:pPr>
      <w:r w:rsidRPr="00544A1B">
        <w:t>The sweeping scope of the controverted statute is readily apparent:</w:t>
      </w:r>
    </w:p>
    <w:p w:rsidR="0078310B" w:rsidRDefault="002B3596" w:rsidP="0078310B">
      <w:pPr>
        <w:widowControl w:val="0"/>
        <w:spacing w:after="120"/>
        <w:ind w:left="720" w:right="720"/>
        <w:jc w:val="both"/>
      </w:pPr>
      <w:hyperlink r:id="rId211" w:history="1">
        <w:r w:rsidR="0078310B">
          <w:t xml:space="preserve">SEC. </w:t>
        </w:r>
        <w:r w:rsidR="0078310B" w:rsidRPr="00544A1B">
          <w:t>22</w:t>
        </w:r>
      </w:hyperlink>
      <w:r w:rsidR="0078310B">
        <w:t>. GROSS INCOME</w:t>
      </w:r>
      <w:r w:rsidR="0078310B" w:rsidRPr="00544A1B">
        <w:t>.</w:t>
      </w:r>
    </w:p>
    <w:p w:rsidR="0078310B" w:rsidRPr="00544A1B" w:rsidRDefault="0078310B" w:rsidP="0078310B">
      <w:pPr>
        <w:widowControl w:val="0"/>
        <w:spacing w:after="120"/>
        <w:ind w:left="720" w:right="720"/>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w:t>
      </w:r>
      <w:r w:rsidR="00EE461B">
        <w:t>r</w:t>
      </w:r>
      <w:r>
        <w:t>….</w:t>
      </w:r>
    </w:p>
    <w:p w:rsidR="0078310B" w:rsidRPr="00544A1B" w:rsidRDefault="0078310B" w:rsidP="0078310B">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12" w:history="1">
        <w:r w:rsidRPr="00833A80">
          <w:rPr>
            <w:i/>
          </w:rPr>
          <w:t>Helvering v. Clifford</w:t>
        </w:r>
        <w:r w:rsidRPr="00544A1B">
          <w:t>, 309 U.S. 331, 334</w:t>
        </w:r>
      </w:hyperlink>
      <w:r w:rsidRPr="00544A1B">
        <w:t xml:space="preserve">; </w:t>
      </w:r>
      <w:hyperlink r:id="rId213" w:history="1">
        <w:r w:rsidRPr="00833A80">
          <w:rPr>
            <w:i/>
          </w:rPr>
          <w:t>Helvering v. Midland Mutual Life Ins. Co.</w:t>
        </w:r>
        <w:r w:rsidRPr="00544A1B">
          <w:t>, 300 U.S. 216, 223</w:t>
        </w:r>
      </w:hyperlink>
      <w:r w:rsidRPr="00544A1B">
        <w:t xml:space="preserve">; </w:t>
      </w:r>
      <w:hyperlink r:id="rId214" w:history="1">
        <w:r w:rsidRPr="00833A80">
          <w:rPr>
            <w:i/>
          </w:rPr>
          <w:t>Douglas v. Willcuts</w:t>
        </w:r>
        <w:r w:rsidRPr="00544A1B">
          <w:t>, 296 U.S. 1, 9</w:t>
        </w:r>
      </w:hyperlink>
      <w:r w:rsidRPr="00544A1B">
        <w:t xml:space="preserve">; </w:t>
      </w:r>
      <w:hyperlink r:id="rId215"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16" w:history="1">
        <w:r w:rsidRPr="00833A80">
          <w:rPr>
            <w:i/>
          </w:rPr>
          <w:t>Comm’r v. Jacobson</w:t>
        </w:r>
        <w:r w:rsidRPr="00544A1B">
          <w:t>, 336 U.S. 28, 49</w:t>
        </w:r>
      </w:hyperlink>
      <w:r w:rsidRPr="00544A1B">
        <w:t xml:space="preserve">; </w:t>
      </w:r>
      <w:hyperlink r:id="rId217"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8" w:history="1">
        <w:r w:rsidRPr="00833A80">
          <w:rPr>
            <w:i/>
          </w:rPr>
          <w:t>Helvering v. Bruun</w:t>
        </w:r>
        <w:r w:rsidRPr="00544A1B">
          <w:t>, 309 U.S. 461</w:t>
        </w:r>
      </w:hyperlink>
      <w:r w:rsidRPr="00544A1B">
        <w:t xml:space="preserve">. Cf. </w:t>
      </w:r>
      <w:hyperlink r:id="rId219" w:history="1">
        <w:r>
          <w:rPr>
            <w:i/>
          </w:rPr>
          <w:t>Robertson v. U.S.</w:t>
        </w:r>
        <w:r w:rsidRPr="00544A1B">
          <w:t>, 343 U.S. 711</w:t>
        </w:r>
      </w:hyperlink>
      <w:r w:rsidRPr="00544A1B">
        <w:t xml:space="preserve">; </w:t>
      </w:r>
      <w:hyperlink r:id="rId220" w:history="1">
        <w:r>
          <w:rPr>
            <w:i/>
          </w:rPr>
          <w:t>Rutkin v. U.S.</w:t>
        </w:r>
        <w:r w:rsidRPr="00544A1B">
          <w:t>, 343 U.S. 130</w:t>
        </w:r>
      </w:hyperlink>
      <w:r w:rsidRPr="00544A1B">
        <w:t xml:space="preserve">; </w:t>
      </w:r>
      <w:hyperlink r:id="rId221"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222" w:history="1">
        <w:r>
          <w:t>§ 22</w:t>
        </w:r>
        <w:r w:rsidRPr="00544A1B">
          <w:t>(a)</w:t>
        </w:r>
      </w:hyperlink>
      <w:r>
        <w:t>, “</w:t>
      </w:r>
      <w:r w:rsidRPr="00544A1B">
        <w:t>gains 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rsidR="0078310B" w:rsidRPr="00544A1B" w:rsidRDefault="0078310B" w:rsidP="0078310B">
      <w:pPr>
        <w:widowControl w:val="0"/>
        <w:spacing w:after="120"/>
        <w:ind w:firstLine="288"/>
        <w:jc w:val="both"/>
      </w:pPr>
      <w:r>
        <w:t>Nor can we accept respondents’</w:t>
      </w:r>
      <w:r w:rsidRPr="00544A1B">
        <w:t xml:space="preserve"> contention that a narrower reading of </w:t>
      </w:r>
      <w:hyperlink r:id="rId223" w:history="1">
        <w:r>
          <w:t>§ 22</w:t>
        </w:r>
        <w:r w:rsidRPr="00544A1B">
          <w:t>(a)</w:t>
        </w:r>
      </w:hyperlink>
      <w:r w:rsidRPr="00544A1B">
        <w:t xml:space="preserve"> is required by the Court's</w:t>
      </w:r>
      <w:r>
        <w:t xml:space="preserve"> characterization of income in </w:t>
      </w:r>
      <w:hyperlink r:id="rId224" w:history="1">
        <w:r w:rsidRPr="00BC5287">
          <w:rPr>
            <w:i/>
          </w:rPr>
          <w:t>Eisner v. Macomber</w:t>
        </w:r>
        <w:r w:rsidRPr="00544A1B">
          <w:t>, 252 U.S. 189, 207</w:t>
        </w:r>
      </w:hyperlink>
      <w:r>
        <w:t>, as “</w:t>
      </w:r>
      <w:r w:rsidRPr="00544A1B">
        <w:t>the gain derived from capital, from la</w:t>
      </w:r>
      <w:bookmarkStart w:id="102" w:name="ref7"/>
      <w:r>
        <w:t>bor, or from both combined.”</w:t>
      </w:r>
      <w:bookmarkEnd w:id="102"/>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25" w:history="1">
        <w:r w:rsidRPr="00BC5287">
          <w:rPr>
            <w:i/>
          </w:rPr>
          <w:t>Helvering v. Bruun</w:t>
        </w:r>
        <w:r w:rsidRPr="00544A1B">
          <w:t xml:space="preserve">, </w:t>
        </w:r>
        <w:r w:rsidRPr="00BC5287">
          <w:rPr>
            <w:i/>
          </w:rPr>
          <w:t>supra</w:t>
        </w:r>
        <w:r w:rsidRPr="00544A1B">
          <w:t>, at 468-469</w:t>
        </w:r>
      </w:hyperlink>
      <w:r w:rsidRPr="00544A1B">
        <w:t xml:space="preserve">; </w:t>
      </w:r>
      <w:hyperlink r:id="rId226"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rsidR="0078310B" w:rsidRPr="00544A1B" w:rsidRDefault="0078310B" w:rsidP="0078310B">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78310B" w:rsidRPr="00544A1B" w:rsidRDefault="0078310B" w:rsidP="0078310B">
      <w:pPr>
        <w:widowControl w:val="0"/>
        <w:spacing w:after="120"/>
        <w:ind w:firstLine="288"/>
        <w:jc w:val="both"/>
      </w:pPr>
      <w:r w:rsidRPr="00544A1B">
        <w:t xml:space="preserve">It is urged that re-enactment of </w:t>
      </w:r>
      <w:hyperlink r:id="rId227" w:history="1">
        <w:r>
          <w:t>§ 22</w:t>
        </w:r>
        <w:r w:rsidRPr="00544A1B">
          <w:t>(a)</w:t>
        </w:r>
      </w:hyperlink>
      <w:r w:rsidRPr="00544A1B">
        <w:t xml:space="preserve"> without change since the Board of Tax Appeals held punitive damages nontaxable in</w:t>
      </w:r>
      <w:r>
        <w:t xml:space="preserve"> </w:t>
      </w:r>
      <w:hyperlink r:id="rId228"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9" w:history="1">
        <w:r w:rsidRPr="00BC5287">
          <w:rPr>
            <w:i/>
          </w:rPr>
          <w:t>Helvering v. Wilshire Oil Co.</w:t>
        </w:r>
        <w:r w:rsidRPr="00544A1B">
          <w:t>, 308 U.S. 90, 100-101</w:t>
        </w:r>
      </w:hyperlink>
      <w:r w:rsidRPr="00544A1B">
        <w:t xml:space="preserve">; </w:t>
      </w:r>
      <w:hyperlink r:id="rId230"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31"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32"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33" w:history="1">
        <w:r w:rsidRPr="00BC5287">
          <w:rPr>
            <w:i/>
          </w:rPr>
          <w:t>Helvering v. Midland Mutual Life Ins. Co.</w:t>
        </w:r>
        <w:r w:rsidRPr="00544A1B">
          <w:t xml:space="preserve">, </w:t>
        </w:r>
        <w:r w:rsidRPr="00BC5287">
          <w:rPr>
            <w:i/>
          </w:rPr>
          <w:t>supra</w:t>
        </w:r>
        <w:r w:rsidRPr="00544A1B">
          <w:t>, at 223</w:t>
        </w:r>
      </w:hyperlink>
      <w:r w:rsidRPr="00544A1B">
        <w:t>.</w:t>
      </w:r>
    </w:p>
    <w:p w:rsidR="0078310B" w:rsidRDefault="0078310B" w:rsidP="0078310B">
      <w:pPr>
        <w:widowControl w:val="0"/>
        <w:spacing w:after="120"/>
        <w:ind w:firstLine="288"/>
        <w:jc w:val="both"/>
      </w:pPr>
      <w:r w:rsidRPr="00544A1B">
        <w:t>Reversed.</w:t>
      </w:r>
    </w:p>
    <w:p w:rsidR="0078310B" w:rsidRDefault="0078310B" w:rsidP="0078310B">
      <w:pPr>
        <w:widowControl w:val="0"/>
        <w:spacing w:after="120"/>
        <w:ind w:firstLine="288"/>
        <w:jc w:val="both"/>
      </w:pPr>
      <w:r>
        <w:rPr>
          <w:smallCaps/>
        </w:rPr>
        <w:t>Mr. Justice Douglas</w:t>
      </w:r>
      <w:r w:rsidRPr="00544A1B">
        <w:t xml:space="preserve"> dissents.</w:t>
      </w:r>
    </w:p>
    <w:p w:rsidR="0078310B" w:rsidRDefault="0078310B" w:rsidP="0078310B">
      <w:pPr>
        <w:widowControl w:val="0"/>
        <w:ind w:firstLine="288"/>
        <w:jc w:val="both"/>
      </w:pPr>
      <w:r>
        <w:rPr>
          <w:smallCaps/>
        </w:rPr>
        <w:t>Mr. Justice Harlan</w:t>
      </w:r>
      <w:r w:rsidRPr="00544A1B">
        <w:t xml:space="preserve"> took no part in the consideration or decision of this case.</w:t>
      </w:r>
    </w:p>
    <w:p w:rsidR="0078310B" w:rsidRDefault="0078310B" w:rsidP="0078310B">
      <w:pPr>
        <w:widowControl w:val="0"/>
        <w:jc w:val="center"/>
      </w:pPr>
      <w:r>
        <w:t>_______________________________________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The language from § 22 quoted in the case is from the 1939 Internal Revenue Code. In 1954, Congress did a thorough rewrite of the Code—a “recodification”—including changing most Code section numbers. Thus, § 22 of the 1939 Code became </w:t>
      </w:r>
      <w:hyperlink r:id="rId234" w:history="1">
        <w:r w:rsidRPr="00A82742">
          <w:rPr>
            <w:rStyle w:val="Hyperlink"/>
          </w:rPr>
          <w:t>§ 61</w:t>
        </w:r>
      </w:hyperlink>
      <w:r>
        <w:t xml:space="preserve">(a) in the 1954 Code. Although </w:t>
      </w:r>
      <w:r>
        <w:rPr>
          <w:i/>
        </w:rPr>
        <w:t xml:space="preserve">Glenshaw Glass </w:t>
      </w:r>
      <w:r>
        <w:t xml:space="preserve">was decided in 1955, the tax years at issue predated the 1954 recodification, which is why the Court cited § 22 rather than § 61. Although the language in old § 22 looks slightly different from that in current § 61 (with the residual clause appearing at the end of old § 22 instead of at the beginning, as in current § 61), the two versions are not materially different. Thus, the </w:t>
      </w:r>
      <w:r>
        <w:rPr>
          <w:i/>
        </w:rPr>
        <w:t xml:space="preserve">Glenshaw Glass </w:t>
      </w:r>
      <w:r>
        <w:t>Court’s interpretation of the scope of the residual clause in old § 22 applies equally to the residual clause in current § 61.</w:t>
      </w:r>
      <w:r>
        <w:rPr>
          <w:rStyle w:val="FootnoteReference"/>
        </w:rPr>
        <w:footnoteReference w:id="226"/>
      </w:r>
      <w:r>
        <w:t xml:space="preserve"> </w:t>
      </w:r>
    </w:p>
    <w:p w:rsidR="0078310B" w:rsidRDefault="0078310B" w:rsidP="0078310B">
      <w:pPr>
        <w:widowControl w:val="0"/>
        <w:spacing w:after="120"/>
        <w:ind w:firstLine="288"/>
        <w:jc w:val="both"/>
      </w:pPr>
      <w:r>
        <w:t xml:space="preserve">Which statutory interpretation tools did the </w:t>
      </w:r>
      <w:r>
        <w:rPr>
          <w:i/>
        </w:rPr>
        <w:t xml:space="preserve">Glenshaw Glass </w:t>
      </w:r>
      <w:r>
        <w:t>Court use in deciding that punitive damages fell with</w:t>
      </w:r>
      <w:r w:rsidR="006B047B">
        <w:t>in the residual clause</w:t>
      </w:r>
      <w:r>
        <w:t xml:space="preserve">?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rsidR="0078310B" w:rsidRDefault="0078310B" w:rsidP="0078310B">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in old § 22 or current § 61), the scope of the catch-all clause should be limited to </w:t>
      </w:r>
      <w:r w:rsidR="006E11E7">
        <w:t xml:space="preserve">items </w:t>
      </w:r>
      <w:r>
        <w:t xml:space="preserve">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rsidR="0078310B" w:rsidRDefault="0078310B" w:rsidP="0078310B">
      <w:pPr>
        <w:widowControl w:val="0"/>
        <w:spacing w:after="120"/>
        <w:ind w:firstLine="288"/>
        <w:jc w:val="both"/>
      </w:pPr>
      <w:r>
        <w:t>What common characteristics are shared by the specifically enumerated</w:t>
      </w:r>
      <w:r w:rsidR="009C6FCB">
        <w:t xml:space="preserve"> items in old § 22 </w:t>
      </w:r>
      <w:r>
        <w:t xml:space="preserve">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clearly realized, over which the taxpayer[] ha[s] complete dominion.” Thus, whether the receipt can be traced back to labor or capital</w:t>
      </w:r>
      <w:r w:rsidR="009C6FCB">
        <w:t xml:space="preserve"> is irrelevant</w:t>
      </w:r>
      <w:r>
        <w:t xml:space="preserve">; we ask only whether the taxpayer is wealthier by reason of the receipt or event. </w:t>
      </w:r>
    </w:p>
    <w:p w:rsidR="0078310B" w:rsidRDefault="0078310B" w:rsidP="0078310B">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which built on the prior work of Georg Schanz and Robert Haig, was published in 1938. Moreover, the Government’s Brief in </w:t>
      </w:r>
      <w:r>
        <w:rPr>
          <w:i/>
        </w:rPr>
        <w:t xml:space="preserve">Glenshaw Glass </w:t>
      </w:r>
      <w:r>
        <w:t>explicitly referred to the concept.</w:t>
      </w:r>
      <w:r>
        <w:rPr>
          <w:rStyle w:val="FootnoteReference"/>
        </w:rPr>
        <w:footnoteReference w:id="227"/>
      </w:r>
      <w:r>
        <w:t xml:space="preserve"> At the least, dated Victorian notions about not spending lump-sum, non-periodic windfalls on consumption had gone by the wayside by then.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28"/>
      </w:r>
    </w:p>
    <w:p w:rsidR="0078310B" w:rsidRPr="004273F3" w:rsidRDefault="0078310B" w:rsidP="0078310B">
      <w:pPr>
        <w:widowControl w:val="0"/>
        <w:ind w:firstLine="288"/>
        <w:jc w:val="both"/>
      </w:pPr>
      <w:r>
        <w:t xml:space="preserve">Section A. examines the scope of “wealth accession” within the meaning of </w:t>
      </w:r>
      <w:r>
        <w:rPr>
          <w:i/>
        </w:rPr>
        <w:t>Glenshaw Glass</w:t>
      </w:r>
      <w:r>
        <w:t xml:space="preserve">. Section B. explores when a clear wealth accession is deemed to be “realized.” The third </w:t>
      </w:r>
      <w:r>
        <w:rPr>
          <w:i/>
        </w:rPr>
        <w:t>Glenshaw Glass</w:t>
      </w:r>
      <w:r>
        <w:t xml:space="preserve"> factor (referring to “complete dominion”) will be important in considering attempts to shift income among taxpayers, considered in Chapter 8. </w:t>
      </w:r>
    </w:p>
    <w:p w:rsidR="0078310B" w:rsidRDefault="0078310B" w:rsidP="0078310B">
      <w:pPr>
        <w:widowControl w:val="0"/>
        <w:ind w:firstLine="288"/>
        <w:jc w:val="both"/>
      </w:pPr>
    </w:p>
    <w:p w:rsidR="0078310B" w:rsidRPr="000A0133" w:rsidRDefault="0078310B" w:rsidP="0078310B">
      <w:pPr>
        <w:pStyle w:val="Heading2"/>
        <w:spacing w:before="0"/>
        <w:rPr>
          <w:sz w:val="32"/>
          <w:szCs w:val="32"/>
        </w:rPr>
      </w:pPr>
      <w:bookmarkStart w:id="103" w:name="_Toc395790406"/>
      <w:r w:rsidRPr="000A0133">
        <w:rPr>
          <w:sz w:val="32"/>
          <w:szCs w:val="32"/>
        </w:rPr>
        <w:t>A. What is an “accession to wealth”</w:t>
      </w:r>
    </w:p>
    <w:p w:rsidR="0078310B" w:rsidRPr="000A0133" w:rsidRDefault="0078310B" w:rsidP="0078310B">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103"/>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We move from the simple (cash) to the more ambiguous (consumption received in kind). </w:t>
      </w:r>
    </w:p>
    <w:p w:rsidR="0078310B" w:rsidRPr="001046DD" w:rsidRDefault="0078310B" w:rsidP="0078310B">
      <w:pPr>
        <w:pStyle w:val="Heading3"/>
        <w:spacing w:before="0" w:beforeAutospacing="0" w:after="120" w:afterAutospacing="0"/>
        <w:rPr>
          <w:i/>
        </w:rPr>
      </w:pPr>
      <w:bookmarkStart w:id="104" w:name="_Toc395790407"/>
      <w:r w:rsidRPr="001046DD">
        <w:rPr>
          <w:i/>
        </w:rPr>
        <w:t>Cash receipts that are not basis recovery</w:t>
      </w:r>
      <w:bookmarkEnd w:id="104"/>
    </w:p>
    <w:p w:rsidR="0078310B" w:rsidRDefault="0078310B" w:rsidP="0078310B">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by reason of the event, t</w:t>
      </w:r>
      <w:r w:rsidRPr="001221EB">
        <w:t>he</w:t>
      </w:r>
      <w:r>
        <w:t xml:space="preserve"> case before it became an easy one beca</w:t>
      </w:r>
      <w:r w:rsidR="00AB73D1">
        <w:t>use a punitive damage award—</w:t>
      </w:r>
      <w:r>
        <w:t>a cash receipt that clearly doe</w:t>
      </w:r>
      <w:r w:rsidR="00AB73D1">
        <w:t>s not represent basis recovery—i</w:t>
      </w:r>
      <w:r>
        <w:t xml:space="preserve">s new wealth that has never been taxed before to this taxpayer. Glenshaw Glass clearly enjoyed an increase in its wealth upon receipt of the punitive damages. </w:t>
      </w:r>
    </w:p>
    <w:p w:rsidR="0078310B" w:rsidRDefault="0078310B" w:rsidP="0078310B">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05" w:name="_Toc395790409"/>
      <w:r>
        <w:t>REVENUE RULING 76-131</w:t>
      </w:r>
      <w:bookmarkEnd w:id="105"/>
    </w:p>
    <w:p w:rsidR="0078310B" w:rsidRPr="00D531C4" w:rsidRDefault="0078310B" w:rsidP="0078310B">
      <w:pPr>
        <w:widowControl w:val="0"/>
        <w:jc w:val="center"/>
      </w:pPr>
      <w:r>
        <w:t>1976-1 C.B. 16</w:t>
      </w:r>
    </w:p>
    <w:p w:rsidR="0078310B" w:rsidRDefault="0078310B" w:rsidP="0078310B">
      <w:pPr>
        <w:widowControl w:val="0"/>
        <w:ind w:firstLine="288"/>
        <w:jc w:val="both"/>
      </w:pPr>
    </w:p>
    <w:p w:rsidR="0078310B" w:rsidRDefault="0078310B" w:rsidP="0078310B">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35" w:history="1">
        <w:r w:rsidRPr="007E62FE">
          <w:t>sections 10 to 170</w:t>
        </w:r>
      </w:hyperlink>
      <w:r w:rsidRPr="007E62FE">
        <w:t xml:space="preserve">, effective January 1, 1973, are includible in the </w:t>
      </w:r>
      <w:r>
        <w:t>Gross Income</w:t>
      </w:r>
      <w:r w:rsidRPr="007E62FE">
        <w:t xml:space="preserve"> of the recipients pursuant to </w:t>
      </w:r>
      <w:hyperlink r:id="rId236" w:history="1">
        <w:r w:rsidRPr="007E62FE">
          <w:t>section 61 of the Internal Revenue Code of 1954</w:t>
        </w:r>
      </w:hyperlink>
      <w:r>
        <w:t>.</w:t>
      </w:r>
    </w:p>
    <w:p w:rsidR="0078310B" w:rsidRDefault="0078310B" w:rsidP="0078310B">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rsidR="0078310B" w:rsidRDefault="0078310B" w:rsidP="0078310B">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rsidR="0078310B" w:rsidRDefault="002B3596" w:rsidP="0078310B">
      <w:pPr>
        <w:widowControl w:val="0"/>
        <w:spacing w:after="120"/>
        <w:ind w:firstLine="288"/>
        <w:jc w:val="both"/>
      </w:pPr>
      <w:hyperlink r:id="rId237" w:history="1">
        <w:r w:rsidR="0078310B" w:rsidRPr="007E62FE">
          <w:t>Section 61 of the Code</w:t>
        </w:r>
      </w:hyperlink>
      <w:r w:rsidR="0078310B" w:rsidRPr="007E62FE">
        <w:t xml:space="preserve"> provides, in part, that </w:t>
      </w:r>
      <w:r w:rsidR="0078310B">
        <w:t>Gross Income</w:t>
      </w:r>
      <w:r w:rsidR="0078310B" w:rsidRPr="007E62FE">
        <w:t xml:space="preserve"> means all income from whatever source derived unl</w:t>
      </w:r>
      <w:r w:rsidR="0078310B">
        <w:t>ess otherwise excluded by law.</w:t>
      </w:r>
    </w:p>
    <w:p w:rsidR="0078310B" w:rsidRDefault="0078310B" w:rsidP="0078310B">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8" w:history="1">
        <w:r w:rsidRPr="007E62FE">
          <w:t>Rev. Rul. 63-136, 1963-2 C.B. 19</w:t>
        </w:r>
      </w:hyperlink>
      <w:r w:rsidRPr="007E62FE">
        <w:t xml:space="preserve">, concerning payments under the Manpower Development and Training Act; </w:t>
      </w:r>
      <w:hyperlink r:id="rId239" w:history="1">
        <w:r w:rsidRPr="007E62FE">
          <w:t>Rev. Rul. 68-38, 1968-1 C.B. 446</w:t>
        </w:r>
      </w:hyperlink>
      <w:r w:rsidRPr="007E62FE">
        <w:t xml:space="preserve">, involving payments under Title II-A of the Economic Opportunity Act of 1964; and </w:t>
      </w:r>
      <w:hyperlink r:id="rId240" w:history="1">
        <w:r w:rsidRPr="007E62FE">
          <w:t>Rev. Rul. 72-340, 1972-2 C.B. 31</w:t>
        </w:r>
      </w:hyperlink>
      <w:r w:rsidRPr="007E62FE">
        <w:t xml:space="preserve">, concerning stipends paid by a city to unemployed </w:t>
      </w:r>
      <w:r>
        <w:t>or underemployed probationers.</w:t>
      </w:r>
    </w:p>
    <w:p w:rsidR="0078310B" w:rsidRDefault="0078310B" w:rsidP="0078310B">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rsidR="0078310B" w:rsidRDefault="0078310B" w:rsidP="0078310B">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41" w:history="1">
        <w:r w:rsidRPr="007E62FE">
          <w:t>section 61 of the Code</w:t>
        </w:r>
      </w:hyperlink>
      <w:r w:rsidRPr="007E62FE">
        <w:t>.</w:t>
      </w:r>
    </w:p>
    <w:p w:rsidR="0078310B" w:rsidRDefault="0078310B" w:rsidP="0078310B">
      <w:pPr>
        <w:widowControl w:val="0"/>
        <w:jc w:val="center"/>
      </w:pPr>
      <w:r>
        <w:t>_______________________________</w:t>
      </w:r>
    </w:p>
    <w:p w:rsidR="0078310B" w:rsidRDefault="0078310B" w:rsidP="0078310B">
      <w:pPr>
        <w:widowControl w:val="0"/>
        <w:ind w:firstLine="288"/>
        <w:jc w:val="both"/>
      </w:pPr>
    </w:p>
    <w:p w:rsidR="0078310B" w:rsidRDefault="00FA5497" w:rsidP="00862FBA">
      <w:pPr>
        <w:pStyle w:val="Heading3"/>
        <w:spacing w:before="0" w:beforeAutospacing="0" w:after="120" w:afterAutospacing="0"/>
        <w:ind w:firstLine="288"/>
        <w:jc w:val="both"/>
      </w:pPr>
      <w:bookmarkStart w:id="106" w:name="_Toc395790408"/>
      <w:r w:rsidRPr="00FA5497">
        <w:rPr>
          <w:b w:val="0"/>
        </w:rPr>
        <w:t xml:space="preserve">In the 1990s, Congress replaced </w:t>
      </w:r>
      <w:r>
        <w:rPr>
          <w:b w:val="0"/>
        </w:rPr>
        <w:t xml:space="preserve">the </w:t>
      </w:r>
      <w:r w:rsidRPr="00FA5497">
        <w:rPr>
          <w:b w:val="0"/>
        </w:rPr>
        <w:t xml:space="preserve">Aid to Families with Dependent Children (AFDC) </w:t>
      </w:r>
      <w:r>
        <w:rPr>
          <w:b w:val="0"/>
        </w:rPr>
        <w:t xml:space="preserve">program (often referred to as “welfare”) </w:t>
      </w:r>
      <w:r w:rsidRPr="00FA5497">
        <w:rPr>
          <w:b w:val="0"/>
        </w:rPr>
        <w:t xml:space="preserve">with </w:t>
      </w:r>
      <w:r>
        <w:rPr>
          <w:b w:val="0"/>
        </w:rPr>
        <w:t xml:space="preserve">the </w:t>
      </w:r>
      <w:r w:rsidRPr="00FA5497">
        <w:rPr>
          <w:b w:val="0"/>
        </w:rPr>
        <w:t>Temporary Assistance for Needy Families (TANF)</w:t>
      </w:r>
      <w:r>
        <w:rPr>
          <w:b w:val="0"/>
        </w:rPr>
        <w:t xml:space="preserve"> program. AFDC payments were excludable fro</w:t>
      </w:r>
      <w:r w:rsidR="004812E1">
        <w:rPr>
          <w:b w:val="0"/>
        </w:rPr>
        <w:t xml:space="preserve">m Gross Income under </w:t>
      </w:r>
      <w:r w:rsidR="00590E7D">
        <w:rPr>
          <w:b w:val="0"/>
        </w:rPr>
        <w:t>the so-called general welfare doctrine, and the IRS was asked whether TANF payments were similarly excludable</w:t>
      </w:r>
      <w:bookmarkEnd w:id="106"/>
      <w:r w:rsidR="00590E7D">
        <w:rPr>
          <w:b w:val="0"/>
        </w:rPr>
        <w:t xml:space="preserve"> from Gross Income because </w:t>
      </w:r>
      <w:r w:rsidR="00590E7D" w:rsidRPr="00590E7D">
        <w:rPr>
          <w:b w:val="0"/>
        </w:rPr>
        <w:t xml:space="preserve">TANF </w:t>
      </w:r>
      <w:r w:rsidR="0078310B" w:rsidRPr="00590E7D">
        <w:rPr>
          <w:b w:val="0"/>
        </w:rPr>
        <w:t>requires that specified percentages of individual recipients engage in work activities and imposes penalties on the states for noncompliance with that requirement.</w:t>
      </w:r>
      <w:r w:rsidR="00590E7D">
        <w:rPr>
          <w:b w:val="0"/>
        </w:rPr>
        <w:t xml:space="preserve"> “Work activities” was broadly defined, however, to include a range of activities, such as engaging in job search and job readiness assistance programs, community service programs, certain education programs, and the like. In Notice 99-3,</w:t>
      </w:r>
      <w:r w:rsidR="005A3926">
        <w:rPr>
          <w:rStyle w:val="FootnoteReference"/>
          <w:b w:val="0"/>
        </w:rPr>
        <w:footnoteReference w:id="229"/>
      </w:r>
      <w:r w:rsidR="00590E7D">
        <w:rPr>
          <w:b w:val="0"/>
        </w:rPr>
        <w:t xml:space="preserve"> the </w:t>
      </w:r>
      <w:r w:rsidR="00B83646">
        <w:rPr>
          <w:b w:val="0"/>
        </w:rPr>
        <w:t xml:space="preserve">IRS </w:t>
      </w:r>
      <w:r w:rsidR="00590E7D">
        <w:rPr>
          <w:b w:val="0"/>
        </w:rPr>
        <w:t xml:space="preserve">ruled as follows: </w:t>
      </w:r>
    </w:p>
    <w:p w:rsidR="005A3926" w:rsidRDefault="005A3926" w:rsidP="005A3926">
      <w:pPr>
        <w:widowControl w:val="0"/>
        <w:spacing w:after="120"/>
        <w:ind w:left="720" w:right="720"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42" w:history="1">
        <w:r w:rsidRPr="00B9278D">
          <w:t>Rev. Rul. 71-425, 1971-2 C.B. 76</w:t>
        </w:r>
      </w:hyperlink>
      <w:r w:rsidRPr="00B9278D">
        <w:t xml:space="preserve">; </w:t>
      </w:r>
      <w:hyperlink r:id="rId243"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44" w:history="1">
        <w:r w:rsidRPr="00B9278D">
          <w:t>Rev. Rul. 75-246, 1975-1 C.B. 24</w:t>
        </w:r>
      </w:hyperlink>
      <w:r w:rsidRPr="00B9278D">
        <w:t>.</w:t>
      </w:r>
      <w:r>
        <w:t xml:space="preserve"> </w:t>
      </w:r>
    </w:p>
    <w:p w:rsidR="005A3926" w:rsidRDefault="005A3926" w:rsidP="005A3926">
      <w:pPr>
        <w:widowControl w:val="0"/>
        <w:spacing w:after="120"/>
        <w:ind w:left="720" w:right="720"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rsidR="005A3926" w:rsidRDefault="005A3926" w:rsidP="005A3926">
      <w:pPr>
        <w:widowControl w:val="0"/>
        <w:spacing w:after="120"/>
        <w:ind w:left="720" w:right="720" w:firstLine="288"/>
        <w:jc w:val="both"/>
      </w:pPr>
      <w:r>
        <w:t>In many of these cases, TANF payments are received in lieu of (and generally in amounts no greater than) payments the individual formerly received or would have received under AFDC based upon the individual’s personal and family subsistence requirements. In these cases, the primary measure of the amount received is the personal or family need of the individual recipient rather than the value of any services performed.</w:t>
      </w:r>
    </w:p>
    <w:p w:rsidR="0078310B" w:rsidRDefault="0078310B" w:rsidP="008D1F0A">
      <w:pPr>
        <w:widowControl w:val="0"/>
        <w:spacing w:after="120"/>
        <w:ind w:left="720" w:right="720"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rsidR="0078310B" w:rsidRPr="007E62FE" w:rsidRDefault="0078310B" w:rsidP="008D1F0A">
      <w:pPr>
        <w:widowControl w:val="0"/>
        <w:spacing w:after="120"/>
        <w:ind w:left="720" w:right="720"/>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rsidR="0078310B" w:rsidRPr="007E62FE" w:rsidRDefault="0078310B" w:rsidP="008D1F0A">
      <w:pPr>
        <w:widowControl w:val="0"/>
        <w:spacing w:after="120"/>
        <w:ind w:left="720" w:right="720"/>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rsidR="00600DC5">
        <w:t xml:space="preserve">…, </w:t>
      </w:r>
      <w:r w:rsidRPr="007E62FE">
        <w:t>and</w:t>
      </w:r>
    </w:p>
    <w:p w:rsidR="0078310B" w:rsidRPr="007E62FE" w:rsidRDefault="0078310B" w:rsidP="008D1F0A">
      <w:pPr>
        <w:widowControl w:val="0"/>
        <w:spacing w:after="120"/>
        <w:ind w:left="720" w:right="720"/>
        <w:jc w:val="both"/>
      </w:pPr>
      <w:r w:rsidRPr="007E62FE">
        <w:t>(3) The size of the individual’s payment is determined by the applicable welfare law…</w:t>
      </w:r>
    </w:p>
    <w:p w:rsidR="0078310B" w:rsidRDefault="0078310B" w:rsidP="0078310B">
      <w:pPr>
        <w:widowControl w:val="0"/>
        <w:spacing w:after="120"/>
        <w:ind w:firstLine="288"/>
        <w:jc w:val="both"/>
      </w:pPr>
      <w:r>
        <w:t>N</w:t>
      </w:r>
      <w:r w:rsidR="003F38F2">
        <w:t xml:space="preserve">either the ruling nor the notice </w:t>
      </w:r>
      <w:r>
        <w:t>provide much a</w:t>
      </w:r>
      <w:r w:rsidR="00B17256">
        <w:t xml:space="preserve">nalysis regarding the </w:t>
      </w:r>
      <w:r>
        <w:t xml:space="preserve">source of the so-called general welfare doctrine. Can you construct one? Is Congress’s apparent intent to protect bare subsistence income from taxation via the mechanisms studied in Chapter 1, Part B. (such as the Standard Deduction and the 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45" w:history="1">
        <w:r w:rsidRPr="004E1EF1">
          <w:rPr>
            <w:rStyle w:val="Hyperlink"/>
          </w:rPr>
          <w:t>§ 85</w:t>
        </w:r>
      </w:hyperlink>
      <w:r>
        <w:t xml:space="preserve">, as they are considered </w:t>
      </w:r>
      <w:r w:rsidRPr="00C21B50">
        <w:rPr>
          <w:i/>
        </w:rPr>
        <w:t>substitutes</w:t>
      </w:r>
      <w:r>
        <w:t xml:space="preserve"> for what would have been includable compe</w:t>
      </w:r>
      <w:r w:rsidR="009E14D1">
        <w:t>nsation income under § 61(a)(1) had the taxpayer not lost her job.</w:t>
      </w:r>
    </w:p>
    <w:p w:rsidR="0078310B" w:rsidRDefault="0078310B" w:rsidP="0078310B">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rsidR="0078310B" w:rsidRDefault="0078310B" w:rsidP="0078310B">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rsidR="00223515">
        <w:t xml:space="preserve">. That conceptualization is </w:t>
      </w:r>
      <w:r>
        <w:t xml:space="preserve">controversial, however, because the Social Security system is not truly an individualized pension system but, rather, a </w:t>
      </w:r>
      <w:r w:rsidRPr="00223515">
        <w:rPr>
          <w:i/>
        </w:rPr>
        <w:t>current</w:t>
      </w:r>
      <w:r>
        <w:t xml:space="preserve"> tax-and-transfer system. That is to say, current Social Security tax payments </w:t>
      </w:r>
      <w:r w:rsidR="00223515">
        <w:t xml:space="preserve">fund payments to </w:t>
      </w:r>
      <w:r w:rsidR="00223515" w:rsidRPr="00A6721E">
        <w:rPr>
          <w:i/>
        </w:rPr>
        <w:t>current retirees</w:t>
      </w:r>
      <w:r w:rsidR="00223515">
        <w:t xml:space="preserve"> (as well as certain disability and other payments); they are not set aside for the payee and invested on the payee’s account for a future stream of payments. Thus, they </w:t>
      </w:r>
      <w:r>
        <w:t>are more commonly considered to be “expenses” (whic</w:t>
      </w:r>
      <w:r w:rsidR="004C7784">
        <w:t>h do not create basis).</w:t>
      </w:r>
      <w:r>
        <w:rPr>
          <w:rStyle w:val="FootnoteReference"/>
        </w:rPr>
        <w:footnoteReference w:id="230"/>
      </w:r>
      <w:r>
        <w:t xml:space="preserve"> </w:t>
      </w:r>
    </w:p>
    <w:p w:rsidR="0078310B" w:rsidRDefault="0078310B" w:rsidP="0078310B">
      <w:pPr>
        <w:widowControl w:val="0"/>
        <w:spacing w:after="120"/>
        <w:ind w:firstLine="288"/>
        <w:jc w:val="both"/>
      </w:pPr>
      <w:r>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w:t>
      </w:r>
      <w:r w:rsidR="006163CA">
        <w:t xml:space="preserve">only </w:t>
      </w:r>
      <w:r>
        <w:t xml:space="preserve">to the extent exceeding that basis. For ease, we could allocate 100% of each payment received to tax-free basis recovery until basis is exhausted and then include 100% of each payment thereafter. Or, once the payment stream began,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10). Because of the time value of money, the former system would be of greater benefit to the Social Security recipient. </w:t>
      </w:r>
    </w:p>
    <w:p w:rsidR="0078310B" w:rsidRDefault="0078310B" w:rsidP="0078310B">
      <w:pPr>
        <w:widowControl w:val="0"/>
        <w:spacing w:after="120"/>
        <w:ind w:firstLine="288"/>
        <w:jc w:val="both"/>
      </w:pPr>
      <w:r>
        <w:t>Under positive law,</w:t>
      </w:r>
      <w:r w:rsidR="006163CA">
        <w:t xml:space="preserve"> however, neither approach is taken</w:t>
      </w:r>
      <w:r>
        <w:t xml:space="preserve">.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46" w:history="1">
        <w:r w:rsidRPr="006C4978">
          <w:rPr>
            <w:rStyle w:val="Hyperlink"/>
          </w:rPr>
          <w:t>§ 86</w:t>
        </w:r>
      </w:hyperlink>
      <w:r>
        <w:t xml:space="preserve">, depending on AGI, filing status, and the amount of Social Security payments received. </w:t>
      </w:r>
    </w:p>
    <w:p w:rsidR="0078310B" w:rsidRDefault="0078310B" w:rsidP="0078310B">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1"/>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2"/>
      </w:r>
      <w:r>
        <w:t xml:space="preserve"> This observation takes us to the next question: whether the value of Medicare benefits (and other consumption benefits) received in kind ought to be included in § 61 Gross Income under the residual clause. </w:t>
      </w:r>
    </w:p>
    <w:p w:rsidR="0078310B" w:rsidRPr="001046DD" w:rsidRDefault="0078310B" w:rsidP="0078310B">
      <w:pPr>
        <w:pStyle w:val="Heading3"/>
        <w:spacing w:before="0" w:beforeAutospacing="0" w:after="120" w:afterAutospacing="0"/>
        <w:rPr>
          <w:i/>
        </w:rPr>
      </w:pPr>
      <w:bookmarkStart w:id="107" w:name="_Toc395790410"/>
      <w:r w:rsidRPr="001046DD">
        <w:rPr>
          <w:i/>
        </w:rPr>
        <w:t>Consumption received in kind</w:t>
      </w:r>
      <w:bookmarkEnd w:id="107"/>
    </w:p>
    <w:p w:rsidR="0078310B" w:rsidRDefault="0078310B" w:rsidP="0078310B">
      <w:pPr>
        <w:widowControl w:val="0"/>
        <w:spacing w:after="120"/>
        <w:ind w:firstLine="288"/>
        <w:jc w:val="both"/>
      </w:pPr>
      <w:r>
        <w:t xml:space="preserve">You learned in Chapter 1 that the taxation of personal consumption is accomplished primarily through </w:t>
      </w:r>
      <w:r w:rsidRPr="00866BE2">
        <w:rPr>
          <w:i/>
        </w:rPr>
        <w:t>deduction denial</w:t>
      </w:r>
      <w:r>
        <w:t xml:space="preserve">. That is to say, personal consumption </w:t>
      </w:r>
      <w:r w:rsidRPr="00866BE2">
        <w:t>spending,</w:t>
      </w:r>
      <w:r>
        <w:t xml:space="preserve"> although a wealth reduction, is not deductible. Personal expenses are nondeductible under </w:t>
      </w:r>
      <w:hyperlink r:id="rId247" w:history="1">
        <w:r w:rsidRPr="006C4978">
          <w:rPr>
            <w:rStyle w:val="Hyperlink"/>
          </w:rPr>
          <w:t>§ 262(a)</w:t>
        </w:r>
      </w:hyperlink>
      <w:r w:rsidR="00BD1D10">
        <w:t>,</w:t>
      </w:r>
      <w:r>
        <w:t xml:space="preserve"> and the basis created on the purchase of personal-use property cannot be depreciated under </w:t>
      </w:r>
      <w:hyperlink r:id="rId248" w:history="1">
        <w:r w:rsidRPr="006C4978">
          <w:rPr>
            <w:rStyle w:val="Hyperlink"/>
          </w:rPr>
          <w:t>§§ 167</w:t>
        </w:r>
      </w:hyperlink>
      <w:r>
        <w:t xml:space="preserve"> and 168 or be deducted as a loss when the property is sold for less than basis. </w:t>
      </w:r>
      <w:r>
        <w:rPr>
          <w:i/>
        </w:rPr>
        <w:t xml:space="preserve">See </w:t>
      </w:r>
      <w:hyperlink r:id="rId249" w:history="1">
        <w:r w:rsidRPr="006C4978">
          <w:rPr>
            <w:rStyle w:val="Hyperlink"/>
          </w:rPr>
          <w:t>§ 165</w:t>
        </w:r>
      </w:hyperlink>
      <w:r>
        <w:t xml:space="preserve">(c)(3). In this manner, purchased personal consumption remains in the tax base via deduction denial, resulting in taxation. </w:t>
      </w:r>
    </w:p>
    <w:p w:rsidR="0078310B" w:rsidRDefault="0078310B" w:rsidP="0078310B">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t>, and the like. Some receipts—even if considered Gross Income within the meaning of § 61—might nevertheless be excludable under a specific Code section (such as § 102 pertaining to gifts or the fringe benefit exclusions for certain forms of compensation received in kind considered in the last chapter). Thus, we are consi</w:t>
      </w:r>
      <w:r w:rsidR="001A04BB">
        <w:t>dering here only receipts that—i</w:t>
      </w:r>
      <w:r>
        <w:t xml:space="preserve">f they </w:t>
      </w:r>
      <w:r>
        <w:rPr>
          <w:i/>
        </w:rPr>
        <w:t xml:space="preserve">do </w:t>
      </w:r>
      <w:r w:rsidR="001A04BB">
        <w:t>constitute § 61 Gross Income—</w:t>
      </w:r>
      <w:r>
        <w:t xml:space="preserve">would fail to qualify for exclusion under another Code section. </w:t>
      </w:r>
    </w:p>
    <w:p w:rsidR="0078310B" w:rsidRPr="0068385B" w:rsidRDefault="0078310B" w:rsidP="0078310B">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rsidR="00605965">
        <w:t>d and included in Gross Income</w:t>
      </w:r>
      <w:r w:rsidR="00DB1025">
        <w:t xml:space="preserve"> (</w:t>
      </w:r>
      <w:r w:rsidRPr="0068385B">
        <w:t>absent application of an explicit statutory exclusion, such as §§ 119 or 132</w:t>
      </w:r>
      <w:r w:rsidR="00DB1025">
        <w:t>)</w:t>
      </w:r>
      <w:r w:rsidRPr="0068385B">
        <w:t xml:space="preserve">. </w:t>
      </w:r>
    </w:p>
    <w:p w:rsidR="0078310B" w:rsidRPr="0068385B" w:rsidRDefault="0078310B" w:rsidP="0078310B">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rsidR="0078310B" w:rsidRPr="0068385B" w:rsidRDefault="0078310B" w:rsidP="0078310B">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3"/>
      </w:r>
    </w:p>
    <w:p w:rsidR="0078310B" w:rsidRPr="00FC21C1" w:rsidRDefault="0078310B" w:rsidP="0078310B">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rsidR="0078310B" w:rsidRPr="0068385B" w:rsidRDefault="0078310B" w:rsidP="0078310B">
      <w:pPr>
        <w:widowControl w:val="0"/>
        <w:spacing w:after="120"/>
        <w:ind w:firstLine="288"/>
        <w:jc w:val="both"/>
      </w:pPr>
      <w:r>
        <w:t xml:space="preserve">Thus,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w:t>
      </w:r>
      <w:hyperlink r:id="rId250" w:history="1">
        <w:r w:rsidRPr="006C4978">
          <w:rPr>
            <w:rStyle w:val="Hyperlink"/>
            <w:i/>
          </w:rPr>
          <w:t>§ 61</w:t>
        </w:r>
      </w:hyperlink>
      <w:r w:rsidRPr="0068385B">
        <w:rPr>
          <w:i/>
        </w:rPr>
        <w:t xml:space="preserve">(a)(1), dividend under § 61(a)(7), </w:t>
      </w:r>
      <w:r>
        <w:rPr>
          <w:i/>
        </w:rPr>
        <w:t xml:space="preserve">rent under § 61(a)(5), </w:t>
      </w:r>
      <w:r w:rsidRPr="0068385B">
        <w:rPr>
          <w:i/>
        </w:rPr>
        <w:t>or a prize under § 74(a)</w:t>
      </w:r>
      <w:r w:rsidRPr="0068385B">
        <w:t xml:space="preserve">. In each of those instances,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in kind. </w:t>
      </w:r>
    </w:p>
    <w:p w:rsidR="0078310B" w:rsidRDefault="0078310B" w:rsidP="0078310B">
      <w:pPr>
        <w:widowControl w:val="0"/>
        <w:ind w:firstLine="288"/>
        <w:jc w:val="both"/>
      </w:pPr>
      <w:r w:rsidRPr="0068385B">
        <w:t>In the piece below, the goody bags provided to presenters were, in essence, either a prize or compensation for services rendered. (You will read in the next chapter why exclusion as a “gift” was not possible under the Federal income tax definition of that term.)</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08" w:name="_Toc395790411"/>
      <w:r w:rsidRPr="00765949">
        <w:t>Oscar Freebies Balloon to $80K (Don’t Tell IRS</w:t>
      </w:r>
      <w:r>
        <w:t>)</w:t>
      </w:r>
      <w:r w:rsidRPr="003467AC">
        <w:rPr>
          <w:rStyle w:val="FootnoteReference"/>
          <w:b w:val="0"/>
        </w:rPr>
        <w:footnoteReference w:id="234"/>
      </w:r>
    </w:p>
    <w:p w:rsidR="0078310B" w:rsidRPr="003467AC" w:rsidRDefault="0078310B" w:rsidP="0078310B">
      <w:pPr>
        <w:pStyle w:val="Heading3"/>
        <w:spacing w:before="0" w:beforeAutospacing="0" w:after="0" w:afterAutospacing="0"/>
        <w:jc w:val="center"/>
        <w:rPr>
          <w:b w:val="0"/>
        </w:rPr>
      </w:pPr>
      <w:r w:rsidRPr="003467AC">
        <w:rPr>
          <w:b w:val="0"/>
        </w:rPr>
        <w:t>Robert W. Wood</w:t>
      </w:r>
      <w:bookmarkEnd w:id="108"/>
    </w:p>
    <w:p w:rsidR="0078310B" w:rsidRPr="003467AC"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rsidR="0078310B" w:rsidRDefault="0078310B" w:rsidP="0078310B">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rsidR="0078310B" w:rsidRDefault="0078310B" w:rsidP="0078310B">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rsidR="0078310B" w:rsidRDefault="0078310B" w:rsidP="0078310B">
      <w:pPr>
        <w:pStyle w:val="NormalWeb"/>
        <w:widowControl w:val="0"/>
        <w:numPr>
          <w:ilvl w:val="0"/>
          <w:numId w:val="35"/>
        </w:numPr>
        <w:spacing w:before="0" w:beforeAutospacing="0" w:after="0" w:afterAutospacing="0"/>
        <w:jc w:val="both"/>
      </w:pPr>
      <w:r>
        <w:t>$16,000 hair restoration procedure;</w:t>
      </w:r>
    </w:p>
    <w:p w:rsidR="0078310B" w:rsidRDefault="0078310B" w:rsidP="0078310B">
      <w:pPr>
        <w:pStyle w:val="NormalWeb"/>
        <w:widowControl w:val="0"/>
        <w:numPr>
          <w:ilvl w:val="0"/>
          <w:numId w:val="35"/>
        </w:numPr>
        <w:spacing w:before="0" w:beforeAutospacing="0" w:after="0" w:afterAutospacing="0"/>
        <w:jc w:val="both"/>
      </w:pPr>
      <w:r>
        <w:t>$15,000 walking tour around Japan;</w:t>
      </w:r>
    </w:p>
    <w:p w:rsidR="0078310B" w:rsidRDefault="0078310B" w:rsidP="0078310B">
      <w:pPr>
        <w:pStyle w:val="NormalWeb"/>
        <w:widowControl w:val="0"/>
        <w:numPr>
          <w:ilvl w:val="0"/>
          <w:numId w:val="35"/>
        </w:numPr>
        <w:spacing w:before="0" w:beforeAutospacing="0" w:after="0" w:afterAutospacing="0"/>
        <w:jc w:val="both"/>
      </w:pPr>
      <w:r>
        <w:t>$9,000 trip to Las Vegas;</w:t>
      </w:r>
    </w:p>
    <w:p w:rsidR="0078310B" w:rsidRDefault="0078310B" w:rsidP="0078310B">
      <w:pPr>
        <w:pStyle w:val="NormalWeb"/>
        <w:widowControl w:val="0"/>
        <w:numPr>
          <w:ilvl w:val="0"/>
          <w:numId w:val="35"/>
        </w:numPr>
        <w:spacing w:before="0" w:beforeAutospacing="0" w:after="0" w:afterAutospacing="0"/>
        <w:jc w:val="both"/>
      </w:pPr>
      <w:r>
        <w:t>$6,850 train trip in the Canadian Rockies;</w:t>
      </w:r>
    </w:p>
    <w:p w:rsidR="0078310B" w:rsidRDefault="0078310B" w:rsidP="0078310B">
      <w:pPr>
        <w:pStyle w:val="NormalWeb"/>
        <w:widowControl w:val="0"/>
        <w:numPr>
          <w:ilvl w:val="0"/>
          <w:numId w:val="35"/>
        </w:numPr>
        <w:spacing w:before="0" w:beforeAutospacing="0" w:after="0" w:afterAutospacing="0"/>
        <w:jc w:val="both"/>
      </w:pPr>
      <w:r>
        <w:t>$5,000 toward art from Gizara;</w:t>
      </w:r>
    </w:p>
    <w:p w:rsidR="0078310B" w:rsidRDefault="0078310B" w:rsidP="0078310B">
      <w:pPr>
        <w:pStyle w:val="NormalWeb"/>
        <w:widowControl w:val="0"/>
        <w:numPr>
          <w:ilvl w:val="0"/>
          <w:numId w:val="35"/>
        </w:numPr>
        <w:spacing w:before="0" w:beforeAutospacing="0" w:after="0" w:afterAutospacing="0"/>
        <w:jc w:val="both"/>
      </w:pPr>
      <w:r>
        <w:t>$5,000 toward laser hair removal and cosmetic surgery from Ideal Image;</w:t>
      </w:r>
    </w:p>
    <w:p w:rsidR="0078310B" w:rsidRDefault="0078310B" w:rsidP="0078310B">
      <w:pPr>
        <w:pStyle w:val="NormalWeb"/>
        <w:widowControl w:val="0"/>
        <w:numPr>
          <w:ilvl w:val="0"/>
          <w:numId w:val="35"/>
        </w:numPr>
        <w:spacing w:before="0" w:beforeAutospacing="0" w:after="0" w:afterAutospacing="0"/>
        <w:jc w:val="both"/>
      </w:pPr>
      <w:r>
        <w:t>$4,895 home water filtration system;</w:t>
      </w:r>
    </w:p>
    <w:p w:rsidR="0078310B" w:rsidRDefault="0078310B" w:rsidP="0078310B">
      <w:pPr>
        <w:pStyle w:val="NormalWeb"/>
        <w:widowControl w:val="0"/>
        <w:numPr>
          <w:ilvl w:val="0"/>
          <w:numId w:val="35"/>
        </w:numPr>
        <w:spacing w:before="0" w:beforeAutospacing="0" w:after="0" w:afterAutospacing="0"/>
        <w:jc w:val="both"/>
      </w:pPr>
      <w:r>
        <w:t>$3,300 resort stay at the Imanta’s Ocean Casa suite in Mexico;</w:t>
      </w:r>
    </w:p>
    <w:p w:rsidR="0078310B" w:rsidRDefault="0078310B" w:rsidP="0078310B">
      <w:pPr>
        <w:pStyle w:val="NormalWeb"/>
        <w:widowControl w:val="0"/>
        <w:numPr>
          <w:ilvl w:val="0"/>
          <w:numId w:val="35"/>
        </w:numPr>
        <w:spacing w:before="0" w:beforeAutospacing="0" w:after="0" w:afterAutospacing="0"/>
        <w:jc w:val="both"/>
      </w:pPr>
      <w:r>
        <w:t>$2,700 “O-Shot” procedure to stimulate a woman’s sex drive;</w:t>
      </w:r>
    </w:p>
    <w:p w:rsidR="0078310B" w:rsidRDefault="0078310B" w:rsidP="0078310B">
      <w:pPr>
        <w:pStyle w:val="NormalWeb"/>
        <w:widowControl w:val="0"/>
        <w:numPr>
          <w:ilvl w:val="0"/>
          <w:numId w:val="35"/>
        </w:numPr>
        <w:spacing w:before="0" w:beforeAutospacing="0" w:after="0" w:afterAutospacing="0"/>
        <w:jc w:val="both"/>
      </w:pPr>
      <w:r>
        <w:t>$2,560 home spa system from Steamist;</w:t>
      </w:r>
    </w:p>
    <w:p w:rsidR="0078310B" w:rsidRDefault="0078310B" w:rsidP="0078310B">
      <w:pPr>
        <w:pStyle w:val="NormalWeb"/>
        <w:widowControl w:val="0"/>
        <w:numPr>
          <w:ilvl w:val="0"/>
          <w:numId w:val="35"/>
        </w:numPr>
        <w:spacing w:before="0" w:beforeAutospacing="0" w:after="0" w:afterAutospacing="0"/>
        <w:jc w:val="both"/>
      </w:pPr>
      <w:r>
        <w:t>$2,000 five-night stay at the Koloa Landing Resort in Hawaii;</w:t>
      </w:r>
    </w:p>
    <w:p w:rsidR="0078310B" w:rsidRDefault="0078310B" w:rsidP="0078310B">
      <w:pPr>
        <w:pStyle w:val="NormalWeb"/>
        <w:widowControl w:val="0"/>
        <w:numPr>
          <w:ilvl w:val="0"/>
          <w:numId w:val="35"/>
        </w:numPr>
        <w:spacing w:before="0" w:beforeAutospacing="0" w:after="0" w:afterAutospacing="0"/>
        <w:jc w:val="both"/>
      </w:pPr>
      <w:r>
        <w:t>$1,572 pet supplies from Epic Pet Health;</w:t>
      </w:r>
    </w:p>
    <w:p w:rsidR="0078310B" w:rsidRDefault="0078310B" w:rsidP="0078310B">
      <w:pPr>
        <w:pStyle w:val="NormalWeb"/>
        <w:widowControl w:val="0"/>
        <w:numPr>
          <w:ilvl w:val="0"/>
          <w:numId w:val="35"/>
        </w:numPr>
        <w:spacing w:before="0" w:beforeAutospacing="0" w:after="0" w:afterAutospacing="0"/>
        <w:jc w:val="both"/>
      </w:pPr>
      <w:r>
        <w:t>$850 for 10 personal training sessions with Huntley Drive Fitness;</w:t>
      </w:r>
    </w:p>
    <w:p w:rsidR="0078310B" w:rsidRDefault="0078310B" w:rsidP="0078310B">
      <w:pPr>
        <w:pStyle w:val="NormalWeb"/>
        <w:widowControl w:val="0"/>
        <w:numPr>
          <w:ilvl w:val="0"/>
          <w:numId w:val="35"/>
        </w:numPr>
        <w:spacing w:before="0" w:beforeAutospacing="0" w:after="0" w:afterAutospacing="0"/>
        <w:jc w:val="both"/>
      </w:pPr>
      <w:r>
        <w:t>$500 lifetime membership to a meditation gym;</w:t>
      </w:r>
    </w:p>
    <w:p w:rsidR="0078310B" w:rsidRDefault="0078310B" w:rsidP="0078310B">
      <w:pPr>
        <w:pStyle w:val="NormalWeb"/>
        <w:widowControl w:val="0"/>
        <w:numPr>
          <w:ilvl w:val="0"/>
          <w:numId w:val="35"/>
        </w:numPr>
        <w:spacing w:before="0" w:beforeAutospacing="0" w:after="0" w:afterAutospacing="0"/>
        <w:jc w:val="both"/>
      </w:pPr>
      <w:r>
        <w:t>$290 Swiss-made watch from Slow Watch;</w:t>
      </w:r>
    </w:p>
    <w:p w:rsidR="0078310B" w:rsidRDefault="0078310B" w:rsidP="0078310B">
      <w:pPr>
        <w:pStyle w:val="NormalWeb"/>
        <w:widowControl w:val="0"/>
        <w:numPr>
          <w:ilvl w:val="0"/>
          <w:numId w:val="35"/>
        </w:numPr>
        <w:spacing w:before="0" w:beforeAutospacing="0" w:after="0" w:afterAutospacing="0"/>
        <w:jc w:val="both"/>
      </w:pPr>
      <w:r>
        <w:t>$280 portable camera from Narrative Clip;</w:t>
      </w:r>
    </w:p>
    <w:p w:rsidR="0078310B" w:rsidRDefault="0078310B" w:rsidP="0078310B">
      <w:pPr>
        <w:pStyle w:val="NormalWeb"/>
        <w:widowControl w:val="0"/>
        <w:numPr>
          <w:ilvl w:val="0"/>
          <w:numId w:val="35"/>
        </w:numPr>
        <w:spacing w:before="0" w:beforeAutospacing="0" w:after="0" w:afterAutospacing="0"/>
        <w:jc w:val="both"/>
      </w:pPr>
      <w:r>
        <w:t>$280 package of organic maple syrup from Rouge Maple;</w:t>
      </w:r>
    </w:p>
    <w:p w:rsidR="0078310B" w:rsidRDefault="0078310B" w:rsidP="0078310B">
      <w:pPr>
        <w:pStyle w:val="NormalWeb"/>
        <w:widowControl w:val="0"/>
        <w:numPr>
          <w:ilvl w:val="0"/>
          <w:numId w:val="35"/>
        </w:numPr>
        <w:spacing w:before="0" w:beforeAutospacing="0" w:after="0" w:afterAutospacing="0"/>
        <w:jc w:val="both"/>
      </w:pPr>
      <w:r>
        <w:t>$120 pink and camo pepper guns from Mace;</w:t>
      </w:r>
    </w:p>
    <w:p w:rsidR="0078310B" w:rsidRDefault="0078310B" w:rsidP="0078310B">
      <w:pPr>
        <w:pStyle w:val="NormalWeb"/>
        <w:widowControl w:val="0"/>
        <w:numPr>
          <w:ilvl w:val="0"/>
          <w:numId w:val="35"/>
        </w:numPr>
        <w:spacing w:before="0" w:beforeAutospacing="0" w:after="0" w:afterAutospacing="0"/>
        <w:jc w:val="both"/>
      </w:pPr>
      <w:r>
        <w:t>$39 in weight-loss products from Hydroxycut;</w:t>
      </w:r>
    </w:p>
    <w:p w:rsidR="0078310B" w:rsidRDefault="0078310B" w:rsidP="0078310B">
      <w:pPr>
        <w:pStyle w:val="NormalWeb"/>
        <w:widowControl w:val="0"/>
        <w:numPr>
          <w:ilvl w:val="0"/>
          <w:numId w:val="35"/>
        </w:numPr>
        <w:spacing w:before="0" w:beforeAutospacing="0" w:after="0" w:afterAutospacing="0"/>
        <w:jc w:val="both"/>
      </w:pPr>
      <w:r>
        <w:t>$35 six-pack of herbal tea lollipops from Dosha Pops;</w:t>
      </w:r>
    </w:p>
    <w:p w:rsidR="0078310B" w:rsidRDefault="0078310B" w:rsidP="0078310B">
      <w:pPr>
        <w:pStyle w:val="NormalWeb"/>
        <w:widowControl w:val="0"/>
        <w:numPr>
          <w:ilvl w:val="0"/>
          <w:numId w:val="35"/>
        </w:numPr>
        <w:spacing w:before="0" w:beforeAutospacing="0" w:after="0" w:afterAutospacing="0"/>
        <w:jc w:val="both"/>
      </w:pPr>
      <w:r>
        <w:t>$23 worth of reusable dry-cleaning bags from Green Garmento; and</w:t>
      </w:r>
    </w:p>
    <w:p w:rsidR="0078310B" w:rsidRDefault="0078310B" w:rsidP="0078310B">
      <w:pPr>
        <w:pStyle w:val="NormalWeb"/>
        <w:widowControl w:val="0"/>
        <w:numPr>
          <w:ilvl w:val="0"/>
          <w:numId w:val="35"/>
        </w:numPr>
        <w:spacing w:before="0" w:beforeAutospacing="0" w:after="120" w:afterAutospacing="0"/>
        <w:jc w:val="both"/>
      </w:pPr>
      <w:r>
        <w:t>$6 device keeps hair from clogging in the shower from DrainWig.</w:t>
      </w:r>
    </w:p>
    <w:p w:rsidR="0078310B" w:rsidRDefault="0078310B" w:rsidP="0078310B">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rsidR="0078310B" w:rsidRDefault="0078310B" w:rsidP="0078310B">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In case the attendees “forget,” they will receive an </w:t>
      </w:r>
      <w:r w:rsidRPr="009D3B58">
        <w:t>IRS Form 1099</w:t>
      </w:r>
      <w:r>
        <w:t xml:space="preserve"> reporting the value of what they took home. Form 1099 is that irksome piece of paper that tells the IRS you were paid….</w:t>
      </w:r>
    </w:p>
    <w:p w:rsidR="0078310B" w:rsidRDefault="0078310B" w:rsidP="0078310B">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rsidR="0078310B" w:rsidRDefault="0078310B" w:rsidP="0078310B">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rsidR="0078310B" w:rsidRDefault="0078310B" w:rsidP="0078310B">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rsidR="0078310B" w:rsidRDefault="0078310B" w:rsidP="0078310B">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rsidR="0078310B" w:rsidRDefault="0078310B" w:rsidP="0078310B">
      <w:pPr>
        <w:widowControl w:val="0"/>
        <w:spacing w:after="120"/>
        <w:ind w:firstLine="288"/>
        <w:jc w:val="both"/>
      </w:pPr>
      <w:r>
        <w:t>Are there third-party reporting requirements for gift bags? Yes. Organizations and vendors distributing gift bags may have to issue Form 1099-MISC, Miscellaneous Income.</w:t>
      </w:r>
    </w:p>
    <w:p w:rsidR="0078310B" w:rsidRDefault="0078310B" w:rsidP="0078310B">
      <w:pPr>
        <w:widowControl w:val="0"/>
        <w:ind w:firstLine="288"/>
        <w:jc w:val="both"/>
      </w:pPr>
      <w:r>
        <w:t>What if you make a selection in a free shopping room for participating in the show? The value of your selection is income and you must report it.</w:t>
      </w:r>
    </w:p>
    <w:p w:rsidR="0078310B" w:rsidRDefault="0078310B" w:rsidP="0078310B">
      <w:pPr>
        <w:widowControl w:val="0"/>
        <w:jc w:val="center"/>
      </w:pPr>
      <w:r>
        <w:t>_________________________________________</w:t>
      </w:r>
    </w:p>
    <w:p w:rsidR="0078310B" w:rsidRDefault="0078310B" w:rsidP="0078310B">
      <w:pPr>
        <w:widowControl w:val="0"/>
        <w:ind w:firstLine="288"/>
        <w:jc w:val="both"/>
      </w:pPr>
    </w:p>
    <w:p w:rsidR="0078310B" w:rsidRPr="00977480" w:rsidRDefault="0078310B" w:rsidP="0078310B">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When should consump</w:t>
      </w:r>
      <w:r w:rsidR="00605965">
        <w:t xml:space="preserve">tion received in kind for free </w:t>
      </w:r>
      <w:r>
        <w:t xml:space="preserve">that is not compensation, a dividend, </w:t>
      </w:r>
      <w:r>
        <w:rPr>
          <w:i/>
        </w:rPr>
        <w:t>etc.</w:t>
      </w:r>
      <w:r w:rsidR="00605965">
        <w:t xml:space="preserve">, </w:t>
      </w:r>
      <w:r>
        <w:t xml:space="preserve">be considered a </w:t>
      </w:r>
      <w:r>
        <w:rPr>
          <w:i/>
        </w:rPr>
        <w:t xml:space="preserve">wealth </w:t>
      </w:r>
      <w:r>
        <w:t>receipt? To the average taxpayer, “wealth” connotes property or cash.</w:t>
      </w:r>
    </w:p>
    <w:p w:rsidR="0078310B" w:rsidRPr="0068385B" w:rsidRDefault="0078310B" w:rsidP="0078310B">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rsidR="0032101A">
        <w:t xml:space="preserve"> in § 61 Gross Income</w:t>
      </w:r>
      <w:r w:rsidRPr="0068385B">
        <w:t xml:space="preserve">, as though you received cash (a clear wealth accession) followed by a nondeductible personal expense? </w:t>
      </w:r>
    </w:p>
    <w:p w:rsidR="0078310B" w:rsidRDefault="0078310B" w:rsidP="0078310B">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5"/>
      </w:r>
      <w:r>
        <w:t xml:space="preserve"> One could argue that Simons</w:t>
      </w:r>
      <w:r w:rsidRPr="0068385B">
        <w:t xml:space="preserve">’s 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w:t>
      </w:r>
      <w:r>
        <w:t xml:space="preserve">to spend prior wealth receipt </w:t>
      </w:r>
      <w:r w:rsidRPr="0068385B">
        <w:t>on consumption in the marketplace should be denied a</w:t>
      </w:r>
      <w:r>
        <w:t xml:space="preserve"> deduction for that consumption under the ability to </w:t>
      </w:r>
      <w:r w:rsidRPr="0068385B">
        <w:t xml:space="preserve">pay fairness norm described in Chapter 3, which defines the tax base according to the resources under the control of the taxpayer that are available for contribution to the fisc. Thus, the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rsidR="0078310B" w:rsidRPr="0068385B" w:rsidRDefault="0078310B" w:rsidP="0078310B">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rsidRPr="0068385B">
        <w:t>representing ability to pay.</w:t>
      </w:r>
    </w:p>
    <w:p w:rsidR="0078310B" w:rsidRPr="0068385B" w:rsidRDefault="009130E8" w:rsidP="0078310B">
      <w:pPr>
        <w:widowControl w:val="0"/>
        <w:spacing w:after="120"/>
        <w:ind w:firstLine="288"/>
        <w:jc w:val="both"/>
      </w:pPr>
      <w:r>
        <w:t>Notice that t</w:t>
      </w:r>
      <w:r w:rsidR="0078310B" w:rsidRPr="0068385B">
        <w:t>his is the same sort of reasoning that we explored in the l</w:t>
      </w:r>
      <w:r w:rsidR="0078310B">
        <w:t>ast chapter in trying to construct</w:t>
      </w:r>
      <w:r w:rsidR="0078310B" w:rsidRPr="0068385B">
        <w:t xml:space="preserve"> an analytical framework regarding</w:t>
      </w:r>
      <w:r>
        <w:t xml:space="preserve"> where the lines are drawn in</w:t>
      </w:r>
      <w:r w:rsidR="0078310B" w:rsidRPr="0068385B">
        <w:t xml:space="preserve"> §§ 119 and 132 in the co</w:t>
      </w:r>
      <w:r w:rsidR="0078310B">
        <w:t>mpensation context</w:t>
      </w:r>
      <w:r w:rsidR="0078310B" w:rsidRPr="0068385B">
        <w:t>. We suggested there, fo</w:t>
      </w:r>
      <w:r w:rsidR="0078310B">
        <w:t xml:space="preserve">r example, that the convenience of the </w:t>
      </w:r>
      <w:r w:rsidR="0078310B" w:rsidRPr="0068385B">
        <w:t>employer test for meals and lodgings provided to an employee (</w:t>
      </w:r>
      <w:r w:rsidR="0078310B" w:rsidRPr="0068385B">
        <w:rPr>
          <w:i/>
        </w:rPr>
        <w:t>i.e.</w:t>
      </w:r>
      <w:r w:rsidR="0078310B" w:rsidRPr="0068385B">
        <w:t>, substantial noncompensatory business reasons) could be seen as a more administrable proxy test for determining whether we can be fairly confident that the taxpayer would have freely purchased t</w:t>
      </w:r>
      <w:r w:rsidR="0078310B">
        <w:t xml:space="preserve">he same consumption on his own. </w:t>
      </w:r>
    </w:p>
    <w:p w:rsidR="0078310B" w:rsidRPr="0068385B" w:rsidRDefault="0078310B" w:rsidP="0078310B">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Thus, when you </w:t>
      </w:r>
      <w:r w:rsidRPr="0068385B">
        <w:t>grow your own vegetables to consume, you do not include the value of the consumed vegetables in Gross Income.</w:t>
      </w:r>
      <w:r>
        <w:rPr>
          <w:rStyle w:val="FootnoteReference"/>
        </w:rPr>
        <w:footnoteReference w:id="236"/>
      </w:r>
      <w:r w:rsidRPr="0068385B">
        <w:t xml:space="preserve"> </w:t>
      </w:r>
      <w:r>
        <w:t xml:space="preserve">Nor do you include </w:t>
      </w:r>
      <w:r w:rsidRPr="0068385B">
        <w:t>the imputed rental income generated by owner-occupied housing (considered further in Chapter 18</w:t>
      </w:r>
      <w:r>
        <w:t>)</w:t>
      </w:r>
      <w:r w:rsidRPr="0068385B">
        <w:t>, even though economists (and some othe</w:t>
      </w:r>
      <w:r>
        <w:t>r countries) count it as income</w:t>
      </w:r>
      <w:r w:rsidRPr="0068385B">
        <w:t xml:space="preserve">. </w:t>
      </w:r>
    </w:p>
    <w:p w:rsidR="0078310B" w:rsidRDefault="0078310B" w:rsidP="0078310B">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Thus, e</w:t>
      </w:r>
      <w:r w:rsidRPr="0068385B">
        <w:t xml:space="preserve">ven if one did consider the payment of Medicare Tax as creating “basis” that could be recovered tax-free when medical care is provided later in life, this fiction could not explain full exclusion of the value received. </w:t>
      </w:r>
    </w:p>
    <w:p w:rsidR="0078310B" w:rsidRDefault="0078310B" w:rsidP="0078310B">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received under government programs is not considered includable residual Gross Income if the payment satisfies the “general welfare” doctrine, described above—typically government payments made on account of financial need.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rsidR="0078310B" w:rsidRPr="00BD5DBC" w:rsidRDefault="0078310B" w:rsidP="0078310B">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for Federal income tax purposes. </w:t>
      </w:r>
      <w:r w:rsidR="006D651A">
        <w:t xml:space="preserve">Does </w:t>
      </w:r>
      <w:r>
        <w:t>this an</w:t>
      </w:r>
      <w:r w:rsidR="006D651A">
        <w:t>alogy explain w</w:t>
      </w:r>
      <w:r>
        <w:t xml:space="preserve">hy </w:t>
      </w:r>
      <w:r w:rsidRPr="0068385B">
        <w:t xml:space="preserve">the value of medical care received under the Medicare and Medicaid programs is similarly not valued and included in Gross Income for Federal income tax purposes (without regard to </w:t>
      </w:r>
      <w:r>
        <w:t xml:space="preserve">the financial status of the recipient or </w:t>
      </w:r>
      <w:r w:rsidRPr="0068385B">
        <w:t>whether it exceeds or is less than Medicare tax paid over one’s working life</w:t>
      </w:r>
      <w:r>
        <w:t xml:space="preserve">)? Can you argue that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rsidR="001544A9">
        <w:t xml:space="preserve"> Part B., below. Frankly, t</w:t>
      </w:r>
      <w:r>
        <w:t xml:space="preserve">here are no </w:t>
      </w:r>
      <w:r w:rsidR="001544A9">
        <w:t xml:space="preserve">easy answers to these questions, but the value of Medicare services received is not includable in Gross Income. </w:t>
      </w:r>
    </w:p>
    <w:p w:rsidR="0078310B" w:rsidRDefault="0078310B" w:rsidP="0078310B">
      <w:pPr>
        <w:widowControl w:val="0"/>
        <w:spacing w:after="120"/>
        <w:ind w:firstLine="288"/>
        <w:jc w:val="both"/>
      </w:pPr>
      <w:r>
        <w:t xml:space="preserve">Next hypothetical: You hire a lawyer to pursue a litigation matter on your behalf. The lawyer takes you and your spouse out to dinner to discuss the matter and pays the cost of all three meals (the one for herself, as well as the ones for you and your spouse). We shall consider the possibility of the lawyer’s deduction for her outlay in Chapter 20.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rsidR="0078310B" w:rsidRPr="00431794" w:rsidRDefault="0078310B" w:rsidP="0078310B">
      <w:pPr>
        <w:widowControl w:val="0"/>
        <w:ind w:firstLine="288"/>
        <w:jc w:val="both"/>
      </w:pPr>
      <w:r>
        <w:t xml:space="preserve">In the following case,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Thus, the § 61(a)(1) compensation inclusion is not discussed by the court. Rather, the FMV of this free trip could only be included under the residual clause (or possibly as a § 74 prize). For that reason, </w:t>
      </w:r>
      <w:r>
        <w:rPr>
          <w:i/>
        </w:rPr>
        <w:t xml:space="preserve">Gotcher </w:t>
      </w:r>
      <w:r>
        <w:t xml:space="preserve">cannot be cited as authority for § 61(a)(1) compensation to be excluded from Gross Income; the case deals only with the scope of the residual clause.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09" w:name="_Toc395790412"/>
      <w:r>
        <w:t>UNITED STATES v. GOTCHER</w:t>
      </w:r>
      <w:bookmarkEnd w:id="109"/>
    </w:p>
    <w:p w:rsidR="0078310B" w:rsidRDefault="0078310B" w:rsidP="0078310B">
      <w:pPr>
        <w:widowControl w:val="0"/>
        <w:jc w:val="center"/>
      </w:pPr>
      <w:r>
        <w:t>401 F.2d 118 (5</w:t>
      </w:r>
      <w:r w:rsidRPr="00D57879">
        <w:rPr>
          <w:vertAlign w:val="superscript"/>
        </w:rPr>
        <w:t>th</w:t>
      </w:r>
      <w:r>
        <w:t xml:space="preserve"> Cir. 1968)</w:t>
      </w:r>
    </w:p>
    <w:p w:rsidR="0078310B" w:rsidRDefault="0078310B" w:rsidP="0078310B">
      <w:pPr>
        <w:widowControl w:val="0"/>
        <w:jc w:val="both"/>
      </w:pPr>
    </w:p>
    <w:p w:rsidR="0078310B" w:rsidRDefault="0078310B" w:rsidP="0078310B">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rsidR="0078310B" w:rsidRPr="005607E5" w:rsidRDefault="0078310B" w:rsidP="0078310B">
      <w:pPr>
        <w:widowControl w:val="0"/>
        <w:spacing w:after="120"/>
        <w:ind w:firstLine="288"/>
        <w:jc w:val="both"/>
      </w:pPr>
      <w:r>
        <w:rPr>
          <w:smallCaps/>
        </w:rPr>
        <w:t>Thornberry, Circuit Judge:</w:t>
      </w:r>
      <w:r>
        <w:t xml:space="preserve"> </w:t>
      </w:r>
      <w:r w:rsidRPr="005607E5">
        <w:t xml:space="preserve">In 1960, Mr. and Mrs. Gotcher took a twelve-day expense-paid trip to Germany to tour the </w:t>
      </w:r>
      <w:hyperlink r:id="rId251"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52"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rsidR="0078310B" w:rsidRPr="005607E5" w:rsidRDefault="002B3596" w:rsidP="0078310B">
      <w:pPr>
        <w:widowControl w:val="0"/>
        <w:spacing w:after="120"/>
        <w:ind w:firstLine="288"/>
        <w:jc w:val="both"/>
      </w:pPr>
      <w:hyperlink r:id="rId253" w:history="1">
        <w:r w:rsidR="0078310B" w:rsidRPr="005607E5">
          <w:t>Section 61 of the Internal Revenue Code of 1954</w:t>
        </w:r>
      </w:hyperlink>
      <w:r w:rsidR="0078310B">
        <w:t xml:space="preserve"> </w:t>
      </w:r>
      <w:r w:rsidR="0078310B" w:rsidRPr="005607E5">
        <w:t xml:space="preserve">defines </w:t>
      </w:r>
      <w:r w:rsidR="0078310B">
        <w:t>Gross Income</w:t>
      </w:r>
      <w:r w:rsidR="0078310B"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54" w:history="1">
        <w:r w:rsidR="0078310B" w:rsidRPr="005607E5">
          <w:t>section 61</w:t>
        </w:r>
      </w:hyperlink>
      <w:r w:rsidR="0078310B" w:rsidRPr="005607E5">
        <w:t xml:space="preserve"> unless it is conferred as compensation for services rendered. This conception of </w:t>
      </w:r>
      <w:r w:rsidR="0078310B">
        <w:t>Gross Income</w:t>
      </w:r>
      <w:r w:rsidR="0078310B" w:rsidRPr="005607E5">
        <w:t xml:space="preserve"> is too restrictive since it is well-settled that </w:t>
      </w:r>
      <w:hyperlink r:id="rId255" w:history="1">
        <w:r w:rsidR="0078310B" w:rsidRPr="005607E5">
          <w:t>section 61</w:t>
        </w:r>
      </w:hyperlink>
      <w:r w:rsidR="0078310B" w:rsidRPr="005607E5">
        <w:t xml:space="preserve"> should be broadly interpreted and that many items, including noncompensatory gains, constitute </w:t>
      </w:r>
      <w:r w:rsidR="0078310B">
        <w:t>Gross Income</w:t>
      </w:r>
      <w:r w:rsidR="0078310B" w:rsidRPr="005607E5">
        <w:t>.</w:t>
      </w:r>
    </w:p>
    <w:p w:rsidR="0078310B" w:rsidRDefault="0078310B" w:rsidP="0078310B">
      <w:pPr>
        <w:widowControl w:val="0"/>
        <w:spacing w:after="120"/>
        <w:ind w:firstLine="288"/>
        <w:jc w:val="both"/>
      </w:pPr>
      <w:r w:rsidRPr="005607E5">
        <w:t xml:space="preserve">In determining whether the expense-paid trip was income within </w:t>
      </w:r>
      <w:hyperlink r:id="rId256" w:history="1">
        <w:r w:rsidRPr="005607E5">
          <w:t>section 61</w:t>
        </w:r>
      </w:hyperlink>
      <w:r w:rsidRPr="005607E5">
        <w:t xml:space="preserve">, we must look to the tests that have been developed under this section. The concept of economic gain to the taxpayer is the key to </w:t>
      </w:r>
      <w:hyperlink r:id="rId257"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rsidR="0078310B" w:rsidRPr="005607E5" w:rsidRDefault="0078310B" w:rsidP="0078310B">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8"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9"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rsidR="0078310B" w:rsidRPr="005607E5" w:rsidRDefault="0078310B" w:rsidP="0078310B">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rsidR="0078310B" w:rsidRPr="005607E5" w:rsidRDefault="0078310B" w:rsidP="0078310B">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rsidR="0078310B" w:rsidRPr="005607E5" w:rsidRDefault="0078310B" w:rsidP="0078310B">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60"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rsidR="0078310B" w:rsidRPr="005607E5" w:rsidRDefault="0078310B" w:rsidP="0078310B">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61"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62" w:history="1">
        <w:r w:rsidRPr="005607E5">
          <w:t>T.C. Memo 258, 26 T.C.M. 1334</w:t>
        </w:r>
      </w:hyperlink>
      <w:r w:rsidRPr="005607E5">
        <w:t>.</w:t>
      </w:r>
    </w:p>
    <w:p w:rsidR="0078310B" w:rsidRPr="005607E5" w:rsidRDefault="0078310B" w:rsidP="0078310B">
      <w:pPr>
        <w:widowControl w:val="0"/>
        <w:spacing w:after="120"/>
        <w:ind w:firstLine="288"/>
        <w:jc w:val="both"/>
      </w:pPr>
      <w:r w:rsidRPr="005607E5">
        <w:t xml:space="preserve">In the recent case of </w:t>
      </w:r>
      <w:hyperlink r:id="rId263"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64" w:history="1">
        <w:r w:rsidRPr="00D8008E">
          <w:rPr>
            <w:i/>
          </w:rPr>
          <w:t>Comm’r v. Glenshaw Glass Co., supra.</w:t>
        </w:r>
      </w:hyperlink>
      <w:r w:rsidRPr="005607E5">
        <w:t xml:space="preserve"> Clearly, the lack of control works in taxpayer</w:t>
      </w:r>
      <w:r>
        <w:t>’</w:t>
      </w:r>
      <w:r w:rsidRPr="005607E5">
        <w:t>s favor here.</w:t>
      </w:r>
    </w:p>
    <w:p w:rsidR="0078310B" w:rsidRPr="005607E5" w:rsidRDefault="0078310B" w:rsidP="0078310B">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65"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66"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67"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8" w:history="1">
        <w:r w:rsidRPr="00D8008E">
          <w:rPr>
            <w:i/>
          </w:rPr>
          <w:t>United Aniline Co</w:t>
        </w:r>
        <w:r w:rsidRPr="005607E5">
          <w:t>., 1962, 21 T.C.M. 327</w:t>
        </w:r>
      </w:hyperlink>
      <w:r w:rsidRPr="005607E5">
        <w:t>.</w:t>
      </w:r>
    </w:p>
    <w:p w:rsidR="0078310B" w:rsidRPr="005607E5" w:rsidRDefault="0078310B" w:rsidP="0078310B">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rsidR="0078310B" w:rsidRPr="005607E5" w:rsidRDefault="0078310B" w:rsidP="0078310B">
      <w:pPr>
        <w:widowControl w:val="0"/>
        <w:spacing w:after="120"/>
        <w:ind w:firstLine="288"/>
        <w:jc w:val="both"/>
      </w:pPr>
      <w:r w:rsidRPr="005607E5">
        <w:t xml:space="preserve">The corporate-executive decisions indicate that some economic gains, though not specifically excluded from </w:t>
      </w:r>
      <w:hyperlink r:id="rId269"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rsidR="0078310B" w:rsidRDefault="0078310B" w:rsidP="0078310B">
      <w:pPr>
        <w:widowControl w:val="0"/>
        <w:spacing w:after="120"/>
        <w:ind w:firstLine="288"/>
        <w:jc w:val="both"/>
      </w:pPr>
      <w:r w:rsidRPr="005607E5">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70"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10" w:name="clsccl7"/>
      <w:bookmarkEnd w:id="110"/>
      <w:r>
        <w:t>Only when the wife’</w:t>
      </w:r>
      <w:r w:rsidRPr="005607E5">
        <w:t>s presence is necessar</w:t>
      </w:r>
      <w:r>
        <w:t>y to the conduct of the husband’</w:t>
      </w:r>
      <w:r w:rsidRPr="005607E5">
        <w:t xml:space="preserve">s business are her expenses deductible under </w:t>
      </w:r>
      <w:hyperlink r:id="rId271" w:history="1">
        <w:r w:rsidRPr="005607E5">
          <w:t>section 162</w:t>
        </w:r>
      </w:hyperlink>
      <w:r w:rsidRPr="005607E5">
        <w:t xml:space="preserve">. </w:t>
      </w:r>
      <w:hyperlink r:id="rId272"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73"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74" w:history="1">
        <w:r w:rsidRPr="005607E5">
          <w:t>Cir. 1958, 253 F.2d 849</w:t>
        </w:r>
      </w:hyperlink>
      <w:r>
        <w:t>.</w:t>
      </w:r>
      <w:r w:rsidRPr="005607E5">
        <w:t xml:space="preserve"> </w:t>
      </w:r>
    </w:p>
    <w:p w:rsidR="0078310B" w:rsidRDefault="0078310B" w:rsidP="0078310B">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78310B" w:rsidRDefault="0078310B" w:rsidP="0078310B">
      <w:pPr>
        <w:widowControl w:val="0"/>
        <w:jc w:val="center"/>
      </w:pPr>
      <w:r>
        <w:t>_____________________________________</w:t>
      </w:r>
    </w:p>
    <w:p w:rsidR="0078310B" w:rsidRDefault="0078310B" w:rsidP="0078310B">
      <w:pPr>
        <w:widowControl w:val="0"/>
        <w:jc w:val="both"/>
        <w:rPr>
          <w:b/>
          <w:u w:val="single"/>
        </w:rPr>
      </w:pPr>
    </w:p>
    <w:p w:rsidR="0078310B" w:rsidRDefault="0078310B" w:rsidP="0078310B">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 to Mr. Gotcher—he would then have been permitted to deduct the same amount under § 162 as a business expense in any event,  resulting in no bottom-line tax consequences? No. </w:t>
      </w:r>
      <w:r w:rsidRPr="004755E4">
        <w:rPr>
          <w:sz w:val="24"/>
          <w:szCs w:val="24"/>
        </w:rPr>
        <w:t xml:space="preserve">Recall from Chapter 4 that investigative costs </w:t>
      </w:r>
      <w:r>
        <w:rPr>
          <w:sz w:val="24"/>
          <w:szCs w:val="24"/>
        </w:rPr>
        <w:t xml:space="preserve">incurred in purchasing an intangible (like a dealer franchise) </w:t>
      </w:r>
      <w:r w:rsidRPr="004755E4">
        <w:rPr>
          <w:sz w:val="24"/>
          <w:szCs w:val="24"/>
        </w:rPr>
        <w:t xml:space="preserve">are generally categorized as nondeductible “capital expenditures” instead of current “expenses.”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a wise decision. His costs would not be deductible under § 162. The nondeductibility of the costs is why the initial Gross Income issue was pivotal. </w:t>
      </w:r>
    </w:p>
    <w:p w:rsidR="0078310B" w:rsidRDefault="0078310B" w:rsidP="0078310B">
      <w:pPr>
        <w:pStyle w:val="FootnoteText"/>
        <w:widowControl w:val="0"/>
        <w:ind w:firstLine="288"/>
        <w:jc w:val="both"/>
        <w:rPr>
          <w:sz w:val="24"/>
          <w:szCs w:val="24"/>
        </w:rPr>
      </w:pPr>
    </w:p>
    <w:p w:rsidR="0078310B" w:rsidRDefault="0078310B" w:rsidP="0078310B">
      <w:pPr>
        <w:pStyle w:val="Heading3"/>
        <w:spacing w:before="0" w:beforeAutospacing="0" w:after="0" w:afterAutospacing="0"/>
        <w:jc w:val="center"/>
        <w:rPr>
          <w:b w:val="0"/>
        </w:rPr>
      </w:pPr>
      <w:bookmarkStart w:id="111" w:name="_Toc395790413"/>
      <w:r w:rsidRPr="001046DD">
        <w:rPr>
          <w:u w:val="single"/>
        </w:rPr>
        <w:t>Problem</w:t>
      </w:r>
      <w:bookmarkEnd w:id="111"/>
    </w:p>
    <w:p w:rsidR="0078310B" w:rsidRPr="00B66A81"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12" w:name="_Toc395790414"/>
      <w:r>
        <w:t>HAVERLY v. UNITED STATES</w:t>
      </w:r>
      <w:bookmarkEnd w:id="112"/>
    </w:p>
    <w:p w:rsidR="0078310B" w:rsidRDefault="0078310B" w:rsidP="0078310B">
      <w:pPr>
        <w:widowControl w:val="0"/>
        <w:jc w:val="center"/>
      </w:pPr>
      <w:r>
        <w:t>513 F.2d 224 (7</w:t>
      </w:r>
      <w:r w:rsidRPr="00BA1D86">
        <w:rPr>
          <w:vertAlign w:val="superscript"/>
        </w:rPr>
        <w:t>th</w:t>
      </w:r>
      <w:r>
        <w:t xml:space="preserve"> Cir. 1975)</w:t>
      </w:r>
    </w:p>
    <w:p w:rsidR="0078310B" w:rsidRDefault="0078310B" w:rsidP="0078310B">
      <w:pPr>
        <w:widowControl w:val="0"/>
        <w:ind w:firstLine="288"/>
        <w:jc w:val="both"/>
      </w:pPr>
    </w:p>
    <w:p w:rsidR="0078310B" w:rsidRDefault="0078310B" w:rsidP="0078310B">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rsidR="0078310B" w:rsidRPr="004418DA" w:rsidRDefault="0078310B" w:rsidP="0078310B">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75" w:history="1">
        <w:r w:rsidRPr="004418DA">
          <w:t>Section 61 of the Internal Revenue Code of 1954</w:t>
        </w:r>
      </w:hyperlink>
      <w:r w:rsidRPr="004418DA">
        <w:t xml:space="preserve">, </w:t>
      </w:r>
      <w:hyperlink r:id="rId276" w:history="1">
        <w:r w:rsidRPr="004418DA">
          <w:t>26 U.S.C. § 61</w:t>
        </w:r>
      </w:hyperlink>
      <w:r w:rsidRPr="004418DA">
        <w:t>.</w:t>
      </w:r>
    </w:p>
    <w:p w:rsidR="0078310B" w:rsidRDefault="0078310B" w:rsidP="0078310B">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rsidR="0078310B" w:rsidRPr="004418DA" w:rsidRDefault="0078310B" w:rsidP="0078310B">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77"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8" w:history="1">
        <w:r w:rsidRPr="004418DA">
          <w:t>26 U.S.C. § 102</w:t>
        </w:r>
      </w:hyperlink>
      <w:r w:rsidRPr="004418DA">
        <w:t xml:space="preserve"> since their transfer to the taxpayer did not proceed from a detached and disinterested generosity nor out of affection, respect, admiration, charity or like impulses.</w:t>
      </w:r>
    </w:p>
    <w:p w:rsidR="0078310B" w:rsidRPr="004418DA" w:rsidRDefault="0078310B" w:rsidP="0078310B">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rsidR="0078310B" w:rsidRPr="004418DA" w:rsidRDefault="0078310B" w:rsidP="0078310B">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9"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rsidR="0078310B" w:rsidRPr="004418DA" w:rsidRDefault="002B3596" w:rsidP="0078310B">
      <w:pPr>
        <w:widowControl w:val="0"/>
        <w:spacing w:after="120"/>
        <w:ind w:firstLine="288"/>
        <w:jc w:val="both"/>
      </w:pPr>
      <w:hyperlink r:id="rId280" w:history="1">
        <w:r w:rsidR="0078310B" w:rsidRPr="004418DA">
          <w:t>Section 61(a) of Title 26 of the United States Code</w:t>
        </w:r>
      </w:hyperlink>
      <w:r w:rsidR="0078310B">
        <w:t xml:space="preserve"> provides: “</w:t>
      </w:r>
      <w:r w:rsidR="0078310B" w:rsidRPr="004418DA">
        <w:t xml:space="preserve">Except as otherwise provided in this subtitle, </w:t>
      </w:r>
      <w:r w:rsidR="0078310B">
        <w:t>Gross Income</w:t>
      </w:r>
      <w:r w:rsidR="0078310B" w:rsidRPr="004418DA">
        <w:t xml:space="preserve"> means all income from whatever source derived, including (but not l</w:t>
      </w:r>
      <w:r w:rsidR="0078310B">
        <w:t>imited to) the following items:”</w:t>
      </w:r>
      <w:r w:rsidR="0078310B" w:rsidRPr="004418DA">
        <w:t xml:space="preserve"> The section thereafter enumerates fifteen items none of which, the government concedes, encompass the receipt of sample textbooks. The taxpayer concedes that receipt</w:t>
      </w:r>
      <w:r w:rsidR="0078310B">
        <w:t xml:space="preserve"> </w:t>
      </w:r>
      <w:r w:rsidR="0078310B" w:rsidRPr="004418DA">
        <w:t xml:space="preserve">of the books does not fall within any of the specific exclusions from </w:t>
      </w:r>
      <w:r w:rsidR="0078310B">
        <w:t>Gross Income</w:t>
      </w:r>
      <w:r w:rsidR="0078310B" w:rsidRPr="004418DA">
        <w:t xml:space="preserve"> set out in Sections 101 through 124 of Title 26. The only question remaining is whether the value of the textboo</w:t>
      </w:r>
      <w:r w:rsidR="0078310B">
        <w:t>ks received is included within “</w:t>
      </w:r>
      <w:r w:rsidR="0078310B" w:rsidRPr="004418DA">
        <w:t xml:space="preserve">all income from whatever source </w:t>
      </w:r>
      <w:r w:rsidR="0078310B">
        <w:t>derived.”</w:t>
      </w:r>
    </w:p>
    <w:p w:rsidR="0078310B" w:rsidRPr="004418DA" w:rsidRDefault="0078310B" w:rsidP="0078310B">
      <w:pPr>
        <w:widowControl w:val="0"/>
        <w:spacing w:after="120"/>
        <w:ind w:firstLine="288"/>
        <w:jc w:val="both"/>
      </w:pPr>
      <w:r w:rsidRPr="004418DA">
        <w:t xml:space="preserve">The Supreme Court has frequently reiterated that </w:t>
      </w:r>
      <w:bookmarkStart w:id="113" w:name="clsccl2"/>
      <w:bookmarkEnd w:id="113"/>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81" w:history="1">
        <w:r>
          <w:rPr>
            <w:i/>
          </w:rPr>
          <w:t>James v. U.S.</w:t>
        </w:r>
        <w:r w:rsidRPr="004418DA">
          <w:t>, 366 U.S. 213, 218-219, 6 L. Ed. 2d 246, 81 S. Ct. 1052 (1961)</w:t>
        </w:r>
      </w:hyperlink>
      <w:r w:rsidRPr="004418DA">
        <w:t xml:space="preserve">. The Supreme Court has also held that the language of </w:t>
      </w:r>
      <w:hyperlink r:id="rId282"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283" w:history="1">
        <w:r w:rsidRPr="00985BF3">
          <w:rPr>
            <w:i/>
          </w:rPr>
          <w:t>Id.</w:t>
        </w:r>
        <w:r w:rsidRPr="004418DA">
          <w:t xml:space="preserve"> at 219</w:t>
        </w:r>
      </w:hyperlink>
      <w:r w:rsidRPr="004418DA">
        <w:t xml:space="preserve">; </w:t>
      </w:r>
      <w:hyperlink r:id="rId284" w:history="1">
        <w:r w:rsidRPr="00985BF3">
          <w:rPr>
            <w:i/>
          </w:rPr>
          <w:t>Comm’r v. Glenshaw Glass Co.</w:t>
        </w:r>
        <w:r w:rsidRPr="004418DA">
          <w:t>, 348 U.S. 426, 431, 99 L. Ed. 483, 75 S. Ct. 473 (1955)</w:t>
        </w:r>
      </w:hyperlink>
      <w:r w:rsidRPr="004418DA">
        <w:t>.</w:t>
      </w:r>
    </w:p>
    <w:p w:rsidR="0078310B" w:rsidRPr="004418DA" w:rsidRDefault="0078310B" w:rsidP="0078310B">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rsidR="0078310B" w:rsidRPr="004418DA" w:rsidRDefault="0078310B" w:rsidP="0078310B">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rsidR="0078310B" w:rsidRPr="004418DA" w:rsidRDefault="0078310B" w:rsidP="0078310B">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rsidR="0078310B" w:rsidRPr="004418DA" w:rsidRDefault="0078310B" w:rsidP="0078310B">
      <w:pPr>
        <w:widowControl w:val="0"/>
        <w:spacing w:after="120"/>
        <w:ind w:firstLine="288"/>
        <w:jc w:val="both"/>
      </w:pPr>
      <w:r w:rsidRPr="004418DA">
        <w:t xml:space="preserve">This conclusion is consistent with </w:t>
      </w:r>
      <w:hyperlink r:id="rId285"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86"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rsidR="0078310B" w:rsidRPr="004418DA" w:rsidRDefault="0078310B" w:rsidP="0078310B">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rsidR="0078310B" w:rsidRDefault="0078310B" w:rsidP="0078310B">
      <w:pPr>
        <w:widowControl w:val="0"/>
        <w:ind w:firstLine="288"/>
        <w:jc w:val="both"/>
      </w:pPr>
      <w:r w:rsidRPr="004418DA">
        <w:t>In light of the foregoing, the judgment appealed from is reversed and the case is remanded to the district court with directions to enter judgment for the United States.</w:t>
      </w:r>
    </w:p>
    <w:p w:rsidR="0078310B" w:rsidRDefault="0078310B" w:rsidP="0078310B">
      <w:pPr>
        <w:widowControl w:val="0"/>
        <w:jc w:val="center"/>
      </w:pPr>
      <w:r>
        <w:t>__________________________________</w:t>
      </w:r>
    </w:p>
    <w:p w:rsidR="0078310B" w:rsidRDefault="0078310B" w:rsidP="0078310B">
      <w:pPr>
        <w:pStyle w:val="Heading3"/>
        <w:spacing w:before="0" w:beforeAutospacing="0" w:after="0" w:afterAutospacing="0"/>
        <w:rPr>
          <w:b w:val="0"/>
        </w:rPr>
      </w:pPr>
      <w:bookmarkStart w:id="114" w:name="_Toc395790415"/>
    </w:p>
    <w:p w:rsidR="0078310B" w:rsidRDefault="0078310B" w:rsidP="0078310B">
      <w:pPr>
        <w:pStyle w:val="Heading3"/>
        <w:spacing w:before="0" w:beforeAutospacing="0" w:after="0" w:afterAutospacing="0"/>
        <w:jc w:val="center"/>
        <w:rPr>
          <w:b w:val="0"/>
        </w:rPr>
      </w:pPr>
      <w:r w:rsidRPr="001046DD">
        <w:rPr>
          <w:u w:val="single"/>
        </w:rPr>
        <w:t>Problem</w:t>
      </w:r>
      <w:bookmarkEnd w:id="114"/>
    </w:p>
    <w:p w:rsidR="0078310B" w:rsidRPr="00B66A81"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You receive in the mail a free sample of a new brand of coffee from Coffee A Go-Go. As a coffee lover, you immediately use the new sample to brew and enjoy a pot of coffee. Must you include the value of the free sample in Gross Income?</w:t>
      </w:r>
    </w:p>
    <w:p w:rsidR="0078310B" w:rsidRDefault="0078310B" w:rsidP="0078310B">
      <w:pPr>
        <w:widowControl w:val="0"/>
        <w:ind w:firstLine="288"/>
        <w:jc w:val="both"/>
      </w:pPr>
    </w:p>
    <w:p w:rsidR="0078310B" w:rsidRPr="003D6F37" w:rsidRDefault="0078310B" w:rsidP="0078310B">
      <w:pPr>
        <w:pStyle w:val="Heading2"/>
        <w:spacing w:before="0"/>
        <w:rPr>
          <w:sz w:val="32"/>
          <w:szCs w:val="32"/>
        </w:rPr>
      </w:pPr>
      <w:bookmarkStart w:id="115" w:name="_Toc395790416"/>
      <w:r w:rsidRPr="003D6F37">
        <w:rPr>
          <w:sz w:val="32"/>
          <w:szCs w:val="32"/>
        </w:rPr>
        <w:t xml:space="preserve">B. When is a wealth accession “clearly </w:t>
      </w:r>
    </w:p>
    <w:p w:rsidR="0078310B" w:rsidRPr="003D6F37" w:rsidRDefault="0078310B" w:rsidP="0078310B">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5"/>
    </w:p>
    <w:p w:rsidR="0078310B" w:rsidRDefault="0078310B" w:rsidP="0078310B">
      <w:pPr>
        <w:widowControl w:val="0"/>
        <w:jc w:val="both"/>
      </w:pPr>
    </w:p>
    <w:p w:rsidR="0078310B" w:rsidRDefault="0078310B" w:rsidP="0078310B">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Thus, Barbara’s purchase of Blackacre in March of Year 1 for $100 is a nondeductible capital expenditure because Barbara has merely changed the form in which she is holding her wealth (rather than lost wealth, an expense),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rsidR="0078310B" w:rsidRPr="00322B89" w:rsidRDefault="0078310B" w:rsidP="0078310B">
      <w:pPr>
        <w:pStyle w:val="Heading3"/>
        <w:spacing w:before="0" w:beforeAutospacing="0" w:after="120" w:afterAutospacing="0"/>
        <w:rPr>
          <w:i/>
        </w:rPr>
      </w:pPr>
      <w:bookmarkStart w:id="116" w:name="_Toc395790417"/>
      <w:r w:rsidRPr="00322B89">
        <w:rPr>
          <w:i/>
        </w:rPr>
        <w:t>The bargain purchase rule</w:t>
      </w:r>
      <w:bookmarkEnd w:id="116"/>
    </w:p>
    <w:p w:rsidR="0078310B" w:rsidRDefault="0078310B" w:rsidP="0078310B">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at the time of purchase—a marketplace event—or may she ignore the immediate wealth increase until a later realization event, just as she can ignore the post-purchase increases in value until a realization event? </w:t>
      </w:r>
    </w:p>
    <w:p w:rsidR="0078310B" w:rsidRDefault="0078310B" w:rsidP="0078310B">
      <w:pPr>
        <w:widowControl w:val="0"/>
        <w:spacing w:after="120"/>
        <w:ind w:firstLine="288"/>
        <w:jc w:val="both"/>
      </w:pPr>
      <w:r>
        <w:t xml:space="preserve">The answer depends on the surrounding facts. Recall, for example, CEO Sue from Chapter 5, who is an employee of Realty, Inc., and who purchases Blackacre from Realty for $10,000 when its FMV is $100,000. We saw that, under § 61(a)(1), CEO Sue must include in her Gross Income the $90,000 Blackacre value that she receives in kind as compensation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87" w:history="1">
        <w:r w:rsidRPr="004F5523">
          <w:rPr>
            <w:rStyle w:val="Hyperlink"/>
          </w:rPr>
          <w:t>Treas. Reg. § 1.61-2</w:t>
        </w:r>
      </w:hyperlink>
      <w:r>
        <w:t>(d)(1) and (2).</w:t>
      </w:r>
      <w:r>
        <w:rPr>
          <w:rStyle w:val="FootnoteReference"/>
        </w:rPr>
        <w:footnoteReference w:id="237"/>
      </w:r>
      <w:r>
        <w:t xml:space="preserve"> We also saw, however, that if Blackacre’s continued ownership is subject to a substantial risk of forfeiture, </w:t>
      </w:r>
      <w:hyperlink r:id="rId288" w:history="1">
        <w:r w:rsidRPr="00A534E1">
          <w:rPr>
            <w:rStyle w:val="Hyperlink"/>
          </w:rPr>
          <w:t>§ 83</w:t>
        </w:r>
      </w:hyperlink>
      <w:r>
        <w:t xml:space="preserve"> allows CEO Sue to avoid including the bargain purchase element until the forfeiture risk lapses. Section 83 treatment matters because of both (1) the time value of money and (2) the characterization (ordinary versus capital) of the wealth accession. </w:t>
      </w:r>
    </w:p>
    <w:p w:rsidR="0078310B" w:rsidRDefault="0078310B" w:rsidP="0078310B">
      <w:pPr>
        <w:widowControl w:val="0"/>
        <w:ind w:firstLine="288"/>
        <w:jc w:val="both"/>
      </w:pPr>
      <w:r>
        <w:t xml:space="preserve">Neither Congress nor the IRS has sought to tax the bargain purchase between unrelated parties in the marketplace </w:t>
      </w:r>
      <w:r w:rsidRPr="002177A2">
        <w:t>solely under the residual clause</w:t>
      </w:r>
      <w:r>
        <w:t xml:space="preserve">, where the benefit of the bargain is not a </w:t>
      </w:r>
      <w:r w:rsidRPr="00C47262">
        <w:rPr>
          <w:i/>
        </w:rPr>
        <w:t>substitute</w:t>
      </w:r>
      <w:r>
        <w:t xml:space="preserve"> for otherwise includable compensation, a dividend, rent, a prize, or some other specifically listed type of includable Gross Income.</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17" w:name="_Toc395790418"/>
      <w:r w:rsidRPr="00322B89">
        <w:rPr>
          <w:u w:val="single"/>
        </w:rPr>
        <w:t>Problem</w:t>
      </w:r>
      <w:bookmarkEnd w:id="117"/>
    </w:p>
    <w:p w:rsidR="0078310B" w:rsidRPr="00D12CA3" w:rsidRDefault="0078310B" w:rsidP="0078310B">
      <w:pPr>
        <w:pStyle w:val="Heading3"/>
        <w:spacing w:before="0" w:beforeAutospacing="0" w:after="0" w:afterAutospacing="0"/>
        <w:rPr>
          <w:b w:val="0"/>
        </w:rPr>
      </w:pPr>
    </w:p>
    <w:p w:rsidR="0078310B" w:rsidRDefault="0078310B" w:rsidP="0078310B">
      <w:pPr>
        <w:widowControl w:val="0"/>
        <w:ind w:firstLine="288"/>
        <w:jc w:val="both"/>
      </w:pPr>
      <w:r>
        <w:t>Charles, a surgeon, is a knowledgeable art lover, and he browses the flea markets and garage sales in the hope of finding an undiscovered treasure. At one garage sale in May of Year 1, Charles sees a small painting that he believes may well be the work of the 15</w:t>
      </w:r>
      <w:r w:rsidRPr="00162BA9">
        <w:rPr>
          <w:vertAlign w:val="superscript"/>
        </w:rPr>
        <w:t>th</w:t>
      </w:r>
      <w:r>
        <w:t>-century French artist Jean Fouquet, who is credited with inventing the portrait miniature. Many of his early works were 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rsidR="0078310B" w:rsidRDefault="0078310B" w:rsidP="0078310B">
      <w:pPr>
        <w:widowControl w:val="0"/>
        <w:jc w:val="center"/>
      </w:pPr>
      <w:r>
        <w:t>_________________________________</w:t>
      </w:r>
    </w:p>
    <w:p w:rsidR="0078310B" w:rsidRPr="00322B89" w:rsidRDefault="0078310B" w:rsidP="0078310B">
      <w:pPr>
        <w:pStyle w:val="Heading3"/>
        <w:spacing w:before="0" w:beforeAutospacing="0" w:after="120" w:afterAutospacing="0"/>
        <w:rPr>
          <w:i/>
        </w:rPr>
      </w:pPr>
      <w:bookmarkStart w:id="118" w:name="_Toc395790419"/>
      <w:r w:rsidRPr="00322B89">
        <w:rPr>
          <w:i/>
        </w:rPr>
        <w:t>Commercial rebates</w:t>
      </w:r>
      <w:bookmarkEnd w:id="118"/>
    </w:p>
    <w:p w:rsidR="0078310B" w:rsidRDefault="0078310B" w:rsidP="0078310B">
      <w:pPr>
        <w:widowControl w:val="0"/>
        <w:ind w:firstLine="288"/>
        <w:jc w:val="both"/>
      </w:pPr>
      <w:r>
        <w:t xml:space="preserve">What about the receipt of a cash rebate from the manufacturer of a product? Notice that the rebate comes from a third party (the manufacturer) rather than the seller, so the transaction is clearly not a bargain purchase between a buyer and a seller.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19" w:name="_Toc395790420"/>
      <w:r>
        <w:t>REVENUE RULING 76-96</w:t>
      </w:r>
      <w:bookmarkEnd w:id="119"/>
    </w:p>
    <w:p w:rsidR="0078310B" w:rsidRDefault="0078310B" w:rsidP="0078310B">
      <w:pPr>
        <w:widowControl w:val="0"/>
        <w:jc w:val="center"/>
      </w:pPr>
      <w:r>
        <w:t>1976-1 C.B. 23</w:t>
      </w:r>
    </w:p>
    <w:p w:rsidR="0078310B" w:rsidRDefault="0078310B" w:rsidP="0078310B">
      <w:pPr>
        <w:widowControl w:val="0"/>
        <w:jc w:val="both"/>
      </w:pPr>
    </w:p>
    <w:p w:rsidR="0078310B" w:rsidRDefault="0078310B" w:rsidP="0078310B">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9" w:history="1">
        <w:r w:rsidRPr="0065188C">
          <w:t>section 61 of the Internal Revenue Code of 1954</w:t>
        </w:r>
      </w:hyperlink>
      <w:r>
        <w:t>….</w:t>
      </w:r>
    </w:p>
    <w:p w:rsidR="0078310B" w:rsidRPr="0065188C" w:rsidRDefault="0078310B" w:rsidP="0078310B">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rsidR="0078310B" w:rsidRDefault="002B3596" w:rsidP="0078310B">
      <w:pPr>
        <w:widowControl w:val="0"/>
        <w:spacing w:after="120"/>
        <w:ind w:firstLine="288"/>
        <w:jc w:val="both"/>
      </w:pPr>
      <w:hyperlink r:id="rId290" w:history="1">
        <w:r w:rsidR="0078310B" w:rsidRPr="0065188C">
          <w:t>Section 61 of the Code</w:t>
        </w:r>
      </w:hyperlink>
      <w:r w:rsidR="0078310B" w:rsidRPr="0065188C">
        <w:t xml:space="preserve"> provides that </w:t>
      </w:r>
      <w:r w:rsidR="0078310B">
        <w:t>Gross Income</w:t>
      </w:r>
      <w:r w:rsidR="0078310B" w:rsidRPr="0065188C">
        <w:t xml:space="preserve"> means all income from whatever source derived, unless specifically excluded by law.</w:t>
      </w:r>
    </w:p>
    <w:p w:rsidR="0078310B" w:rsidRDefault="002B3596" w:rsidP="0078310B">
      <w:pPr>
        <w:widowControl w:val="0"/>
        <w:spacing w:after="120"/>
        <w:ind w:firstLine="288"/>
        <w:jc w:val="both"/>
      </w:pPr>
      <w:hyperlink r:id="rId291" w:history="1">
        <w:r w:rsidR="0078310B" w:rsidRPr="0065188C">
          <w:t>Section 1012 of the Code</w:t>
        </w:r>
      </w:hyperlink>
      <w:r w:rsidR="0078310B" w:rsidRPr="0065188C">
        <w:t xml:space="preserve"> provides that the basis of property shall be the cost of such property with exceptions not pertinent here.</w:t>
      </w:r>
    </w:p>
    <w:p w:rsidR="0078310B" w:rsidRDefault="002B3596" w:rsidP="0078310B">
      <w:pPr>
        <w:widowControl w:val="0"/>
        <w:spacing w:after="120"/>
        <w:ind w:firstLine="288"/>
        <w:jc w:val="both"/>
      </w:pPr>
      <w:hyperlink r:id="rId292" w:history="1">
        <w:r w:rsidR="0078310B" w:rsidRPr="0065188C">
          <w:t>Section 1016 of the Code</w:t>
        </w:r>
      </w:hyperlink>
      <w:r w:rsidR="0078310B" w:rsidRPr="0065188C">
        <w:t xml:space="preserve"> provides, in pertinent part, that proper adjustment in respect of the property shall in all cases be made for expenditures, receipts, losses, or other items, properly chargeable to capital account</w:t>
      </w:r>
      <w:r w:rsidR="0078310B">
        <w:t>….</w:t>
      </w:r>
    </w:p>
    <w:p w:rsidR="0078310B" w:rsidRDefault="0078310B" w:rsidP="0078310B">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293"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94" w:history="1">
        <w:r w:rsidRPr="0065188C">
          <w:t>section 1016</w:t>
        </w:r>
      </w:hyperlink>
      <w:r w:rsidRPr="0065188C">
        <w:t xml:space="preserve"> requires a downward adjustment to the basis of the automobiles.</w:t>
      </w:r>
    </w:p>
    <w:p w:rsidR="0078310B" w:rsidRDefault="0078310B" w:rsidP="0078310B">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qualifying retail customers’</w:t>
      </w:r>
      <w:r w:rsidRPr="0065188C">
        <w:t xml:space="preserve"> </w:t>
      </w:r>
      <w:r>
        <w:t>Gross Income</w:t>
      </w:r>
      <w:r w:rsidRPr="0065188C">
        <w:t>s.</w:t>
      </w:r>
    </w:p>
    <w:p w:rsidR="0078310B" w:rsidRDefault="0078310B" w:rsidP="0078310B">
      <w:pPr>
        <w:widowControl w:val="0"/>
        <w:ind w:firstLine="288"/>
        <w:jc w:val="both"/>
      </w:pPr>
      <w:r w:rsidRPr="0065188C">
        <w:t xml:space="preserve">Also, the qualifying retail customers who purchase a new automobile and trade in a specified type of vehicle and receive the </w:t>
      </w:r>
      <w:r w:rsidRPr="00CC73D9">
        <w:rPr>
          <w:i/>
        </w:rPr>
        <w:t>5x</w:t>
      </w:r>
      <w:r w:rsidRPr="0065188C">
        <w:t xml:space="preserve"> dollar trade-in rebates are not in receipt of </w:t>
      </w:r>
      <w:r>
        <w:t>Gross Income</w:t>
      </w:r>
      <w:r w:rsidRPr="0065188C">
        <w:t xml:space="preserve">. However, under </w:t>
      </w:r>
      <w:hyperlink r:id="rId295" w:history="1">
        <w:r w:rsidRPr="0065188C">
          <w:t>section 1016 of the Code</w:t>
        </w:r>
      </w:hyperlink>
      <w:r w:rsidRPr="0065188C">
        <w:t>, a downward adjustment to the basis of a new purchased automobile is required.</w:t>
      </w:r>
    </w:p>
    <w:p w:rsidR="0078310B" w:rsidRDefault="0078310B" w:rsidP="0078310B">
      <w:pPr>
        <w:widowControl w:val="0"/>
        <w:jc w:val="center"/>
      </w:pPr>
      <w:r>
        <w:t>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When you receive a cash payment that is contingent on the ownership of underlying property, the cash receipt must be categorized as either:</w:t>
      </w:r>
    </w:p>
    <w:p w:rsidR="0078310B" w:rsidRDefault="0078310B" w:rsidP="0078310B">
      <w:pPr>
        <w:pStyle w:val="ListParagraph"/>
        <w:widowControl w:val="0"/>
        <w:numPr>
          <w:ilvl w:val="0"/>
          <w:numId w:val="7"/>
        </w:numPr>
        <w:spacing w:after="120"/>
        <w:jc w:val="both"/>
      </w:pPr>
      <w:r>
        <w:t xml:space="preserve">a cashing in of the underlying property interest, itself, or </w:t>
      </w:r>
    </w:p>
    <w:p w:rsidR="0078310B" w:rsidRDefault="0078310B" w:rsidP="0078310B">
      <w:pPr>
        <w:pStyle w:val="ListParagraph"/>
        <w:widowControl w:val="0"/>
        <w:numPr>
          <w:ilvl w:val="0"/>
          <w:numId w:val="7"/>
        </w:numPr>
        <w:spacing w:after="120"/>
        <w:jc w:val="both"/>
      </w:pPr>
      <w:r>
        <w:t xml:space="preserve">Gross Income with respect to the property, such as interest (on a loan), rent (on leased property), a royalty (on a copyright or patent), or a dividend (on stock). </w:t>
      </w:r>
    </w:p>
    <w:p w:rsidR="0078310B" w:rsidRDefault="0078310B" w:rsidP="0078310B">
      <w:pPr>
        <w:widowControl w:val="0"/>
        <w:spacing w:after="120"/>
        <w:jc w:val="both"/>
      </w:pPr>
      <w:r>
        <w:t xml:space="preserve">If a cash receipt is categorized as falling within category (1),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Thus, we must create an income inclusion to create basis to attach to the excess cash. In other words, the cash receipt is tax-free in category (1) cases </w:t>
      </w:r>
      <w:r w:rsidRPr="00AF2EBB">
        <w:rPr>
          <w:i/>
        </w:rPr>
        <w:t>only because</w:t>
      </w:r>
      <w:r>
        <w:t xml:space="preserve"> it can take basis from the underlying property to attach to the cash. </w:t>
      </w:r>
    </w:p>
    <w:p w:rsidR="0078310B" w:rsidRDefault="0078310B" w:rsidP="0078310B">
      <w:pPr>
        <w:widowControl w:val="0"/>
        <w:spacing w:after="120"/>
        <w:ind w:firstLine="288"/>
        <w:jc w:val="both"/>
      </w:pPr>
      <w:r>
        <w:t xml:space="preserve">If, in contrast, the receipt is categorized as falling within category (2), the receipt does </w:t>
      </w:r>
      <w:r w:rsidRPr="00131F99">
        <w:rPr>
          <w:i/>
        </w:rPr>
        <w:t>not</w:t>
      </w:r>
      <w:r>
        <w:t xml:space="preserve"> reduce basis but instead is </w:t>
      </w:r>
      <w:r w:rsidR="00BE5B4A">
        <w:t xml:space="preserve">fully </w:t>
      </w:r>
      <w:r>
        <w:t xml:space="preserve">includable in Gross Income under </w:t>
      </w:r>
      <w:hyperlink r:id="rId296"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38"/>
      </w:r>
      <w:r>
        <w:t xml:space="preserve"> </w:t>
      </w:r>
    </w:p>
    <w:p w:rsidR="0078310B" w:rsidRDefault="0078310B" w:rsidP="0078310B">
      <w:pPr>
        <w:widowControl w:val="0"/>
        <w:spacing w:after="120"/>
        <w:ind w:firstLine="288"/>
        <w:jc w:val="both"/>
      </w:pPr>
      <w:r>
        <w:t xml:space="preserve">The property owner is not usually free to simply elect to treat the payment as falling either in category (1) as tax-free basis recovery or category (2) as income with respect to the property. The surrounding objective facts will be used to determine the nature of the cash payment. Thus, if Landlord purchases Blackacre for $100,000 and enters into a lease with a tenant farmer that stipulates a yearly rent of $5,000, Landlord, upon receiving the first payment of $5,000, cannot simply elect to treat the payment as tax-free basis recovery, reducing his basis in the land from $100,000 to $95,000 and excluding the $5,000 payment from his tax return. Rather, their lease agreement indicates that the payment is for the use of the land and will be treated as rent, includable under § 61(a)(5), with Blackacre basis remaining unchanged at $100,000. </w:t>
      </w:r>
    </w:p>
    <w:p w:rsidR="0078310B" w:rsidRDefault="0078310B" w:rsidP="0078310B">
      <w:pPr>
        <w:widowControl w:val="0"/>
        <w:spacing w:after="120"/>
        <w:ind w:firstLine="288"/>
        <w:jc w:val="both"/>
      </w:pPr>
      <w:r>
        <w:t>In Rev. Rul. 76-96, above, the receipt of cash from the manufacturer (contingent on the purchase of a car) was treated as tax-f</w:t>
      </w:r>
      <w:r w:rsidR="00A534E1">
        <w:t xml:space="preserve">ree basis recovery </w:t>
      </w:r>
      <w:r>
        <w:t xml:space="preserve">(category (1)) rather than the receipt of Gross Income (category (2)) with respect to the car. If it had been treated as a category (2) receipt, it would have been includable under the residual clause, as interpreted by </w:t>
      </w:r>
      <w:r>
        <w:rPr>
          <w:i/>
        </w:rPr>
        <w:t>Glenshaw Glass</w:t>
      </w:r>
      <w:r>
        <w:t xml:space="preserve">, because cash would clearly constitute a wealth accession if it is not basis recovery. Because it was, instead, treated as basis recovery, the receipt is excludable, but the car’s initial cost basis must be reduced by the tax-free receipt. </w:t>
      </w:r>
    </w:p>
    <w:p w:rsidR="0078310B" w:rsidRDefault="0078310B" w:rsidP="0078310B">
      <w:pPr>
        <w:widowControl w:val="0"/>
        <w:ind w:firstLine="288"/>
        <w:jc w:val="both"/>
      </w:pPr>
      <w:r>
        <w:t xml:space="preserve">Those of you who go on to study the taxation of corporations, pass-through entities (such as partnerships, multi-owner LLCs, and so-called Subchapter S corporations), and their owners under Subchapters C, S, and K will see a fuller (more complex) elaboration of these simple rules, but the rebate context is a simple example.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20" w:name="_Toc395790421"/>
      <w:r w:rsidRPr="00322B89">
        <w:rPr>
          <w:u w:val="single"/>
        </w:rPr>
        <w:t>Problem</w:t>
      </w:r>
      <w:bookmarkEnd w:id="120"/>
    </w:p>
    <w:p w:rsidR="0078310B" w:rsidRPr="00D12CA3"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 xml:space="preserve">James purchases a fancy DSLR camera from his local camera store for $1,000. The camera store retains the full $1,000, but his purchase entitles James to a $100 rebate from the camera’s manufacturer. James submits the required documentation, and he receives a $100 cash payment from the manufacturer. How does James treat the receipt? </w:t>
      </w:r>
    </w:p>
    <w:p w:rsidR="0078310B" w:rsidRDefault="0078310B" w:rsidP="0078310B">
      <w:pPr>
        <w:widowControl w:val="0"/>
        <w:jc w:val="center"/>
      </w:pPr>
      <w:r>
        <w:t>____________________________________</w:t>
      </w:r>
    </w:p>
    <w:p w:rsidR="0078310B" w:rsidRDefault="0078310B" w:rsidP="0078310B">
      <w:pPr>
        <w:pStyle w:val="Heading3"/>
        <w:spacing w:before="0" w:beforeAutospacing="0" w:after="0" w:afterAutospacing="0"/>
        <w:ind w:firstLine="288"/>
        <w:rPr>
          <w:b w:val="0"/>
        </w:rPr>
      </w:pPr>
      <w:bookmarkStart w:id="121" w:name="_Toc395790422"/>
    </w:p>
    <w:p w:rsidR="0078310B" w:rsidRPr="00322B89" w:rsidRDefault="0078310B" w:rsidP="0078310B">
      <w:pPr>
        <w:pStyle w:val="Heading3"/>
        <w:spacing w:before="0" w:beforeAutospacing="0" w:after="120" w:afterAutospacing="0"/>
        <w:rPr>
          <w:i/>
        </w:rPr>
      </w:pPr>
      <w:r w:rsidRPr="00322B89">
        <w:rPr>
          <w:i/>
        </w:rPr>
        <w:t>Lessee improvements that are not “rent”</w:t>
      </w:r>
      <w:bookmarkEnd w:id="121"/>
    </w:p>
    <w:p w:rsidR="0078310B" w:rsidRDefault="0078310B" w:rsidP="0078310B">
      <w:pPr>
        <w:widowControl w:val="0"/>
        <w:ind w:firstLine="288"/>
        <w:jc w:val="both"/>
      </w:pPr>
      <w:r>
        <w:t xml:space="preserve">The case below predated </w:t>
      </w:r>
      <w:r>
        <w:rPr>
          <w:i/>
        </w:rPr>
        <w:t>Glenshaw Glass</w:t>
      </w:r>
      <w:r>
        <w:t xml:space="preserve"> but nevertheless remains relevant for its discussion of realization. There was no doubt that the landlord became immediately wealthier when he regained possession of his previously leased land with a valuable building on it that was constructed by the tenant. Did the building constitute in-kind “rent” within the meaning of § 61(a)(5)? Read </w:t>
      </w:r>
      <w:hyperlink r:id="rId297" w:history="1">
        <w:r w:rsidRPr="004F5523">
          <w:rPr>
            <w:rStyle w:val="Hyperlink"/>
          </w:rPr>
          <w:t>Treas. Reg. § 1.61-8</w:t>
        </w:r>
      </w:hyperlink>
      <w:r>
        <w:t xml:space="preserve">(c). If not, was that wealth accession </w:t>
      </w:r>
      <w:r>
        <w:rPr>
          <w:i/>
        </w:rPr>
        <w:t>realized</w:t>
      </w:r>
      <w:r>
        <w:t xml:space="preserve"> when the landlord regained possession within the meaning of </w:t>
      </w:r>
      <w:r>
        <w:rPr>
          <w:i/>
        </w:rPr>
        <w:t xml:space="preserve">Glenshaw Glass’s </w:t>
      </w:r>
      <w:r>
        <w:t xml:space="preserve">interpretation of the residual clause? Why or why not? Is the landlord like Charles, our bargain purchaser? What are the tax stakes for the landlord? </w:t>
      </w:r>
    </w:p>
    <w:p w:rsidR="0078310B" w:rsidRDefault="0078310B" w:rsidP="0078310B">
      <w:pPr>
        <w:widowControl w:val="0"/>
        <w:jc w:val="both"/>
      </w:pPr>
    </w:p>
    <w:p w:rsidR="0078310B" w:rsidRDefault="0078310B" w:rsidP="0078310B">
      <w:pPr>
        <w:pStyle w:val="Heading3"/>
        <w:spacing w:before="0" w:beforeAutospacing="0" w:after="120" w:afterAutospacing="0"/>
        <w:jc w:val="center"/>
      </w:pPr>
      <w:bookmarkStart w:id="122" w:name="_Toc395790423"/>
      <w:r>
        <w:t>HELVERING v. BRUUN</w:t>
      </w:r>
      <w:bookmarkEnd w:id="122"/>
    </w:p>
    <w:p w:rsidR="0078310B" w:rsidRDefault="0078310B" w:rsidP="0078310B">
      <w:pPr>
        <w:widowControl w:val="0"/>
        <w:jc w:val="center"/>
      </w:pPr>
      <w:r>
        <w:t>309 U.S. 461 (1940)</w:t>
      </w:r>
    </w:p>
    <w:p w:rsidR="0078310B" w:rsidRDefault="0078310B" w:rsidP="0078310B">
      <w:pPr>
        <w:widowControl w:val="0"/>
        <w:jc w:val="both"/>
      </w:pPr>
    </w:p>
    <w:p w:rsidR="0078310B" w:rsidRDefault="0078310B" w:rsidP="0078310B">
      <w:pPr>
        <w:widowControl w:val="0"/>
        <w:spacing w:after="120"/>
        <w:ind w:firstLine="288"/>
        <w:jc w:val="both"/>
      </w:pPr>
      <w:r>
        <w:rPr>
          <w:smallCaps/>
        </w:rPr>
        <w:t>Mr. Justice Roberts</w:t>
      </w:r>
      <w:r>
        <w:t xml:space="preserve"> delivered the opinion of the Court.</w:t>
      </w:r>
    </w:p>
    <w:p w:rsidR="0078310B" w:rsidRPr="00966088" w:rsidRDefault="0078310B" w:rsidP="0078310B">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rsidR="0078310B" w:rsidRPr="00966088" w:rsidRDefault="0078310B" w:rsidP="0078310B">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rsidR="0078310B" w:rsidRPr="00966088" w:rsidRDefault="0078310B" w:rsidP="0078310B">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78310B" w:rsidRPr="00966088" w:rsidRDefault="0078310B" w:rsidP="0078310B">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rsidR="0078310B" w:rsidRPr="00966088" w:rsidRDefault="0078310B" w:rsidP="0078310B">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rsidR="0078310B" w:rsidRPr="00966088" w:rsidRDefault="0078310B" w:rsidP="0078310B">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rsidR="0078310B" w:rsidRPr="00966088" w:rsidRDefault="0078310B" w:rsidP="0078310B">
      <w:pPr>
        <w:widowControl w:val="0"/>
        <w:spacing w:after="120"/>
        <w:ind w:firstLine="288"/>
        <w:jc w:val="both"/>
      </w:pPr>
      <w:r w:rsidRPr="00966088">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8" w:history="1">
        <w:r w:rsidRPr="00BF31D5">
          <w:rPr>
            <w:i/>
          </w:rPr>
          <w:t>Miller v. Gearin</w:t>
        </w:r>
        <w:r w:rsidRPr="00966088">
          <w:t>, 258 F. 225</w:t>
        </w:r>
      </w:hyperlink>
      <w:r w:rsidRPr="00966088">
        <w:t>, that the regulation was invalid as the gain, if taxable at all, must be taxed as of the year when the improvements were completed.</w:t>
      </w:r>
    </w:p>
    <w:p w:rsidR="0078310B" w:rsidRPr="00966088" w:rsidRDefault="0078310B" w:rsidP="0078310B">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rsidR="0078310B" w:rsidRPr="00966088" w:rsidRDefault="0078310B" w:rsidP="0078310B">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9"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rsidR="0078310B" w:rsidRPr="00966088" w:rsidRDefault="0078310B" w:rsidP="0078310B">
      <w:pPr>
        <w:widowControl w:val="0"/>
        <w:spacing w:after="120"/>
        <w:ind w:firstLine="288"/>
        <w:jc w:val="both"/>
      </w:pPr>
      <w:r w:rsidRPr="00966088">
        <w:t>This decision invalidated the regulations then in force.</w:t>
      </w:r>
    </w:p>
    <w:p w:rsidR="0078310B" w:rsidRPr="00966088" w:rsidRDefault="0078310B" w:rsidP="0078310B">
      <w:pPr>
        <w:widowControl w:val="0"/>
        <w:spacing w:after="120"/>
        <w:ind w:firstLine="288"/>
        <w:jc w:val="both"/>
      </w:pPr>
      <w:r w:rsidRPr="00966088">
        <w:t xml:space="preserve">In 1938 this court decided </w:t>
      </w:r>
      <w:r w:rsidRPr="00BF31D5">
        <w:rPr>
          <w:i/>
        </w:rPr>
        <w:t>M. E. Blatt Co. v.</w:t>
      </w:r>
      <w:r w:rsidRPr="00966088">
        <w:t xml:space="preserve"> </w:t>
      </w:r>
      <w:hyperlink r:id="rId300"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rsidR="0078310B" w:rsidRPr="00966088" w:rsidRDefault="0078310B" w:rsidP="0078310B">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rsidR="0078310B" w:rsidRPr="00966088" w:rsidRDefault="0078310B" w:rsidP="0078310B">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rsidR="0078310B" w:rsidRPr="00966088" w:rsidRDefault="0078310B" w:rsidP="0078310B">
      <w:pPr>
        <w:widowControl w:val="0"/>
        <w:spacing w:after="120"/>
        <w:ind w:firstLine="288"/>
        <w:jc w:val="both"/>
      </w:pPr>
      <w:r w:rsidRPr="00966088">
        <w:t>We hold that the petitioner was right in assessing the gain as realized in 1933.</w:t>
      </w:r>
    </w:p>
    <w:p w:rsidR="0078310B" w:rsidRPr="00966088" w:rsidRDefault="0078310B" w:rsidP="0078310B">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rsidR="0078310B" w:rsidRPr="00966088" w:rsidRDefault="0078310B" w:rsidP="0078310B">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rsidR="0078310B" w:rsidRPr="00966088" w:rsidRDefault="0078310B" w:rsidP="0078310B">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rsidR="0078310B" w:rsidRPr="00966088" w:rsidRDefault="0078310B" w:rsidP="0078310B">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rsidR="0078310B" w:rsidRDefault="0078310B" w:rsidP="0078310B">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78310B" w:rsidRDefault="0078310B" w:rsidP="0078310B">
      <w:pPr>
        <w:widowControl w:val="0"/>
        <w:ind w:firstLine="288"/>
        <w:jc w:val="both"/>
      </w:pPr>
      <w:r w:rsidRPr="00966088">
        <w:t>Judgment reversed.</w:t>
      </w:r>
    </w:p>
    <w:p w:rsidR="0078310B" w:rsidRDefault="0078310B" w:rsidP="0078310B">
      <w:pPr>
        <w:widowControl w:val="0"/>
        <w:jc w:val="center"/>
      </w:pPr>
      <w:r>
        <w:t>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301" w:history="1">
        <w:r w:rsidRPr="000053AC">
          <w:rPr>
            <w:rStyle w:val="Hyperlink"/>
          </w:rPr>
          <w:t>§§ 109</w:t>
        </w:r>
      </w:hyperlink>
      <w:r>
        <w:t xml:space="preserve"> and </w:t>
      </w:r>
      <w:hyperlink r:id="rId302"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rsidR="0078310B" w:rsidRDefault="0078310B" w:rsidP="0078310B">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rsidR="0078310B" w:rsidRDefault="0078310B" w:rsidP="0078310B">
      <w:pPr>
        <w:widowControl w:val="0"/>
        <w:spacing w:after="120"/>
        <w:ind w:firstLine="288"/>
        <w:jc w:val="both"/>
      </w:pPr>
      <w:r>
        <w:t xml:space="preserve">Maria does not want the bother of building a commercial building on the land herself, so she immediately rents the land to Ronald Tramp, a real estate developer for a lease term of 30 years. Under their lease, Tramp will pay to Maria rent of $1,000 per year for the raw land (its fair rental value as undeveloped land), increased only by the rate of inflation under the consumer price index each year. Tramp then shoulders the costs of building the commercial rental building on the land. After the construction period, Tramp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rsidR="0078310B" w:rsidRDefault="0078310B" w:rsidP="0078310B">
      <w:pPr>
        <w:widowControl w:val="0"/>
        <w:spacing w:after="120"/>
        <w:ind w:firstLine="288"/>
        <w:jc w:val="both"/>
      </w:pPr>
      <w:r>
        <w:t xml:space="preserve">In Year 3, however, shortly after the building is constructed, Ronald Tramp becomes insolvent and defaults on the lease, and Maria regains possession of the land with the newly constructed building worth $1 million, which she properly excludes from her Gross Income under </w:t>
      </w:r>
      <w:hyperlink r:id="rId303" w:history="1">
        <w:r w:rsidRPr="000053AC">
          <w:rPr>
            <w:rStyle w:val="Hyperlink"/>
          </w:rPr>
          <w:t>§ 109</w:t>
        </w:r>
      </w:hyperlink>
      <w:r>
        <w:t xml:space="preserve">. She immediately rents it to tenants at an aggregate rent of $200,000 per year, the market rate for similar buildings in the location. </w:t>
      </w:r>
    </w:p>
    <w:p w:rsidR="0078310B" w:rsidRDefault="0078310B" w:rsidP="0078310B">
      <w:pPr>
        <w:widowControl w:val="0"/>
        <w:spacing w:after="120"/>
        <w:ind w:firstLine="288"/>
        <w:jc w:val="both"/>
      </w:pPr>
      <w:r>
        <w:t xml:space="preserve">In contrast, after his purchase Mario builds a commercial building very similar to Maria’s at a cost of $1 million to him. When the construction is completed in Year 3, he immediately rents it to tenants. He, too, can charge no more than the market rent of $200,000 per year for the area. </w:t>
      </w:r>
    </w:p>
    <w:p w:rsidR="0078310B" w:rsidRPr="003501E5" w:rsidRDefault="0078310B" w:rsidP="0078310B">
      <w:pPr>
        <w:widowControl w:val="0"/>
        <w:spacing w:after="120"/>
        <w:ind w:firstLine="288"/>
        <w:jc w:val="both"/>
      </w:pPr>
      <w:r>
        <w:t xml:space="preserve">Both Maria and Mario must include the $200,000 rent that each receives in Gross Income beginning in Year 3 under </w:t>
      </w:r>
      <w:hyperlink r:id="rId304" w:history="1">
        <w:r w:rsidRPr="000053AC">
          <w:rPr>
            <w:rStyle w:val="Hyperlink"/>
          </w:rPr>
          <w:t>§ 61</w:t>
        </w:r>
      </w:hyperlink>
      <w:r>
        <w:t xml:space="preserve">(a)(5). But are they really treated similarly for tax purposes? Recall from Chapter 2 the two requirements that must be present for an investment to be taxed under income tax principles: (1) the investment must be made with after-tax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rsidR="0078310B" w:rsidRPr="00322B89" w:rsidRDefault="0078310B" w:rsidP="0078310B">
      <w:pPr>
        <w:pStyle w:val="Heading3"/>
        <w:spacing w:before="0" w:beforeAutospacing="0" w:after="120" w:afterAutospacing="0"/>
        <w:rPr>
          <w:i/>
        </w:rPr>
      </w:pPr>
      <w:bookmarkStart w:id="123" w:name="_Toc395790424"/>
      <w:r w:rsidRPr="00322B89">
        <w:rPr>
          <w:i/>
        </w:rPr>
        <w:t>Treasure trove</w:t>
      </w:r>
      <w:bookmarkEnd w:id="123"/>
    </w:p>
    <w:p w:rsidR="0078310B" w:rsidRDefault="0078310B" w:rsidP="0078310B">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39"/>
      </w:r>
      <w:r>
        <w:t xml:space="preserve"> Thus, when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40"/>
      </w:r>
      <w:r>
        <w:t xml:space="preserve"> Similarly, if Lindsey is beachcombing in Hawaii and finds a diamond ring or a gold bullion brick washed ashore from some old shipwreck, she must also include the item’s FMV in her residual Gross Income in the year reduced to her undisputed possession. </w:t>
      </w:r>
    </w:p>
    <w:p w:rsidR="0078310B" w:rsidRDefault="0078310B" w:rsidP="0078310B">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rsidR="0078310B" w:rsidRDefault="0078310B" w:rsidP="0078310B">
      <w:pPr>
        <w:widowControl w:val="0"/>
        <w:ind w:firstLine="288"/>
        <w:jc w:val="both"/>
      </w:pPr>
      <w:r>
        <w:t>This issue was hotly debated as Mark McGwire and Sammy Sosa competed in 1998 to break the previous record of 61 home runs hit in a single season (by Roger Maris in 1961) and again when Barry Bonds broke McGwire’s record by hitting 73 home runs in 2001. Once again, what are the tax stakes here?</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rPr>
          <w:b w:val="0"/>
        </w:rPr>
      </w:pPr>
      <w:bookmarkStart w:id="124" w:name="_Toc395790425"/>
      <w:r>
        <w:rPr>
          <w:i/>
        </w:rPr>
        <w:t xml:space="preserve">Excerpt from </w:t>
      </w:r>
      <w:r>
        <w:t>DEFINING INCOME</w:t>
      </w:r>
      <w:r w:rsidRPr="00F75E1F">
        <w:rPr>
          <w:rStyle w:val="FootnoteReference"/>
          <w:b w:val="0"/>
        </w:rPr>
        <w:footnoteReference w:id="241"/>
      </w:r>
      <w:r>
        <w:t xml:space="preserve"> </w:t>
      </w:r>
    </w:p>
    <w:p w:rsidR="0078310B" w:rsidRDefault="0078310B" w:rsidP="0078310B">
      <w:pPr>
        <w:pStyle w:val="Heading3"/>
        <w:spacing w:before="0" w:beforeAutospacing="0" w:after="0" w:afterAutospacing="0"/>
        <w:jc w:val="center"/>
        <w:rPr>
          <w:b w:val="0"/>
        </w:rPr>
      </w:pPr>
      <w:r w:rsidRPr="00863A18">
        <w:rPr>
          <w:b w:val="0"/>
        </w:rPr>
        <w:t>Alice G. Abreu &amp; Richard K. Greenstein</w:t>
      </w:r>
      <w:bookmarkEnd w:id="124"/>
    </w:p>
    <w:p w:rsidR="0078310B" w:rsidRPr="00B126B9" w:rsidRDefault="0078310B" w:rsidP="0078310B">
      <w:pPr>
        <w:pStyle w:val="Heading3"/>
        <w:spacing w:before="0" w:beforeAutospacing="0" w:after="0" w:afterAutospacing="0"/>
        <w:jc w:val="center"/>
      </w:pPr>
    </w:p>
    <w:p w:rsidR="0078310B" w:rsidRPr="00620852" w:rsidRDefault="0078310B" w:rsidP="0078310B">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rsidR="0078310B" w:rsidRDefault="0078310B" w:rsidP="0078310B">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rsidR="0078310B" w:rsidRPr="00620852" w:rsidRDefault="0078310B" w:rsidP="0078310B">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rsidR="0078310B" w:rsidRPr="00620852" w:rsidRDefault="0078310B" w:rsidP="0078310B">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rsidR="0078310B" w:rsidRPr="00620852" w:rsidRDefault="0078310B" w:rsidP="0078310B">
      <w:pPr>
        <w:widowControl w:val="0"/>
        <w:spacing w:after="120"/>
        <w:ind w:firstLine="288"/>
        <w:jc w:val="both"/>
      </w:pPr>
      <w:r w:rsidRPr="00620852">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rsidR="0078310B" w:rsidRPr="00620852" w:rsidRDefault="0078310B" w:rsidP="0078310B">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rsidR="0078310B" w:rsidRDefault="0078310B" w:rsidP="0078310B">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rsidR="0078310B" w:rsidRDefault="0078310B" w:rsidP="0078310B">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rsidR="0078310B" w:rsidRPr="00620852" w:rsidRDefault="0078310B" w:rsidP="0078310B">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rsidR="0078310B" w:rsidRPr="00620852" w:rsidRDefault="0078310B" w:rsidP="0078310B">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In his reflections on his time as Commissioner he recounted the events that began the baseball tax controversy: a New York Times reporter asked “a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rsidR="0078310B" w:rsidRPr="00620852" w:rsidRDefault="0078310B" w:rsidP="0078310B">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rsidR="0078310B" w:rsidRDefault="0078310B" w:rsidP="0078310B">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rsidR="0078310B" w:rsidRPr="00620852" w:rsidRDefault="0078310B" w:rsidP="0078310B">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rsidR="0078310B" w:rsidRPr="00620852" w:rsidRDefault="0078310B" w:rsidP="0078310B">
      <w:pPr>
        <w:widowControl w:val="0"/>
        <w:spacing w:after="120"/>
        <w:ind w:firstLine="288"/>
        <w:jc w:val="both"/>
      </w:pPr>
      <w:r w:rsidRPr="00620852">
        <w:t>Commissioner Rossotti is justifiably proud of his handling of the situation, reporting that</w:t>
      </w:r>
    </w:p>
    <w:p w:rsidR="0078310B" w:rsidRPr="00620852" w:rsidRDefault="0078310B" w:rsidP="0078310B">
      <w:pPr>
        <w:widowControl w:val="0"/>
        <w:spacing w:after="120"/>
        <w:ind w:left="720" w:right="720"/>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rsidR="0078310B" w:rsidRDefault="0078310B" w:rsidP="000053AC">
      <w:pPr>
        <w:widowControl w:val="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rsidR="0078310B" w:rsidRDefault="0078310B" w:rsidP="0078310B">
      <w:pPr>
        <w:widowControl w:val="0"/>
        <w:spacing w:after="120"/>
        <w:ind w:firstLine="288"/>
        <w:jc w:val="both"/>
      </w:pPr>
      <w:r>
        <w:t>…</w:t>
      </w:r>
    </w:p>
    <w:p w:rsidR="0078310B" w:rsidRPr="00620852" w:rsidRDefault="0078310B" w:rsidP="0078310B">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rsidR="0078310B" w:rsidRDefault="0078310B" w:rsidP="0078310B">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rsidR="0078310B" w:rsidRPr="00620852" w:rsidRDefault="0078310B" w:rsidP="0078310B">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rsidR="0078310B" w:rsidRPr="00C86466" w:rsidRDefault="0078310B" w:rsidP="0078310B">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rsidR="0078310B" w:rsidRPr="00FE4E04" w:rsidRDefault="0078310B" w:rsidP="0078310B">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rsidR="0078310B" w:rsidRPr="00FE4E04" w:rsidRDefault="0078310B" w:rsidP="0078310B">
      <w:pPr>
        <w:pStyle w:val="FootnoteText"/>
        <w:widowControl w:val="0"/>
        <w:ind w:left="720" w:right="720"/>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rsidR="0078310B" w:rsidRPr="00FE4E04" w:rsidRDefault="0078310B" w:rsidP="0078310B">
      <w:pPr>
        <w:pStyle w:val="FootnoteText"/>
        <w:widowControl w:val="0"/>
        <w:spacing w:after="120"/>
        <w:ind w:left="720" w:right="720"/>
        <w:jc w:val="both"/>
        <w:rPr>
          <w:sz w:val="24"/>
          <w:szCs w:val="24"/>
        </w:rPr>
      </w:pPr>
      <w:r>
        <w:rPr>
          <w:sz w:val="24"/>
          <w:szCs w:val="24"/>
        </w:rPr>
        <w:t>…</w:t>
      </w:r>
    </w:p>
    <w:p w:rsidR="0078310B" w:rsidRPr="00FE4E04" w:rsidRDefault="0078310B" w:rsidP="0078310B">
      <w:pPr>
        <w:pStyle w:val="FootnoteText"/>
        <w:widowControl w:val="0"/>
        <w:spacing w:after="120"/>
        <w:ind w:left="720" w:right="720"/>
        <w:jc w:val="both"/>
        <w:rPr>
          <w:sz w:val="24"/>
          <w:szCs w:val="24"/>
        </w:rPr>
      </w:pPr>
      <w:r w:rsidRPr="00FE4E04">
        <w:rPr>
          <w:sz w:val="24"/>
          <w:szCs w:val="24"/>
        </w:rPr>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rsidR="0078310B" w:rsidRPr="00C86466" w:rsidRDefault="0078310B" w:rsidP="0078310B">
      <w:pPr>
        <w:pStyle w:val="FootnoteText"/>
        <w:widowControl w:val="0"/>
        <w:spacing w:after="120"/>
        <w:jc w:val="both"/>
        <w:rPr>
          <w:sz w:val="24"/>
          <w:szCs w:val="24"/>
        </w:rPr>
      </w:pPr>
      <w:r w:rsidRPr="00FE4E04">
        <w:rPr>
          <w:sz w:val="24"/>
          <w:szCs w:val="24"/>
        </w:rPr>
        <w:t>We couldn’t agree m</w:t>
      </w:r>
      <w:r w:rsidRPr="00C86466">
        <w:rPr>
          <w:sz w:val="24"/>
          <w:szCs w:val="24"/>
        </w:rPr>
        <w:t>ore.</w:t>
      </w:r>
    </w:p>
    <w:p w:rsidR="0078310B" w:rsidRDefault="0078310B" w:rsidP="0078310B">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rsidR="0078310B" w:rsidRPr="00AA0F9F" w:rsidRDefault="0078310B" w:rsidP="0078310B">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rsidR="0078310B" w:rsidRPr="00AA0F9F" w:rsidRDefault="0078310B" w:rsidP="0078310B">
      <w:pPr>
        <w:widowControl w:val="0"/>
        <w:jc w:val="center"/>
      </w:pPr>
      <w:r w:rsidRPr="00AA0F9F">
        <w:t>_______________________________________</w:t>
      </w:r>
    </w:p>
    <w:p w:rsidR="0078310B" w:rsidRPr="00AA0F9F" w:rsidRDefault="0078310B" w:rsidP="0078310B">
      <w:pPr>
        <w:widowControl w:val="0"/>
        <w:jc w:val="both"/>
      </w:pPr>
    </w:p>
    <w:p w:rsidR="0078310B" w:rsidRDefault="0078310B" w:rsidP="0078310B">
      <w:pPr>
        <w:widowControl w:val="0"/>
        <w:spacing w:after="120"/>
        <w:ind w:firstLine="288"/>
        <w:jc w:val="both"/>
      </w:pPr>
      <w:r w:rsidRPr="00AA0F9F">
        <w:t>For the record, and contrary to the article’s claim that “[t]here was unanimity of opinion on the part of tax professionals, for whom it was clear that the baseball was income when caught …,” I did not think that the home run baseball was income when caught.</w:t>
      </w:r>
      <w:r>
        <w:rPr>
          <w:rStyle w:val="FootnoteReference"/>
        </w:rPr>
        <w:footnoteReference w:id="242"/>
      </w:r>
      <w:r w:rsidRPr="00AA0F9F">
        <w:t xml:space="preserve"> In my view, </w:t>
      </w:r>
      <w:r>
        <w:t xml:space="preserve">while the baseball was a clear wealth accession, </w:t>
      </w:r>
      <w:r w:rsidRPr="00AA0F9F">
        <w:t xml:space="preserve">the issue </w:t>
      </w:r>
      <w:r>
        <w:t xml:space="preserve">was one of realization, and I believed that the fan was closer to the lucky buyer who was able to engage in a bargain purchase with a stranger than the landlord in </w:t>
      </w:r>
      <w:r>
        <w:rPr>
          <w:i/>
        </w:rPr>
        <w:t>Bruun</w:t>
      </w:r>
      <w:r>
        <w:t>.</w:t>
      </w:r>
      <w:r>
        <w:rPr>
          <w:i/>
        </w:rPr>
        <w:t xml:space="preserve"> </w:t>
      </w:r>
      <w:r>
        <w:t>He expected only to be able to watch a good game of baseball when he bought his ticket and attended the game, but he was able to walk away with a baseball, the FMV of which was unclear (though substantial).</w:t>
      </w:r>
      <w:r>
        <w:rPr>
          <w:rStyle w:val="FootnoteReference"/>
        </w:rPr>
        <w:footnoteReference w:id="243"/>
      </w:r>
      <w:r>
        <w:t xml:space="preserve"> Having a zero basis in the ball, the fan would realize a § 1001 gain on later sale that would equal the entire amount realized. If he waits more than a year, therefore, the gain would contribute to low-taxed net capital gain. If the ball were income on receipt, instead, the included value would be higher-taxed ordinary income. In other words, the stakes were the same as those at issue for our bargain purchaser and for Mr. Bruun. But what do I know?</w:t>
      </w:r>
    </w:p>
    <w:p w:rsidR="0078310B" w:rsidRDefault="0078310B" w:rsidP="0078310B">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actually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rsidR="0078310B" w:rsidRPr="004C06A0" w:rsidRDefault="0078310B" w:rsidP="0078310B">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rsidR="0078310B" w:rsidRDefault="0078310B" w:rsidP="0078310B">
      <w:pPr>
        <w:widowControl w:val="0"/>
        <w:sectPr w:rsidR="0078310B" w:rsidSect="005337BA">
          <w:headerReference w:type="default" r:id="rId305"/>
          <w:footnotePr>
            <w:numRestart w:val="eachSect"/>
          </w:footnotePr>
          <w:type w:val="continuous"/>
          <w:pgSz w:w="12240" w:h="15840"/>
          <w:pgMar w:top="1440" w:right="1440" w:bottom="1440" w:left="1440" w:header="1008" w:footer="720" w:gutter="0"/>
          <w:pgNumType w:start="150"/>
          <w:cols w:space="720"/>
          <w:titlePg/>
          <w:docGrid w:linePitch="360"/>
        </w:sectPr>
      </w:pPr>
    </w:p>
    <w:p w:rsidR="0078310B" w:rsidRDefault="0078310B" w:rsidP="0078310B">
      <w:pPr>
        <w:widowControl w:val="0"/>
        <w:sectPr w:rsidR="0078310B" w:rsidSect="005337BA">
          <w:headerReference w:type="default" r:id="rId306"/>
          <w:footnotePr>
            <w:numRestart w:val="eachSect"/>
          </w:footnotePr>
          <w:pgSz w:w="12240" w:h="15840"/>
          <w:pgMar w:top="1440" w:right="1440" w:bottom="1440" w:left="1440" w:header="1008" w:footer="720" w:gutter="0"/>
          <w:pgNumType w:start="184"/>
          <w:cols w:space="720"/>
          <w:docGrid w:linePitch="360"/>
        </w:sectPr>
      </w:pPr>
    </w:p>
    <w:p w:rsidR="0078310B" w:rsidRPr="00F75E1F" w:rsidRDefault="0078310B" w:rsidP="0078310B">
      <w:pPr>
        <w:pStyle w:val="Heading1"/>
        <w:spacing w:before="0"/>
        <w:rPr>
          <w:b w:val="0"/>
          <w:sz w:val="40"/>
          <w:szCs w:val="40"/>
          <w:u w:val="none"/>
        </w:rPr>
      </w:pPr>
      <w:bookmarkStart w:id="125" w:name="_Toc395790426"/>
      <w:r w:rsidRPr="00F75E1F">
        <w:rPr>
          <w:sz w:val="40"/>
          <w:szCs w:val="40"/>
          <w:u w:val="none"/>
        </w:rPr>
        <w:t>Unit III</w:t>
      </w:r>
      <w:r>
        <w:rPr>
          <w:sz w:val="40"/>
          <w:szCs w:val="40"/>
          <w:u w:val="none"/>
        </w:rPr>
        <w:t>:</w:t>
      </w:r>
    </w:p>
    <w:p w:rsidR="0078310B" w:rsidRPr="00F75E1F" w:rsidRDefault="0078310B" w:rsidP="0078310B">
      <w:pPr>
        <w:rPr>
          <w:sz w:val="36"/>
          <w:szCs w:val="36"/>
        </w:rPr>
      </w:pPr>
    </w:p>
    <w:p w:rsidR="0078310B" w:rsidRPr="00F75E1F" w:rsidRDefault="0078310B" w:rsidP="0078310B">
      <w:pPr>
        <w:pStyle w:val="Heading1"/>
        <w:spacing w:before="0"/>
        <w:rPr>
          <w:sz w:val="36"/>
          <w:szCs w:val="36"/>
        </w:rPr>
      </w:pPr>
      <w:r>
        <w:rPr>
          <w:sz w:val="36"/>
          <w:szCs w:val="36"/>
        </w:rPr>
        <w:t>The Possibilities f</w:t>
      </w:r>
      <w:r w:rsidRPr="00F75E1F">
        <w:rPr>
          <w:sz w:val="36"/>
          <w:szCs w:val="36"/>
        </w:rPr>
        <w:t>or Income Shifting</w:t>
      </w:r>
      <w:bookmarkEnd w:id="125"/>
    </w:p>
    <w:p w:rsidR="0078310B" w:rsidRDefault="0078310B" w:rsidP="0078310B">
      <w:pPr>
        <w:widowControl w:val="0"/>
        <w:spacing w:after="120"/>
      </w:pPr>
    </w:p>
    <w:p w:rsidR="0078310B" w:rsidRDefault="0078310B" w:rsidP="0078310B">
      <w:pPr>
        <w:pStyle w:val="Heading2"/>
        <w:spacing w:before="0"/>
        <w:rPr>
          <w:b w:val="0"/>
        </w:rPr>
      </w:pPr>
      <w:bookmarkStart w:id="126" w:name="_Toc395790427"/>
      <w:r w:rsidRPr="00A366AD">
        <w:rPr>
          <w:u w:val="single"/>
        </w:rPr>
        <w:t>Introduction to Chapters 7 through 9</w:t>
      </w:r>
      <w:bookmarkEnd w:id="126"/>
    </w:p>
    <w:p w:rsidR="0078310B" w:rsidRPr="00594157" w:rsidRDefault="0078310B" w:rsidP="0078310B"/>
    <w:p w:rsidR="0078310B" w:rsidRDefault="0078310B" w:rsidP="0078310B">
      <w:pPr>
        <w:widowControl w:val="0"/>
        <w:spacing w:after="120"/>
        <w:ind w:firstLine="288"/>
        <w:jc w:val="both"/>
      </w:pPr>
      <w:r>
        <w:t xml:space="preserve">This unit consists of three chapters that explore the possibilities for shifting income from one to another or splitting income between two </w:t>
      </w:r>
      <w:r w:rsidR="00A85888">
        <w:t xml:space="preserve">(or more) </w:t>
      </w:r>
      <w:r>
        <w:t xml:space="preserve">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rsidR="0078310B" w:rsidRDefault="0078310B" w:rsidP="0078310B">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rsidR="0078310B" w:rsidRDefault="0078310B" w:rsidP="0078310B">
      <w:pPr>
        <w:widowControl w:val="0"/>
        <w:spacing w:after="120"/>
        <w:ind w:firstLine="288"/>
        <w:jc w:val="both"/>
      </w:pPr>
      <w:r>
        <w:t xml:space="preserve">Chapter 8 then considers other income-shifting possibilities within the intact family, including consideration of the assignment-of-income doctrine under the common law and related statutory provisions. </w:t>
      </w:r>
    </w:p>
    <w:p w:rsidR="0078310B" w:rsidRDefault="0078310B" w:rsidP="0078310B">
      <w:pPr>
        <w:widowControl w:val="0"/>
        <w:spacing w:after="120"/>
        <w:ind w:firstLine="288"/>
        <w:jc w:val="both"/>
      </w:pPr>
      <w:r>
        <w:t xml:space="preserve">Finally, Chapter 9 considers the income-shifting possibilities in divorce. </w:t>
      </w:r>
    </w:p>
    <w:p w:rsidR="0078310B" w:rsidRDefault="0078310B" w:rsidP="0078310B">
      <w:pPr>
        <w:widowControl w:val="0"/>
        <w:spacing w:after="120"/>
        <w:ind w:firstLine="288"/>
        <w:sectPr w:rsidR="0078310B" w:rsidSect="005337BA">
          <w:headerReference w:type="even" r:id="rId307"/>
          <w:headerReference w:type="default" r:id="rId308"/>
          <w:footerReference w:type="even" r:id="rId309"/>
          <w:footerReference w:type="default" r:id="rId310"/>
          <w:headerReference w:type="first" r:id="rId311"/>
          <w:footerReference w:type="first" r:id="rId312"/>
          <w:type w:val="continuous"/>
          <w:pgSz w:w="12240" w:h="15840"/>
          <w:pgMar w:top="1440" w:right="1440" w:bottom="1440" w:left="1440" w:header="720" w:footer="720" w:gutter="0"/>
          <w:cols w:space="720"/>
          <w:titlePg/>
          <w:docGrid w:linePitch="360"/>
        </w:sectPr>
      </w:pPr>
    </w:p>
    <w:p w:rsidR="0078310B" w:rsidRPr="00203852" w:rsidRDefault="0078310B" w:rsidP="0078310B">
      <w:pPr>
        <w:pStyle w:val="Heading2"/>
        <w:spacing w:before="0"/>
        <w:rPr>
          <w:sz w:val="36"/>
          <w:szCs w:val="36"/>
          <w:u w:val="single"/>
        </w:rPr>
      </w:pPr>
      <w:bookmarkStart w:id="127" w:name="_Toc395790428"/>
      <w:r w:rsidRPr="00203852">
        <w:rPr>
          <w:sz w:val="36"/>
          <w:szCs w:val="36"/>
          <w:u w:val="single"/>
        </w:rPr>
        <w:t>Chapter 7: Gifts and Bequests</w:t>
      </w:r>
      <w:bookmarkEnd w:id="127"/>
    </w:p>
    <w:p w:rsidR="0078310B" w:rsidRDefault="0078310B" w:rsidP="0078310B">
      <w:pPr>
        <w:widowControl w:val="0"/>
        <w:spacing w:after="120"/>
        <w:jc w:val="both"/>
      </w:pPr>
    </w:p>
    <w:p w:rsidR="0078310B" w:rsidRPr="0063317B" w:rsidRDefault="0078310B" w:rsidP="0078310B">
      <w:pPr>
        <w:widowControl w:val="0"/>
        <w:spacing w:after="120"/>
        <w:ind w:firstLine="288"/>
        <w:jc w:val="both"/>
      </w:pPr>
      <w:r>
        <w:t>Recall from Chapter 1 that a fundamental precept of an</w:t>
      </w:r>
      <w:r w:rsidRPr="00F40FC8">
        <w:t xml:space="preserve"> income tax </w:t>
      </w:r>
      <w:r>
        <w:t>is that the same dollars should not be taxed to the same taxpayer more than once and that we use “</w:t>
      </w:r>
      <w:r w:rsidRPr="0063317B">
        <w:t>basis</w:t>
      </w:r>
      <w:r>
        <w:t>”</w:t>
      </w:r>
      <w:r w:rsidRPr="0063317B">
        <w:t xml:space="preserve"> as the tool to keep track of previously taxed dollars to implement this precept. </w:t>
      </w:r>
    </w:p>
    <w:p w:rsidR="0078310B" w:rsidRDefault="0078310B" w:rsidP="0078310B">
      <w:pPr>
        <w:widowControl w:val="0"/>
        <w:spacing w:after="120"/>
        <w:ind w:firstLine="288"/>
        <w:jc w:val="both"/>
      </w:pPr>
      <w:r w:rsidRPr="0063317B">
        <w:t>Do not be lulled into thinking that the same dollar</w:t>
      </w:r>
      <w:r w:rsidR="00595A06">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rsidR="0078310B" w:rsidRDefault="0078310B" w:rsidP="0078310B">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Thus, the same dollars are includable in Gross Income by both Doris and David and are</w:t>
      </w:r>
      <w:r w:rsidRPr="0063317B">
        <w:t xml:space="preserve"> taxed twice </w:t>
      </w:r>
      <w:r>
        <w:t>under the income tax as they move from Doris to David</w:t>
      </w:r>
      <w:r w:rsidRPr="0063317B">
        <w:t xml:space="preserve">. </w:t>
      </w:r>
    </w:p>
    <w:p w:rsidR="0078310B" w:rsidRPr="0063317B" w:rsidRDefault="0078310B" w:rsidP="0078310B">
      <w:pPr>
        <w:widowControl w:val="0"/>
        <w:spacing w:after="120"/>
        <w:ind w:firstLine="288"/>
        <w:jc w:val="both"/>
      </w:pPr>
      <w:r>
        <w:t xml:space="preserve">What if Doris simply makes a gift of those dollars to David during life or leaves a bequest to David at her death? </w:t>
      </w:r>
    </w:p>
    <w:p w:rsidR="0078310B" w:rsidRPr="00A366AD" w:rsidRDefault="0078310B" w:rsidP="0078310B">
      <w:pPr>
        <w:pStyle w:val="Heading3"/>
        <w:spacing w:before="0" w:beforeAutospacing="0" w:after="120" w:afterAutospacing="0"/>
        <w:rPr>
          <w:i/>
        </w:rPr>
      </w:pPr>
      <w:bookmarkStart w:id="128" w:name="_Toc395790429"/>
      <w:r w:rsidRPr="00A366AD">
        <w:rPr>
          <w:i/>
        </w:rPr>
        <w:t>Possible taxation approaches to the transfer and receipt of gifts and bequests</w:t>
      </w:r>
      <w:bookmarkEnd w:id="128"/>
    </w:p>
    <w:p w:rsidR="0078310B" w:rsidRDefault="0078310B" w:rsidP="0078310B">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consisting of an integrated system composed of the estate tax, the gift tax, and the generation-skipping transfer tax, each of which is legally imposed on the donor. Unlike wealth taxes, which tax the fair market value of assets again and again, year after year, the wealth </w:t>
      </w:r>
      <w:r w:rsidRPr="002B1917">
        <w:rPr>
          <w:i/>
        </w:rPr>
        <w:t>transfer</w:t>
      </w:r>
      <w:r>
        <w:t xml:space="preserve"> taxes are excise taxes imposed on the donor only on the act of transfer, whether during life or at death. The wealth transfer taxes are the subject of a separate tax course and are not examined here in any detail except to the extent that their mere existence may help us to think about how gratuitous transfers should be treated under the income tax. </w:t>
      </w:r>
    </w:p>
    <w:p w:rsidR="0078310B" w:rsidRDefault="0078310B" w:rsidP="0078310B">
      <w:pPr>
        <w:widowControl w:val="0"/>
        <w:spacing w:after="120"/>
        <w:ind w:firstLine="288"/>
        <w:jc w:val="both"/>
      </w:pPr>
      <w:r w:rsidRPr="00063995">
        <w:t xml:space="preserve">Should the income tax treatment of </w:t>
      </w:r>
      <w:r w:rsidRPr="00063995">
        <w:rPr>
          <w:i/>
        </w:rPr>
        <w:t>inter vivos</w:t>
      </w:r>
      <w:r w:rsidRPr="00063995">
        <w:t xml:space="preserve"> gifts and death-time bequest</w:t>
      </w:r>
      <w:r>
        <w:t xml:space="preserve">s be integrated with the wealth transfer taxes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w:t>
      </w:r>
      <w:r w:rsidR="00693114">
        <w:t xml:space="preserve">on wages </w:t>
      </w:r>
      <w:r w:rsidRPr="00063995">
        <w:t xml:space="preserve">so that the same dollars are not taxed under both </w:t>
      </w:r>
      <w:r>
        <w:t xml:space="preserve">Federal </w:t>
      </w:r>
      <w:r w:rsidRPr="00063995">
        <w:t>tax systems</w:t>
      </w:r>
      <w:r>
        <w:t>, as well</w:t>
      </w:r>
      <w:r w:rsidRPr="00063995">
        <w:t>?</w:t>
      </w:r>
      <w:r>
        <w:rPr>
          <w:rStyle w:val="FootnoteReference"/>
        </w:rPr>
        <w:footnoteReference w:id="244"/>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transfer tax systems ensure that a dollar is taxed </w:t>
      </w:r>
      <w:r w:rsidRPr="00732A21">
        <w:rPr>
          <w:i/>
        </w:rPr>
        <w:t>at least once</w:t>
      </w:r>
      <w:r>
        <w:t xml:space="preserve"> between the two systems rather than escaping tax entirely under both, as is not uncommon today (particularly because of the combination of the realization requirement, the high estate tax exemption, and § 1014, described below)? </w:t>
      </w:r>
    </w:p>
    <w:p w:rsidR="0078310B" w:rsidRDefault="0078310B" w:rsidP="0078310B">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63995">
        <w:t>both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 xml:space="preserve">considered in Chapter 18). Thus, </w:t>
      </w:r>
      <w:r w:rsidRPr="00063995">
        <w:t xml:space="preserve">the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realization event under § 1001? At what basis should the donee take the property?</w:t>
      </w:r>
    </w:p>
    <w:p w:rsidR="0078310B" w:rsidRPr="005D6695" w:rsidRDefault="0078310B" w:rsidP="0078310B">
      <w:pPr>
        <w:widowControl w:val="0"/>
        <w:spacing w:after="120"/>
        <w:ind w:firstLine="288"/>
        <w:jc w:val="both"/>
      </w:pPr>
      <w:r>
        <w:t xml:space="preserve">To help us to think about these questions, consider the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rsidR="0078310B" w:rsidRPr="00825A87" w:rsidRDefault="0078310B" w:rsidP="0078310B">
      <w:pPr>
        <w:pStyle w:val="NormalWeb"/>
        <w:widowControl w:val="0"/>
        <w:spacing w:before="0" w:beforeAutospacing="0" w:after="120" w:afterAutospacing="0"/>
        <w:ind w:left="720" w:right="720"/>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5"/>
      </w:r>
    </w:p>
    <w:p w:rsidR="0078310B" w:rsidRPr="00825A87" w:rsidRDefault="0078310B" w:rsidP="0078310B">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 xml:space="preserve">For example, when the estate receives an interest payment on a corporate bond that the decedent owned before death, the estate must include that interest payment in its Gross Income under § 61(a)(4), just as the decedent would have included the interest if she had not yet died. </w:t>
      </w:r>
      <w:r w:rsidRPr="00825A87">
        <w:t xml:space="preserve">At some point in time,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 (absent a will) as described in the state</w:t>
      </w:r>
      <w:r>
        <w:t>’s intestacy statutes</w:t>
      </w:r>
      <w:r w:rsidRPr="00825A87">
        <w:t xml:space="preserve"> and cease to exist. Thus, the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beneficiaries. </w:t>
      </w:r>
    </w:p>
    <w:p w:rsidR="0078310B" w:rsidRPr="00825A87" w:rsidRDefault="0078310B" w:rsidP="0078310B">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rsidR="0078310B" w:rsidRDefault="0078310B" w:rsidP="0078310B">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realization event under § 1001 for income tax purposes. Nevertheless, the estate steps up the basis of the painting from the $19,800 cost basis that it had in the hands of Frances to its fair market value (FMV) at her death, which is determined by the sale, itself, to be $106,500,000. Thus, while the sale by the estate of the painting is a realization event under § 1001 for income tax purposes, the sale produces no gain because the A/R and A/B are the same—$106,500,000—meaning that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owned by the estate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rsidR="0078310B" w:rsidRPr="00825A87" w:rsidRDefault="0078310B" w:rsidP="0078310B">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realization event under § 1001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w:t>
      </w:r>
      <w:r w:rsidR="0059152F">
        <w:t xml:space="preserve"> applicable exemption amount) before transfer</w:t>
      </w:r>
      <w:r>
        <w:t xml:space="preserve">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constitute </w:t>
      </w:r>
      <w:r w:rsidRPr="00825A87">
        <w:t xml:space="preserve">a </w:t>
      </w:r>
      <w:r>
        <w:t xml:space="preserve">realized </w:t>
      </w:r>
      <w:r w:rsidRPr="00825A87">
        <w:t xml:space="preserve">wealth increase for her. </w:t>
      </w:r>
    </w:p>
    <w:p w:rsidR="0078310B" w:rsidRDefault="0078310B" w:rsidP="0078310B">
      <w:pPr>
        <w:widowControl w:val="0"/>
        <w:spacing w:after="120"/>
        <w:ind w:firstLine="288"/>
        <w:jc w:val="both"/>
      </w:pPr>
      <w:r>
        <w:t>And, of course, we could construct</w:t>
      </w:r>
      <w:r w:rsidRPr="00825A87">
        <w:t xml:space="preserve"> various degrees betwee</w:t>
      </w:r>
      <w:r>
        <w:t xml:space="preserve">n those two extremes. We could, for example, provide that the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an accession to her wealth—with or without an estate tax. Or we could provide </w:t>
      </w:r>
      <w:r w:rsidRPr="00825A87">
        <w:t>that the bequest is not a realization event</w:t>
      </w:r>
      <w:r>
        <w:t xml:space="preserve"> </w:t>
      </w:r>
      <w:r w:rsidRPr="00825A87">
        <w:t xml:space="preserve">but </w:t>
      </w:r>
      <w:r>
        <w:t xml:space="preserve">that </w:t>
      </w:r>
      <w:r w:rsidRPr="00825A87">
        <w:t>the full $106,500,000 FMV is taxed to her estate under a wealth transfer tax. Her daughter could exclude the painting on receipt under the income tax</w:t>
      </w:r>
      <w:r>
        <w:t xml:space="preserve">. </w:t>
      </w:r>
    </w:p>
    <w:p w:rsidR="0078310B" w:rsidRDefault="0078310B" w:rsidP="0078310B">
      <w:pPr>
        <w:widowControl w:val="0"/>
        <w:spacing w:after="120"/>
        <w:ind w:firstLine="288"/>
        <w:jc w:val="both"/>
      </w:pPr>
      <w:r>
        <w:t xml:space="preserve">And so on. </w:t>
      </w:r>
    </w:p>
    <w:p w:rsidR="0078310B" w:rsidRDefault="0078310B" w:rsidP="0078310B">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about how to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whether and when we tax the painting’s built-in gain, whether we tax the transfer of wealth, and whether we require gifts and bequests received by the donee to be included in Gross Income for income tax purposes affects not only the parties directly involved but the rest of the taxpaying public, whose tax rates are inevitably affected by these decisions. In short, they are not costless decisions.</w:t>
      </w:r>
    </w:p>
    <w:p w:rsidR="005D2FED" w:rsidRPr="005D2FED" w:rsidRDefault="005D2FED" w:rsidP="005D2FED">
      <w:pPr>
        <w:widowControl w:val="0"/>
        <w:spacing w:after="120"/>
        <w:jc w:val="both"/>
        <w:rPr>
          <w:b/>
          <w:i/>
        </w:rPr>
      </w:pPr>
      <w:r>
        <w:rPr>
          <w:b/>
          <w:i/>
        </w:rPr>
        <w:t>A brief description of positive law</w:t>
      </w:r>
    </w:p>
    <w:p w:rsidR="0078310B" w:rsidRDefault="0078310B" w:rsidP="0078310B">
      <w:pPr>
        <w:widowControl w:val="0"/>
        <w:spacing w:after="120"/>
        <w:ind w:firstLine="288"/>
        <w:jc w:val="both"/>
      </w:pPr>
      <w:r>
        <w:t xml:space="preserve">What follows first is a brief description of the wealth transfer taxes imposed on the donor on the making of a gift or bequest. </w:t>
      </w:r>
    </w:p>
    <w:p w:rsidR="0078310B" w:rsidRDefault="0078310B" w:rsidP="0078310B">
      <w:pPr>
        <w:widowControl w:val="0"/>
        <w:autoSpaceDE w:val="0"/>
        <w:autoSpaceDN w:val="0"/>
        <w:adjustRightInd w:val="0"/>
        <w:spacing w:after="120"/>
        <w:ind w:firstLine="288"/>
        <w:jc w:val="both"/>
      </w:pPr>
      <w:r>
        <w:t>The original estate tax was enacted in 1916 (three years after the enactment of the income tax) and was intended to</w:t>
      </w:r>
      <w:r w:rsidR="00C757A9">
        <w:t xml:space="preserve"> “reallocate the costs of underwriting a modern state across the geographical regions and socioeconomic classes.”</w:t>
      </w:r>
      <w:r w:rsidR="00C757A9">
        <w:rPr>
          <w:rStyle w:val="FootnoteReference"/>
        </w:rPr>
        <w:footnoteReference w:id="246"/>
      </w:r>
      <w:r>
        <w:t xml:space="preserve"> </w:t>
      </w:r>
      <w:r w:rsidR="00C757A9">
        <w:t>In other words, it was inte</w:t>
      </w:r>
      <w:r w:rsidR="00167BA6">
        <w:t xml:space="preserve">nded primarily to raise revenue </w:t>
      </w:r>
      <w:r w:rsidR="00C757A9">
        <w:t xml:space="preserve">from those best able to pay. But an important secondary reason was to </w:t>
      </w:r>
      <w:r>
        <w:t>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rPr>
          <w:rFonts w:cs="Times New Roman"/>
        </w:rPr>
        <w:t>preventing undue concentrations</w:t>
      </w:r>
      <w:r>
        <w:rPr>
          <w:rFonts w:cs="Times New Roman"/>
        </w:rPr>
        <w:t xml:space="preserve"> </w:t>
      </w:r>
      <w:r w:rsidRPr="00F66BEF">
        <w:rPr>
          <w:rFonts w:cs="Times New Roman"/>
        </w:rPr>
        <w:t>of wealth and com</w:t>
      </w:r>
      <w:r>
        <w:rPr>
          <w:rFonts w:cs="Times New Roman"/>
        </w:rPr>
        <w:t>plementing the income tax to ful</w:t>
      </w:r>
      <w:r w:rsidRPr="00F66BEF">
        <w:rPr>
          <w:rFonts w:cs="Times New Roman"/>
        </w:rPr>
        <w:t>fill the</w:t>
      </w:r>
      <w:r>
        <w:rPr>
          <w:rFonts w:cs="Times New Roman"/>
        </w:rPr>
        <w:t xml:space="preserve"> </w:t>
      </w:r>
      <w:r w:rsidRPr="00F66BEF">
        <w:rPr>
          <w:rFonts w:cs="Times New Roman"/>
        </w:rPr>
        <w:t>goal of the progressive tax system.</w:t>
      </w:r>
      <w:r>
        <w:rPr>
          <w:rFonts w:cs="Times New Roman"/>
        </w:rPr>
        <w:t>”</w:t>
      </w:r>
      <w:r>
        <w:rPr>
          <w:rStyle w:val="FootnoteReference"/>
        </w:rPr>
        <w:footnoteReference w:id="247"/>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rsidR="0078310B" w:rsidRDefault="0078310B" w:rsidP="0078310B">
      <w:pPr>
        <w:widowControl w:val="0"/>
        <w:autoSpaceDE w:val="0"/>
        <w:autoSpaceDN w:val="0"/>
        <w:adjustRightInd w:val="0"/>
        <w:spacing w:after="120"/>
        <w:ind w:left="720" w:right="720"/>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48"/>
      </w:r>
      <w:r>
        <w:t xml:space="preserve"> </w:t>
      </w:r>
    </w:p>
    <w:p w:rsidR="0078310B" w:rsidRDefault="0078310B" w:rsidP="0078310B">
      <w:pPr>
        <w:widowControl w:val="0"/>
        <w:autoSpaceDE w:val="0"/>
        <w:autoSpaceDN w:val="0"/>
        <w:adjustRightInd w:val="0"/>
        <w:spacing w:after="120"/>
        <w:ind w:firstLine="288"/>
        <w:jc w:val="both"/>
      </w:pPr>
      <w:r>
        <w:t>Similarly, in a 1919 speech as president of the American Economic Association, noted economist Irving Fisher noted the trend toward increasing income and wealth inequality. He warned against the effects of “an undemocratic distribution of wealth” and spoke favorably of heavily taxing estates to limit inherited wealth, saying:</w:t>
      </w:r>
    </w:p>
    <w:p w:rsidR="0078310B" w:rsidRDefault="0078310B" w:rsidP="0078310B">
      <w:pPr>
        <w:widowControl w:val="0"/>
        <w:autoSpaceDE w:val="0"/>
        <w:autoSpaceDN w:val="0"/>
        <w:adjustRightInd w:val="0"/>
        <w:spacing w:after="120"/>
        <w:ind w:left="720" w:right="720"/>
        <w:jc w:val="both"/>
      </w:pPr>
      <w:r>
        <w:t>I believe that it is very bad public policy for the living to allow the dead so large and unregulated an influence over us. Even in the eye of the law there is no natural right, as is ordinarily falsely assumed, to will property…. Justice McKenna of the United States Supreme Court says: “The right to take property by devise or descent is the creature of the law and not a natural right—a privilege, and therefore the authority which confers it may impose conditions on it.”… Numerous limitations of the right to will property already exist in each of our states—some under common law, others under statute law. There are, in particular, restrictions against tying up property (except in charitable bequests) in perpetutity. These restrictions have, undoubtedly, restrained the accumulation of swollen fortunes. There is no reason why we cannot continue to add to such limitations so far as seems wise.</w:t>
      </w:r>
      <w:r>
        <w:rPr>
          <w:rStyle w:val="FootnoteReference"/>
        </w:rPr>
        <w:footnoteReference w:id="249"/>
      </w:r>
    </w:p>
    <w:p w:rsidR="0078310B" w:rsidRDefault="0078310B" w:rsidP="0078310B">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generation-skipping transfer tax was enacted in 1976, and the estate, gift, and generation-skipping transfer taxes were effectively integrated into a single, unified system at that time.</w:t>
      </w:r>
    </w:p>
    <w:p w:rsidR="0078310B" w:rsidRDefault="0078310B" w:rsidP="0078310B">
      <w:pPr>
        <w:widowControl w:val="0"/>
        <w:spacing w:after="120"/>
        <w:ind w:firstLine="288"/>
        <w:jc w:val="both"/>
      </w:pPr>
      <w:r>
        <w:t>In 2000, the estate tax exemption amount (the cumulative amount that could be transferred during life and at death without tax) was $675,000, effectively $1.35 million for a married couple, and marginal tax rates ranged from 18% at the low end to 55% on very large estates. As part of the tax reductions that occurred in 2001 in the George W. Bush administration, which were (as you recall from Chapter 3) scheduled to sunset at the end of 2010,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for that year only (because of the sunset), which, as you can imagine, created all sorts of late-night jokes about pushing grandma off the train in 2010. At least four billionaires died in 2010, thus avoiding estate tax, including George Steinbrenner, the irascible owner of the New York Yankees.</w:t>
      </w:r>
      <w:r>
        <w:rPr>
          <w:rStyle w:val="FootnoteReference"/>
        </w:rPr>
        <w:footnoteReference w:id="250"/>
      </w:r>
      <w:r>
        <w:t xml:space="preserve"> </w:t>
      </w:r>
    </w:p>
    <w:p w:rsidR="0078310B" w:rsidRDefault="0078310B" w:rsidP="0078310B">
      <w:pPr>
        <w:widowControl w:val="0"/>
        <w:spacing w:after="120"/>
        <w:ind w:firstLine="288"/>
        <w:jc w:val="both"/>
      </w:pPr>
      <w:r>
        <w:t xml:space="preserve">For 2011—when the estate tax otherwise would have reverted to 2000 levels—Congress acted to increase the exemption amount to $5 million ($10 million for a married couple), to reduce the top tax rate to 35%, and to index the exemption amount for inflation. Because of the inflation adjustment, the exemption amount was $5.12 million ($10.24 million for a married couple) for 2012. Absent further Congressional action, the estate tax exemption amount was scheduled to be reduced to $1 million ($2 million for a married couple), with a top tax rate of 55%, in 2013. </w:t>
      </w:r>
    </w:p>
    <w:p w:rsidR="0078310B" w:rsidRPr="004F42CD" w:rsidRDefault="0078310B" w:rsidP="0078310B">
      <w:pPr>
        <w:widowControl w:val="0"/>
        <w:spacing w:after="120"/>
        <w:ind w:firstLine="288"/>
        <w:jc w:val="both"/>
        <w:rPr>
          <w:i/>
        </w:rPr>
      </w:pPr>
      <w:r>
        <w:t>The American Taxpayer Relief Act of 2012, however, made permanent the $5 million 2010 initial exemption ($10 million for a married couple) prior to inflation adjustments and reduced the top tax rate from 55% to 40%, which the Joint Committee on Taxation estimated would collect $369 billion less revenue over the decade ending in 2023 than if Congress had</w:t>
      </w:r>
      <w:r w:rsidR="001250B5">
        <w:t xml:space="preserve"> retained the 2001 law. The 2017</w:t>
      </w:r>
      <w:r>
        <w:t xml:space="preserve"> inflation-ad</w:t>
      </w:r>
      <w:r w:rsidR="001250B5">
        <w:t>justed exemption amount is $5.49</w:t>
      </w:r>
      <w:r>
        <w:t xml:space="preserve"> million ($10.9</w:t>
      </w:r>
      <w:r w:rsidR="001250B5">
        <w:t>8</w:t>
      </w:r>
      <w:r>
        <w:t xml:space="preserve"> million for a married couple). Recall the difference (discussed in Chapter 3) between the </w:t>
      </w:r>
      <w:r>
        <w:rPr>
          <w:i/>
        </w:rPr>
        <w:t xml:space="preserve">marginal </w:t>
      </w:r>
      <w:r>
        <w:t xml:space="preserve">rate and </w:t>
      </w:r>
      <w:r>
        <w:rPr>
          <w:i/>
        </w:rPr>
        <w:t xml:space="preserve">effective </w:t>
      </w:r>
      <w:r>
        <w:t xml:space="preserve">or </w:t>
      </w:r>
      <w:r>
        <w:rPr>
          <w:i/>
        </w:rPr>
        <w:t xml:space="preserve">average </w:t>
      </w:r>
      <w:r>
        <w:t xml:space="preserve">tax rate. That 40% rate is the marginal rate imposed on the last estate tax base dollar. As under the income tax, average or effective tax rates are much lower. </w:t>
      </w:r>
    </w:p>
    <w:p w:rsidR="0078310B" w:rsidRDefault="0078310B" w:rsidP="0078310B">
      <w:pPr>
        <w:widowControl w:val="0"/>
        <w:spacing w:after="120"/>
        <w:ind w:left="720" w:right="720"/>
        <w:jc w:val="both"/>
      </w:pPr>
      <w:r>
        <w:t>The estate tax remains one of the most progressive parts of the tax code. In 2013, more than 99.8 percent of estates will owe no tax. Among the 3,780 estates that will pay the tax, the 810 largest—those with gross assets exceeding $20 million—will account for nearly three-fourths of the total estate tax revenue…. About one-fifth of the burden will fall on estates valued between $10 million and $20 million, while just 7 percent will come from estates worth less than $10 million.</w:t>
      </w:r>
    </w:p>
    <w:p w:rsidR="0078310B" w:rsidRDefault="0078310B" w:rsidP="0078310B">
      <w:pPr>
        <w:widowControl w:val="0"/>
        <w:spacing w:after="120"/>
        <w:ind w:left="720" w:right="720"/>
        <w:jc w:val="both"/>
      </w:pPr>
      <w:r>
        <w:t>Because of its exemption, the estate tax claims a bigger percentage of larger estates. Taxable estates with gross assets less than $10 million will pay an average tax rate 7.7 percent, while estates with gross assets of between $10 million and $20 million will pay 15.8 percent on average. Estates valued at more than $20 million will pay an average rate of 18.8 percent.</w:t>
      </w:r>
      <w:r>
        <w:rPr>
          <w:rStyle w:val="FootnoteReference"/>
        </w:rPr>
        <w:footnoteReference w:id="251"/>
      </w:r>
    </w:p>
    <w:p w:rsidR="0078310B" w:rsidRDefault="0078310B" w:rsidP="0078310B">
      <w:pPr>
        <w:widowControl w:val="0"/>
        <w:spacing w:after="120"/>
        <w:ind w:firstLine="288"/>
        <w:jc w:val="both"/>
      </w:pPr>
      <w:r>
        <w:t xml:space="preserve">Under the integrated estate and gift tax system, each individual donor </w:t>
      </w:r>
      <w:r w:rsidR="001250B5">
        <w:t>can transfer $14,000 (as of 2017</w:t>
      </w:r>
      <w:r>
        <w:t xml:space="preserve">) to each donee during life without incurring gift tax on the transfer and without eating into the cumulative estate tax exemption amount. For example, a married couple with two children can transfer $56,000 each year (with each spouse giving $14,000 to each of their two children) without incurring gift tax or using any of their estate tax exemption amount, which means that they can transfer at least $560,000 over ten years to their children without tax and without reducing their estate tax exemption amount. I say “at least” because the $14,000 figure is also adjusted for inflation over time and will likely be increased in the coming years, allowing more than $560,000 to be transferred without tax. In 2005, for example, the gift tax annual exclusion was $11,000, and in 2012 it was $13,000. Moreover, education and health costs paid directly to the provider on behalf of another do not count toward the $14,000 annual gift tax exclusion. Thus, a good deal of wealth can be transferred during life and at death without transfer tax, even with the estate and gift tax in place. </w:t>
      </w:r>
    </w:p>
    <w:p w:rsidR="0078310B" w:rsidRDefault="0078310B" w:rsidP="0078310B">
      <w:pPr>
        <w:widowControl w:val="0"/>
        <w:spacing w:after="120"/>
        <w:ind w:firstLine="288"/>
        <w:jc w:val="both"/>
      </w:pPr>
      <w:r>
        <w:t xml:space="preserve">As for the income tax, </w:t>
      </w:r>
      <w:r>
        <w:rPr>
          <w:b/>
        </w:rPr>
        <w:t>i</w:t>
      </w:r>
      <w:r w:rsidRPr="00AF609F">
        <w:rPr>
          <w:b/>
        </w:rPr>
        <w:t>n the U.S., the making of a gift, whether during life or at death, is</w:t>
      </w:r>
      <w:r>
        <w:rPr>
          <w:b/>
        </w:rPr>
        <w:t xml:space="preserve"> not a § 1001 realization event </w:t>
      </w:r>
      <w:r w:rsidRPr="00AF609F">
        <w:rPr>
          <w:b/>
        </w:rPr>
        <w:t>for the donor.</w:t>
      </w:r>
      <w:r>
        <w:t xml:space="preserve"> Thus, the built-in gain in property owned at death (the difference between the property’s FMV and its A/B) is not taxed under the income tax to the dece</w:t>
      </w:r>
      <w:r w:rsidR="001E0BC3">
        <w:t>dent (on her final tax return) in the United States.</w:t>
      </w:r>
    </w:p>
    <w:p w:rsidR="0078310B" w:rsidRDefault="0078310B" w:rsidP="0078310B">
      <w:pPr>
        <w:pStyle w:val="NormalWeb"/>
        <w:widowControl w:val="0"/>
        <w:spacing w:before="0" w:beforeAutospacing="0" w:after="120" w:afterAutospacing="0"/>
        <w:ind w:firstLine="288"/>
        <w:jc w:val="both"/>
      </w:pPr>
      <w:r>
        <w:t xml:space="preserve">With respect to the donee’s receipt, read </w:t>
      </w:r>
      <w:hyperlink r:id="rId313" w:history="1">
        <w:r w:rsidRPr="007D11B1">
          <w:rPr>
            <w:rStyle w:val="Hyperlink"/>
          </w:rPr>
          <w:t>§ 102</w:t>
        </w:r>
      </w:hyperlink>
      <w:r>
        <w:t xml:space="preserve">(a).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rsidR="00935947">
        <w:t>In contrast, t</w:t>
      </w:r>
      <w:r>
        <w:t>he 1894 income tax (which was ruled unconstitutional under the apportionment clause, as you read in Chapter 3, and thus never went into effect) included in the tax base “money and the value of all personal property acquired by gift or inheritance” (leaving out real property).</w:t>
      </w:r>
      <w:r>
        <w:rPr>
          <w:rStyle w:val="FootnoteReference"/>
        </w:rPr>
        <w:footnoteReference w:id="252"/>
      </w:r>
      <w:r>
        <w:t xml:space="preserve"> While the entire 1894 income tax was controversial, this provision was subject to particular scrutiny, as described by tax historian Joseph Thorndike. The provision did have its supporters, including Senator George Vest, who opined that “when the child or widow receives from the father or husband an estate, there is no reason, if the income of the child or of the widow is increased to that extent, that the new estate should not bear an equal and just portion of the common taxation of the Government.”</w:t>
      </w:r>
      <w:r>
        <w:rPr>
          <w:rStyle w:val="FootnoteReference"/>
        </w:rPr>
        <w:footnoteReference w:id="253"/>
      </w:r>
      <w:r>
        <w:t xml:space="preserve"> But Senator David Hill’s criticized the provision as follows: </w:t>
      </w:r>
    </w:p>
    <w:p w:rsidR="0078310B" w:rsidRDefault="0078310B" w:rsidP="0078310B">
      <w:pPr>
        <w:pStyle w:val="NormalWeb"/>
        <w:widowControl w:val="0"/>
        <w:spacing w:before="0" w:beforeAutospacing="0" w:after="120" w:afterAutospacing="0"/>
        <w:ind w:left="720" w:right="720"/>
        <w:jc w:val="both"/>
      </w:pPr>
      <w:r>
        <w:t>What a man receives by gift, that which he does not earn, is not an income within a proper sense of the term. That which my father leaves me by inheritance or by will is not an income within the proper, strict definition of the term. It is an inheritance. It is a gift which in my judgment ought not to be taxed by the General Government. At least there could be no sound reasons advanced why such a tax ought to be placed in the bill.</w:t>
      </w:r>
      <w:r>
        <w:rPr>
          <w:rStyle w:val="FootnoteReference"/>
        </w:rPr>
        <w:footnoteReference w:id="254"/>
      </w:r>
      <w:r>
        <w:t xml:space="preserve"> </w:t>
      </w:r>
    </w:p>
    <w:p w:rsidR="0078310B" w:rsidRDefault="0078310B" w:rsidP="0078310B">
      <w:pPr>
        <w:pStyle w:val="NormalWeb"/>
        <w:widowControl w:val="0"/>
        <w:spacing w:before="0" w:beforeAutospacing="0" w:after="120" w:afterAutospacing="0"/>
        <w:ind w:firstLine="288"/>
        <w:jc w:val="both"/>
      </w:pPr>
      <w:r>
        <w:t>The New York Times editorial page similarly criticized this provision:</w:t>
      </w:r>
    </w:p>
    <w:p w:rsidR="0078310B" w:rsidRDefault="0078310B" w:rsidP="0078310B">
      <w:pPr>
        <w:pStyle w:val="NormalWeb"/>
        <w:widowControl w:val="0"/>
        <w:spacing w:before="0" w:beforeAutospacing="0" w:after="120" w:afterAutospacing="0"/>
        <w:ind w:left="720" w:right="720"/>
        <w:jc w:val="both"/>
      </w:pPr>
      <w:r>
        <w:t>The theory of an income tax is that it requires the citizen to pay annually to the Government a certain percentage of the profits of his business or occupation or the increment of his capital. An inheritance is in no sense a part of such annual income, and a tax upon it is a confiscation of a certain portion of the principle outright.</w:t>
      </w:r>
      <w:r>
        <w:rPr>
          <w:rStyle w:val="FootnoteReference"/>
        </w:rPr>
        <w:footnoteReference w:id="255"/>
      </w:r>
    </w:p>
    <w:p w:rsidR="0078310B" w:rsidRDefault="0078310B" w:rsidP="0078310B">
      <w:pPr>
        <w:pStyle w:val="NormalWeb"/>
        <w:widowControl w:val="0"/>
        <w:spacing w:before="0" w:beforeAutospacing="0" w:after="120" w:afterAutospacing="0"/>
        <w:ind w:firstLine="288"/>
        <w:jc w:val="both"/>
      </w:pPr>
      <w:r>
        <w:t>By the time that the income tax was enacted again in 1913 (after ratification of the 16</w:t>
      </w:r>
      <w:r w:rsidRPr="00793364">
        <w:rPr>
          <w:vertAlign w:val="superscript"/>
        </w:rPr>
        <w:t>th</w:t>
      </w:r>
      <w:r>
        <w:t xml:space="preserve"> amendment), all gifts and bequest were excluded by the recipient under the predecessor to § 102(a). Why the change of heart between 1894 and 1913? There is no 1913 legislative history underlying the gift exclusion. The 1913 income tax 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systems) between the two taxpayers because the gift exclusion under the income tax was not repealed when the estate tax was repealed for 2010. The cash bequests of George Steinbrenner and the other billionaires who died in 2010 were taxed under neither the estate tax (to the donor) nor the income tax (to the donee). </w:t>
      </w:r>
    </w:p>
    <w:p w:rsidR="0078310B" w:rsidRDefault="0078310B" w:rsidP="0078310B">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t xml:space="preserve">1913 </w:t>
      </w:r>
      <w:r w:rsidRPr="00CC7B3A">
        <w:t>exclusion likely had its roots in su</w:t>
      </w:r>
      <w:r>
        <w:t xml:space="preserve">ch notions, </w:t>
      </w:r>
      <w:r w:rsidRPr="00BC507C">
        <w:rPr>
          <w:i/>
        </w:rPr>
        <w:t>i.e.</w:t>
      </w:r>
      <w:r>
        <w:t xml:space="preserve">, that the lump </w:t>
      </w:r>
      <w:r w:rsidRPr="00CC7B3A">
        <w:t>sum gift or bequest was not, itself, income but would produce future income when invested.</w:t>
      </w:r>
      <w:r>
        <w:t xml:space="preserve"> The last two quotations above hinted at this, and the 1914 income tax treatise written by economist E.R.A. Seligman (published just a year after the 1913 income tax was enacted with the gift exclusion in place) stated this notion explicitly when describing the defunct 1894 income tax: “If anything is irregular and unperiodic, it is an inheritance. The income from the inheritance is indeed regular, but the [1894] law taxed not only the income from the inheritance but the inheritance itself.” His clear implication was that inclusion of gifts or bequests as “income” was clearly wrong under theoretical notions of what that term meant at the time. </w:t>
      </w:r>
    </w:p>
    <w:p w:rsidR="0078310B" w:rsidRDefault="0078310B" w:rsidP="0078310B">
      <w:pPr>
        <w:widowControl w:val="0"/>
        <w:spacing w:after="120"/>
        <w:ind w:firstLine="288"/>
        <w:jc w:val="both"/>
      </w:pPr>
      <w:r>
        <w:t xml:space="preserve">By 1938, however, Henry Simons was elucidating the meaning of “income” for uniquely </w:t>
      </w:r>
      <w:r w:rsidRPr="00EA2EBB">
        <w:rPr>
          <w:i/>
        </w:rPr>
        <w:t>tax</w:t>
      </w:r>
      <w:r>
        <w:t xml:space="preserve"> purposes (as opposed to its meaning for financial or trust accounting purposes, where the “periodic” gloss was strong), and he recognized gifts and bequests as clear wealth accessions for the donee. Moreover, as we saw in Chapter </w:t>
      </w:r>
      <w:r w:rsidR="00E86DA2">
        <w:t xml:space="preserve">3 </w:t>
      </w:r>
      <w:r>
        <w:t xml:space="preserve">the income tax is usually defended on ability to pay grounds.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rsidR="0078310B" w:rsidRDefault="0078310B" w:rsidP="0078310B">
      <w:pPr>
        <w:widowControl w:val="0"/>
        <w:spacing w:after="120"/>
        <w:ind w:left="720" w:right="720"/>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rsidR="0078310B" w:rsidRDefault="0078310B" w:rsidP="0078310B">
      <w:pPr>
        <w:widowControl w:val="0"/>
        <w:spacing w:after="120"/>
        <w:ind w:left="720" w:right="720"/>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6"/>
      </w:r>
    </w:p>
    <w:p w:rsidR="0078310B" w:rsidRDefault="0078310B" w:rsidP="0078310B">
      <w:pPr>
        <w:pStyle w:val="NormalWeb"/>
        <w:widowControl w:val="0"/>
        <w:spacing w:before="0" w:beforeAutospacing="0" w:after="120" w:afterAutospacing="0"/>
        <w:ind w:firstLine="288"/>
        <w:jc w:val="both"/>
      </w:pPr>
      <w:r>
        <w:t>So why does the unlimited gift exclusion in § 102(a) remain in the 21</w:t>
      </w:r>
      <w:r w:rsidRPr="00793364">
        <w:rPr>
          <w:vertAlign w:val="superscript"/>
        </w:rPr>
        <w:t>st</w:t>
      </w:r>
      <w:r>
        <w:t xml:space="preserve"> century? Congress could, for example, cap the exclusion to a “reasonable” amount (either annually or for the donee’s lifetime) to ensure that ordinary birthday and holiday gifts remain excludable but that substantial gifts and bequests in excess of the cap are includable. </w:t>
      </w:r>
    </w:p>
    <w:p w:rsidR="0078310B" w:rsidRDefault="0078310B" w:rsidP="0078310B">
      <w:pPr>
        <w:pStyle w:val="NormalWeb"/>
        <w:widowControl w:val="0"/>
        <w:spacing w:before="0" w:beforeAutospacing="0" w:after="0" w:afterAutospacing="0"/>
        <w:ind w:firstLine="288"/>
        <w:jc w:val="both"/>
      </w:pPr>
      <w:r>
        <w:t>Perhaps 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is thus implicitly taxed on the transfer, the only way to ensure only a single layer of income tax between the donor and donee is to permit the donee to exclude gifts and bequests, notwithstanding horizontal equity concerns between donees and workers like David. Convincing?</w:t>
      </w:r>
    </w:p>
    <w:p w:rsidR="0078310B" w:rsidRDefault="0078310B" w:rsidP="0078310B">
      <w:pPr>
        <w:pStyle w:val="NormalWeb"/>
        <w:widowControl w:val="0"/>
        <w:spacing w:before="0" w:beforeAutospacing="0" w:after="0" w:afterAutospacing="0"/>
        <w:ind w:firstLine="288"/>
        <w:jc w:val="both"/>
      </w:pPr>
    </w:p>
    <w:p w:rsidR="0078310B" w:rsidRPr="00203852" w:rsidRDefault="0078310B" w:rsidP="0078310B">
      <w:pPr>
        <w:pStyle w:val="Heading2"/>
        <w:spacing w:before="0"/>
        <w:rPr>
          <w:sz w:val="32"/>
          <w:szCs w:val="32"/>
        </w:rPr>
      </w:pPr>
      <w:bookmarkStart w:id="129" w:name="_Toc395790430"/>
      <w:r w:rsidRPr="00203852">
        <w:rPr>
          <w:sz w:val="32"/>
          <w:szCs w:val="32"/>
        </w:rPr>
        <w:t>A. The basis of property received</w:t>
      </w:r>
    </w:p>
    <w:p w:rsidR="0078310B" w:rsidRPr="00203852" w:rsidRDefault="0078310B" w:rsidP="0078310B">
      <w:pPr>
        <w:pStyle w:val="Heading2"/>
        <w:spacing w:before="0"/>
        <w:rPr>
          <w:sz w:val="32"/>
          <w:szCs w:val="32"/>
          <w:u w:val="single"/>
        </w:rPr>
      </w:pPr>
      <w:r w:rsidRPr="00203852">
        <w:rPr>
          <w:sz w:val="32"/>
          <w:szCs w:val="32"/>
          <w:u w:val="single"/>
        </w:rPr>
        <w:t xml:space="preserve"> in kind as a gift or bequest (and related rules)</w:t>
      </w:r>
      <w:bookmarkEnd w:id="129"/>
    </w:p>
    <w:p w:rsidR="0078310B" w:rsidRDefault="0078310B" w:rsidP="0078310B">
      <w:pPr>
        <w:pStyle w:val="NormalWeb"/>
        <w:widowControl w:val="0"/>
        <w:spacing w:before="0" w:beforeAutospacing="0" w:after="0" w:afterAutospacing="0"/>
        <w:ind w:firstLine="288"/>
        <w:jc w:val="both"/>
      </w:pPr>
    </w:p>
    <w:p w:rsidR="0078310B" w:rsidRDefault="0078310B" w:rsidP="0078310B">
      <w:pPr>
        <w:pStyle w:val="NormalWeb"/>
        <w:widowControl w:val="0"/>
        <w:spacing w:before="0" w:beforeAutospacing="0" w:after="0" w:afterAutospacing="0"/>
        <w:ind w:firstLine="288"/>
        <w:jc w:val="both"/>
      </w:pPr>
      <w:r>
        <w:t xml:space="preserve">If an </w:t>
      </w:r>
      <w:r>
        <w:rPr>
          <w:i/>
        </w:rPr>
        <w:t xml:space="preserve">inter vivos </w:t>
      </w:r>
      <w:r>
        <w:t>gift or death-time bequest is received in kind rather than in cash, at what basis does the donee take the property? Carefully read both §</w:t>
      </w:r>
      <w:hyperlink r:id="rId314" w:history="1">
        <w:r w:rsidRPr="00C65B23">
          <w:rPr>
            <w:rStyle w:val="Hyperlink"/>
          </w:rPr>
          <w:t>§ 1014</w:t>
        </w:r>
      </w:hyperlink>
      <w:r>
        <w:t xml:space="preserve">(a) and </w:t>
      </w:r>
      <w:hyperlink r:id="rId315" w:history="1">
        <w:r w:rsidRPr="00C65B23">
          <w:rPr>
            <w:rStyle w:val="Hyperlink"/>
          </w:rPr>
          <w:t>1015</w:t>
        </w:r>
      </w:hyperlink>
      <w:r>
        <w:t>(a) before considering the following problems. Pay particular attention to the language in § 1015(a) after the words “except that” in considering Problem 3. In addition, note §</w:t>
      </w:r>
      <w:hyperlink r:id="rId316"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rsidR="0078310B" w:rsidRPr="008C6C69" w:rsidRDefault="0078310B" w:rsidP="0078310B">
      <w:pPr>
        <w:pStyle w:val="NormalWeb"/>
        <w:widowControl w:val="0"/>
        <w:spacing w:before="0" w:beforeAutospacing="0" w:after="0" w:afterAutospacing="0"/>
        <w:ind w:firstLine="288"/>
        <w:jc w:val="both"/>
      </w:pPr>
    </w:p>
    <w:p w:rsidR="0078310B" w:rsidRDefault="0078310B" w:rsidP="0078310B">
      <w:pPr>
        <w:pStyle w:val="Heading3"/>
        <w:spacing w:before="0" w:beforeAutospacing="0" w:after="0" w:afterAutospacing="0"/>
        <w:jc w:val="center"/>
        <w:rPr>
          <w:b w:val="0"/>
        </w:rPr>
      </w:pPr>
      <w:bookmarkStart w:id="130" w:name="_Toc395790431"/>
      <w:r w:rsidRPr="00A366AD">
        <w:rPr>
          <w:u w:val="single"/>
        </w:rPr>
        <w:t>Problems</w:t>
      </w:r>
      <w:bookmarkEnd w:id="130"/>
    </w:p>
    <w:p w:rsidR="0078310B" w:rsidRPr="00203852" w:rsidRDefault="0078310B" w:rsidP="0078310B">
      <w:pPr>
        <w:pStyle w:val="Heading3"/>
        <w:spacing w:before="0" w:beforeAutospacing="0" w:after="0" w:afterAutospacing="0"/>
        <w:jc w:val="center"/>
        <w:rPr>
          <w:b w:val="0"/>
        </w:rPr>
      </w:pPr>
    </w:p>
    <w:p w:rsidR="0078310B" w:rsidRDefault="0078310B" w:rsidP="0078310B">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rsidR="0078310B" w:rsidRDefault="0078310B" w:rsidP="0078310B">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rsidR="0078310B" w:rsidRDefault="0078310B" w:rsidP="0078310B">
      <w:pPr>
        <w:pStyle w:val="NormalWeb"/>
        <w:widowControl w:val="0"/>
        <w:spacing w:before="0" w:beforeAutospacing="0" w:after="120" w:afterAutospacing="0"/>
        <w:ind w:left="288"/>
        <w:jc w:val="both"/>
      </w:pPr>
      <w:r>
        <w:rPr>
          <w:b/>
        </w:rPr>
        <w:t>b.</w:t>
      </w:r>
      <w:r>
        <w:t xml:space="preserve"> give the land to Jill now and let her sell it; or </w:t>
      </w:r>
    </w:p>
    <w:p w:rsidR="0078310B" w:rsidRDefault="0078310B" w:rsidP="0078310B">
      <w:pPr>
        <w:pStyle w:val="NormalWeb"/>
        <w:widowControl w:val="0"/>
        <w:spacing w:before="0" w:beforeAutospacing="0" w:after="0" w:afterAutospacing="0"/>
        <w:ind w:left="288"/>
        <w:jc w:val="both"/>
      </w:pPr>
      <w:r>
        <w:rPr>
          <w:b/>
        </w:rPr>
        <w:t>c.</w:t>
      </w:r>
      <w:r>
        <w:t xml:space="preserve"> provide a bequest in his will for the land to go to Jill after his death? </w:t>
      </w:r>
    </w:p>
    <w:p w:rsidR="0078310B" w:rsidRDefault="0078310B" w:rsidP="0078310B">
      <w:pPr>
        <w:pStyle w:val="NormalWeb"/>
        <w:widowControl w:val="0"/>
        <w:spacing w:before="0" w:beforeAutospacing="0" w:after="0" w:afterAutospacing="0"/>
        <w:ind w:firstLine="288"/>
        <w:jc w:val="both"/>
      </w:pPr>
    </w:p>
    <w:p w:rsidR="0078310B" w:rsidRDefault="0078310B" w:rsidP="0078310B">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rsidR="0078310B" w:rsidRDefault="0078310B" w:rsidP="0078310B">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rsidR="0078310B" w:rsidRDefault="0078310B" w:rsidP="0078310B">
      <w:pPr>
        <w:pStyle w:val="NormalWeb"/>
        <w:widowControl w:val="0"/>
        <w:spacing w:before="0" w:beforeAutospacing="0" w:after="120" w:afterAutospacing="0"/>
        <w:ind w:left="288"/>
        <w:jc w:val="both"/>
      </w:pPr>
      <w:r>
        <w:rPr>
          <w:b/>
        </w:rPr>
        <w:t>b.</w:t>
      </w:r>
      <w:r>
        <w:t xml:space="preserve"> give the land to Jill now and let her sell it; or</w:t>
      </w:r>
    </w:p>
    <w:p w:rsidR="0078310B" w:rsidRDefault="0078310B" w:rsidP="0078310B">
      <w:pPr>
        <w:pStyle w:val="NormalWeb"/>
        <w:widowControl w:val="0"/>
        <w:spacing w:before="0" w:beforeAutospacing="0" w:after="0" w:afterAutospacing="0"/>
        <w:ind w:left="288"/>
        <w:jc w:val="both"/>
      </w:pPr>
      <w:r>
        <w:rPr>
          <w:b/>
        </w:rPr>
        <w:t>c.</w:t>
      </w:r>
      <w:r>
        <w:t xml:space="preserve"> provide a bequest in his will for the land to go to Jill after his death?</w:t>
      </w:r>
    </w:p>
    <w:p w:rsidR="0078310B" w:rsidRDefault="0078310B" w:rsidP="0078310B">
      <w:pPr>
        <w:pStyle w:val="NormalWeb"/>
        <w:widowControl w:val="0"/>
        <w:spacing w:before="0" w:beforeAutospacing="0" w:after="0" w:afterAutospacing="0"/>
        <w:ind w:firstLine="288"/>
        <w:jc w:val="both"/>
      </w:pPr>
    </w:p>
    <w:p w:rsidR="0078310B" w:rsidRDefault="0078310B" w:rsidP="0078310B">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rsidR="0078310B" w:rsidRDefault="0078310B" w:rsidP="0078310B">
      <w:pPr>
        <w:pStyle w:val="NormalWeb"/>
        <w:widowControl w:val="0"/>
        <w:spacing w:before="0" w:beforeAutospacing="0" w:after="120" w:afterAutospacing="0"/>
        <w:ind w:firstLine="288"/>
        <w:jc w:val="both"/>
      </w:pPr>
      <w:r>
        <w:rPr>
          <w:b/>
        </w:rPr>
        <w:t>a.</w:t>
      </w:r>
      <w:r>
        <w:t xml:space="preserve"> $60,000; </w:t>
      </w:r>
    </w:p>
    <w:p w:rsidR="0078310B" w:rsidRDefault="0078310B" w:rsidP="0078310B">
      <w:pPr>
        <w:pStyle w:val="NormalWeb"/>
        <w:widowControl w:val="0"/>
        <w:spacing w:before="0" w:beforeAutospacing="0" w:after="120" w:afterAutospacing="0"/>
        <w:ind w:firstLine="288"/>
        <w:jc w:val="both"/>
      </w:pPr>
      <w:r>
        <w:rPr>
          <w:b/>
        </w:rPr>
        <w:t>b.</w:t>
      </w:r>
      <w:r>
        <w:t xml:space="preserve"> $110,000; or</w:t>
      </w:r>
    </w:p>
    <w:p w:rsidR="0078310B" w:rsidRPr="00962E71" w:rsidRDefault="0078310B" w:rsidP="0078310B">
      <w:pPr>
        <w:pStyle w:val="NormalWeb"/>
        <w:widowControl w:val="0"/>
        <w:spacing w:before="0" w:beforeAutospacing="0" w:after="0" w:afterAutospacing="0"/>
        <w:ind w:firstLine="288"/>
        <w:jc w:val="both"/>
      </w:pPr>
      <w:r>
        <w:rPr>
          <w:b/>
        </w:rPr>
        <w:t>c.</w:t>
      </w:r>
      <w:r>
        <w:t xml:space="preserve"> $80,000? </w:t>
      </w:r>
      <w:r>
        <w:rPr>
          <w:i/>
        </w:rPr>
        <w:t xml:space="preserve">See </w:t>
      </w:r>
      <w:hyperlink r:id="rId317" w:history="1">
        <w:r w:rsidRPr="00C65B23">
          <w:rPr>
            <w:rStyle w:val="Hyperlink"/>
          </w:rPr>
          <w:t>Treas. Reg. § 1.1015-1</w:t>
        </w:r>
      </w:hyperlink>
      <w:r>
        <w:t>(a)(2).</w:t>
      </w:r>
    </w:p>
    <w:p w:rsidR="0078310B" w:rsidRDefault="0078310B" w:rsidP="0078310B">
      <w:pPr>
        <w:pStyle w:val="NormalWeb"/>
        <w:widowControl w:val="0"/>
        <w:spacing w:before="0" w:beforeAutospacing="0" w:after="0" w:afterAutospacing="0"/>
        <w:ind w:firstLine="288"/>
        <w:jc w:val="both"/>
        <w:rPr>
          <w:b/>
        </w:rPr>
      </w:pPr>
    </w:p>
    <w:p w:rsidR="0078310B" w:rsidRDefault="0078310B" w:rsidP="0078310B">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the rent that she receives from the tenant farmers, or can she exclude the rent under § 102(a) on the theory that the rent is all a part of Jonathan’s gift of the land? </w:t>
      </w:r>
      <w:r>
        <w:rPr>
          <w:i/>
        </w:rPr>
        <w:t xml:space="preserve">See </w:t>
      </w:r>
      <w:hyperlink r:id="rId318" w:history="1">
        <w:r w:rsidRPr="00C65B23">
          <w:rPr>
            <w:rStyle w:val="Hyperlink"/>
          </w:rPr>
          <w:t>§ 102</w:t>
        </w:r>
      </w:hyperlink>
      <w:r>
        <w:t>(b)(1).</w:t>
      </w:r>
    </w:p>
    <w:p w:rsidR="0078310B" w:rsidRDefault="0078310B" w:rsidP="0078310B">
      <w:pPr>
        <w:pStyle w:val="NormalWeb"/>
        <w:widowControl w:val="0"/>
        <w:spacing w:before="0" w:beforeAutospacing="0" w:after="0" w:afterAutospacing="0"/>
        <w:ind w:firstLine="288"/>
        <w:jc w:val="both"/>
      </w:pPr>
    </w:p>
    <w:p w:rsidR="0078310B" w:rsidRDefault="0078310B" w:rsidP="0078310B">
      <w:pPr>
        <w:pStyle w:val="NormalWeb"/>
        <w:widowControl w:val="0"/>
        <w:spacing w:before="0" w:beforeAutospacing="0" w:after="0" w:afterAutospacing="0"/>
        <w:ind w:firstLine="288"/>
        <w:jc w:val="both"/>
      </w:pPr>
      <w:r>
        <w:rPr>
          <w:b/>
        </w:rPr>
        <w:t>5.</w:t>
      </w:r>
      <w:r>
        <w:t xml:space="preserve"> </w:t>
      </w:r>
      <w:r w:rsidRPr="00E757B6">
        <w:t xml:space="preserve">Cindy recently died, and her will contains bequests for both Carl and Candy. Cindy's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this rent as a bequest under Cindy's will. </w:t>
      </w:r>
      <w:r>
        <w:t xml:space="preserve">While § 102(b)(1) does not apply on these facts, see </w:t>
      </w:r>
      <w:hyperlink r:id="rId319" w:history="1">
        <w:r w:rsidRPr="00C65B23">
          <w:rPr>
            <w:rStyle w:val="Hyperlink"/>
          </w:rPr>
          <w:t>§ 102</w:t>
        </w:r>
      </w:hyperlink>
      <w:r w:rsidRPr="00E757B6">
        <w:t xml:space="preserve">(b)(2). </w:t>
      </w:r>
    </w:p>
    <w:p w:rsidR="0078310B" w:rsidRDefault="0078310B" w:rsidP="0078310B">
      <w:pPr>
        <w:pStyle w:val="NormalWeb"/>
        <w:widowControl w:val="0"/>
        <w:spacing w:before="0" w:beforeAutospacing="0" w:after="0" w:afterAutospacing="0"/>
        <w:ind w:firstLine="288"/>
        <w:jc w:val="both"/>
      </w:pPr>
    </w:p>
    <w:p w:rsidR="0078310B" w:rsidRDefault="0078310B" w:rsidP="0078310B">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when Hallie was a child in order to contribute toward Hallie’s living expenses this year. The stock is now worth $16,000. Do you have any advice for Hal and Helen?</w:t>
      </w:r>
    </w:p>
    <w:p w:rsidR="0078310B" w:rsidRDefault="0078310B" w:rsidP="0078310B">
      <w:pPr>
        <w:pStyle w:val="NormalWeb"/>
        <w:widowControl w:val="0"/>
        <w:spacing w:before="0" w:beforeAutospacing="0" w:after="0" w:afterAutospacing="0"/>
        <w:ind w:firstLine="288"/>
        <w:jc w:val="both"/>
      </w:pPr>
    </w:p>
    <w:p w:rsidR="0078310B" w:rsidRPr="00E53442" w:rsidRDefault="0078310B" w:rsidP="0078310B">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gain under § 1001 ($10,000 A/R </w:t>
      </w:r>
      <w:r w:rsidRPr="00606263">
        <w:rPr>
          <w:i/>
        </w:rPr>
        <w:t>less</w:t>
      </w:r>
      <w:r>
        <w:t xml:space="preserve"> $3,500 allocated basis) with respect to the 50% interest that he sold. Caleb would take a $10,000 cost basis (under § 1012) in 50% of the property and a $3,500 carryover basis (under § 1015(a)) in 50% of the property for a total basis of $13,500. But that is not the approach taken by the regulations in the case of a “part gift/part sale” transaction. What are the results to both Jacob and Caleb under current law? </w:t>
      </w:r>
      <w:r>
        <w:rPr>
          <w:i/>
        </w:rPr>
        <w:t>See</w:t>
      </w:r>
      <w:r>
        <w:t xml:space="preserve"> </w:t>
      </w:r>
      <w:hyperlink r:id="rId320" w:history="1">
        <w:r w:rsidRPr="00C65B23">
          <w:rPr>
            <w:rStyle w:val="Hyperlink"/>
          </w:rPr>
          <w:t>Treas. Reg. §§ 1.1001-1</w:t>
        </w:r>
      </w:hyperlink>
      <w:r>
        <w:t xml:space="preserve">(e) and </w:t>
      </w:r>
      <w:hyperlink r:id="rId321" w:history="1">
        <w:r w:rsidRPr="00C65B23">
          <w:rPr>
            <w:rStyle w:val="Hyperlink"/>
          </w:rPr>
          <w:t>1.1015-4</w:t>
        </w:r>
      </w:hyperlink>
      <w:r>
        <w:t>. How would your answers change if Jacob’s basis in the land had been $12,000 instead of $7,000?</w:t>
      </w:r>
    </w:p>
    <w:p w:rsidR="0078310B" w:rsidRDefault="0078310B" w:rsidP="0078310B">
      <w:pPr>
        <w:pStyle w:val="NormalWeb"/>
        <w:widowControl w:val="0"/>
        <w:spacing w:before="0" w:beforeAutospacing="0" w:after="0" w:afterAutospacing="0"/>
        <w:jc w:val="center"/>
      </w:pPr>
      <w:r>
        <w:t>____________________________________</w:t>
      </w:r>
    </w:p>
    <w:p w:rsidR="0078310B" w:rsidRDefault="0078310B" w:rsidP="0078310B">
      <w:pPr>
        <w:pStyle w:val="Heading3"/>
        <w:spacing w:before="0" w:beforeAutospacing="0" w:after="0" w:afterAutospacing="0"/>
        <w:ind w:firstLine="288"/>
        <w:rPr>
          <w:b w:val="0"/>
        </w:rPr>
      </w:pPr>
      <w:bookmarkStart w:id="131" w:name="_Toc395790432"/>
    </w:p>
    <w:p w:rsidR="0078310B" w:rsidRPr="00A366AD" w:rsidRDefault="0078310B" w:rsidP="0078310B">
      <w:pPr>
        <w:pStyle w:val="Heading3"/>
        <w:spacing w:before="0" w:beforeAutospacing="0" w:after="120" w:afterAutospacing="0"/>
        <w:rPr>
          <w:i/>
        </w:rPr>
      </w:pPr>
      <w:r w:rsidRPr="00A366AD">
        <w:rPr>
          <w:i/>
        </w:rPr>
        <w:t>Historical development</w:t>
      </w:r>
      <w:bookmarkEnd w:id="131"/>
      <w:r>
        <w:rPr>
          <w:i/>
        </w:rPr>
        <w:t xml:space="preserve"> of the basis rules</w:t>
      </w:r>
    </w:p>
    <w:p w:rsidR="0078310B" w:rsidRPr="00786CD1" w:rsidRDefault="0078310B" w:rsidP="0078310B">
      <w:pPr>
        <w:pStyle w:val="NormalWeb"/>
        <w:widowControl w:val="0"/>
        <w:spacing w:before="0" w:beforeAutospacing="0" w:after="120" w:afterAutospacing="0"/>
        <w:ind w:firstLine="288"/>
        <w:jc w:val="both"/>
      </w:pPr>
      <w:r>
        <w:t>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purchased at arm’s length the cost b</w:t>
      </w:r>
      <w:r w:rsidR="00C74A72">
        <w:t xml:space="preserve">asis typically </w:t>
      </w:r>
      <w:r>
        <w:t>equals FMV. Recall that in 1913, a tax-specific meaning of “income” was yet to evolve, and the concept of “basis” was not yet fully understood in its mo</w:t>
      </w:r>
      <w:r w:rsidRPr="00786CD1">
        <w:t xml:space="preserve">dern role of keeping track of previously taxed dollars. </w:t>
      </w:r>
    </w:p>
    <w:p w:rsidR="0078310B" w:rsidRPr="00786CD1" w:rsidRDefault="0078310B" w:rsidP="0078310B">
      <w:pPr>
        <w:pStyle w:val="NormalWeb"/>
        <w:widowControl w:val="0"/>
        <w:spacing w:before="0" w:beforeAutospacing="0" w:after="120" w:afterAutospacing="0"/>
        <w:ind w:firstLine="288"/>
        <w:jc w:val="both"/>
      </w:pPr>
      <w:r w:rsidRPr="00786CD1">
        <w:t xml:space="preserve">It did not take propertied families long to figure out that they could launder out any unrealized gain by making intra-familial gifts before a sale to an unrelated third party for cash at no further gain. For example, Papa bought land in 1913 for $100 and took a </w:t>
      </w:r>
      <w:r>
        <w:t>“</w:t>
      </w:r>
      <w:r w:rsidRPr="00786CD1">
        <w:t>cost</w:t>
      </w:r>
      <w:r>
        <w:t>”</w:t>
      </w:r>
      <w:r w:rsidRPr="00786CD1">
        <w:t xml:space="preserve"> basis of $100 in the land. By 1917, the land had increased in value to $120, so Papa gav</w:t>
      </w:r>
      <w:r>
        <w:t xml:space="preserve">e it as a gift to Daughter, who </w:t>
      </w:r>
      <w:r w:rsidRPr="00786CD1">
        <w:t xml:space="preserve">took a </w:t>
      </w:r>
      <w:r>
        <w:t>“</w:t>
      </w:r>
      <w:r w:rsidRPr="00786CD1">
        <w:t>cost</w:t>
      </w:r>
      <w:r>
        <w:t>”</w:t>
      </w:r>
      <w:r w:rsidRPr="00786CD1">
        <w:t xml:space="preserve">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w:t>
      </w:r>
      <w:r>
        <w:t>“</w:t>
      </w:r>
      <w:r w:rsidRPr="00786CD1">
        <w:t>cost</w:t>
      </w:r>
      <w:r>
        <w:t>”</w:t>
      </w:r>
      <w:r w:rsidRPr="00786CD1">
        <w:t xml:space="preserve"> basis in the land before selling it to Stranger for its $130 FMV, generating no § 1001 gain ($130 A/R </w:t>
      </w:r>
      <w:r w:rsidRPr="00786CD1">
        <w:rPr>
          <w:i/>
        </w:rPr>
        <w:t>less</w:t>
      </w:r>
      <w:r w:rsidRPr="00786CD1">
        <w:t xml:space="preserve"> $130 A/B). </w:t>
      </w:r>
    </w:p>
    <w:p w:rsidR="0078310B" w:rsidRPr="00786CD1" w:rsidRDefault="0078310B" w:rsidP="0078310B">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57"/>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rsidR="002E6D3D">
        <w:t xml:space="preserve">. </w:t>
      </w:r>
      <w:r>
        <w:t xml:space="preserve">The taxpayer’s brief depended on </w:t>
      </w:r>
      <w:r w:rsidRPr="00786CD1">
        <w:t xml:space="preserve">the antiquated </w:t>
      </w:r>
      <w:r>
        <w:t>“</w:t>
      </w:r>
      <w:r w:rsidRPr="00786CD1">
        <w:t>capital receipt</w:t>
      </w:r>
      <w:r>
        <w:t>”</w:t>
      </w:r>
      <w:r w:rsidRPr="00786CD1">
        <w:t xml:space="preserve"> notion described above and in the last chapter</w:t>
      </w:r>
      <w:r>
        <w:t>, as recounted in this excerpt</w:t>
      </w:r>
      <w:r w:rsidRPr="00786CD1">
        <w:t xml:space="preserve">. </w:t>
      </w:r>
    </w:p>
    <w:p w:rsidR="0078310B" w:rsidRDefault="0078310B" w:rsidP="0078310B">
      <w:pPr>
        <w:widowControl w:val="0"/>
        <w:autoSpaceDE w:val="0"/>
        <w:autoSpaceDN w:val="0"/>
        <w:adjustRightInd w:val="0"/>
        <w:spacing w:after="120"/>
        <w:ind w:left="720" w:right="720"/>
        <w:jc w:val="both"/>
        <w:rPr>
          <w:rFonts w:cs="Times New Roman"/>
        </w:rPr>
      </w:pPr>
      <w:r w:rsidRPr="00786CD1">
        <w:rPr>
          <w:rFonts w:cs="Times New Roman"/>
        </w:rPr>
        <w:t>The taxpayer</w:t>
      </w:r>
      <w:r>
        <w:rPr>
          <w:rFonts w:cs="Times New Roman"/>
        </w:rPr>
        <w:t>’</w:t>
      </w:r>
      <w:r w:rsidRPr="00786CD1">
        <w:rPr>
          <w:rFonts w:cs="Times New Roman"/>
        </w:rPr>
        <w:t>s counsel made the argument that the</w:t>
      </w:r>
      <w:r>
        <w:rPr>
          <w:rFonts w:cs="Times New Roman"/>
        </w:rPr>
        <w:t xml:space="preserve"> </w:t>
      </w:r>
      <w:r w:rsidRPr="00786CD1">
        <w:rPr>
          <w:rFonts w:cs="Times New Roman"/>
        </w:rPr>
        <w:t xml:space="preserve">receipt of the gift was a </w:t>
      </w:r>
      <w:r>
        <w:rPr>
          <w:rFonts w:cs="Times New Roman"/>
        </w:rPr>
        <w:t>‘‘</w:t>
      </w:r>
      <w:r w:rsidRPr="00786CD1">
        <w:rPr>
          <w:rFonts w:cs="Times New Roman"/>
        </w:rPr>
        <w:t>capital</w:t>
      </w:r>
      <w:r>
        <w:rPr>
          <w:rFonts w:cs="Times New Roman"/>
        </w:rPr>
        <w:t>’’</w:t>
      </w:r>
      <w:r w:rsidRPr="00786CD1">
        <w:rPr>
          <w:rFonts w:cs="Times New Roman"/>
        </w:rPr>
        <w:t xml:space="preserve"> receipt that must, under</w:t>
      </w:r>
      <w:r>
        <w:rPr>
          <w:rFonts w:cs="Times New Roman"/>
        </w:rPr>
        <w:t xml:space="preserve"> </w:t>
      </w:r>
      <w:r w:rsidRPr="00786CD1">
        <w:rPr>
          <w:rFonts w:cs="Times New Roman"/>
        </w:rPr>
        <w:t>the Constitution, take an FMV basis to prevent any part</w:t>
      </w:r>
      <w:r>
        <w:rPr>
          <w:rFonts w:cs="Times New Roman"/>
        </w:rPr>
        <w:t xml:space="preserve"> </w:t>
      </w:r>
      <w:r w:rsidRPr="00786CD1">
        <w:rPr>
          <w:rFonts w:cs="Times New Roman"/>
        </w:rPr>
        <w:t>of the value from creating gain (and thus income) when</w:t>
      </w:r>
      <w:r>
        <w:rPr>
          <w:rFonts w:cs="Times New Roman"/>
        </w:rPr>
        <w:t xml:space="preserve"> </w:t>
      </w:r>
      <w:r w:rsidRPr="00786CD1">
        <w:rPr>
          <w:rFonts w:cs="Times New Roman"/>
        </w:rPr>
        <w:t>converted to cash:</w:t>
      </w:r>
      <w:r>
        <w:rPr>
          <w:rFonts w:cs="Times New Roman"/>
        </w:rPr>
        <w:t xml:space="preserve"> </w:t>
      </w:r>
    </w:p>
    <w:p w:rsidR="0078310B" w:rsidRDefault="0078310B" w:rsidP="0078310B">
      <w:pPr>
        <w:widowControl w:val="0"/>
        <w:autoSpaceDE w:val="0"/>
        <w:autoSpaceDN w:val="0"/>
        <w:adjustRightInd w:val="0"/>
        <w:spacing w:after="120"/>
        <w:ind w:left="1440" w:right="1440"/>
        <w:jc w:val="both"/>
        <w:rPr>
          <w:rFonts w:cs="Times New Roman"/>
        </w:rPr>
      </w:pPr>
      <w:r w:rsidRPr="00786CD1">
        <w:rPr>
          <w:rFonts w:cs="Times New Roman"/>
        </w:rPr>
        <w:t>Until the Revenue Act of 1921 became effective, the</w:t>
      </w:r>
      <w:r>
        <w:rPr>
          <w:rFonts w:cs="Times New Roman"/>
        </w:rPr>
        <w:t xml:space="preserve"> </w:t>
      </w:r>
      <w:r w:rsidRPr="00786CD1">
        <w:rPr>
          <w:rFonts w:cs="Times New Roman"/>
        </w:rPr>
        <w:t xml:space="preserve">Department </w:t>
      </w:r>
      <w:r>
        <w:rPr>
          <w:rFonts w:cs="Times New Roman"/>
        </w:rPr>
        <w:t xml:space="preserve">[of the Treasury] </w:t>
      </w:r>
      <w:r w:rsidRPr="00786CD1">
        <w:rPr>
          <w:rFonts w:cs="Times New Roman"/>
        </w:rPr>
        <w:t>laid down the rule that gain on the sale</w:t>
      </w:r>
      <w:r>
        <w:rPr>
          <w:rFonts w:cs="Times New Roman"/>
        </w:rPr>
        <w:t xml:space="preserve"> </w:t>
      </w:r>
      <w:r w:rsidRPr="00786CD1">
        <w:rPr>
          <w:rFonts w:cs="Times New Roman"/>
        </w:rPr>
        <w:t>of property acquired by gift could be computed</w:t>
      </w:r>
      <w:r>
        <w:rPr>
          <w:rFonts w:cs="Times New Roman"/>
        </w:rPr>
        <w:t xml:space="preserve"> </w:t>
      </w:r>
      <w:r w:rsidRPr="00786CD1">
        <w:rPr>
          <w:rFonts w:cs="Times New Roman"/>
        </w:rPr>
        <w:t xml:space="preserve">only by taking into </w:t>
      </w:r>
      <w:r>
        <w:rPr>
          <w:rFonts w:cs="Times New Roman"/>
        </w:rPr>
        <w:t xml:space="preserve">[account as basis] </w:t>
      </w:r>
      <w:r w:rsidRPr="00786CD1">
        <w:rPr>
          <w:rFonts w:cs="Times New Roman"/>
        </w:rPr>
        <w:t>the value of the</w:t>
      </w:r>
      <w:r>
        <w:rPr>
          <w:rFonts w:cs="Times New Roman"/>
        </w:rPr>
        <w:t xml:space="preserve"> </w:t>
      </w:r>
      <w:r w:rsidRPr="00786CD1">
        <w:rPr>
          <w:rFonts w:cs="Times New Roman"/>
        </w:rPr>
        <w:t>gift when it was acquired. This was an express</w:t>
      </w:r>
      <w:r>
        <w:rPr>
          <w:rFonts w:cs="Times New Roman"/>
        </w:rPr>
        <w:t xml:space="preserve"> </w:t>
      </w:r>
      <w:r w:rsidRPr="00786CD1">
        <w:rPr>
          <w:rFonts w:cs="Times New Roman"/>
        </w:rPr>
        <w:t>recognition by the Treasury Department that a gift</w:t>
      </w:r>
      <w:r>
        <w:rPr>
          <w:rFonts w:cs="Times New Roman"/>
        </w:rPr>
        <w:t xml:space="preserve"> is a capital transaction …</w:t>
      </w:r>
      <w:r w:rsidRPr="00786CD1">
        <w:rPr>
          <w:rFonts w:cs="Times New Roman"/>
        </w:rPr>
        <w:t xml:space="preserve"> and that the donee can</w:t>
      </w:r>
      <w:r>
        <w:rPr>
          <w:rFonts w:cs="Times New Roman"/>
        </w:rPr>
        <w:t xml:space="preserve"> </w:t>
      </w:r>
      <w:r w:rsidRPr="00786CD1">
        <w:rPr>
          <w:rFonts w:cs="Times New Roman"/>
        </w:rPr>
        <w:t xml:space="preserve">have </w:t>
      </w:r>
      <w:r>
        <w:rPr>
          <w:rFonts w:cs="Times New Roman"/>
        </w:rPr>
        <w:t>‘‘</w:t>
      </w:r>
      <w:r w:rsidRPr="00786CD1">
        <w:rPr>
          <w:rFonts w:cs="Times New Roman"/>
        </w:rPr>
        <w:t>gain</w:t>
      </w:r>
      <w:r>
        <w:rPr>
          <w:rFonts w:cs="Times New Roman"/>
        </w:rPr>
        <w:t>’’</w:t>
      </w:r>
      <w:r w:rsidRPr="00786CD1">
        <w:rPr>
          <w:rFonts w:cs="Times New Roman"/>
        </w:rPr>
        <w:t xml:space="preserve"> only to the extent that the proceeds in</w:t>
      </w:r>
      <w:r>
        <w:rPr>
          <w:rFonts w:cs="Times New Roman"/>
        </w:rPr>
        <w:t xml:space="preserve"> </w:t>
      </w:r>
      <w:r w:rsidRPr="00786CD1">
        <w:rPr>
          <w:rFonts w:cs="Times New Roman"/>
        </w:rPr>
        <w:t xml:space="preserve">his hands exceed the </w:t>
      </w:r>
      <w:r w:rsidRPr="00786CD1">
        <w:rPr>
          <w:rFonts w:cs="Times New Roman"/>
          <w:i/>
          <w:iCs/>
        </w:rPr>
        <w:t xml:space="preserve">value of his capital </w:t>
      </w:r>
      <w:r w:rsidRPr="00786CD1">
        <w:rPr>
          <w:rFonts w:cs="Times New Roman"/>
        </w:rPr>
        <w:t>at the time of</w:t>
      </w:r>
      <w:r>
        <w:rPr>
          <w:rFonts w:cs="Times New Roman"/>
        </w:rPr>
        <w:t xml:space="preserve"> </w:t>
      </w:r>
      <w:r w:rsidRPr="00786CD1">
        <w:rPr>
          <w:rFonts w:cs="Times New Roman"/>
        </w:rPr>
        <w:t>acquisition.</w:t>
      </w:r>
      <w:r>
        <w:rPr>
          <w:rFonts w:cs="Times New Roman"/>
        </w:rPr>
        <w:t xml:space="preserve"> </w:t>
      </w:r>
    </w:p>
    <w:p w:rsidR="0078310B" w:rsidRDefault="0078310B" w:rsidP="0078310B">
      <w:pPr>
        <w:widowControl w:val="0"/>
        <w:autoSpaceDE w:val="0"/>
        <w:autoSpaceDN w:val="0"/>
        <w:adjustRightInd w:val="0"/>
        <w:spacing w:after="120"/>
        <w:ind w:left="720" w:right="720"/>
        <w:jc w:val="both"/>
        <w:rPr>
          <w:rFonts w:cs="Times New Roman"/>
        </w:rPr>
      </w:pPr>
      <w:r w:rsidRPr="00786CD1">
        <w:rPr>
          <w:rFonts w:cs="Times New Roman"/>
        </w:rPr>
        <w:t>And later:</w:t>
      </w:r>
      <w:r>
        <w:rPr>
          <w:rFonts w:cs="Times New Roman"/>
        </w:rPr>
        <w:t xml:space="preserve"> </w:t>
      </w:r>
    </w:p>
    <w:p w:rsidR="0078310B" w:rsidRDefault="0078310B" w:rsidP="0078310B">
      <w:pPr>
        <w:widowControl w:val="0"/>
        <w:autoSpaceDE w:val="0"/>
        <w:autoSpaceDN w:val="0"/>
        <w:adjustRightInd w:val="0"/>
        <w:spacing w:after="120"/>
        <w:ind w:left="1440" w:right="1440"/>
        <w:jc w:val="both"/>
        <w:rPr>
          <w:rFonts w:cs="Times New Roman"/>
        </w:rPr>
      </w:pPr>
      <w:r w:rsidRPr="00786CD1">
        <w:rPr>
          <w:rFonts w:cs="Times New Roman"/>
        </w:rPr>
        <w:t>The corpus of the gift is capital in the hands of the</w:t>
      </w:r>
      <w:r>
        <w:rPr>
          <w:rFonts w:cs="Times New Roman"/>
        </w:rPr>
        <w:t xml:space="preserve"> </w:t>
      </w:r>
      <w:r w:rsidRPr="00786CD1">
        <w:rPr>
          <w:rFonts w:cs="Times New Roman"/>
        </w:rPr>
        <w:t>donee at the time of its receipt. But the mere</w:t>
      </w:r>
      <w:r>
        <w:rPr>
          <w:rFonts w:cs="Times New Roman"/>
        </w:rPr>
        <w:t xml:space="preserve"> </w:t>
      </w:r>
      <w:r w:rsidRPr="00786CD1">
        <w:rPr>
          <w:rFonts w:cs="Times New Roman"/>
        </w:rPr>
        <w:t>conversion of such capital into money does not</w:t>
      </w:r>
      <w:r>
        <w:rPr>
          <w:rFonts w:cs="Times New Roman"/>
        </w:rPr>
        <w:t xml:space="preserve"> constitute income…. </w:t>
      </w:r>
      <w:r w:rsidRPr="00786CD1">
        <w:rPr>
          <w:rFonts w:cs="Times New Roman"/>
        </w:rPr>
        <w:t>An amount sufficient to restore</w:t>
      </w:r>
      <w:r>
        <w:rPr>
          <w:rFonts w:cs="Times New Roman"/>
        </w:rPr>
        <w:t xml:space="preserve"> </w:t>
      </w:r>
      <w:r w:rsidRPr="00786CD1">
        <w:rPr>
          <w:rFonts w:cs="Times New Roman"/>
        </w:rPr>
        <w:t xml:space="preserve">the </w:t>
      </w:r>
      <w:r w:rsidRPr="00786CD1">
        <w:rPr>
          <w:rFonts w:cs="Times New Roman"/>
          <w:i/>
          <w:iCs/>
        </w:rPr>
        <w:t xml:space="preserve">capital value </w:t>
      </w:r>
      <w:r w:rsidRPr="00786CD1">
        <w:rPr>
          <w:rFonts w:cs="Times New Roman"/>
        </w:rPr>
        <w:t>that existed at the commencement</w:t>
      </w:r>
      <w:r>
        <w:rPr>
          <w:rFonts w:cs="Times New Roman"/>
        </w:rPr>
        <w:t xml:space="preserve"> </w:t>
      </w:r>
      <w:r w:rsidRPr="00786CD1">
        <w:rPr>
          <w:rFonts w:cs="Times New Roman"/>
        </w:rPr>
        <w:t>of the taxing period must be withdrawn from</w:t>
      </w:r>
      <w:r>
        <w:rPr>
          <w:rFonts w:cs="Times New Roman"/>
        </w:rPr>
        <w:t xml:space="preserve"> </w:t>
      </w:r>
      <w:r w:rsidRPr="00786CD1">
        <w:rPr>
          <w:rFonts w:cs="Times New Roman"/>
        </w:rPr>
        <w:t>the gross proceeds in order to determine whether</w:t>
      </w:r>
      <w:r>
        <w:rPr>
          <w:rFonts w:cs="Times New Roman"/>
        </w:rPr>
        <w:t xml:space="preserve"> </w:t>
      </w:r>
      <w:r w:rsidRPr="00786CD1">
        <w:rPr>
          <w:rFonts w:cs="Times New Roman"/>
        </w:rPr>
        <w:t>there has been a gain or loss, and the amount of the</w:t>
      </w:r>
      <w:r>
        <w:rPr>
          <w:rFonts w:cs="Times New Roman"/>
        </w:rPr>
        <w:t xml:space="preserve"> </w:t>
      </w:r>
      <w:r w:rsidRPr="00786CD1">
        <w:rPr>
          <w:rFonts w:cs="Times New Roman"/>
        </w:rPr>
        <w:t>gain, if any.</w:t>
      </w:r>
      <w:r>
        <w:rPr>
          <w:rFonts w:cs="Times New Roman"/>
        </w:rPr>
        <w:t xml:space="preserve"> </w:t>
      </w:r>
    </w:p>
    <w:p w:rsidR="0078310B" w:rsidRPr="00786CD1" w:rsidRDefault="0078310B" w:rsidP="0078310B">
      <w:pPr>
        <w:widowControl w:val="0"/>
        <w:autoSpaceDE w:val="0"/>
        <w:autoSpaceDN w:val="0"/>
        <w:adjustRightInd w:val="0"/>
        <w:spacing w:after="120"/>
        <w:ind w:left="720" w:right="720"/>
        <w:jc w:val="both"/>
        <w:rPr>
          <w:rFonts w:cs="Times New Roman"/>
        </w:rPr>
      </w:pPr>
      <w:r w:rsidRPr="00786CD1">
        <w:rPr>
          <w:rFonts w:cs="Times New Roman"/>
        </w:rPr>
        <w:t>But the Court upheld the constitutionality of the new</w:t>
      </w:r>
      <w:r>
        <w:rPr>
          <w:rFonts w:cs="Times New Roman"/>
        </w:rPr>
        <w:t xml:space="preserve"> </w:t>
      </w:r>
      <w:r w:rsidRPr="00786CD1">
        <w:rPr>
          <w:rFonts w:cs="Times New Roman"/>
        </w:rPr>
        <w:t>basis rule</w:t>
      </w:r>
      <w:r>
        <w:rPr>
          <w:rFonts w:cs="Times New Roman"/>
        </w:rPr>
        <w:t xml:space="preserve"> [in </w:t>
      </w:r>
      <w:r>
        <w:rPr>
          <w:rFonts w:cs="Times New Roman"/>
          <w:i/>
        </w:rPr>
        <w:t>Taft v. Bowers</w:t>
      </w:r>
      <w:r>
        <w:t>]</w:t>
      </w:r>
      <w:r w:rsidRPr="00786CD1">
        <w:rPr>
          <w:rFonts w:cs="Times New Roman"/>
        </w:rPr>
        <w:t>, even though it was inconsistent with early</w:t>
      </w:r>
      <w:r>
        <w:rPr>
          <w:rFonts w:cs="Times New Roman"/>
        </w:rPr>
        <w:t xml:space="preserve"> </w:t>
      </w:r>
      <w:r w:rsidRPr="00786CD1">
        <w:rPr>
          <w:rFonts w:cs="Times New Roman"/>
        </w:rPr>
        <w:t>notions of income and capital that were borrowed from</w:t>
      </w:r>
      <w:r>
        <w:rPr>
          <w:rFonts w:cs="Times New Roman"/>
        </w:rPr>
        <w:t xml:space="preserve"> </w:t>
      </w:r>
      <w:r w:rsidRPr="00786CD1">
        <w:rPr>
          <w:rFonts w:cs="Times New Roman"/>
        </w:rPr>
        <w:t>bus</w:t>
      </w:r>
      <w:r>
        <w:rPr>
          <w:rFonts w:cs="Times New Roman"/>
        </w:rPr>
        <w:t xml:space="preserve">iness and trust accounting. The </w:t>
      </w:r>
      <w:r w:rsidRPr="00786CD1">
        <w:rPr>
          <w:rFonts w:cs="Times New Roman"/>
        </w:rPr>
        <w:t xml:space="preserve">term </w:t>
      </w:r>
      <w:r>
        <w:rPr>
          <w:rFonts w:cs="Times New Roman"/>
        </w:rPr>
        <w:t>‘‘</w:t>
      </w:r>
      <w:r w:rsidRPr="00786CD1">
        <w:rPr>
          <w:rFonts w:cs="Times New Roman"/>
        </w:rPr>
        <w:t>capital</w:t>
      </w:r>
      <w:r>
        <w:rPr>
          <w:rFonts w:cs="Times New Roman"/>
        </w:rPr>
        <w:t>’’</w:t>
      </w:r>
      <w:r w:rsidRPr="00786CD1">
        <w:rPr>
          <w:rFonts w:cs="Times New Roman"/>
        </w:rPr>
        <w:t xml:space="preserve"> was</w:t>
      </w:r>
      <w:r>
        <w:rPr>
          <w:rFonts w:cs="Times New Roman"/>
        </w:rPr>
        <w:t xml:space="preserve"> </w:t>
      </w:r>
      <w:r w:rsidRPr="00786CD1">
        <w:rPr>
          <w:rFonts w:cs="Times New Roman"/>
        </w:rPr>
        <w:t xml:space="preserve">permitted to evolve as a </w:t>
      </w:r>
      <w:r w:rsidRPr="00786CD1">
        <w:rPr>
          <w:rFonts w:cs="Times New Roman"/>
          <w:i/>
          <w:iCs/>
        </w:rPr>
        <w:t xml:space="preserve">tax </w:t>
      </w:r>
      <w:r w:rsidRPr="00786CD1">
        <w:rPr>
          <w:rFonts w:cs="Times New Roman"/>
        </w:rPr>
        <w:t>concept that protected tax</w:t>
      </w:r>
      <w:r>
        <w:rPr>
          <w:rFonts w:cs="Times New Roman"/>
        </w:rPr>
        <w:t xml:space="preserve"> </w:t>
      </w:r>
      <w:r w:rsidRPr="00786CD1">
        <w:rPr>
          <w:rFonts w:cs="Times New Roman"/>
        </w:rPr>
        <w:t xml:space="preserve">values. The new rule meant that </w:t>
      </w:r>
      <w:r>
        <w:rPr>
          <w:rFonts w:cs="Times New Roman"/>
        </w:rPr>
        <w:t>‘‘</w:t>
      </w:r>
      <w:r w:rsidRPr="00786CD1">
        <w:rPr>
          <w:rFonts w:cs="Times New Roman"/>
        </w:rPr>
        <w:t>capital</w:t>
      </w:r>
      <w:r>
        <w:rPr>
          <w:rFonts w:cs="Times New Roman"/>
        </w:rPr>
        <w:t>’’</w:t>
      </w:r>
      <w:r w:rsidRPr="00786CD1">
        <w:rPr>
          <w:rFonts w:cs="Times New Roman"/>
        </w:rPr>
        <w:t xml:space="preserve"> was synonymous</w:t>
      </w:r>
      <w:r>
        <w:rPr>
          <w:rFonts w:cs="Times New Roman"/>
        </w:rPr>
        <w:t xml:space="preserve"> </w:t>
      </w:r>
      <w:r w:rsidRPr="00786CD1">
        <w:rPr>
          <w:rFonts w:cs="Times New Roman"/>
        </w:rPr>
        <w:t xml:space="preserve">with </w:t>
      </w:r>
      <w:r>
        <w:rPr>
          <w:rFonts w:cs="Times New Roman"/>
        </w:rPr>
        <w:t>‘‘</w:t>
      </w:r>
      <w:r w:rsidRPr="00786CD1">
        <w:rPr>
          <w:rFonts w:cs="Times New Roman"/>
        </w:rPr>
        <w:t>basis,</w:t>
      </w:r>
      <w:r>
        <w:rPr>
          <w:rFonts w:cs="Times New Roman"/>
        </w:rPr>
        <w:t>’’</w:t>
      </w:r>
      <w:r w:rsidRPr="00786CD1">
        <w:rPr>
          <w:rFonts w:cs="Times New Roman"/>
        </w:rPr>
        <w:t xml:space="preserve"> a tax-free return of capital meant only</w:t>
      </w:r>
      <w:r>
        <w:rPr>
          <w:rFonts w:cs="Times New Roman"/>
        </w:rPr>
        <w:t xml:space="preserve"> </w:t>
      </w:r>
      <w:r w:rsidRPr="00786CD1">
        <w:rPr>
          <w:rFonts w:cs="Times New Roman"/>
        </w:rPr>
        <w:t>a tax-free return of basis, and basis meant previously</w:t>
      </w:r>
      <w:r>
        <w:rPr>
          <w:rFonts w:cs="Times New Roman"/>
        </w:rPr>
        <w:t xml:space="preserve"> </w:t>
      </w:r>
      <w:r w:rsidRPr="00786CD1">
        <w:rPr>
          <w:rFonts w:cs="Times New Roman"/>
        </w:rPr>
        <w:t>taxed dollars. Thus, the Sixteenth Amendment does not</w:t>
      </w:r>
      <w:r>
        <w:rPr>
          <w:rFonts w:cs="Times New Roman"/>
        </w:rPr>
        <w:t xml:space="preserve"> </w:t>
      </w:r>
      <w:r w:rsidRPr="00786CD1">
        <w:rPr>
          <w:rFonts w:cs="Times New Roman"/>
        </w:rPr>
        <w:t>require that basis must equal FMV that can be recovered</w:t>
      </w:r>
      <w:r>
        <w:rPr>
          <w:rFonts w:cs="Times New Roman"/>
        </w:rPr>
        <w:t xml:space="preserve"> </w:t>
      </w:r>
      <w:r w:rsidRPr="00786CD1">
        <w:rPr>
          <w:rFonts w:cs="Times New Roman"/>
        </w:rPr>
        <w:t xml:space="preserve">tax-free just because </w:t>
      </w:r>
      <w:r>
        <w:rPr>
          <w:rFonts w:cs="Times New Roman"/>
        </w:rPr>
        <w:t>i</w:t>
      </w:r>
      <w:r w:rsidRPr="00786CD1">
        <w:rPr>
          <w:rFonts w:cs="Times New Roman"/>
        </w:rPr>
        <w:t>n 1913 it was commonly thought so.</w:t>
      </w:r>
      <w:r>
        <w:rPr>
          <w:rFonts w:cs="Times New Roman"/>
        </w:rPr>
        <w:t xml:space="preserve"> </w:t>
      </w:r>
      <w:r w:rsidRPr="00786CD1">
        <w:rPr>
          <w:rFonts w:cs="Times New Roman"/>
        </w:rPr>
        <w:t xml:space="preserve">Rather, Congress is empowered to change the </w:t>
      </w:r>
      <w:r>
        <w:rPr>
          <w:rFonts w:cs="Times New Roman"/>
        </w:rPr>
        <w:t>b</w:t>
      </w:r>
      <w:r w:rsidRPr="00786CD1">
        <w:rPr>
          <w:rFonts w:cs="Times New Roman"/>
        </w:rPr>
        <w:t>asis rule</w:t>
      </w:r>
      <w:r>
        <w:rPr>
          <w:rFonts w:cs="Times New Roman"/>
        </w:rPr>
        <w:t xml:space="preserve"> </w:t>
      </w:r>
      <w:r w:rsidRPr="00786CD1">
        <w:rPr>
          <w:rFonts w:cs="Times New Roman"/>
        </w:rPr>
        <w:t>to ensure that it reflects only previously taxed dollars; the</w:t>
      </w:r>
      <w:r>
        <w:rPr>
          <w:rFonts w:cs="Times New Roman"/>
        </w:rPr>
        <w:t xml:space="preserve"> </w:t>
      </w:r>
      <w:r w:rsidRPr="00786CD1">
        <w:rPr>
          <w:rFonts w:cs="Times New Roman"/>
        </w:rPr>
        <w:t>Sixteenth Amendment is no bar.</w:t>
      </w:r>
      <w:r w:rsidRPr="00105271">
        <w:rPr>
          <w:rStyle w:val="FootnoteReference"/>
        </w:rPr>
        <w:t xml:space="preserve"> </w:t>
      </w:r>
      <w:r>
        <w:rPr>
          <w:rStyle w:val="FootnoteReference"/>
        </w:rPr>
        <w:footnoteReference w:id="258"/>
      </w:r>
      <w:r>
        <w:rPr>
          <w:rFonts w:cs="Times New Roman"/>
        </w:rPr>
        <w:t xml:space="preserve"> </w:t>
      </w:r>
    </w:p>
    <w:p w:rsidR="0078310B" w:rsidRPr="00A366AD" w:rsidRDefault="0078310B" w:rsidP="0078310B">
      <w:pPr>
        <w:pStyle w:val="Heading3"/>
        <w:spacing w:before="0" w:beforeAutospacing="0" w:after="120" w:afterAutospacing="0"/>
        <w:rPr>
          <w:i/>
        </w:rPr>
      </w:pPr>
      <w:bookmarkStart w:id="132" w:name="_Toc395790433"/>
      <w:r w:rsidRPr="00A366AD">
        <w:rPr>
          <w:i/>
        </w:rPr>
        <w:t>Is § 1014 justified? If not, which alternative would be better?</w:t>
      </w:r>
      <w:bookmarkEnd w:id="132"/>
    </w:p>
    <w:p w:rsidR="0078310B" w:rsidRDefault="0078310B" w:rsidP="0078310B">
      <w:pPr>
        <w:pStyle w:val="NormalWeb"/>
        <w:widowControl w:val="0"/>
        <w:spacing w:before="0" w:beforeAutospacing="0" w:after="120" w:afterAutospacing="0"/>
        <w:ind w:firstLine="288"/>
        <w:jc w:val="both"/>
      </w:pPr>
      <w:r>
        <w:t xml:space="preserve">Notably, Congress limited the predecessor to </w:t>
      </w:r>
      <w:hyperlink r:id="rId322" w:history="1">
        <w:r w:rsidRPr="007D3043">
          <w:rPr>
            <w:rStyle w:val="Hyperlink"/>
          </w:rPr>
          <w:t>§ 1015</w:t>
        </w:r>
      </w:hyperlink>
      <w:r>
        <w:t xml:space="preserve"> to </w:t>
      </w:r>
      <w:r>
        <w:rPr>
          <w:i/>
        </w:rPr>
        <w:t>inter vivos</w:t>
      </w:r>
      <w:r>
        <w:t xml:space="preserve"> gifts, leaving intact the FMV basis rule for property received at death, currently memorialized in </w:t>
      </w:r>
      <w:hyperlink r:id="rId323" w:history="1">
        <w:r w:rsidRPr="007D3043">
          <w:rPr>
            <w:rStyle w:val="Hyperlink"/>
          </w:rPr>
          <w:t>§ 1014</w:t>
        </w:r>
      </w:hyperlink>
      <w:r>
        <w:t xml:space="preserve">. Why? The old “capital receipts” notion continued to hold powerful sway at this time, as evidenced by the treatment of damage awards to compensate for the loss of human capital, considered in Chapter 17. Perhaps Congress thought that change was forced in the </w:t>
      </w:r>
      <w:r>
        <w:rPr>
          <w:i/>
        </w:rPr>
        <w:t xml:space="preserve">inter vivos </w:t>
      </w:r>
      <w:r>
        <w:t xml:space="preserve">gift context because of the abuse that had come to light but that enacting § 1015 was sufficient to take care of that immediate problem. Unlike the </w:t>
      </w:r>
      <w:r>
        <w:rPr>
          <w:i/>
        </w:rPr>
        <w:t>inter vivos</w:t>
      </w:r>
      <w:r>
        <w:t xml:space="preserve"> gifts described above among Papa, Daughter, and Sibling, a transfer at death happens only once in a lifetime so that the built-in gain can be laundered out only once in a lifetime. Is that a satisfying reason to keep § 1014 alive today, however, with our better understanding of the role of basis? </w:t>
      </w:r>
    </w:p>
    <w:p w:rsidR="0078310B" w:rsidRDefault="0078310B" w:rsidP="0078310B">
      <w:pPr>
        <w:pStyle w:val="NormalWeb"/>
        <w:widowControl w:val="0"/>
        <w:spacing w:before="0" w:beforeAutospacing="0" w:after="120" w:afterAutospacing="0"/>
        <w:ind w:firstLine="288"/>
        <w:jc w:val="both"/>
      </w:pPr>
      <w:r>
        <w:t>As shown in the chart in Chapter 3, 1014</w:t>
      </w:r>
      <w:r w:rsidR="00AB59AD">
        <w:t xml:space="preserve"> is expected to lose more than $170 billion in revenue between 2015 and 2019</w:t>
      </w:r>
      <w:r>
        <w:t xml:space="preserve">, alone. As always, this revenue loss must be made up with higher tax rates on everyone else. Section 1014 benefits mainly those owning property who enjoyed significant wealth accessions during life that were not taxed at the time of the wealth accessions </w:t>
      </w:r>
      <w:r>
        <w:rPr>
          <w:i/>
        </w:rPr>
        <w:t xml:space="preserve">only </w:t>
      </w:r>
      <w:r>
        <w:t xml:space="preserve">because of the realization requirement. Section 1014 is the first significant provision that we have encountered that violates the fundamental rule that basis generally represents dollars that have been previously taxed under the income tax (if not to the donee, at least to the donor). </w:t>
      </w:r>
    </w:p>
    <w:p w:rsidR="0078310B" w:rsidRDefault="0078310B" w:rsidP="0078310B">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 1022 for the year,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Ironically, under this new rule many heirs of decedents dying in 2010 with smaller estates were very unhappy with this state of affairs. </w:t>
      </w:r>
    </w:p>
    <w:p w:rsidR="0078310B" w:rsidRPr="00ED1C28" w:rsidRDefault="0078310B" w:rsidP="0078310B">
      <w:pPr>
        <w:pStyle w:val="NormalWeb"/>
        <w:widowControl w:val="0"/>
        <w:spacing w:before="0" w:beforeAutospacing="0" w:after="120" w:afterAutospacing="0"/>
        <w:ind w:firstLine="288"/>
        <w:jc w:val="both"/>
      </w:pPr>
      <w:r>
        <w:t>For example, consider Jim</w:t>
      </w:r>
      <w:r w:rsidRPr="00ED1C28">
        <w:t xml:space="preserve">, a single individual with an estate containing only one piece of </w:t>
      </w:r>
      <w:r>
        <w:t>unencumbered property, Blackacre, which Jim</w:t>
      </w:r>
      <w:r w:rsidRPr="00ED1C28">
        <w:t xml:space="preserve"> had bought for $700,000 years ago and which was valued at $3</w:t>
      </w:r>
      <w:r>
        <w:t xml:space="preserve"> million on his death. Under Jim’</w:t>
      </w:r>
      <w:r w:rsidRPr="00ED1C28">
        <w:t>s will, Bl</w:t>
      </w:r>
      <w:r>
        <w:t xml:space="preserve">ackacre was left to his niece Becky. If Jim </w:t>
      </w:r>
      <w:r w:rsidRPr="00ED1C28">
        <w:t xml:space="preserve">died on December 31, 2009, his estate would </w:t>
      </w:r>
      <w:r w:rsidRPr="008814DA">
        <w:rPr>
          <w:i/>
        </w:rPr>
        <w:t>not</w:t>
      </w:r>
      <w:r w:rsidRPr="00ED1C28">
        <w:t xml:space="preserve"> be subject to the estat</w:t>
      </w:r>
      <w:r>
        <w:t xml:space="preserve">e tax then in effect because his </w:t>
      </w:r>
      <w:r w:rsidRPr="00ED1C28">
        <w:t>$3 million estate did not exceed the $3.5 million estate tax exemption</w:t>
      </w:r>
      <w:r>
        <w:t xml:space="preserve"> amount in 2009. Moreover, Becky </w:t>
      </w:r>
      <w:r w:rsidRPr="00ED1C28">
        <w:t>would be able to take the prope</w:t>
      </w:r>
      <w:r>
        <w:t xml:space="preserve">rty distributed in kind from her uncle’s </w:t>
      </w:r>
      <w:r w:rsidRPr="00ED1C28">
        <w:t>estate with a basis stepped up to its 2009 FMV of $3 million under § 1014, with the previous built-in gain laundered out. How</w:t>
      </w:r>
      <w:r>
        <w:t xml:space="preserve"> did those results change if Jim</w:t>
      </w:r>
      <w:r w:rsidRPr="00ED1C28">
        <w:t xml:space="preserve"> died just one day later, on January 1, 2010? </w:t>
      </w:r>
      <w:r>
        <w:t>Jim’</w:t>
      </w:r>
      <w:r w:rsidRPr="00ED1C28">
        <w:t xml:space="preserve">s estate would not be subject to estate tax because </w:t>
      </w:r>
      <w:r>
        <w:t xml:space="preserve">it was repealed for 2010, but Becky </w:t>
      </w:r>
      <w:r w:rsidRPr="00ED1C28">
        <w:t>would have to take a</w:t>
      </w:r>
      <w:r>
        <w:t xml:space="preserve"> basis in Blackacre equal to her uncle’s </w:t>
      </w:r>
      <w:r w:rsidRPr="00ED1C28">
        <w:t xml:space="preserve">$700,000 basis, increased by no more than $1.3 million to $2 million, preserving a $1 million built-in gain for future reckoning. </w:t>
      </w:r>
    </w:p>
    <w:p w:rsidR="0078310B" w:rsidRPr="00ED1C28" w:rsidRDefault="0078310B" w:rsidP="0078310B">
      <w:pPr>
        <w:pStyle w:val="NormalWeb"/>
        <w:widowControl w:val="0"/>
        <w:spacing w:before="0" w:beforeAutospacing="0" w:after="120" w:afterAutospacing="0"/>
        <w:ind w:firstLine="288"/>
        <w:jc w:val="both"/>
      </w:pPr>
      <w:r w:rsidRPr="00ED1C28">
        <w:t xml:space="preserve">By the middle of 2010, when heirs of small estates began to </w:t>
      </w:r>
      <w:r>
        <w:t>appreciate the effect of estate tax repeal coupled with the new § 1022 carryover basis rule</w:t>
      </w:r>
      <w:r w:rsidRPr="00ED1C28">
        <w:t xml:space="preserve">, they complained to their representatives in Congress, who reacted in late 2010 by enacting a law that essentially allowed heirs of decedents dying in 2010 </w:t>
      </w:r>
      <w:r>
        <w:t xml:space="preserve">and their estates </w:t>
      </w:r>
      <w:r w:rsidRPr="00ED1C28">
        <w:t xml:space="preserve">to </w:t>
      </w:r>
      <w:r>
        <w:t xml:space="preserve">jointly </w:t>
      </w:r>
      <w:r w:rsidRPr="00ED1C28">
        <w:t>elect to be taxed under either 2009 law or 2010 law. The heirs of large estates, such as the four billionaires who died, likely opted to avoid the estate tax and take a carryover basis (increased, as permitted, under § 1022)</w:t>
      </w:r>
      <w:r>
        <w:t xml:space="preserve"> for property distributed in kind</w:t>
      </w:r>
      <w:r w:rsidR="00A77E77">
        <w:t xml:space="preserve"> (planning for that preserved gain to be wiped out under § 1014 when they died),</w:t>
      </w:r>
      <w:r w:rsidRPr="00ED1C28">
        <w:t xml:space="preserve"> while the heirs of smaller</w:t>
      </w:r>
      <w:r>
        <w:t xml:space="preserve"> estates</w:t>
      </w:r>
      <w:r w:rsidRPr="00ED1C28">
        <w:t xml:space="preserve"> likely opted to elect treatment under 2009 law. What a mess!</w:t>
      </w:r>
    </w:p>
    <w:p w:rsidR="0078310B" w:rsidRPr="00986F3A" w:rsidRDefault="0078310B" w:rsidP="0078310B">
      <w:pPr>
        <w:pStyle w:val="NormalWeb"/>
        <w:widowControl w:val="0"/>
        <w:spacing w:before="0" w:beforeAutospacing="0" w:after="120" w:afterAutospacing="0"/>
        <w:ind w:firstLine="288"/>
        <w:jc w:val="both"/>
      </w:pPr>
      <w:r w:rsidRPr="00ED1C28">
        <w:t xml:space="preserve"> The realization requirement, itself, is often criticized by economists for violating the neutrality norm by encouraging taxpayers to hold on to property </w:t>
      </w:r>
      <w:r>
        <w:t>(</w:t>
      </w:r>
      <w:r w:rsidRPr="00ED1C28">
        <w:t>in order to delay the resulting tax on sale</w:t>
      </w:r>
      <w:r>
        <w:t>)</w:t>
      </w:r>
      <w:r w:rsidRPr="00ED1C28">
        <w:t xml:space="preserve"> that could be more efficiently used</w:t>
      </w:r>
      <w:r w:rsidR="00266E98">
        <w:t xml:space="preserve"> by another. You will </w:t>
      </w:r>
      <w:r w:rsidRPr="00ED1C28">
        <w:t xml:space="preserve">hear this phenomenon referred to as the </w:t>
      </w:r>
      <w:r>
        <w:t>“lock-in effect,”</w:t>
      </w:r>
      <w:r w:rsidRPr="00ED1C28">
        <w:t xml:space="preserve"> </w:t>
      </w:r>
      <w:r>
        <w:t xml:space="preserve">discussed more deeply in Chapter 15 (pertaining to capital gains and losses). </w:t>
      </w:r>
      <w:r w:rsidRPr="00ED1C28">
        <w:t>Section 1014 turbo-charges the lock-in effect because owners wil</w:t>
      </w:r>
      <w:r>
        <w:t xml:space="preserve">l not merely defer the tax </w:t>
      </w:r>
      <w:r w:rsidRPr="00ED1C28">
        <w:t xml:space="preserve">on built-in gain but eliminate it entirely—if </w:t>
      </w:r>
      <w:r>
        <w:t xml:space="preserve">and only if </w:t>
      </w:r>
      <w:r w:rsidRPr="00ED1C28">
        <w:t>they hold on to the property until death. A mark-to-market system (considered in Chapter 1) would eliminate the lock-in effect because gai</w:t>
      </w:r>
      <w:r>
        <w:t>ns would be taxed as they accrue each year</w:t>
      </w:r>
      <w:r w:rsidRPr="00ED1C28">
        <w:t>. While a mark-to-mark</w:t>
      </w:r>
      <w:r>
        <w:t xml:space="preserve">et system might be </w:t>
      </w:r>
      <w:r w:rsidRPr="00ED1C28">
        <w:t>impractical for all but publicly traded securities because of the 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once? Indeed, § 1014 al</w:t>
      </w:r>
      <w:r>
        <w:t xml:space="preserve">ready requires valuation of </w:t>
      </w:r>
      <w:r w:rsidRPr="00986F3A">
        <w:t xml:space="preserve">property at death so that the donee can take that FMV basis! </w:t>
      </w:r>
    </w:p>
    <w:p w:rsidR="0078310B" w:rsidRPr="00ED1C28" w:rsidRDefault="0078310B" w:rsidP="0078310B">
      <w:pPr>
        <w:widowControl w:val="0"/>
        <w:spacing w:after="120"/>
        <w:ind w:firstLine="288"/>
        <w:jc w:val="both"/>
      </w:pPr>
      <w:r w:rsidRPr="00ED1C28">
        <w:t xml:space="preserve">Canada </w:t>
      </w:r>
      <w:r>
        <w:t>has made death a realization event for income tax purposes and has repealed its estate tax</w:t>
      </w:r>
      <w:r w:rsidRPr="00ED1C28">
        <w:t xml:space="preserve">. </w:t>
      </w:r>
      <w:r>
        <w:t xml:space="preserve">So if Frances Brody and her daughter, described in the article excerpt earlier,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in any property owned by Frances at her death would be taxed under the income tax on her final return, </w:t>
      </w:r>
      <w:r w:rsidRPr="00ED1C28">
        <w:t xml:space="preserve">her daughter </w:t>
      </w:r>
      <w:r>
        <w:t xml:space="preserve">would </w:t>
      </w:r>
      <w:r w:rsidR="00086977">
        <w:t xml:space="preserve">appropriately </w:t>
      </w:r>
      <w:r w:rsidRPr="00ED1C28">
        <w:t>take</w:t>
      </w:r>
      <w:r>
        <w:t xml:space="preserve"> </w:t>
      </w:r>
      <w:r w:rsidRPr="00ED1C28">
        <w:t>a stepped-up</w:t>
      </w:r>
      <w:r>
        <w:t>,</w:t>
      </w:r>
      <w:r w:rsidRPr="00ED1C28">
        <w:t xml:space="preserve"> </w:t>
      </w:r>
      <w:r>
        <w:t>FMV basis of any property received in kind under the income tax</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a gratuitous transfer is </w:t>
      </w:r>
      <w:r w:rsidRPr="00ED1C28">
        <w:rPr>
          <w:i/>
        </w:rPr>
        <w:t>not</w:t>
      </w:r>
      <w:r w:rsidRPr="00ED1C28">
        <w:t xml:space="preserve"> a realization event under § 1001 in the U.S., whereas</w:t>
      </w:r>
      <w:r>
        <w:t xml:space="preserve"> a sale is, behavior is skewed, reducing economic efficiency. </w:t>
      </w:r>
    </w:p>
    <w:p w:rsidR="0078310B" w:rsidRDefault="0078310B" w:rsidP="0078310B">
      <w:pPr>
        <w:widowControl w:val="0"/>
        <w:ind w:firstLine="288"/>
        <w:jc w:val="both"/>
      </w:pPr>
      <w:r>
        <w:t xml:space="preserve">A different way to integrate the two systems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 xml:space="preserve">in excess of a </w:t>
      </w:r>
      <w:r>
        <w:t>“</w:t>
      </w:r>
      <w:r w:rsidRPr="00ED1C28">
        <w:t>reasonable</w:t>
      </w:r>
      <w:r>
        <w:t>”</w:t>
      </w:r>
      <w:r w:rsidRPr="00ED1C28">
        <w:t xml:space="preserve"> exemption amount ($25,000? $100,000? Annul or a</w:t>
      </w:r>
      <w:r>
        <w:t xml:space="preserve"> cumulative lifetime exclusion?). As Henry Simons said, the income tax is not a tax on income, </w:t>
      </w:r>
      <w:r>
        <w:rPr>
          <w:i/>
        </w:rPr>
        <w:t>per se</w:t>
      </w:r>
      <w:r>
        <w:t xml:space="preserve">, but a tax on </w:t>
      </w:r>
      <w:r>
        <w:rPr>
          <w:i/>
        </w:rPr>
        <w:t>persons</w:t>
      </w:r>
      <w:r>
        <w:t xml:space="preserve">, as measured by their income (wealth accessions) under the ability to pay fairness norm. </w:t>
      </w:r>
    </w:p>
    <w:p w:rsidR="0078310B" w:rsidRPr="00264F88" w:rsidRDefault="0078310B" w:rsidP="0078310B">
      <w:pPr>
        <w:widowControl w:val="0"/>
        <w:ind w:firstLine="288"/>
        <w:jc w:val="both"/>
      </w:pPr>
    </w:p>
    <w:p w:rsidR="0078310B" w:rsidRPr="00203852" w:rsidRDefault="0078310B" w:rsidP="0078310B">
      <w:pPr>
        <w:pStyle w:val="Heading2"/>
        <w:spacing w:before="0"/>
        <w:rPr>
          <w:sz w:val="32"/>
          <w:szCs w:val="32"/>
          <w:u w:val="single"/>
        </w:rPr>
      </w:pPr>
      <w:bookmarkStart w:id="133" w:name="_Toc395790434"/>
      <w:r w:rsidRPr="00203852">
        <w:rPr>
          <w:sz w:val="32"/>
          <w:szCs w:val="32"/>
          <w:u w:val="single"/>
        </w:rPr>
        <w:t>B. What is a “gift” within the meaning of § 102(a)?</w:t>
      </w:r>
      <w:bookmarkEnd w:id="133"/>
    </w:p>
    <w:p w:rsidR="0078310B" w:rsidRDefault="0078310B" w:rsidP="0078310B">
      <w:pPr>
        <w:widowControl w:val="0"/>
        <w:jc w:val="both"/>
      </w:pPr>
    </w:p>
    <w:p w:rsidR="0078310B" w:rsidRDefault="0078310B" w:rsidP="0078310B">
      <w:pPr>
        <w:widowControl w:val="0"/>
        <w:ind w:firstLine="288"/>
        <w:jc w:val="both"/>
      </w:pPr>
      <w:r>
        <w:t xml:space="preserve">The lack of clear understanding regarding the modern rationale underlying the gift exclusion for income tax purposes makes it difficult for courts to give meaning and scope to the word “gift.” Indeed, the sheer number of separate opinions in </w:t>
      </w:r>
      <w:r>
        <w:rPr>
          <w:i/>
        </w:rPr>
        <w:t>Duberstein</w:t>
      </w:r>
      <w:r>
        <w:t xml:space="preserve">, below, illustrates this fact. If we better understood the purpose of the gift exclusion today, we would have better tools in place to interpret the term. The touchstone definition is found in </w:t>
      </w:r>
      <w:r>
        <w:rPr>
          <w:i/>
        </w:rPr>
        <w:t>Duberstein</w:t>
      </w:r>
      <w:r>
        <w:t xml:space="preserve">. What was the government’s approach in defining the term, found in footnote 6? In looking at the words in </w:t>
      </w:r>
      <w:hyperlink r:id="rId324" w:history="1">
        <w:r w:rsidRPr="004F483C">
          <w:rPr>
            <w:rStyle w:val="Hyperlink"/>
          </w:rPr>
          <w:t>§ 102</w:t>
        </w:r>
      </w:hyperlink>
      <w:r>
        <w:t xml:space="preserve">(a) carefully—“gift,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59"/>
      </w:r>
      <w:r>
        <w:t xml:space="preserve"> How did that approach differ from the Court’s? Which do you think is the better approach in this particular context? Why? Would Stanton’s case be litigated today? Review </w:t>
      </w:r>
      <w:hyperlink r:id="rId325" w:history="1">
        <w:r w:rsidRPr="00B628D8">
          <w:rPr>
            <w:rStyle w:val="Hyperlink"/>
          </w:rPr>
          <w:t>§ 102</w:t>
        </w:r>
      </w:hyperlink>
      <w:r w:rsidR="00B628D8">
        <w:t>(c), added</w:t>
      </w:r>
      <w:r>
        <w:t xml:space="preserve"> in 1986.</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34" w:name="_Toc395790435"/>
      <w:r>
        <w:t>COMMISSIONER v. DUBERSTEIN</w:t>
      </w:r>
      <w:bookmarkEnd w:id="134"/>
    </w:p>
    <w:p w:rsidR="0078310B" w:rsidRDefault="0078310B" w:rsidP="0078310B">
      <w:pPr>
        <w:widowControl w:val="0"/>
        <w:jc w:val="center"/>
      </w:pPr>
      <w:r>
        <w:t>363 U.S. 278 (1960)</w:t>
      </w:r>
    </w:p>
    <w:p w:rsidR="0078310B" w:rsidRDefault="0078310B" w:rsidP="0078310B">
      <w:pPr>
        <w:widowControl w:val="0"/>
        <w:jc w:val="both"/>
      </w:pPr>
    </w:p>
    <w:p w:rsidR="0078310B" w:rsidRDefault="0078310B" w:rsidP="0078310B">
      <w:pPr>
        <w:widowControl w:val="0"/>
        <w:spacing w:after="120"/>
        <w:ind w:firstLine="288"/>
        <w:jc w:val="both"/>
      </w:pPr>
      <w:r>
        <w:rPr>
          <w:smallCaps/>
        </w:rPr>
        <w:t>Mr. Justice Brennan</w:t>
      </w:r>
      <w:r>
        <w:t xml:space="preserve"> delivered the opinion of the Court. </w:t>
      </w:r>
    </w:p>
    <w:p w:rsidR="0078310B" w:rsidRPr="006A487D" w:rsidRDefault="0078310B" w:rsidP="0078310B">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rsidR="0078310B" w:rsidRPr="006A487D" w:rsidRDefault="0078310B" w:rsidP="0078310B">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rsidR="0078310B" w:rsidRPr="006A487D" w:rsidRDefault="0078310B" w:rsidP="0078310B">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78310B" w:rsidRPr="006A487D" w:rsidRDefault="0078310B" w:rsidP="0078310B">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rsidR="0078310B" w:rsidRPr="006A487D" w:rsidRDefault="0078310B" w:rsidP="0078310B">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rsidR="0078310B" w:rsidRPr="006A487D" w:rsidRDefault="0078310B" w:rsidP="0078310B">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rsidR="0078310B" w:rsidRPr="006A487D" w:rsidRDefault="0078310B" w:rsidP="0078310B">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rsidR="0078310B" w:rsidRPr="006A487D" w:rsidRDefault="0078310B" w:rsidP="0078310B">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rsidR="0078310B" w:rsidRPr="006A487D" w:rsidRDefault="0078310B" w:rsidP="0078310B">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rsidR="0078310B" w:rsidRDefault="0078310B" w:rsidP="0078310B">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rsidR="0078310B" w:rsidRPr="006A487D" w:rsidRDefault="0078310B" w:rsidP="0078310B">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26"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rsidR="0078310B" w:rsidRPr="006A487D" w:rsidRDefault="0078310B" w:rsidP="0078310B">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60"/>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rsidR="0078310B" w:rsidRPr="006A487D" w:rsidRDefault="0078310B" w:rsidP="0078310B">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27"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8" w:history="1">
        <w:r>
          <w:rPr>
            <w:i/>
          </w:rPr>
          <w:t>Robertson v. U.S.</w:t>
        </w:r>
        <w:r w:rsidRPr="006A487D">
          <w:t>, 343 U.S. 711, 714</w:t>
        </w:r>
      </w:hyperlink>
      <w:r w:rsidRPr="006A487D">
        <w:t xml:space="preserve">. </w:t>
      </w:r>
      <w:bookmarkStart w:id="135"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5"/>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9"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30"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31"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32" w:history="1">
        <w:r w:rsidRPr="000E48B2">
          <w:rPr>
            <w:i/>
          </w:rPr>
          <w:t>Id.</w:t>
        </w:r>
        <w:r w:rsidRPr="006A487D">
          <w:t>, at 45</w:t>
        </w:r>
      </w:hyperlink>
      <w:r w:rsidRPr="006A487D">
        <w:t xml:space="preserve"> (dissenting opinion).</w:t>
      </w:r>
    </w:p>
    <w:p w:rsidR="0078310B" w:rsidRPr="006A487D" w:rsidRDefault="0078310B" w:rsidP="0078310B">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rsidR="0078310B" w:rsidRPr="006A487D" w:rsidRDefault="0078310B" w:rsidP="0078310B">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rsidR="0078310B" w:rsidRPr="006A487D" w:rsidRDefault="0078310B" w:rsidP="0078310B">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78310B" w:rsidRPr="006A487D" w:rsidRDefault="0078310B" w:rsidP="0078310B">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33" w:history="1">
        <w:r w:rsidRPr="00111257">
          <w:rPr>
            <w:i/>
          </w:rPr>
          <w:t>Baker v. Texas &amp; Pacific R. Co.</w:t>
        </w:r>
        <w:r w:rsidRPr="006A487D">
          <w:t>, 359 U.S. 227</w:t>
        </w:r>
      </w:hyperlink>
      <w:r w:rsidRPr="006A487D">
        <w:t xml:space="preserve">; </w:t>
      </w:r>
      <w:hyperlink r:id="rId334" w:history="1">
        <w:r w:rsidRPr="00111257">
          <w:rPr>
            <w:i/>
          </w:rPr>
          <w:t>Comm’r v. Heininger</w:t>
        </w:r>
        <w:r w:rsidRPr="006A487D">
          <w:t>, 320 U.S. 467, 475</w:t>
        </w:r>
      </w:hyperlink>
      <w:r w:rsidRPr="006A487D">
        <w:t xml:space="preserve">; </w:t>
      </w:r>
      <w:hyperlink r:id="rId335" w:history="1">
        <w:r w:rsidRPr="00111257">
          <w:rPr>
            <w:i/>
          </w:rPr>
          <w:t>U.S. v. Yellow Cab Co.</w:t>
        </w:r>
        <w:r w:rsidRPr="006A487D">
          <w:t>, 338 U.S. 338, 341</w:t>
        </w:r>
      </w:hyperlink>
      <w:r w:rsidRPr="006A487D">
        <w:t xml:space="preserve">; </w:t>
      </w:r>
      <w:hyperlink r:id="rId336"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rsidR="0078310B" w:rsidRDefault="0078310B" w:rsidP="0078310B">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rsidR="0078310B" w:rsidRPr="006A487D" w:rsidRDefault="0078310B" w:rsidP="0078310B">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rsidR="0078310B" w:rsidRPr="006A487D" w:rsidRDefault="0078310B" w:rsidP="0078310B">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37"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8"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9"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40"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rsidR="0078310B" w:rsidRPr="006A487D" w:rsidRDefault="0078310B" w:rsidP="0078310B">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rsidR="0078310B" w:rsidRPr="006A487D" w:rsidRDefault="0078310B" w:rsidP="0078310B">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41"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78310B" w:rsidRDefault="0078310B" w:rsidP="0078310B">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78310B" w:rsidRDefault="0078310B" w:rsidP="0078310B">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rsidR="0078310B" w:rsidRDefault="0078310B" w:rsidP="0078310B">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42" w:history="1">
        <w:r w:rsidRPr="006A487D">
          <w:t>302 U.S., at 39</w:t>
        </w:r>
      </w:hyperlink>
      <w:r w:rsidRPr="006A487D">
        <w:t>, concurs only in the result of this opinion.</w:t>
      </w:r>
    </w:p>
    <w:p w:rsidR="0078310B" w:rsidRDefault="0078310B" w:rsidP="0078310B">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343" w:history="1">
        <w:r w:rsidRPr="003F760B">
          <w:rPr>
            <w:i/>
          </w:rPr>
          <w:t>Bogardus v. Comm’r</w:t>
        </w:r>
        <w:r w:rsidRPr="006A487D">
          <w:t>, 302 U.S. 34</w:t>
        </w:r>
      </w:hyperlink>
      <w:r w:rsidRPr="006A487D">
        <w:t>.</w:t>
      </w:r>
    </w:p>
    <w:p w:rsidR="0078310B" w:rsidRDefault="0078310B" w:rsidP="0078310B">
      <w:pPr>
        <w:widowControl w:val="0"/>
        <w:spacing w:after="120"/>
        <w:ind w:firstLine="288"/>
        <w:jc w:val="both"/>
      </w:pPr>
      <w:r>
        <w:rPr>
          <w:smallCaps/>
        </w:rPr>
        <w:t>Mr. Justice Black</w:t>
      </w:r>
      <w:r w:rsidRPr="006A487D">
        <w:t xml:space="preserve"> concurring and dissenting.</w:t>
      </w:r>
    </w:p>
    <w:p w:rsidR="0078310B" w:rsidRPr="006A487D" w:rsidRDefault="0078310B" w:rsidP="0078310B">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rsidR="0078310B" w:rsidRPr="006A487D" w:rsidRDefault="0078310B" w:rsidP="0078310B">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44" w:history="1">
        <w:r w:rsidRPr="006A487D">
          <w:t>§ 22 (b)(3)</w:t>
        </w:r>
      </w:hyperlink>
      <w:r w:rsidRPr="006A487D">
        <w:t xml:space="preserve"> (now I. R. C. of 1954, </w:t>
      </w:r>
      <w:hyperlink r:id="rId345"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46"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rsidR="0078310B" w:rsidRDefault="0078310B" w:rsidP="0078310B">
      <w:pPr>
        <w:widowControl w:val="0"/>
        <w:spacing w:after="120"/>
        <w:ind w:firstLine="288"/>
        <w:jc w:val="both"/>
      </w:pPr>
      <w:r>
        <w:rPr>
          <w:smallCaps/>
        </w:rPr>
        <w:t>Mr. Justice Frankfurter</w:t>
      </w:r>
      <w:r w:rsidRPr="006A487D">
        <w:t>, concurring in the judgment in No. 376 and dissenting in No. 546.</w:t>
      </w:r>
    </w:p>
    <w:p w:rsidR="0078310B" w:rsidRPr="006A487D" w:rsidRDefault="0078310B" w:rsidP="0078310B">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347"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rsidR="0078310B" w:rsidRPr="006A487D" w:rsidRDefault="0078310B" w:rsidP="0078310B">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78310B" w:rsidRPr="006A487D" w:rsidRDefault="0078310B" w:rsidP="0078310B">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rsidR="0078310B" w:rsidRPr="006A487D" w:rsidRDefault="0078310B" w:rsidP="0078310B">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8"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9"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rsidR="0078310B" w:rsidRPr="006A487D" w:rsidRDefault="0078310B" w:rsidP="0078310B">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rsidR="0078310B" w:rsidRDefault="0078310B" w:rsidP="0078310B">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rsidR="0078310B" w:rsidRDefault="0078310B" w:rsidP="0078310B">
      <w:pPr>
        <w:widowControl w:val="0"/>
        <w:jc w:val="center"/>
      </w:pPr>
      <w:r>
        <w:t>________________________________</w:t>
      </w:r>
    </w:p>
    <w:p w:rsidR="0078310B" w:rsidRDefault="0078310B" w:rsidP="0078310B">
      <w:pPr>
        <w:pStyle w:val="Heading3"/>
        <w:spacing w:before="0" w:beforeAutospacing="0" w:after="0" w:afterAutospacing="0"/>
        <w:ind w:firstLine="288"/>
        <w:rPr>
          <w:b w:val="0"/>
        </w:rPr>
      </w:pPr>
      <w:bookmarkStart w:id="136" w:name="_Toc395790436"/>
    </w:p>
    <w:p w:rsidR="0078310B" w:rsidRPr="00A366AD" w:rsidRDefault="0078310B" w:rsidP="0078310B">
      <w:pPr>
        <w:pStyle w:val="Heading3"/>
        <w:spacing w:before="0" w:beforeAutospacing="0" w:after="120" w:afterAutospacing="0"/>
        <w:rPr>
          <w:i/>
        </w:rPr>
      </w:pPr>
      <w:r w:rsidRPr="00A366AD">
        <w:rPr>
          <w:i/>
        </w:rPr>
        <w:t>Consequences of the Duberstein Court’s approach to “gift”</w:t>
      </w:r>
      <w:bookmarkEnd w:id="136"/>
    </w:p>
    <w:p w:rsidR="0078310B" w:rsidRDefault="0078310B" w:rsidP="0078310B">
      <w:pPr>
        <w:widowControl w:val="0"/>
        <w:spacing w:after="120"/>
        <w:ind w:firstLine="288"/>
        <w:jc w:val="both"/>
      </w:pPr>
      <w:r>
        <w:t xml:space="preserve">As noted earlier, the donor cannot deduct the value of a gift made to a friend or relative because it is a personal expense under </w:t>
      </w:r>
      <w:hyperlink r:id="rId350" w:history="1">
        <w:r w:rsidRPr="00E94E28">
          <w:rPr>
            <w:rStyle w:val="Hyperlink"/>
          </w:rPr>
          <w:t>§ 262</w:t>
        </w:r>
      </w:hyperlink>
      <w:r>
        <w:t xml:space="preserve">. Thus, although the donee excludes the gift, the amount is taxed once between the donor/donee pair—through deduction denial for the donor. While the Court deferred to the trial court in </w:t>
      </w:r>
      <w:r>
        <w:rPr>
          <w:i/>
        </w:rPr>
        <w:t xml:space="preserve">Duberstein </w:t>
      </w:r>
      <w:r>
        <w:t xml:space="preserve">and concluded that Mr. Duberstein was not, in fact, entitled to exclude the Cadillac, it did so only because of the trial court’s evaluation of the motive of the donor established at trial. The Court knew, but appeared to be untroubled by the fact, that Mr. Berman deducted the FMV of the Cadillac as a business expense under </w:t>
      </w:r>
      <w:hyperlink r:id="rId351"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w:t>
      </w:r>
    </w:p>
    <w:p w:rsidR="0078310B" w:rsidRDefault="0078310B" w:rsidP="0078310B">
      <w:pPr>
        <w:widowControl w:val="0"/>
        <w:spacing w:after="120"/>
        <w:ind w:firstLine="288"/>
        <w:jc w:val="both"/>
      </w:pPr>
      <w:r>
        <w:t>The government’s proposed rule would have avoided this possibility, as it would have prevented exclusion by the putative donee in the business context, thus ensuring that—even with a business expense deduction by the donor—the amount wo</w:t>
      </w:r>
      <w:r w:rsidR="0065278B">
        <w:t>uld be taxed once between the two</w:t>
      </w:r>
      <w:r>
        <w:t xml:space="preserve">. </w:t>
      </w:r>
    </w:p>
    <w:p w:rsidR="0078310B" w:rsidRPr="003610F6" w:rsidRDefault="0078310B" w:rsidP="0078310B">
      <w:pPr>
        <w:widowControl w:val="0"/>
        <w:spacing w:after="120"/>
        <w:ind w:firstLine="288"/>
        <w:jc w:val="both"/>
      </w:pPr>
      <w:r>
        <w:t xml:space="preserve">Congress reacted to </w:t>
      </w:r>
      <w:r>
        <w:rPr>
          <w:i/>
        </w:rPr>
        <w:t>Duberstein</w:t>
      </w:r>
      <w:r>
        <w:t xml:space="preserve"> not by preventing exclusion by the recipient but by attempting to prevent deduction by the donor as a business expense by enacting </w:t>
      </w:r>
      <w:hyperlink r:id="rId352" w:history="1">
        <w:r w:rsidRPr="00DE2C0C">
          <w:rPr>
            <w:rStyle w:val="Hyperlink"/>
          </w:rPr>
          <w:t>§ 274</w:t>
        </w:r>
      </w:hyperlink>
      <w:r w:rsidR="00DE2C0C">
        <w:t>(b), which you should read now.</w:t>
      </w:r>
      <w:r>
        <w:t xml:space="preserve"> Section 274 is a Code section that does not authorize the taking of a deduction (it does not contain the magic words “there shall be allowed as a deduction”) but rather steps in to take away an otherwise allowable deduction under some other Code section, such as § 162. Section 274(b) would be unnecessary if the </w:t>
      </w:r>
      <w:r>
        <w:rPr>
          <w:i/>
        </w:rPr>
        <w:t xml:space="preserve">Duberstein </w:t>
      </w:r>
      <w:r>
        <w:t xml:space="preserve">Court had accepted the government’s alternative interpretation of “gift” within the meaning of § 102. </w:t>
      </w:r>
    </w:p>
    <w:p w:rsidR="0078310B" w:rsidRDefault="0078310B" w:rsidP="0078310B">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61"/>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xml:space="preserve"> (unlike the outcome in the case, itself).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62"/>
      </w:r>
      <w:r>
        <w:t xml:space="preserve"> </w:t>
      </w:r>
    </w:p>
    <w:p w:rsidR="0078310B" w:rsidRPr="008F6BF4" w:rsidRDefault="0078310B" w:rsidP="0078310B">
      <w:pPr>
        <w:widowControl w:val="0"/>
        <w:spacing w:after="120"/>
        <w:ind w:firstLine="288"/>
        <w:jc w:val="both"/>
      </w:pPr>
      <w:r w:rsidRPr="008F6BF4">
        <w:t xml:space="preserve">Are business donors likely to admit that they are making the transfer as a gift,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 unreduced by § 274(b)?</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rsidR="0078310B" w:rsidRDefault="0078310B" w:rsidP="0078310B">
      <w:pPr>
        <w:widowControl w:val="0"/>
        <w:spacing w:after="120"/>
        <w:ind w:firstLine="288"/>
        <w:jc w:val="both"/>
      </w:pPr>
      <w:r w:rsidRPr="008F6BF4">
        <w:t>On the other hand, how does the donee, or the trier of fact in the donee’s case, know whether the donor took a</w:t>
      </w:r>
      <w:r>
        <w:t xml:space="preserve"> full deduction? </w:t>
      </w:r>
      <w:r w:rsidRPr="008F6BF4">
        <w:t>Personal ta</w:t>
      </w:r>
      <w:r>
        <w:t xml:space="preserve">x return information is private and cannot </w:t>
      </w:r>
      <w:r w:rsidR="00AB0079">
        <w:t xml:space="preserve">be accessed </w:t>
      </w:r>
      <w:r w:rsidRPr="008F6BF4">
        <w:t>except in the taxpayer’s own litigation. And what if t</w:t>
      </w:r>
      <w:r w:rsidR="00AB0079">
        <w:t>he donor is a tax-exempt entity</w:t>
      </w:r>
      <w:r>
        <w:t xml:space="preserve">,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rsidR="0078310B" w:rsidRDefault="0078310B" w:rsidP="0078310B">
      <w:pPr>
        <w:widowControl w:val="0"/>
        <w:ind w:firstLine="288"/>
        <w:jc w:val="both"/>
      </w:pPr>
      <w:r>
        <w:t xml:space="preserve">Finally, notice that, </w:t>
      </w:r>
      <w:r w:rsidRPr="008F6BF4">
        <w:t xml:space="preserve">in order for the </w:t>
      </w:r>
      <w:hyperlink r:id="rId353"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rsidR="0078310B" w:rsidRPr="009755AF"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37" w:name="_Toc395790439"/>
      <w:r w:rsidRPr="00A366AD">
        <w:rPr>
          <w:u w:val="single"/>
        </w:rPr>
        <w:t>Problem</w:t>
      </w:r>
      <w:bookmarkEnd w:id="137"/>
    </w:p>
    <w:p w:rsidR="0078310B" w:rsidRPr="00203852"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54"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rsidR="0078310B" w:rsidRDefault="0078310B" w:rsidP="0078310B">
      <w:pPr>
        <w:widowControl w:val="0"/>
        <w:jc w:val="center"/>
      </w:pPr>
      <w:r>
        <w:t>__________________________________</w:t>
      </w:r>
    </w:p>
    <w:p w:rsidR="0078310B" w:rsidRDefault="0078310B" w:rsidP="0078310B">
      <w:pPr>
        <w:pStyle w:val="Heading3"/>
        <w:spacing w:before="0" w:beforeAutospacing="0" w:after="0" w:afterAutospacing="0"/>
        <w:rPr>
          <w:b w:val="0"/>
        </w:rPr>
      </w:pPr>
      <w:bookmarkStart w:id="138" w:name="_Toc395790437"/>
    </w:p>
    <w:p w:rsidR="0078310B" w:rsidRPr="00A366AD" w:rsidRDefault="0078310B" w:rsidP="0078310B">
      <w:pPr>
        <w:pStyle w:val="Heading3"/>
        <w:spacing w:before="0" w:beforeAutospacing="0" w:after="120" w:afterAutospacing="0"/>
        <w:rPr>
          <w:i/>
        </w:rPr>
      </w:pPr>
      <w:r w:rsidRPr="00A366AD">
        <w:rPr>
          <w:i/>
        </w:rPr>
        <w:t>A Duberstein example and introduction of “small tax case” jurisdiction in the Tax Court</w:t>
      </w:r>
      <w:bookmarkEnd w:id="138"/>
    </w:p>
    <w:p w:rsidR="0078310B" w:rsidRDefault="0078310B" w:rsidP="0078310B">
      <w:pPr>
        <w:widowControl w:val="0"/>
        <w:ind w:firstLine="288"/>
        <w:jc w:val="both"/>
      </w:pPr>
      <w:r>
        <w:t xml:space="preserve">The case below is a summary opinion in a “small tax case” under </w:t>
      </w:r>
      <w:hyperlink r:id="rId355" w:history="1">
        <w:r w:rsidRPr="009904F6">
          <w:rPr>
            <w:rStyle w:val="Hyperlink"/>
          </w:rPr>
          <w:t>§ 7463</w:t>
        </w:r>
      </w:hyperlink>
      <w:r>
        <w:t>, pertaining to the Tax Court’s jurisdiction and procedures. A taxpayer with a deficiency at issue of $50,000 or less can elect to have his or her case heard under more informal rules of procedure than otherwise app</w:t>
      </w:r>
      <w:r w:rsidR="009904F6">
        <w:t>ly in the Tax Court. The cost of making this election is that the taxpayer surrenders all appeal rights should she lose.</w:t>
      </w:r>
      <w:r>
        <w:rPr>
          <w:rStyle w:val="FootnoteReference"/>
        </w:rPr>
        <w:footnoteReference w:id="263"/>
      </w:r>
      <w:r>
        <w:t xml:space="preserve"> Many taxpayers using these simplified proceedings represent themselves </w:t>
      </w:r>
      <w:r>
        <w:rPr>
          <w:i/>
        </w:rPr>
        <w:t>pro se</w:t>
      </w:r>
      <w:r>
        <w:t>, though not always. The taxpayer in the case below was represented by counsel.</w:t>
      </w:r>
    </w:p>
    <w:p w:rsidR="0078310B" w:rsidRPr="0029244C"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39" w:name="_Toc395790438"/>
      <w:r>
        <w:t>JUE-YA YANG v. COMMISSIONER</w:t>
      </w:r>
      <w:bookmarkEnd w:id="139"/>
    </w:p>
    <w:p w:rsidR="0078310B" w:rsidRPr="00203852" w:rsidRDefault="0078310B" w:rsidP="0078310B">
      <w:pPr>
        <w:pStyle w:val="Heading3"/>
        <w:spacing w:before="0" w:beforeAutospacing="0" w:after="0" w:afterAutospacing="0"/>
        <w:jc w:val="center"/>
        <w:rPr>
          <w:b w:val="0"/>
        </w:rPr>
      </w:pPr>
      <w:r w:rsidRPr="00203852">
        <w:rPr>
          <w:b w:val="0"/>
        </w:rPr>
        <w:t>T.C. Summary Opinion 2008-156</w:t>
      </w:r>
    </w:p>
    <w:p w:rsidR="0078310B" w:rsidRDefault="0078310B" w:rsidP="0078310B">
      <w:pPr>
        <w:widowControl w:val="0"/>
        <w:jc w:val="both"/>
      </w:pPr>
    </w:p>
    <w:p w:rsidR="0078310B" w:rsidRPr="005559AB" w:rsidRDefault="0078310B" w:rsidP="0078310B">
      <w:pPr>
        <w:widowControl w:val="0"/>
        <w:spacing w:after="120"/>
        <w:ind w:firstLine="288"/>
        <w:jc w:val="both"/>
      </w:pPr>
      <w:r>
        <w:rPr>
          <w:smallCaps/>
        </w:rPr>
        <w:t>Gerber, Judge</w:t>
      </w:r>
      <w:r w:rsidRPr="005559AB">
        <w:t xml:space="preserve">: This case was heard pursuant to the provisions of </w:t>
      </w:r>
      <w:hyperlink r:id="rId356" w:history="1">
        <w:r w:rsidRPr="005559AB">
          <w:t xml:space="preserve">section 7463 </w:t>
        </w:r>
      </w:hyperlink>
      <w:r w:rsidRPr="005559AB">
        <w:t xml:space="preserve">of the Internal Revenue Code in effect when the petition was filed. Pursuant to </w:t>
      </w:r>
      <w:hyperlink r:id="rId357"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8"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rsidR="0078310B" w:rsidRPr="005559AB" w:rsidRDefault="0078310B" w:rsidP="0078310B">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rsidR="0078310B" w:rsidRPr="005559AB" w:rsidRDefault="0078310B" w:rsidP="0078310B">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rsidR="0078310B" w:rsidRPr="005559AB" w:rsidRDefault="0078310B" w:rsidP="0078310B">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9"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rsidR="0078310B" w:rsidRPr="005559AB" w:rsidRDefault="0078310B" w:rsidP="0078310B">
      <w:pPr>
        <w:widowControl w:val="0"/>
        <w:spacing w:after="120"/>
        <w:ind w:left="720" w:right="720"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rsidR="0078310B" w:rsidRPr="005559AB" w:rsidRDefault="0078310B" w:rsidP="0078310B">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rsidR="0078310B" w:rsidRPr="005559AB" w:rsidRDefault="0078310B" w:rsidP="0078310B">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rsidR="0078310B" w:rsidRPr="005559AB" w:rsidRDefault="0078310B" w:rsidP="0078310B">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rsidR="0078310B" w:rsidRPr="0029244C" w:rsidRDefault="0078310B" w:rsidP="0078310B">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rsidR="0078310B" w:rsidRDefault="0078310B" w:rsidP="0078310B">
      <w:pPr>
        <w:widowControl w:val="0"/>
        <w:jc w:val="center"/>
      </w:pPr>
      <w:r>
        <w:t>__________________________________</w:t>
      </w:r>
    </w:p>
    <w:p w:rsidR="0078310B" w:rsidRPr="00EE711B" w:rsidRDefault="0078310B" w:rsidP="0078310B">
      <w:pPr>
        <w:widowControl w:val="0"/>
        <w:jc w:val="both"/>
      </w:pPr>
    </w:p>
    <w:p w:rsidR="0078310B" w:rsidRDefault="0078310B" w:rsidP="0078310B">
      <w:pPr>
        <w:widowControl w:val="0"/>
        <w:spacing w:after="120"/>
        <w:ind w:firstLine="288"/>
        <w:jc w:val="both"/>
      </w:pPr>
      <w:r>
        <w:t xml:space="preserve">The </w:t>
      </w:r>
      <w:r>
        <w:rPr>
          <w:i/>
        </w:rPr>
        <w:t xml:space="preserve">Yang </w:t>
      </w:r>
      <w:r>
        <w:t xml:space="preserve">case also shows that an information return is not determinative of actual tax consequences. </w:t>
      </w:r>
      <w:r w:rsidR="00204715">
        <w:t>Information returns are merely enforcement tools to alert the IRS of a possible understatement.</w:t>
      </w:r>
    </w:p>
    <w:p w:rsidR="0078310B" w:rsidRPr="00A366AD" w:rsidRDefault="0078310B" w:rsidP="0078310B">
      <w:pPr>
        <w:pStyle w:val="Heading3"/>
        <w:spacing w:before="0" w:beforeAutospacing="0" w:after="120" w:afterAutospacing="0"/>
        <w:rPr>
          <w:i/>
        </w:rPr>
      </w:pPr>
      <w:bookmarkStart w:id="140" w:name="_Toc395790440"/>
      <w:r w:rsidRPr="00A366AD">
        <w:rPr>
          <w:i/>
        </w:rPr>
        <w:t>The possible limits of the Duberstein “intent” approach</w:t>
      </w:r>
      <w:bookmarkEnd w:id="140"/>
    </w:p>
    <w:p w:rsidR="0078310B" w:rsidRPr="00823E50" w:rsidRDefault="0078310B" w:rsidP="0078310B">
      <w:pPr>
        <w:widowControl w:val="0"/>
        <w:spacing w:after="120"/>
        <w:ind w:firstLine="288"/>
        <w:jc w:val="both"/>
      </w:pPr>
      <w:r>
        <w:t xml:space="preserve">Matthew is a veteran who lost a leg in Iraq. Wearing his uniform and telling his story in subway stations in New York City, Matthew has learned that he can collect about $40,000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rsidR="0078310B" w:rsidRDefault="0078310B" w:rsidP="0078310B">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rsidR="0078310B" w:rsidRPr="00AA5136"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41" w:name="_Toc395790441"/>
      <w:r>
        <w:t>OLK v. UNITED STATES</w:t>
      </w:r>
      <w:bookmarkEnd w:id="141"/>
    </w:p>
    <w:p w:rsidR="0078310B" w:rsidRDefault="0078310B" w:rsidP="0078310B">
      <w:pPr>
        <w:widowControl w:val="0"/>
        <w:jc w:val="center"/>
      </w:pPr>
      <w:r>
        <w:t>536 F.2d 876 (9</w:t>
      </w:r>
      <w:r w:rsidRPr="00E07CC0">
        <w:rPr>
          <w:vertAlign w:val="superscript"/>
        </w:rPr>
        <w:t>th</w:t>
      </w:r>
      <w:r>
        <w:t xml:space="preserve"> Cir. 1976)</w:t>
      </w:r>
    </w:p>
    <w:p w:rsidR="0078310B" w:rsidRDefault="0078310B" w:rsidP="0078310B">
      <w:pPr>
        <w:widowControl w:val="0"/>
        <w:jc w:val="both"/>
      </w:pPr>
    </w:p>
    <w:p w:rsidR="0078310B" w:rsidRDefault="0078310B" w:rsidP="0078310B">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rsidR="0078310B" w:rsidRPr="00E07CC0" w:rsidRDefault="0078310B" w:rsidP="0078310B">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60"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rsidR="0078310B" w:rsidRDefault="0078310B" w:rsidP="0078310B">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rsidR="0078310B" w:rsidRDefault="0078310B" w:rsidP="0078310B">
      <w:pPr>
        <w:widowControl w:val="0"/>
        <w:spacing w:after="120"/>
        <w:ind w:left="720" w:right="720"/>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rsidR="0078310B" w:rsidRDefault="0078310B" w:rsidP="0078310B">
      <w:pPr>
        <w:widowControl w:val="0"/>
        <w:spacing w:after="120"/>
        <w:ind w:left="720" w:right="720"/>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rsidR="0078310B" w:rsidRPr="00E07CC0" w:rsidRDefault="0078310B" w:rsidP="0078310B">
      <w:pPr>
        <w:widowControl w:val="0"/>
        <w:spacing w:after="120"/>
        <w:ind w:left="720" w:right="720"/>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rsidR="0078310B" w:rsidRPr="00E07CC0" w:rsidRDefault="0078310B" w:rsidP="0078310B">
      <w:pPr>
        <w:widowControl w:val="0"/>
        <w:spacing w:after="120"/>
        <w:ind w:left="720" w:right="720"/>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rsidR="0078310B" w:rsidRPr="00E07CC0" w:rsidRDefault="0078310B" w:rsidP="0078310B">
      <w:pPr>
        <w:widowControl w:val="0"/>
        <w:spacing w:after="120"/>
        <w:ind w:left="720" w:right="720"/>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rsidR="0078310B" w:rsidRPr="00E07CC0" w:rsidRDefault="0078310B" w:rsidP="0078310B">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rsidR="0078310B" w:rsidRPr="00E07CC0" w:rsidRDefault="0078310B" w:rsidP="0078310B">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rsidR="0078310B" w:rsidRDefault="0078310B" w:rsidP="0078310B">
      <w:pPr>
        <w:widowControl w:val="0"/>
        <w:spacing w:after="120"/>
        <w:ind w:left="720" w:right="720"/>
        <w:jc w:val="both"/>
      </w:pPr>
      <w:r w:rsidRPr="00E07CC0">
        <w:t>17. The tokes are given to dealers as a result of impulsive generosity or superstition on the part of players, and not as a form of compensation for services.</w:t>
      </w:r>
    </w:p>
    <w:p w:rsidR="0078310B" w:rsidRPr="00E07CC0" w:rsidRDefault="0078310B" w:rsidP="0078310B">
      <w:pPr>
        <w:widowControl w:val="0"/>
        <w:spacing w:after="120"/>
        <w:ind w:left="720" w:right="720"/>
        <w:jc w:val="both"/>
      </w:pPr>
      <w:r w:rsidRPr="00E07CC0">
        <w:t>18. Tokes are the result of detached and disinterested</w:t>
      </w:r>
      <w:r>
        <w:t xml:space="preserve"> </w:t>
      </w:r>
      <w:r w:rsidRPr="00E07CC0">
        <w:t>generosity on the part of a small number of patrons.</w:t>
      </w:r>
    </w:p>
    <w:p w:rsidR="0078310B" w:rsidRPr="00E07CC0" w:rsidRDefault="0078310B" w:rsidP="0078310B">
      <w:pPr>
        <w:widowControl w:val="0"/>
        <w:spacing w:after="120"/>
        <w:ind w:firstLine="288"/>
        <w:jc w:val="both"/>
      </w:pPr>
      <w:r w:rsidRPr="00E07CC0">
        <w:t xml:space="preserve">These two findings, together with the others set out above, bear the unmistakable imprint of </w:t>
      </w:r>
      <w:hyperlink r:id="rId361" w:history="1">
        <w:r>
          <w:rPr>
            <w:i/>
          </w:rPr>
          <w:t>Commissione</w:t>
        </w:r>
        <w:r w:rsidRPr="00111257">
          <w:rPr>
            <w:i/>
          </w:rPr>
          <w:t>r v. Duberstein</w:t>
        </w:r>
        <w:r>
          <w:t xml:space="preserve">, 363 U.S. 278 </w:t>
        </w:r>
        <w:r w:rsidRPr="00E07CC0">
          <w:t>(1959)</w:t>
        </w:r>
      </w:hyperlink>
      <w:r>
        <w:t xml:space="preserve"> ….</w:t>
      </w:r>
    </w:p>
    <w:p w:rsidR="0078310B" w:rsidRDefault="0078310B" w:rsidP="0078310B">
      <w:pPr>
        <w:widowControl w:val="0"/>
        <w:spacing w:after="120"/>
        <w:ind w:firstLine="288"/>
        <w:jc w:val="both"/>
      </w:pPr>
      <w:r w:rsidRPr="00E07CC0">
        <w:t xml:space="preserve">The position of the taxpayer is simple. The above findings conform to the meaning of gifts as used in </w:t>
      </w:r>
      <w:hyperlink r:id="rId362"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63"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rsidR="0078310B" w:rsidRDefault="0078310B" w:rsidP="0078310B">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rsidR="0078310B" w:rsidRDefault="0078310B" w:rsidP="0078310B">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64"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rsidR="0078310B" w:rsidRDefault="0078310B" w:rsidP="0078310B">
      <w:pPr>
        <w:widowControl w:val="0"/>
        <w:spacing w:after="120"/>
        <w:ind w:firstLine="288"/>
        <w:jc w:val="both"/>
      </w:pPr>
      <w:r w:rsidRPr="00E07CC0">
        <w:t>Our view is supported by Judge Sob</w:t>
      </w:r>
      <w:r>
        <w:t xml:space="preserve">eloff's opinion in </w:t>
      </w:r>
      <w:hyperlink r:id="rId365"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66" w:history="1">
        <w:r w:rsidRPr="00111257">
          <w:rPr>
            <w:i/>
          </w:rPr>
          <w:t>Id.</w:t>
        </w:r>
        <w:r w:rsidRPr="00E07CC0">
          <w:t xml:space="preserve"> at 290</w:t>
        </w:r>
      </w:hyperlink>
      <w:r w:rsidRPr="00E07CC0">
        <w:t xml:space="preserve">. </w:t>
      </w:r>
    </w:p>
    <w:p w:rsidR="0078310B" w:rsidRDefault="0078310B" w:rsidP="0078310B">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67" w:history="1">
        <w:r w:rsidRPr="00111257">
          <w:rPr>
            <w:i/>
          </w:rPr>
          <w:t>Comm’r v. LoBue</w:t>
        </w:r>
        <w:r w:rsidRPr="00E07CC0">
          <w:t>, 351 U.S. 243, 246</w:t>
        </w:r>
      </w:hyperlink>
      <w:r>
        <w:t>; ‘</w:t>
      </w:r>
      <w:r w:rsidRPr="00E07CC0">
        <w:t>out of affection, respect, admira</w:t>
      </w:r>
      <w:r>
        <w:t xml:space="preserve">tion, charity or like impulses.’” </w:t>
      </w:r>
      <w:hyperlink r:id="rId368"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rsidR="0078310B" w:rsidRDefault="0078310B" w:rsidP="0078310B">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rsidR="0078310B" w:rsidRDefault="0078310B" w:rsidP="0078310B">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rsidR="0078310B" w:rsidRDefault="0078310B" w:rsidP="0078310B">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9" w:history="1">
        <w:r w:rsidRPr="00111257">
          <w:rPr>
            <w:i/>
          </w:rPr>
          <w:t>Lawrence E. Bevers</w:t>
        </w:r>
        <w:r w:rsidRPr="00E07CC0">
          <w:t>, 26 T.C. 1218 (1956)</w:t>
        </w:r>
      </w:hyperlink>
      <w:r w:rsidRPr="00E07CC0">
        <w:t xml:space="preserve">, and this Circuit's view of tips as revealed in </w:t>
      </w:r>
      <w:hyperlink r:id="rId370"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rsidR="0078310B" w:rsidRDefault="0078310B" w:rsidP="00204715">
      <w:pPr>
        <w:widowControl w:val="0"/>
        <w:spacing w:after="120"/>
        <w:ind w:firstLine="288"/>
        <w:jc w:val="both"/>
      </w:pPr>
      <w:r w:rsidRPr="00E07CC0">
        <w:t>The taxpayer is not entitled to the refund he seeks. REVERSED.</w:t>
      </w:r>
    </w:p>
    <w:p w:rsidR="0078310B" w:rsidRDefault="0078310B" w:rsidP="0078310B">
      <w:pPr>
        <w:widowControl w:val="0"/>
        <w:jc w:val="center"/>
      </w:pPr>
      <w:r>
        <w:t>____________________________________</w:t>
      </w:r>
    </w:p>
    <w:p w:rsidR="0078310B" w:rsidRDefault="0078310B" w:rsidP="0078310B">
      <w:pPr>
        <w:pStyle w:val="Heading3"/>
        <w:spacing w:before="0" w:beforeAutospacing="0" w:after="0" w:afterAutospacing="0"/>
        <w:ind w:firstLine="288"/>
        <w:rPr>
          <w:b w:val="0"/>
        </w:rPr>
      </w:pPr>
      <w:bookmarkStart w:id="142" w:name="_Toc395790442"/>
    </w:p>
    <w:p w:rsidR="0078310B" w:rsidRPr="00A366AD" w:rsidRDefault="0078310B" w:rsidP="0078310B">
      <w:pPr>
        <w:pStyle w:val="Heading3"/>
        <w:spacing w:before="0" w:beforeAutospacing="0" w:after="120" w:afterAutospacing="0"/>
        <w:rPr>
          <w:i/>
        </w:rPr>
      </w:pPr>
      <w:r w:rsidRPr="00A366AD">
        <w:rPr>
          <w:i/>
        </w:rPr>
        <w:t>The relationship between § 61 and exclusion provisions</w:t>
      </w:r>
      <w:bookmarkEnd w:id="142"/>
    </w:p>
    <w:p w:rsidR="0078310B" w:rsidRDefault="0078310B" w:rsidP="0078310B">
      <w:pPr>
        <w:widowControl w:val="0"/>
        <w:spacing w:after="120"/>
        <w:ind w:firstLine="288"/>
        <w:jc w:val="both"/>
      </w:pPr>
      <w:r>
        <w:t xml:space="preserve">The introductory language to § 61—“[e]xcept as otherwise provided by this subtitle”—reminds us of the relationship between § 61 and statutory provisions that authorize an “exclusion” from Gross Income. Taxpayers need not search for an “exclusion” provision, such as § 102, if the receipt does not rise to the level of § 61 Gross Income in the first place. Only if an item would otherwise constitute Gross Income would the taxpayer scour the Code in search of statutory authority to “exclude” the receipt. </w:t>
      </w:r>
    </w:p>
    <w:p w:rsidR="0078310B" w:rsidRDefault="0078310B" w:rsidP="0078310B">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in kind). Thus,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income under this vague clause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generosity. Rather, VW Germany provided the trip because it anticipated (or at least hoped for) an economic benefit by convincing Mr. Gotcher to invest in a VW dealership.</w:t>
      </w:r>
    </w:p>
    <w:p w:rsidR="0078310B" w:rsidRDefault="0078310B" w:rsidP="0078310B">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exclusion surely would not be available under § 102, as the businesses providing those goodies to the presenters did so because of the anticipated advertising effect that they would enjoy when the stars paraded around wearing the jewelry and other items provided.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constituted “compensation”</w:t>
      </w:r>
      <w:r w:rsidRPr="00757230">
        <w:t xml:space="preserve"> (specifically includable under § 61(a)(1)) so that the residual clause and </w:t>
      </w:r>
      <w:r w:rsidRPr="002C4516">
        <w:rPr>
          <w:i/>
        </w:rPr>
        <w:t>Gotcher</w:t>
      </w:r>
      <w:r>
        <w:t xml:space="preserve"> are irrelevant. </w:t>
      </w:r>
    </w:p>
    <w:p w:rsidR="0078310B" w:rsidRDefault="0078310B" w:rsidP="0078310B">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For example, if your friend pays for your birthday trip to Bruges, Belgium, out of detached and disinterested generosity, do you lose the § 102 exclusion because the object of the gift was not “property”? Clearly no. Under the </w:t>
      </w:r>
      <w:r>
        <w:rPr>
          <w:i/>
        </w:rPr>
        <w:t xml:space="preserve">Old Colony Trust </w:t>
      </w:r>
      <w:r>
        <w:t xml:space="preserve">two-step, the free trip is, in substance, analyzed as the deemed receipt of cash (clearly property that could be excluded under § 102) followed by the donee’s purchase of the trip. </w:t>
      </w:r>
    </w:p>
    <w:p w:rsidR="0078310B" w:rsidRPr="00A366AD" w:rsidRDefault="0078310B" w:rsidP="0078310B">
      <w:pPr>
        <w:pStyle w:val="Heading3"/>
        <w:spacing w:before="0" w:beforeAutospacing="0" w:after="120" w:afterAutospacing="0"/>
        <w:rPr>
          <w:i/>
        </w:rPr>
      </w:pPr>
      <w:bookmarkStart w:id="143" w:name="_Toc395790443"/>
      <w:r w:rsidRPr="00A366AD">
        <w:rPr>
          <w:i/>
        </w:rPr>
        <w:t>Final thoughts</w:t>
      </w:r>
      <w:bookmarkEnd w:id="143"/>
    </w:p>
    <w:p w:rsidR="0078310B" w:rsidRDefault="0078310B" w:rsidP="0078310B">
      <w:pPr>
        <w:widowControl w:val="0"/>
        <w:spacing w:after="120"/>
        <w:ind w:firstLine="288"/>
        <w:jc w:val="both"/>
      </w:pPr>
      <w:r>
        <w:t xml:space="preserve">Finally, recall from Chapter 1 that one difference between a pure wealth tax and a pure SHS income tax is that the former taxes a dollar of wealth to the same taxpayer again and again while the latter taxes a dollar of wealth to the same taxpayer only once—in the year realized. You have learned in this chapter that the § 102 exclusion of gifts and bequests by the recipient coupled with the step up in basis at death under § 1014 deviate </w:t>
      </w:r>
      <w:r w:rsidRPr="001C6919">
        <w:rPr>
          <w:i/>
        </w:rPr>
        <w:t>radically</w:t>
      </w:r>
      <w:r>
        <w:t xml:space="preserve"> from SHS principles, with the result that much wealth (property appreciation) escapes taxation entirely, contributing to wealth inequality over time. Please click and read the following article: </w:t>
      </w:r>
    </w:p>
    <w:p w:rsidR="009C2F7A" w:rsidRDefault="002B3596" w:rsidP="009C2F7A">
      <w:pPr>
        <w:pStyle w:val="NormalWeb"/>
        <w:widowControl w:val="0"/>
        <w:spacing w:before="0" w:beforeAutospacing="0" w:after="120" w:afterAutospacing="0"/>
        <w:jc w:val="both"/>
      </w:pPr>
      <w:hyperlink r:id="rId371" w:history="1">
        <w:r w:rsidR="009C2F7A" w:rsidRPr="00891E01">
          <w:rPr>
            <w:rStyle w:val="Hyperlink"/>
          </w:rPr>
          <w:t>http://www.nytimes.com/2013/02/10/business/yourtaxes/a-wealth-tax-would-look-beyond-income.html?_r=1</w:t>
        </w:r>
      </w:hyperlink>
      <w:r w:rsidR="009C2F7A">
        <w:t xml:space="preserve"> </w:t>
      </w:r>
    </w:p>
    <w:p w:rsidR="0078310B" w:rsidRDefault="0078310B" w:rsidP="0078310B">
      <w:pPr>
        <w:pStyle w:val="NormalWeb"/>
        <w:widowControl w:val="0"/>
        <w:spacing w:before="0" w:beforeAutospacing="0" w:after="0" w:afterAutospacing="0"/>
        <w:ind w:firstLine="288"/>
        <w:jc w:val="both"/>
      </w:pPr>
      <w:r>
        <w:t>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require a constitutional amendment, making it unlikely (if not impossible).</w:t>
      </w:r>
      <w:r>
        <w:rPr>
          <w:rStyle w:val="FootnoteReference"/>
        </w:rPr>
        <w:footnoteReference w:id="264"/>
      </w:r>
      <w:r>
        <w:t xml:space="preserve"> The estate and gift taxes, which are not imposed annually but rather only on the act of transferring wealth, are indirect excise taxes (on the act of transfer) that escape the apportionment requirement. As noted earlier, however, the combination of the realization requirement, § 1014, and the </w:t>
      </w:r>
      <w:r w:rsidR="00B15A2B">
        <w:t xml:space="preserve">high </w:t>
      </w:r>
      <w:r>
        <w:t xml:space="preserve">estate and gift tax exemption amount means that a good deal of wealth is never taxed to either the donor or donee under either the income tax or wealth transfer taxes. </w:t>
      </w:r>
    </w:p>
    <w:p w:rsidR="0078310B" w:rsidRPr="005B00BC" w:rsidRDefault="0078310B" w:rsidP="0078310B">
      <w:pPr>
        <w:pStyle w:val="NormalWeb"/>
        <w:widowControl w:val="0"/>
        <w:spacing w:before="0" w:beforeAutospacing="0" w:after="0" w:afterAutospacing="0"/>
        <w:ind w:firstLine="288"/>
        <w:jc w:val="both"/>
      </w:pPr>
    </w:p>
    <w:p w:rsidR="0078310B" w:rsidRPr="00203852" w:rsidRDefault="0078310B" w:rsidP="0078310B">
      <w:pPr>
        <w:pStyle w:val="Heading2"/>
        <w:spacing w:before="0"/>
        <w:rPr>
          <w:sz w:val="32"/>
          <w:szCs w:val="32"/>
          <w:u w:val="single"/>
        </w:rPr>
      </w:pPr>
      <w:bookmarkStart w:id="144" w:name="_Toc395790444"/>
      <w:r w:rsidRPr="00203852">
        <w:rPr>
          <w:sz w:val="32"/>
          <w:szCs w:val="32"/>
          <w:u w:val="single"/>
        </w:rPr>
        <w:t>C. Life insurance proceeds received on death of the insured</w:t>
      </w:r>
      <w:bookmarkEnd w:id="144"/>
    </w:p>
    <w:p w:rsidR="0078310B" w:rsidRDefault="0078310B" w:rsidP="0078310B">
      <w:pPr>
        <w:widowControl w:val="0"/>
        <w:ind w:firstLine="288"/>
        <w:jc w:val="both"/>
      </w:pPr>
    </w:p>
    <w:p w:rsidR="0078310B" w:rsidRDefault="002B3596" w:rsidP="0078310B">
      <w:pPr>
        <w:widowControl w:val="0"/>
        <w:spacing w:after="120"/>
        <w:ind w:firstLine="288"/>
        <w:jc w:val="both"/>
      </w:pPr>
      <w:hyperlink r:id="rId372" w:history="1">
        <w:r w:rsidR="0078310B" w:rsidRPr="00B26C12">
          <w:rPr>
            <w:rStyle w:val="Hyperlink"/>
          </w:rPr>
          <w:t>Section 101</w:t>
        </w:r>
      </w:hyperlink>
      <w:r w:rsidR="0078310B" w:rsidRPr="0048054B">
        <w:t>(a)(1)</w:t>
      </w:r>
      <w:r w:rsidR="0078310B">
        <w:t xml:space="preserve"> </w:t>
      </w:r>
      <w:r w:rsidR="0078310B"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73" w:history="1">
        <w:r w:rsidR="0078310B" w:rsidRPr="00B26C12">
          <w:rPr>
            <w:rStyle w:val="Hyperlink"/>
          </w:rPr>
          <w:t>§ 262</w:t>
        </w:r>
      </w:hyperlink>
      <w:r w:rsidR="0078310B"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74" w:history="1">
        <w:r w:rsidR="0078310B" w:rsidRPr="00B26C12">
          <w:rPr>
            <w:rStyle w:val="Hyperlink"/>
          </w:rPr>
          <w:t>§ 162</w:t>
        </w:r>
      </w:hyperlink>
      <w:r w:rsidR="0078310B" w:rsidRPr="00BD358F">
        <w:t>. Indeed, the tax-free nature of the proceeds on death has caused a dramatic expansion of this practice in the corporate context over the last several decades, with some businesses taking out life insurance policies on most or all of their employees—not just key empl</w:t>
      </w:r>
      <w:r w:rsidR="0078310B">
        <w:t>oyees—sometimes referred to as “janitors” or “peasants”</w:t>
      </w:r>
      <w:r w:rsidR="0078310B" w:rsidRPr="00BD358F">
        <w:t xml:space="preserve"> insurance. Prior to a change in law in 2006, many of these employees were unaware that their employer had purchased life insurance policies on their lives, and the company may collect many decades later when the insured is no longer even employed by the company. Please click and read the following article:</w:t>
      </w:r>
    </w:p>
    <w:p w:rsidR="0078310B" w:rsidRDefault="002B3596" w:rsidP="00B26C12">
      <w:pPr>
        <w:spacing w:after="120"/>
      </w:pPr>
      <w:hyperlink r:id="rId375" w:history="1">
        <w:r w:rsidR="00B26C12" w:rsidRPr="00891E01">
          <w:rPr>
            <w:rStyle w:val="Hyperlink"/>
          </w:rPr>
          <w:t>http://dealbook.nytimes.com/2014/06/22/an-employee-dies-and-the-company-collects-the-insurance/?_php=true&amp;_type=blogs&amp;_r=0</w:t>
        </w:r>
      </w:hyperlink>
      <w:r w:rsidR="00B26C12">
        <w:t xml:space="preserve"> </w:t>
      </w:r>
    </w:p>
    <w:p w:rsidR="0078310B" w:rsidRPr="005144C1" w:rsidRDefault="0078310B" w:rsidP="0078310B">
      <w:pPr>
        <w:pStyle w:val="Heading3"/>
        <w:spacing w:before="0" w:beforeAutospacing="0" w:after="120" w:afterAutospacing="0"/>
        <w:rPr>
          <w:i/>
        </w:rPr>
      </w:pPr>
      <w:bookmarkStart w:id="145" w:name="_Toc395790445"/>
      <w:r>
        <w:rPr>
          <w:i/>
        </w:rPr>
        <w:t>I</w:t>
      </w:r>
      <w:r w:rsidRPr="005144C1">
        <w:rPr>
          <w:i/>
        </w:rPr>
        <w:t>s the § 101(a)(1) exclusion justified?</w:t>
      </w:r>
      <w:bookmarkEnd w:id="145"/>
    </w:p>
    <w:p w:rsidR="0078310B" w:rsidRDefault="00BF757A" w:rsidP="0078310B">
      <w:pPr>
        <w:widowControl w:val="0"/>
        <w:spacing w:after="120"/>
        <w:ind w:firstLine="288"/>
        <w:jc w:val="both"/>
      </w:pPr>
      <w:r>
        <w:t xml:space="preserve">The rationale underlying </w:t>
      </w:r>
      <w:r w:rsidR="0078310B">
        <w:t xml:space="preserve">the § 101(a)(1) exclusion is just as cloudy as that underlying § 102(a) but was likely premised on the same dated “capital receipts” analysis discussed earlier. That is to say, the lump sum, nonperiodic receipt was not considered an “income” receipt but rather a “capital” receipt that, once invested, would produce future “income” under old-fashioned, Victorian-era analysis. Perhaps it survives today by analogy to a “bequest” made through the vehicle of an insurance company. </w:t>
      </w:r>
      <w:r w:rsidR="0078310B" w:rsidRPr="0048054B">
        <w:t>Does the bequest-like nature ring true, however,</w:t>
      </w:r>
      <w:r w:rsidR="0078310B">
        <w:t xml:space="preserve"> in the case of janitors insurance? </w:t>
      </w:r>
    </w:p>
    <w:p w:rsidR="0078310B" w:rsidRPr="005144C1" w:rsidRDefault="0078310B" w:rsidP="0078310B">
      <w:pPr>
        <w:pStyle w:val="Heading3"/>
        <w:spacing w:before="0" w:beforeAutospacing="0" w:after="120" w:afterAutospacing="0"/>
        <w:rPr>
          <w:i/>
        </w:rPr>
      </w:pPr>
      <w:bookmarkStart w:id="146" w:name="_Toc395790446"/>
      <w:r w:rsidRPr="005144C1">
        <w:rPr>
          <w:i/>
        </w:rPr>
        <w:t>Sales of life insurance policies to investors</w:t>
      </w:r>
      <w:bookmarkEnd w:id="146"/>
    </w:p>
    <w:p w:rsidR="0078310B" w:rsidRDefault="0078310B" w:rsidP="0078310B">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rsidR="0078310B" w:rsidRPr="001C7458" w:rsidRDefault="0078310B" w:rsidP="0078310B">
      <w:pPr>
        <w:pStyle w:val="NormalWeb"/>
        <w:widowControl w:val="0"/>
        <w:spacing w:before="0" w:beforeAutospacing="0" w:after="0" w:afterAutospacing="0"/>
        <w:ind w:left="720" w:right="720"/>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rsidR="0078310B" w:rsidRDefault="0078310B" w:rsidP="0078310B">
      <w:pPr>
        <w:pStyle w:val="NormalWeb"/>
        <w:widowControl w:val="0"/>
        <w:spacing w:before="0" w:beforeAutospacing="0" w:after="120" w:afterAutospacing="0"/>
        <w:ind w:left="720" w:right="720"/>
        <w:jc w:val="both"/>
      </w:pPr>
      <w:r>
        <w:t>…</w:t>
      </w:r>
    </w:p>
    <w:p w:rsidR="0078310B" w:rsidRDefault="0078310B" w:rsidP="0078310B">
      <w:pPr>
        <w:pStyle w:val="NormalWeb"/>
        <w:widowControl w:val="0"/>
        <w:spacing w:before="0" w:beforeAutospacing="0" w:after="0" w:afterAutospacing="0"/>
        <w:ind w:left="720" w:right="720"/>
        <w:jc w:val="both"/>
      </w:pPr>
      <w:r w:rsidRPr="001C7458">
        <w:t>The life-insurance market was once even more freewheeling. In 18th-century England, people took out policies on prominent figures in ill health. The practice was eventually deemed gambling. It led to laws like those in U.S. states today, which generally require that the person who takes out a policy have an established relationship at the time with the insured.</w:t>
      </w:r>
      <w:r>
        <w:t xml:space="preserve"> </w:t>
      </w:r>
      <w:r w:rsidRPr="001C7458">
        <w:t>Once purchased, however, the policy is considered property of the policyholder, who is free within certain limits to use it at will. That includes selling to someone else the rights to collect the benefits.</w:t>
      </w:r>
    </w:p>
    <w:p w:rsidR="0078310B" w:rsidRDefault="0078310B" w:rsidP="0078310B">
      <w:pPr>
        <w:pStyle w:val="NormalWeb"/>
        <w:widowControl w:val="0"/>
        <w:spacing w:before="0" w:beforeAutospacing="0" w:after="120" w:afterAutospacing="0"/>
        <w:ind w:left="720" w:right="720"/>
        <w:jc w:val="both"/>
      </w:pPr>
      <w:r>
        <w:t>…</w:t>
      </w:r>
    </w:p>
    <w:p w:rsidR="0078310B" w:rsidRPr="001C7458" w:rsidRDefault="0078310B" w:rsidP="0078310B">
      <w:pPr>
        <w:pStyle w:val="NormalWeb"/>
        <w:widowControl w:val="0"/>
        <w:spacing w:before="0" w:beforeAutospacing="0" w:after="0" w:afterAutospacing="0"/>
        <w:ind w:left="720" w:right="720"/>
        <w:jc w:val="both"/>
      </w:pPr>
      <w:r w:rsidRPr="001C7458">
        <w:t xml:space="preserve">Now banks including </w:t>
      </w:r>
      <w:hyperlink r:id="rId376" w:history="1">
        <w:r w:rsidRPr="001C7458">
          <w:t>Goldman Sachs Group</w:t>
        </w:r>
      </w:hyperlink>
      <w:r w:rsidRPr="001C7458">
        <w:t xml:space="preserve"> Inc., </w:t>
      </w:r>
      <w:hyperlink r:id="rId377" w:history="1">
        <w:r w:rsidRPr="001C7458">
          <w:t>Credit Suisse Group</w:t>
        </w:r>
      </w:hyperlink>
      <w:r>
        <w:t>,</w:t>
      </w:r>
      <w:r w:rsidRPr="001C7458">
        <w:t xml:space="preserve"> and </w:t>
      </w:r>
      <w:hyperlink r:id="rId378" w:history="1">
        <w:r w:rsidRPr="001C7458">
          <w:t>Bear Stearns</w:t>
        </w:r>
      </w:hyperlink>
      <w:r w:rsidRPr="001C7458">
        <w:t xml:space="preserve"> Cos. want to expand the industry further. In April</w:t>
      </w:r>
      <w:r>
        <w:t xml:space="preserve"> [2006]</w:t>
      </w:r>
      <w:r w:rsidRPr="001C7458">
        <w:t>, these banks helped form the Institutional Life Markets Association to lobby against efforts to restrict the business. Some Wall Street firms are also seeking to buy policies more directly, trying to cut out parties such as Coventry</w:t>
      </w:r>
      <w:r>
        <w:t xml:space="preserve"> [a life settlement firm]</w:t>
      </w:r>
      <w:r w:rsidRPr="001C7458">
        <w:t>. This year, Cantor Fitzgerald LP set up an Internet-based exchange for those who want to sell or buy policy rights.</w:t>
      </w:r>
    </w:p>
    <w:p w:rsidR="0078310B" w:rsidRDefault="0078310B" w:rsidP="0078310B">
      <w:pPr>
        <w:pStyle w:val="NormalWeb"/>
        <w:widowControl w:val="0"/>
        <w:spacing w:before="0" w:beforeAutospacing="0" w:after="120" w:afterAutospacing="0"/>
        <w:ind w:left="720" w:right="720"/>
        <w:jc w:val="both"/>
      </w:pPr>
      <w:r>
        <w:t>…</w:t>
      </w:r>
    </w:p>
    <w:p w:rsidR="0078310B" w:rsidRPr="001C7458" w:rsidRDefault="0078310B" w:rsidP="0078310B">
      <w:pPr>
        <w:pStyle w:val="NormalWeb"/>
        <w:widowControl w:val="0"/>
        <w:spacing w:before="0" w:beforeAutospacing="0" w:after="120" w:afterAutospacing="0"/>
        <w:ind w:left="720" w:right="720"/>
        <w:jc w:val="both"/>
      </w:pPr>
      <w:r w:rsidRPr="001C7458">
        <w:t>In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65"/>
      </w:r>
    </w:p>
    <w:p w:rsidR="0078310B" w:rsidRDefault="0078310B" w:rsidP="0078310B">
      <w:pPr>
        <w:widowControl w:val="0"/>
        <w:ind w:firstLine="288"/>
        <w:jc w:val="both"/>
      </w:pPr>
      <w:r>
        <w:t xml:space="preserve">When the policy purchaser receives the death benefits, can the purchaser exclude the entire proceeds? </w:t>
      </w:r>
      <w:r>
        <w:rPr>
          <w:i/>
        </w:rPr>
        <w:t xml:space="preserve">See </w:t>
      </w:r>
      <w:r>
        <w:t>§ 101(a)(2).</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47" w:name="_Toc395790447"/>
      <w:r w:rsidRPr="005144C1">
        <w:rPr>
          <w:u w:val="single"/>
        </w:rPr>
        <w:t>Problem</w:t>
      </w:r>
      <w:bookmarkEnd w:id="147"/>
      <w:r>
        <w:rPr>
          <w:u w:val="single"/>
        </w:rPr>
        <w:t>s</w:t>
      </w:r>
    </w:p>
    <w:p w:rsidR="0078310B" w:rsidRPr="00203852" w:rsidRDefault="0078310B" w:rsidP="0078310B">
      <w:pPr>
        <w:pStyle w:val="Heading3"/>
        <w:spacing w:before="0" w:beforeAutospacing="0" w:after="0" w:afterAutospacing="0"/>
        <w:jc w:val="center"/>
        <w:rPr>
          <w:b w:val="0"/>
        </w:rPr>
      </w:pPr>
    </w:p>
    <w:p w:rsidR="0078310B" w:rsidRDefault="0078310B" w:rsidP="0078310B">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rsidR="0078310B" w:rsidRDefault="0078310B" w:rsidP="0078310B">
      <w:pPr>
        <w:pStyle w:val="NormalWeb"/>
        <w:widowControl w:val="0"/>
        <w:spacing w:before="0" w:beforeAutospacing="0" w:after="0" w:afterAutospacing="0"/>
        <w:ind w:firstLine="288"/>
        <w:jc w:val="both"/>
      </w:pPr>
    </w:p>
    <w:p w:rsidR="0078310B" w:rsidRDefault="0078310B" w:rsidP="0078310B">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 (instead of Beulah). How much must Investor include in Gross Income? </w:t>
      </w:r>
    </w:p>
    <w:p w:rsidR="0078310B" w:rsidRDefault="0078310B" w:rsidP="0078310B">
      <w:pPr>
        <w:pStyle w:val="NormalWeb"/>
        <w:widowControl w:val="0"/>
        <w:spacing w:before="0" w:beforeAutospacing="0" w:after="0" w:afterAutospacing="0"/>
        <w:ind w:firstLine="288"/>
        <w:jc w:val="both"/>
        <w:sectPr w:rsidR="0078310B" w:rsidSect="005337BA">
          <w:headerReference w:type="default" r:id="rId379"/>
          <w:footnotePr>
            <w:numRestart w:val="eachSect"/>
          </w:footnotePr>
          <w:pgSz w:w="12240" w:h="15840"/>
          <w:pgMar w:top="1440" w:right="1440" w:bottom="1440" w:left="1440" w:header="1008" w:footer="720" w:gutter="0"/>
          <w:cols w:space="720"/>
          <w:titlePg/>
          <w:docGrid w:linePitch="360"/>
        </w:sectPr>
      </w:pPr>
    </w:p>
    <w:p w:rsidR="0078310B" w:rsidRDefault="0078310B" w:rsidP="0078310B">
      <w:pPr>
        <w:pStyle w:val="NormalWeb"/>
        <w:widowControl w:val="0"/>
        <w:spacing w:before="0" w:beforeAutospacing="0" w:after="0" w:afterAutospacing="0"/>
        <w:ind w:firstLine="288"/>
        <w:jc w:val="both"/>
        <w:sectPr w:rsidR="0078310B" w:rsidSect="005337BA">
          <w:footnotePr>
            <w:numRestart w:val="eachSect"/>
          </w:footnotePr>
          <w:pgSz w:w="12240" w:h="15840"/>
          <w:pgMar w:top="1440" w:right="1440" w:bottom="1440" w:left="1440" w:header="720" w:footer="720" w:gutter="0"/>
          <w:cols w:space="720"/>
          <w:titlePg/>
          <w:docGrid w:linePitch="360"/>
        </w:sectPr>
      </w:pPr>
    </w:p>
    <w:p w:rsidR="0078310B" w:rsidRPr="00203852" w:rsidRDefault="0078310B" w:rsidP="0078310B">
      <w:pPr>
        <w:pStyle w:val="Heading2"/>
        <w:spacing w:before="0"/>
        <w:rPr>
          <w:sz w:val="36"/>
          <w:szCs w:val="36"/>
          <w:u w:val="single"/>
        </w:rPr>
      </w:pPr>
      <w:bookmarkStart w:id="148" w:name="_Toc395790448"/>
      <w:r w:rsidRPr="00203852">
        <w:rPr>
          <w:sz w:val="36"/>
          <w:szCs w:val="36"/>
          <w:u w:val="single"/>
        </w:rPr>
        <w:t>Chapter 8: Income Shifting in the Happy Family</w:t>
      </w:r>
      <w:bookmarkEnd w:id="148"/>
    </w:p>
    <w:p w:rsidR="0078310B" w:rsidRDefault="0078310B" w:rsidP="0078310B">
      <w:pPr>
        <w:widowControl w:val="0"/>
        <w:spacing w:after="120"/>
        <w:jc w:val="both"/>
      </w:pPr>
    </w:p>
    <w:p w:rsidR="0078310B" w:rsidRDefault="0078310B" w:rsidP="0078310B">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80" w:history="1">
        <w:r w:rsidRPr="004D6581">
          <w:rPr>
            <w:rStyle w:val="Hyperlink"/>
          </w:rPr>
          <w:t>§ 262</w:t>
        </w:r>
      </w:hyperlink>
      <w:r>
        <w:t xml:space="preserve">(a), and the receipt by the donee is excludable from Gross Income under </w:t>
      </w:r>
      <w:hyperlink r:id="rId381" w:history="1">
        <w:r w:rsidRPr="004D6581">
          <w:rPr>
            <w:rStyle w:val="Hyperlink"/>
          </w:rPr>
          <w:t>§ 102</w:t>
        </w:r>
      </w:hyperlink>
      <w:r>
        <w:t xml:space="preserve">(a). Thus, the wages earned to fund the cash gift are effectively taxed to the donor at the donor’s tax rates (rather than to the donee at the donee’s tax rates). </w:t>
      </w:r>
    </w:p>
    <w:p w:rsidR="0078310B" w:rsidRDefault="0078310B" w:rsidP="0078310B">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82" w:history="1">
        <w:r w:rsidRPr="004D6581">
          <w:rPr>
            <w:rStyle w:val="Hyperlink"/>
          </w:rPr>
          <w:t>§ 1015</w:t>
        </w:r>
      </w:hyperlink>
      <w:r>
        <w:t xml:space="preserve"> generally provides for a carryover basis in the hands of the donee. Thus, built-in gain will effectively be shifted to the donee and taxed at the donee’s (possibly lower) marginal rate when realized (unless, of course, the donee retains the property until death, at which time the built-in gain will be laundered out under </w:t>
      </w:r>
      <w:hyperlink r:id="rId383" w:history="1">
        <w:r w:rsidRPr="004D6581">
          <w:rPr>
            <w:rStyle w:val="Hyperlink"/>
          </w:rPr>
          <w:t>§ 1014</w:t>
        </w:r>
      </w:hyperlink>
      <w:r>
        <w:t>).</w:t>
      </w:r>
      <w:r>
        <w:rPr>
          <w:rStyle w:val="FootnoteReference"/>
        </w:rPr>
        <w:footnoteReference w:id="266"/>
      </w:r>
      <w:r>
        <w:t xml:space="preserve"> </w:t>
      </w:r>
    </w:p>
    <w:p w:rsidR="0078310B" w:rsidRDefault="0078310B" w:rsidP="0078310B">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the happy family, as well as reactions by both Congress and the courts to such attempts. </w:t>
      </w:r>
    </w:p>
    <w:p w:rsidR="0078310B" w:rsidRDefault="0078310B" w:rsidP="0078310B">
      <w:pPr>
        <w:widowControl w:val="0"/>
        <w:ind w:firstLine="288"/>
        <w:jc w:val="both"/>
      </w:pPr>
      <w:r>
        <w:t xml:space="preserve">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w:t>
      </w:r>
      <w:r w:rsidR="00D15C75">
        <w:t xml:space="preserve">(or more) </w:t>
      </w:r>
      <w:r>
        <w:t xml:space="preserve">taxpayers for tax purposes may mean that the lower brackets can effectively be used twice rather than only once, as would occur if the entire amount must be included by only one taxpayer. Part A. considers income splitting via the joint return, and Part B. considers </w:t>
      </w:r>
      <w:r w:rsidR="00D15C75">
        <w:t xml:space="preserve">other </w:t>
      </w:r>
      <w:r>
        <w:t>income-shifting possib</w:t>
      </w:r>
      <w:r w:rsidR="00D15C75">
        <w:t>ilities</w:t>
      </w:r>
      <w:r>
        <w:t>.</w:t>
      </w:r>
    </w:p>
    <w:p w:rsidR="0078310B" w:rsidRDefault="0078310B" w:rsidP="0078310B">
      <w:pPr>
        <w:widowControl w:val="0"/>
        <w:ind w:firstLine="288"/>
        <w:jc w:val="both"/>
      </w:pPr>
    </w:p>
    <w:p w:rsidR="0078310B" w:rsidRPr="00203852" w:rsidRDefault="0078310B" w:rsidP="0078310B">
      <w:pPr>
        <w:pStyle w:val="Heading2"/>
        <w:spacing w:before="0"/>
        <w:rPr>
          <w:sz w:val="32"/>
          <w:szCs w:val="32"/>
          <w:u w:val="single"/>
        </w:rPr>
      </w:pPr>
      <w:bookmarkStart w:id="149" w:name="_Toc395790449"/>
      <w:r w:rsidRPr="00203852">
        <w:rPr>
          <w:sz w:val="32"/>
          <w:szCs w:val="32"/>
          <w:u w:val="single"/>
        </w:rPr>
        <w:t>A. Income splitting via the joint return</w:t>
      </w:r>
      <w:bookmarkEnd w:id="149"/>
    </w:p>
    <w:p w:rsidR="0078310B" w:rsidRDefault="0078310B" w:rsidP="0078310B">
      <w:pPr>
        <w:widowControl w:val="0"/>
        <w:jc w:val="both"/>
      </w:pPr>
    </w:p>
    <w:p w:rsidR="0078310B" w:rsidRDefault="0078310B" w:rsidP="0078310B">
      <w:pPr>
        <w:widowControl w:val="0"/>
        <w:ind w:firstLine="288"/>
        <w:jc w:val="both"/>
      </w:pPr>
      <w:r>
        <w:t xml:space="preserve">The place to start is </w:t>
      </w:r>
      <w:r>
        <w:rPr>
          <w:i/>
        </w:rPr>
        <w:t>Lucas v. Earl</w:t>
      </w:r>
      <w:r>
        <w:t>.</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50" w:name="_Toc395790450"/>
      <w:r>
        <w:t>LUCAS v. EARL</w:t>
      </w:r>
      <w:bookmarkEnd w:id="150"/>
    </w:p>
    <w:p w:rsidR="0078310B" w:rsidRDefault="0078310B" w:rsidP="0078310B">
      <w:pPr>
        <w:widowControl w:val="0"/>
        <w:jc w:val="center"/>
      </w:pPr>
      <w:r>
        <w:t>281 U.S. 111 (1930)</w:t>
      </w:r>
    </w:p>
    <w:p w:rsidR="0078310B" w:rsidRPr="004449A4" w:rsidRDefault="0078310B" w:rsidP="0078310B">
      <w:pPr>
        <w:widowControl w:val="0"/>
        <w:jc w:val="both"/>
      </w:pPr>
    </w:p>
    <w:p w:rsidR="0078310B" w:rsidRPr="004449A4" w:rsidRDefault="0078310B" w:rsidP="0078310B">
      <w:pPr>
        <w:widowControl w:val="0"/>
        <w:spacing w:after="120"/>
        <w:ind w:firstLine="288"/>
        <w:jc w:val="both"/>
      </w:pPr>
      <w:r w:rsidRPr="004449A4">
        <w:t>MR. JUSTICE HOLMES delivered the opinion of the Court.</w:t>
      </w:r>
    </w:p>
    <w:p w:rsidR="0078310B" w:rsidRPr="004449A4" w:rsidRDefault="0078310B" w:rsidP="0078310B">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w:t>
      </w:r>
      <w:hyperlink r:id="rId384" w:history="1">
        <w:r>
          <w:t xml:space="preserve">Circuit Court of Appeals. </w:t>
        </w:r>
      </w:hyperlink>
      <w:r w:rsidRPr="004449A4">
        <w:t>A writ of certiorari was granted by this Court.</w:t>
      </w:r>
    </w:p>
    <w:p w:rsidR="0078310B" w:rsidRPr="004449A4" w:rsidRDefault="0078310B" w:rsidP="0078310B">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rsidR="0078310B" w:rsidRPr="004449A4" w:rsidRDefault="0078310B" w:rsidP="0078310B">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78310B" w:rsidRDefault="0078310B" w:rsidP="0078310B">
      <w:pPr>
        <w:widowControl w:val="0"/>
        <w:ind w:firstLine="288"/>
        <w:jc w:val="both"/>
      </w:pPr>
      <w:r w:rsidRPr="004449A4">
        <w:t>Judgment reversed.</w:t>
      </w:r>
    </w:p>
    <w:p w:rsidR="0078310B" w:rsidRDefault="0078310B" w:rsidP="0078310B">
      <w:pPr>
        <w:widowControl w:val="0"/>
        <w:jc w:val="center"/>
      </w:pPr>
      <w:r>
        <w:t>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w:t>
      </w:r>
      <w:r w:rsidR="008B4C49">
        <w:t xml:space="preserve">f income had no effect for tax </w:t>
      </w:r>
      <w:r>
        <w:t>purposes?</w:t>
      </w:r>
    </w:p>
    <w:p w:rsidR="0078310B" w:rsidRDefault="0078310B" w:rsidP="0078310B">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rsidR="0078310B" w:rsidRDefault="0078310B" w:rsidP="0078310B">
      <w:pPr>
        <w:widowControl w:val="0"/>
        <w:ind w:firstLine="288"/>
        <w:jc w:val="both"/>
      </w:pPr>
      <w:r>
        <w:rPr>
          <w:i/>
        </w:rPr>
        <w:t>Lucas v. Earl</w:t>
      </w:r>
      <w:r>
        <w:t xml:space="preserve"> and </w:t>
      </w:r>
      <w:r>
        <w:rPr>
          <w:i/>
        </w:rPr>
        <w:t>Poe v. Seaborn</w:t>
      </w:r>
      <w:r>
        <w:t>, though decided in the very same term of Court, came to very different outcomes. Why?</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51" w:name="_Toc395790451"/>
      <w:r>
        <w:t>POE v. SEABORN</w:t>
      </w:r>
      <w:bookmarkEnd w:id="151"/>
    </w:p>
    <w:p w:rsidR="0078310B" w:rsidRDefault="0078310B" w:rsidP="0078310B">
      <w:pPr>
        <w:widowControl w:val="0"/>
        <w:jc w:val="center"/>
      </w:pPr>
      <w:r>
        <w:t>282 U.S. 101 (1930)</w:t>
      </w:r>
    </w:p>
    <w:p w:rsidR="0078310B" w:rsidRDefault="0078310B" w:rsidP="0078310B">
      <w:pPr>
        <w:widowControl w:val="0"/>
        <w:ind w:firstLine="288"/>
        <w:jc w:val="both"/>
      </w:pPr>
    </w:p>
    <w:p w:rsidR="0078310B" w:rsidRPr="0067186E" w:rsidRDefault="0078310B" w:rsidP="0078310B">
      <w:pPr>
        <w:widowControl w:val="0"/>
        <w:spacing w:after="120"/>
        <w:ind w:firstLine="288"/>
        <w:jc w:val="both"/>
      </w:pPr>
      <w:r>
        <w:rPr>
          <w:smallCaps/>
        </w:rPr>
        <w:t>Mr.Justice Rogerts</w:t>
      </w:r>
      <w:r w:rsidRPr="0067186E">
        <w:t xml:space="preserve"> delivered the opinion of the Court.</w:t>
      </w:r>
    </w:p>
    <w:p w:rsidR="0078310B" w:rsidRPr="0067186E" w:rsidRDefault="0078310B" w:rsidP="0078310B">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78310B" w:rsidRPr="0067186E" w:rsidRDefault="0078310B" w:rsidP="0078310B">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rsidR="0078310B" w:rsidRPr="0067186E" w:rsidRDefault="0078310B" w:rsidP="0078310B">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78310B" w:rsidRPr="0067186E" w:rsidRDefault="0078310B" w:rsidP="0078310B">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rsidR="0078310B" w:rsidRPr="0067186E" w:rsidRDefault="0078310B" w:rsidP="0078310B">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rsidR="0078310B" w:rsidRPr="0067186E" w:rsidRDefault="0078310B" w:rsidP="0078310B">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85" w:history="1">
        <w:r w:rsidRPr="004A0283">
          <w:rPr>
            <w:i/>
          </w:rPr>
          <w:t>Fielding v. Ketler</w:t>
        </w:r>
        <w:r w:rsidRPr="0067186E">
          <w:t>, 86 Wash. 194</w:t>
        </w:r>
      </w:hyperlink>
      <w:r w:rsidRPr="0067186E">
        <w:t>). Since the husband may not discharge his separate obligation out of community property, she may, suing alone, enjoin collection of his separate debt out of community property (</w:t>
      </w:r>
      <w:r w:rsidRPr="004A0283">
        <w:rPr>
          <w:i/>
        </w:rPr>
        <w:t>Fidelity &amp; Deposit Co. v.</w:t>
      </w:r>
      <w:r w:rsidRPr="0067186E">
        <w:t xml:space="preserve"> </w:t>
      </w:r>
      <w:hyperlink r:id="rId386" w:history="1">
        <w:r w:rsidRPr="004A0283">
          <w:rPr>
            <w:i/>
          </w:rPr>
          <w:t>Clark</w:t>
        </w:r>
        <w:r w:rsidRPr="0067186E">
          <w:t>, 144 Wash. 520</w:t>
        </w:r>
      </w:hyperlink>
      <w:r w:rsidRPr="0067186E">
        <w:t>). She may prevent his making substantial gifts out of community</w:t>
      </w:r>
      <w:r>
        <w:t xml:space="preserve"> property without her consent (</w:t>
      </w:r>
      <w:hyperlink r:id="rId387"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88"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89"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90" w:history="1">
        <w:r w:rsidRPr="0067186E">
          <w:t>92 Wash. 133</w:t>
        </w:r>
      </w:hyperlink>
      <w:r w:rsidRPr="0067186E">
        <w:t xml:space="preserve">); </w:t>
      </w:r>
      <w:r>
        <w:t xml:space="preserve">“the title of one spouse … </w:t>
      </w:r>
      <w:r w:rsidRPr="0067186E">
        <w:t>was a legal title as well as that of the other</w:t>
      </w:r>
      <w:r>
        <w:t>” (</w:t>
      </w:r>
      <w:hyperlink r:id="rId391" w:history="1">
        <w:r w:rsidRPr="004A0283">
          <w:rPr>
            <w:i/>
          </w:rPr>
          <w:t>Mabie v. Whittaker</w:t>
        </w:r>
        <w:r w:rsidRPr="0067186E">
          <w:t>, 10 Wash. 656, 663)</w:t>
        </w:r>
      </w:hyperlink>
      <w:r w:rsidRPr="0067186E">
        <w:t>.</w:t>
      </w:r>
    </w:p>
    <w:p w:rsidR="0078310B" w:rsidRPr="0067186E" w:rsidRDefault="0078310B" w:rsidP="0078310B">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92" w:history="1">
        <w:r w:rsidRPr="004A0283">
          <w:rPr>
            <w:i/>
          </w:rPr>
          <w:t>Warburton v. White</w:t>
        </w:r>
        <w:r w:rsidRPr="0067186E">
          <w:t>, 176 U.S. 484</w:t>
        </w:r>
      </w:hyperlink>
      <w:r w:rsidRPr="0067186E">
        <w:t>.</w:t>
      </w:r>
    </w:p>
    <w:p w:rsidR="0078310B" w:rsidRPr="0067186E" w:rsidRDefault="0078310B" w:rsidP="0078310B">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rsidR="0078310B" w:rsidRPr="0067186E" w:rsidRDefault="0078310B" w:rsidP="0078310B">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rsidR="0078310B" w:rsidRPr="0067186E" w:rsidRDefault="0078310B" w:rsidP="0078310B">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93"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rsidR="0078310B" w:rsidRPr="0067186E" w:rsidRDefault="0078310B" w:rsidP="0078310B">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rsidR="0078310B" w:rsidRPr="0067186E" w:rsidRDefault="0078310B" w:rsidP="0078310B">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suits between them would tend to subvert the marital relation. The same policy dictates that third parties who deal with the husband respecting community property shall be assured that the wife shall not be permitted to nullify his transactions. The powers of partners, or of trustees of a spendthrift trust, furnish apt analogies.</w:t>
      </w:r>
    </w:p>
    <w:p w:rsidR="0078310B" w:rsidRPr="0067186E" w:rsidRDefault="0078310B" w:rsidP="0078310B">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rsidR="0078310B" w:rsidRPr="0067186E" w:rsidRDefault="0078310B" w:rsidP="0078310B">
      <w:pPr>
        <w:widowControl w:val="0"/>
        <w:spacing w:after="120"/>
        <w:ind w:firstLine="288"/>
        <w:jc w:val="both"/>
      </w:pPr>
      <w:r w:rsidRPr="0067186E">
        <w:t xml:space="preserve">The Commissioner urges that we have, in principal, decided the instant question in favor of the Government. He relies on </w:t>
      </w:r>
      <w:hyperlink r:id="rId394" w:history="1">
        <w:r w:rsidRPr="0017753D">
          <w:rPr>
            <w:i/>
          </w:rPr>
          <w:t>United States v. Robbins</w:t>
        </w:r>
        <w:r w:rsidRPr="0067186E">
          <w:t>, 269 U.S. 315</w:t>
        </w:r>
      </w:hyperlink>
      <w:r>
        <w:t xml:space="preserve">, </w:t>
      </w:r>
      <w:r w:rsidRPr="0067186E">
        <w:t xml:space="preserve">and </w:t>
      </w:r>
      <w:hyperlink r:id="rId395" w:history="1">
        <w:r w:rsidRPr="0017753D">
          <w:rPr>
            <w:i/>
          </w:rPr>
          <w:t>Lucas v. Earl</w:t>
        </w:r>
        <w:r w:rsidRPr="0067186E">
          <w:t>, 281 U.S. 111</w:t>
        </w:r>
      </w:hyperlink>
      <w:r w:rsidRPr="0067186E">
        <w:t>.</w:t>
      </w:r>
    </w:p>
    <w:p w:rsidR="0078310B" w:rsidRPr="0067186E" w:rsidRDefault="0078310B" w:rsidP="0078310B">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rsidR="0078310B" w:rsidRPr="0067186E" w:rsidRDefault="0078310B" w:rsidP="0078310B">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rsidR="0078310B" w:rsidRPr="0067186E" w:rsidRDefault="0078310B" w:rsidP="0078310B">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rsidR="0078310B" w:rsidRPr="0067186E" w:rsidRDefault="0078310B" w:rsidP="0078310B">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rsidR="0078310B" w:rsidRDefault="0078310B" w:rsidP="0078310B">
      <w:pPr>
        <w:widowControl w:val="0"/>
        <w:jc w:val="center"/>
      </w:pPr>
      <w:r>
        <w:t>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rsidR="0078310B" w:rsidRDefault="0078310B" w:rsidP="0078310B">
      <w:pPr>
        <w:widowControl w:val="0"/>
        <w:spacing w:after="120"/>
        <w:ind w:firstLine="288"/>
        <w:jc w:val="both"/>
      </w:pPr>
      <w:r>
        <w:t xml:space="preserve">Recall that the Earls lived in California, which is also (like Washington) a community property 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They did so as an estate planning device in an attempt to permit the property to pass at death outside probate.</w:t>
      </w:r>
      <w:r>
        <w:rPr>
          <w:rStyle w:val="FootnoteReference"/>
        </w:rPr>
        <w:footnoteReference w:id="267"/>
      </w:r>
      <w:r>
        <w:t xml:space="preserve"> </w:t>
      </w:r>
    </w:p>
    <w:p w:rsidR="0078310B" w:rsidRPr="00EC4423" w:rsidRDefault="0078310B" w:rsidP="0078310B">
      <w:pPr>
        <w:widowControl w:val="0"/>
        <w:spacing w:after="120"/>
        <w:ind w:firstLine="288"/>
        <w:jc w:val="both"/>
      </w:pPr>
      <w:r>
        <w:t>Another example of labor income that is properly allocable to the principal and not included in</w:t>
      </w:r>
      <w:r w:rsidR="00CE672B">
        <w:t xml:space="preserve"> the Gross Incomes of its agents</w:t>
      </w:r>
      <w:r>
        <w:t xml:space="preserve"> is a fee earned for legal services provided by a supervising lawyer and students working in a law school clinic. The IRS ruled in Revenue Ruling 74-581</w:t>
      </w:r>
      <w:r>
        <w:rPr>
          <w:rStyle w:val="FootnoteReference"/>
        </w:rPr>
        <w:footnoteReference w:id="268"/>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69"/>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70"/>
      </w:r>
    </w:p>
    <w:p w:rsidR="0078310B" w:rsidRDefault="0078310B" w:rsidP="0078310B">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Thus,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rsidR="0078310B" w:rsidRDefault="0078310B" w:rsidP="0078310B">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rsidR="0078310B" w:rsidRDefault="0078310B" w:rsidP="0078310B">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71"/>
      </w:r>
      <w:r>
        <w:t xml:space="preserve"> Recall from Chapter 3 that the income tax went from being a “class tax” paid mainly by the top 1% of 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rsidR="0078310B" w:rsidRPr="00B818D1" w:rsidRDefault="0078310B" w:rsidP="0078310B">
      <w:pPr>
        <w:widowControl w:val="0"/>
        <w:spacing w:after="120"/>
        <w:ind w:left="720" w:right="720"/>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rsidR="0078310B" w:rsidRPr="00B818D1" w:rsidRDefault="0078310B" w:rsidP="0078310B">
      <w:pPr>
        <w:widowControl w:val="0"/>
        <w:spacing w:after="120"/>
        <w:ind w:left="720" w:right="720"/>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396"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rsidR="0078310B" w:rsidRPr="00B818D1" w:rsidRDefault="0078310B" w:rsidP="0078310B">
      <w:pPr>
        <w:widowControl w:val="0"/>
        <w:spacing w:after="120"/>
        <w:ind w:left="720" w:right="720"/>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rsidR="0078310B" w:rsidRPr="00B818D1" w:rsidRDefault="0078310B" w:rsidP="0078310B">
      <w:pPr>
        <w:widowControl w:val="0"/>
        <w:spacing w:after="120"/>
        <w:ind w:left="720" w:right="720"/>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This would seem to be possible in every State where husband and wife are permitted freely to contract with each other respecting property thereafter acquired by either.</w:t>
      </w:r>
    </w:p>
    <w:p w:rsidR="0078310B" w:rsidRDefault="0078310B" w:rsidP="0078310B">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Thus,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rsidR="0078310B" w:rsidRDefault="0078310B" w:rsidP="0078310B">
      <w:pPr>
        <w:widowControl w:val="0"/>
        <w:spacing w:after="120"/>
        <w:ind w:firstLine="288"/>
        <w:jc w:val="both"/>
      </w:pPr>
      <w:r>
        <w:t xml:space="preserve">The resulting perceptions of unfairness led Congress to enact a second tax rate schedule in 1948 applicable to married couples filing jointly that effectively provided couples in common law states the same income-splitting benefits enjoyed by married couples in community </w:t>
      </w:r>
      <w:r w:rsidRPr="00311FD9">
        <w:t xml:space="preserve">property states. The new 1948 joint return schedule was designed so that married couples would pay twice the tax of a single taxpayer earning one-half </w:t>
      </w:r>
      <w:r>
        <w:t xml:space="preserve">of </w:t>
      </w:r>
      <w:r w:rsidRPr="00311FD9">
        <w:t>the couple’s</w:t>
      </w:r>
      <w:r>
        <w:t xml:space="preserve"> aggregate</w:t>
      </w:r>
      <w:r w:rsidRPr="00311FD9">
        <w:t xml:space="preserve"> taxable income. Thus, under the new rate schedule for married couples filing jointly,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rsidR="0078310B" w:rsidRDefault="0078310B" w:rsidP="0078310B">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as the one-earner spouse. Thus, while George and Jenna would owe only $6,000 in tax on George’s $60,000 salary under the new rate schedule for married couples filing jointly, Jim would owe $8,000 in tax on the same $60,000 salary (under the old rate schedule, now limited to unmarried individuals). Put another way, George and Jenna enjoyed a “marriage bonus” that Jim was denied. The Jims of the world were unhappy.</w:t>
      </w:r>
    </w:p>
    <w:p w:rsidR="0078310B" w:rsidRDefault="0078310B" w:rsidP="0078310B">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72"/>
      </w:r>
      <w:r>
        <w:t xml:space="preserve"> Whereas there was only one tax rate schedule applicable to all taxpayers in 1947, after 1969 there were four: (1) unmarried individuals (enacted in 1969), (2) married couples filing a joint return (enacted in 1948), (3) married filing separate returns (the pre-1948 schedule) and (4) head of household.</w:t>
      </w:r>
      <w:r>
        <w:rPr>
          <w:rStyle w:val="FootnoteReference"/>
        </w:rPr>
        <w:footnoteReference w:id="273"/>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74"/>
      </w:r>
      <w:r>
        <w:t xml:space="preserve"> </w:t>
      </w:r>
    </w:p>
    <w:p w:rsidR="0078310B" w:rsidRDefault="0078310B" w:rsidP="0078310B">
      <w:pPr>
        <w:widowControl w:val="0"/>
        <w:spacing w:after="120"/>
        <w:ind w:firstLine="288"/>
        <w:jc w:val="both"/>
      </w:pPr>
      <w:r>
        <w:t xml:space="preserve">As no good deed goes unpunished, the new favorable 1969 rate schedule for unmarried individuals created a new “marriage penalty” for two-earner couples in which the two spouses earned nearly equivalent incomes. That is to say, a married couple in which each of the husband and wife earned $30,000 owed more in tax under the 1969 rate schedule for a married couple filing jointly (or under the schedule for married couples filing separately) than would Jim, a single individual earning $60,000. </w:t>
      </w:r>
    </w:p>
    <w:p w:rsidR="0078310B" w:rsidRDefault="0078310B" w:rsidP="0078310B">
      <w:pPr>
        <w:widowControl w:val="0"/>
        <w:spacing w:after="120"/>
        <w:ind w:firstLine="288"/>
        <w:jc w:val="both"/>
      </w:pPr>
      <w:r>
        <w:t>While two-earner married couples with equivalent incomes were rather rare in the 1960s, they became increasingly common by the early 1980s. In 1981, therefore, Congress enacted a new deduction for two-earner married couples equal to 10% of the lesser of (1) the lower-ea</w:t>
      </w:r>
      <w:r w:rsidR="00CE672B">
        <w:t>rning spouse’s income or (2) $3</w:t>
      </w:r>
      <w:r>
        <w:t xml:space="preserve">,000. Stated differently,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rsidR="0078310B" w:rsidRDefault="0078310B" w:rsidP="0078310B">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actually enjoyed a marriage bonus than suffered a marriage penalty, and more revenue was lost under the marriage bonus than was paid under the marriage penalty. As a CBO study documented:</w:t>
      </w:r>
    </w:p>
    <w:p w:rsidR="0078310B" w:rsidRDefault="0078310B" w:rsidP="0078310B">
      <w:pPr>
        <w:widowControl w:val="0"/>
        <w:spacing w:after="120"/>
        <w:ind w:left="720" w:right="720"/>
        <w:jc w:val="both"/>
      </w:pPr>
      <w:r>
        <w:t>Measured as a percentage of income, marriage penalties and bonuses are largest for low-income families and least for high-income families.</w:t>
      </w:r>
    </w:p>
    <w:p w:rsidR="0078310B" w:rsidRDefault="0078310B" w:rsidP="0078310B">
      <w:pPr>
        <w:widowControl w:val="0"/>
        <w:spacing w:after="120"/>
        <w:ind w:left="720" w:right="720"/>
        <w:jc w:val="both"/>
      </w:pPr>
      <w:r>
        <w:t xml:space="preserve">… An estimated 42 percent of couples incurred marriage penalties in 1996, 51 percent received bonuses, and 6 percent paid taxes unaffected by their marital status. </w:t>
      </w:r>
    </w:p>
    <w:p w:rsidR="0078310B" w:rsidRDefault="0078310B" w:rsidP="0078310B">
      <w:pPr>
        <w:widowControl w:val="0"/>
        <w:spacing w:after="120"/>
        <w:ind w:left="720" w:right="720"/>
        <w:jc w:val="both"/>
      </w:pPr>
      <w:r>
        <w:t>… One-earner couples received seven-eighths of the total of bonuses in 1996 but represented less than one-half of all couples.</w:t>
      </w:r>
      <w:r>
        <w:rPr>
          <w:rStyle w:val="FootnoteReference"/>
        </w:rPr>
        <w:footnoteReference w:id="275"/>
      </w:r>
    </w:p>
    <w:p w:rsidR="0078310B" w:rsidRDefault="0078310B" w:rsidP="0078310B">
      <w:pPr>
        <w:widowControl w:val="0"/>
        <w:spacing w:after="120"/>
        <w:jc w:val="both"/>
      </w:pPr>
      <w:r>
        <w:t>Across all married couples in 1996, $28.8 billion was projected to be paid in marriage penalties, while $32.9 billion was projected to be saved in marriage bonuses, for a net revenue loss to the Treasury of slightly more than $4 billion compared to a system in which all taxpayers filed as individuals, regardless of marital status.</w:t>
      </w:r>
      <w:r>
        <w:rPr>
          <w:rStyle w:val="FootnoteReference"/>
        </w:rPr>
        <w:footnoteReference w:id="276"/>
      </w:r>
      <w:r>
        <w:t xml:space="preserve"> </w:t>
      </w:r>
    </w:p>
    <w:p w:rsidR="0078310B" w:rsidRDefault="0078310B" w:rsidP="0078310B">
      <w:pPr>
        <w:widowControl w:val="0"/>
        <w:spacing w:after="120"/>
        <w:ind w:firstLine="288"/>
        <w:jc w:val="both"/>
      </w:pPr>
      <w:r>
        <w:t>The amendments enacted in</w:t>
      </w:r>
      <w:r w:rsidR="00775755">
        <w:t xml:space="preserve"> 2001 (made permanent in </w:t>
      </w:r>
      <w:r>
        <w:t xml:space="preserve">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been previously been slightly less than double) and ensuring that the 10% and 15% brackets were precisely twice as wide as those for individual filers. (They had been previously been less than twice as wide.) The point at which the 25% and higher brackets phase out for joint returns is not twice that of individuals, however. Thus, a marriage penalty can still apply at higher levels of aggregate income for a dual-earner couple with substantially equivalent incomes. </w:t>
      </w:r>
    </w:p>
    <w:p w:rsidR="0078310B" w:rsidRDefault="0078310B" w:rsidP="0078310B">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rsidR="0078310B" w:rsidRPr="004E7E8B" w:rsidRDefault="0078310B" w:rsidP="0078310B">
      <w:pPr>
        <w:pStyle w:val="Heading3"/>
        <w:spacing w:before="0" w:beforeAutospacing="0" w:after="120" w:afterAutospacing="0"/>
        <w:rPr>
          <w:i/>
        </w:rPr>
      </w:pPr>
      <w:bookmarkStart w:id="152" w:name="_Toc395790452"/>
      <w:r>
        <w:rPr>
          <w:i/>
        </w:rPr>
        <w:t>R</w:t>
      </w:r>
      <w:r w:rsidRPr="004E7E8B">
        <w:rPr>
          <w:i/>
        </w:rPr>
        <w:t>egister</w:t>
      </w:r>
      <w:r>
        <w:rPr>
          <w:i/>
        </w:rPr>
        <w:t>ed domestic partnerships (RDPs)</w:t>
      </w:r>
      <w:r w:rsidRPr="004E7E8B">
        <w:rPr>
          <w:i/>
        </w:rPr>
        <w:t xml:space="preserve"> and civil unions</w:t>
      </w:r>
      <w:bookmarkEnd w:id="152"/>
    </w:p>
    <w:p w:rsidR="0078310B" w:rsidRDefault="0078310B" w:rsidP="0078310B">
      <w:pPr>
        <w:widowControl w:val="0"/>
        <w:spacing w:after="120"/>
        <w:ind w:firstLine="288"/>
        <w:jc w:val="both"/>
      </w:pPr>
      <w:r>
        <w:t xml:space="preserve">In </w:t>
      </w:r>
      <w:r>
        <w:rPr>
          <w:i/>
        </w:rPr>
        <w:t>United States v. Windsor</w:t>
      </w:r>
      <w:r>
        <w:t>,</w:t>
      </w:r>
      <w:r>
        <w:rPr>
          <w:rStyle w:val="FootnoteReference"/>
        </w:rPr>
        <w:footnoteReference w:id="277"/>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78"/>
      </w:r>
      <w:r>
        <w:t xml:space="preserve"> held that the Due Process and Equal Protection clauses of the 14</w:t>
      </w:r>
      <w:r w:rsidRPr="00E708A2">
        <w:rPr>
          <w:vertAlign w:val="superscript"/>
        </w:rPr>
        <w:t>th</w:t>
      </w:r>
      <w:r>
        <w:t xml:space="preserve"> amendment provide to all same-sex couples the fundamental right to marry. Thus, the Federal income tax treatment of same-sex married couples is the same as for opposite-sex married couples today.</w:t>
      </w:r>
    </w:p>
    <w:p w:rsidR="0078310B" w:rsidRDefault="0078310B" w:rsidP="0078310B">
      <w:pPr>
        <w:widowControl w:val="0"/>
        <w:spacing w:after="120"/>
        <w:ind w:firstLine="288"/>
        <w:jc w:val="both"/>
      </w:pPr>
      <w:r w:rsidRPr="00391D38">
        <w:rPr>
          <w:rFonts w:cs="Times New Roman"/>
        </w:rPr>
        <w:t>Several states</w:t>
      </w:r>
      <w:r>
        <w:rPr>
          <w:rFonts w:cs="Times New Roman"/>
        </w:rPr>
        <w:t xml:space="preserve">, however, </w:t>
      </w:r>
      <w:r w:rsidRPr="00391D38">
        <w:rPr>
          <w:rFonts w:cs="Times New Roman"/>
        </w:rPr>
        <w:t xml:space="preserve">also recognize </w:t>
      </w:r>
      <w:r>
        <w:rPr>
          <w:rFonts w:cs="Times New Roman"/>
        </w:rPr>
        <w:t>civil unions or registered domestic partnerships (RDPs)</w:t>
      </w:r>
      <w:r w:rsidRPr="00391D38">
        <w:rPr>
          <w:rFonts w:cs="Times New Roman"/>
        </w:rPr>
        <w:t>, both between op</w:t>
      </w:r>
      <w:r>
        <w:t>posite-sex and same-sex couples.</w:t>
      </w:r>
      <w:r>
        <w:rPr>
          <w:rStyle w:val="FootnoteReference"/>
        </w:rPr>
        <w:footnoteReference w:id="279"/>
      </w:r>
      <w:r>
        <w:t xml:space="preserve"> In Revenue Ruling 2013-17,</w:t>
      </w:r>
      <w:r>
        <w:rPr>
          <w:rStyle w:val="FootnoteReference"/>
        </w:rPr>
        <w:footnoteReference w:id="280"/>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Colorado, which simply tracks whatever Federal law says on this issue. For example, members of an RDP or civil union in California file a joint income tax return for state income tax purposes but must file separate returns under the Federal income tax. </w:t>
      </w:r>
    </w:p>
    <w:p w:rsidR="0078310B" w:rsidRDefault="0078310B" w:rsidP="0078310B">
      <w:pPr>
        <w:widowControl w:val="0"/>
        <w:spacing w:after="120"/>
        <w:ind w:firstLine="288"/>
        <w:jc w:val="both"/>
      </w:pPr>
      <w:r>
        <w:t xml:space="preserve">Several states that recognize civil unions or RDPs are also community property states (including California, Nevada, and Washington). How does </w:t>
      </w:r>
      <w:r>
        <w:rPr>
          <w:i/>
        </w:rPr>
        <w:t>Poe v. Seaborn</w:t>
      </w:r>
      <w:r>
        <w:t xml:space="preserve"> apply to RDPs, whether the partners are of the same or opposite sex?</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53" w:name="_Toc395790453"/>
      <w:r>
        <w:t>CHIEF COUNSEL ADVICE 201021050</w:t>
      </w:r>
      <w:r w:rsidRPr="00203852">
        <w:rPr>
          <w:rStyle w:val="FootnoteReference"/>
          <w:b w:val="0"/>
        </w:rPr>
        <w:footnoteReference w:id="281"/>
      </w:r>
    </w:p>
    <w:p w:rsidR="0078310B" w:rsidRDefault="0078310B" w:rsidP="0078310B">
      <w:pPr>
        <w:pStyle w:val="Heading3"/>
        <w:spacing w:before="0" w:beforeAutospacing="0" w:after="0" w:afterAutospacing="0"/>
        <w:jc w:val="center"/>
      </w:pPr>
      <w:r w:rsidRPr="00203852">
        <w:rPr>
          <w:b w:val="0"/>
        </w:rPr>
        <w:t>May 5, 2010</w:t>
      </w:r>
      <w:bookmarkEnd w:id="153"/>
    </w:p>
    <w:p w:rsidR="0078310B" w:rsidRDefault="0078310B" w:rsidP="0078310B">
      <w:pPr>
        <w:pStyle w:val="Heading3"/>
        <w:spacing w:before="0" w:beforeAutospacing="0" w:after="0" w:afterAutospacing="0"/>
        <w:jc w:val="center"/>
      </w:pPr>
    </w:p>
    <w:p w:rsidR="0078310B" w:rsidRPr="002E246C" w:rsidRDefault="0078310B" w:rsidP="0078310B">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rsidR="0078310B" w:rsidRPr="002E246C" w:rsidRDefault="0078310B" w:rsidP="0078310B">
      <w:pPr>
        <w:widowControl w:val="0"/>
        <w:spacing w:after="120"/>
        <w:jc w:val="both"/>
      </w:pPr>
      <w:r w:rsidRPr="002E246C">
        <w:t>FACTS</w:t>
      </w:r>
    </w:p>
    <w:p w:rsidR="0078310B" w:rsidRPr="000D22B0" w:rsidRDefault="0078310B" w:rsidP="0078310B">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rsidR="0078310B" w:rsidRPr="002E246C" w:rsidRDefault="0078310B" w:rsidP="0078310B">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rsidR="0078310B" w:rsidRPr="002E246C" w:rsidRDefault="0078310B" w:rsidP="0078310B">
      <w:pPr>
        <w:widowControl w:val="0"/>
        <w:spacing w:after="120"/>
        <w:jc w:val="both"/>
      </w:pPr>
      <w:r w:rsidRPr="002E246C">
        <w:t>LAW AND ANALYSIS</w:t>
      </w:r>
    </w:p>
    <w:p w:rsidR="0078310B" w:rsidRPr="000D22B0" w:rsidRDefault="002B3596" w:rsidP="0078310B">
      <w:pPr>
        <w:widowControl w:val="0"/>
        <w:spacing w:after="120"/>
        <w:ind w:firstLine="288"/>
        <w:jc w:val="both"/>
      </w:pPr>
      <w:hyperlink r:id="rId397" w:history="1">
        <w:r w:rsidR="0078310B">
          <w:t>Section 61(a)</w:t>
        </w:r>
        <w:r w:rsidR="0078310B" w:rsidRPr="000D22B0">
          <w:t>(1) of the Internal Revenue Code</w:t>
        </w:r>
      </w:hyperlink>
      <w:r w:rsidR="0078310B" w:rsidRPr="000D22B0">
        <w:t xml:space="preserve"> provides tha</w:t>
      </w:r>
      <w:r w:rsidR="0078310B">
        <w:t xml:space="preserve">t Gross Income means all income </w:t>
      </w:r>
      <w:r w:rsidR="0078310B" w:rsidRPr="000D22B0">
        <w:t>from whatever source derived including compensation for services such as fees, commissions, fringe benefits, and similar items.</w:t>
      </w:r>
    </w:p>
    <w:p w:rsidR="0078310B" w:rsidRPr="000D22B0" w:rsidRDefault="0078310B" w:rsidP="0078310B">
      <w:pPr>
        <w:widowControl w:val="0"/>
        <w:spacing w:after="120"/>
        <w:ind w:firstLine="288"/>
        <w:jc w:val="both"/>
      </w:pPr>
      <w:r>
        <w:t>Federal</w:t>
      </w:r>
      <w:r w:rsidRPr="000D22B0">
        <w:t xml:space="preserve"> tax law generally respects state property law characterizations and definitions. </w:t>
      </w:r>
      <w:hyperlink r:id="rId398" w:history="1">
        <w:r w:rsidRPr="0017753D">
          <w:rPr>
            <w:i/>
          </w:rPr>
          <w:t>U.S. v. Mitchell</w:t>
        </w:r>
        <w:r w:rsidRPr="000D22B0">
          <w:t xml:space="preserve">, 403 U.S. 190 (1971), </w:t>
        </w:r>
      </w:hyperlink>
      <w:hyperlink r:id="rId399" w:history="1">
        <w:r w:rsidRPr="0017753D">
          <w:rPr>
            <w:i/>
          </w:rPr>
          <w:t>Burnet v. Harmel</w:t>
        </w:r>
        <w:r w:rsidRPr="000D22B0">
          <w:t>, 287 U.S. 103, 1932-2 C.B. 210 (1932)</w:t>
        </w:r>
      </w:hyperlink>
      <w:r w:rsidRPr="000D22B0">
        <w:t xml:space="preserve">. In </w:t>
      </w:r>
      <w:hyperlink r:id="rId400"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401"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rsidR="0078310B" w:rsidRPr="000D22B0" w:rsidRDefault="0078310B" w:rsidP="0078310B">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402" w:history="1">
        <w:r w:rsidRPr="0017753D">
          <w:rPr>
            <w:i/>
          </w:rPr>
          <w:t>d’Elia v. d’Elia</w:t>
        </w:r>
        <w:r w:rsidRPr="000D22B0">
          <w:t>, 58 Cal. App. 4th 415, 68 Cal. Rptr. 2d 324 (1997)</w:t>
        </w:r>
      </w:hyperlink>
      <w:r w:rsidRPr="000D22B0">
        <w:t>.</w:t>
      </w:r>
    </w:p>
    <w:p w:rsidR="0078310B" w:rsidRPr="000D22B0" w:rsidRDefault="0078310B" w:rsidP="0078310B">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rsidR="0078310B" w:rsidRDefault="0078310B" w:rsidP="0078310B">
      <w:pPr>
        <w:widowControl w:val="0"/>
        <w:jc w:val="center"/>
      </w:pPr>
      <w:r>
        <w:t>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In summary, assignment of labor income by contract is generally not possible under </w:t>
      </w:r>
      <w:r>
        <w:rPr>
          <w:i/>
        </w:rPr>
        <w:t>Lucas v. Earl</w:t>
      </w:r>
      <w:r>
        <w:t xml:space="preserve">. The joint return does permit income splitting between spouses, however, 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rsidR="0078310B" w:rsidRDefault="0078310B" w:rsidP="0078310B">
      <w:pPr>
        <w:widowControl w:val="0"/>
        <w:ind w:firstLine="288"/>
        <w:jc w:val="both"/>
      </w:pPr>
      <w:r>
        <w:t xml:space="preserve">Whew! </w:t>
      </w:r>
    </w:p>
    <w:p w:rsidR="0078310B" w:rsidRPr="004C42BD" w:rsidRDefault="0078310B" w:rsidP="0078310B">
      <w:pPr>
        <w:widowControl w:val="0"/>
        <w:ind w:firstLine="288"/>
        <w:jc w:val="both"/>
      </w:pPr>
    </w:p>
    <w:p w:rsidR="0078310B" w:rsidRPr="00717CEE" w:rsidRDefault="0078310B" w:rsidP="0078310B">
      <w:pPr>
        <w:pStyle w:val="Heading2"/>
        <w:spacing w:before="0"/>
        <w:rPr>
          <w:sz w:val="32"/>
          <w:szCs w:val="32"/>
          <w:u w:val="single"/>
        </w:rPr>
      </w:pPr>
      <w:bookmarkStart w:id="154" w:name="_Toc395790454"/>
      <w:r w:rsidRPr="00717CEE">
        <w:rPr>
          <w:sz w:val="32"/>
          <w:szCs w:val="32"/>
          <w:u w:val="single"/>
        </w:rPr>
        <w:t>B. Income-shifting possibilities outside the joint return</w:t>
      </w:r>
      <w:bookmarkEnd w:id="154"/>
    </w:p>
    <w:p w:rsidR="0078310B" w:rsidRDefault="0078310B" w:rsidP="0078310B">
      <w:pPr>
        <w:widowControl w:val="0"/>
        <w:jc w:val="both"/>
      </w:pPr>
    </w:p>
    <w:p w:rsidR="0078310B" w:rsidRDefault="0078310B" w:rsidP="0078310B">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55" w:name="_Toc395790455"/>
      <w:r w:rsidRPr="004E7E8B">
        <w:rPr>
          <w:u w:val="single"/>
        </w:rPr>
        <w:t>Problems</w:t>
      </w:r>
      <w:bookmarkEnd w:id="155"/>
    </w:p>
    <w:p w:rsidR="0078310B" w:rsidRPr="00717CEE"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Ellen is a dentist whose marginal rate as defined in Part B. of Chapter 1 (the rate at which her last, or marginal, dollar is taxed) is 28%, while her daughter Emma’s marginal rate is only 15%. Which, if any, of the following strategies will successfully shift income tax liability from Ellen’s 28% bracket to Emma’s 15% bracket? </w:t>
      </w:r>
    </w:p>
    <w:p w:rsidR="0078310B" w:rsidRDefault="0078310B" w:rsidP="0078310B">
      <w:pPr>
        <w:widowControl w:val="0"/>
        <w:ind w:firstLine="288"/>
        <w:jc w:val="both"/>
      </w:pPr>
      <w:r>
        <w:rPr>
          <w:b/>
        </w:rPr>
        <w:t>1.</w:t>
      </w:r>
      <w:r>
        <w:t xml:space="preserve"> Ellen transfers $5,000 in cash, funded by her dental practice, to Emma as a gift.</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Ellen enters into a contract, which is enforceable under state law, that entitles Emma to 20% of Ellen’s income arising from her dental practice from the moment that Ellen earns it. </w:t>
      </w:r>
    </w:p>
    <w:p w:rsidR="0078310B" w:rsidRPr="00E93570" w:rsidRDefault="0078310B" w:rsidP="0078310B">
      <w:pPr>
        <w:widowControl w:val="0"/>
        <w:ind w:firstLine="288"/>
        <w:jc w:val="both"/>
      </w:pPr>
    </w:p>
    <w:p w:rsidR="0078310B" w:rsidRDefault="0078310B" w:rsidP="0078310B">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rsidR="0078310B" w:rsidRDefault="0078310B" w:rsidP="0078310B">
      <w:pPr>
        <w:widowControl w:val="0"/>
        <w:ind w:firstLine="288"/>
        <w:jc w:val="both"/>
      </w:pPr>
    </w:p>
    <w:p w:rsidR="0078310B" w:rsidRDefault="0078310B" w:rsidP="0078310B">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Emma receives this year’s $5,000 royalty payment.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rsidR="0078310B" w:rsidRDefault="0078310B" w:rsidP="0078310B">
      <w:pPr>
        <w:widowControl w:val="0"/>
        <w:ind w:firstLine="288"/>
        <w:jc w:val="both"/>
      </w:pPr>
    </w:p>
    <w:p w:rsidR="0078310B" w:rsidRDefault="0078310B" w:rsidP="0078310B">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rsidR="0078310B" w:rsidRPr="009F6531" w:rsidRDefault="0078310B" w:rsidP="0078310B">
      <w:pPr>
        <w:widowControl w:val="0"/>
        <w:ind w:firstLine="288"/>
        <w:jc w:val="both"/>
      </w:pPr>
    </w:p>
    <w:p w:rsidR="0078310B" w:rsidRDefault="0078310B" w:rsidP="0078310B">
      <w:pPr>
        <w:widowControl w:val="0"/>
        <w:ind w:firstLine="288"/>
        <w:jc w:val="both"/>
      </w:pPr>
      <w:r>
        <w:rPr>
          <w:b/>
        </w:rPr>
        <w:t>9.</w:t>
      </w:r>
      <w:r>
        <w:t xml:space="preserve"> Same as </w:t>
      </w:r>
      <w:r>
        <w:rPr>
          <w:b/>
        </w:rPr>
        <w:t>8.</w:t>
      </w:r>
      <w:r>
        <w:t xml:space="preserve">, except that (1) the trust is irrevocable and (2) Ellen retains the right to designate who will receive the distribution of trust income each year until Ellen’s death, at which time the trust will dissolve and the patent will be distributed to Emma. For this year, Ellen designates Emma as the beneficiary that will receive the trust income distribution, so Emma receives this year’s $5,000 royalty payment. </w:t>
      </w:r>
      <w:r>
        <w:rPr>
          <w:i/>
        </w:rPr>
        <w:t>See</w:t>
      </w:r>
      <w:r>
        <w:t xml:space="preserve"> § 674(a).</w:t>
      </w:r>
    </w:p>
    <w:p w:rsidR="0078310B" w:rsidRPr="009F6531" w:rsidRDefault="0078310B" w:rsidP="0078310B">
      <w:pPr>
        <w:widowControl w:val="0"/>
        <w:ind w:firstLine="288"/>
        <w:jc w:val="both"/>
      </w:pPr>
    </w:p>
    <w:p w:rsidR="0078310B" w:rsidRDefault="0078310B" w:rsidP="0078310B">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rsidR="0078310B" w:rsidRDefault="0078310B" w:rsidP="0078310B">
      <w:pPr>
        <w:widowControl w:val="0"/>
        <w:jc w:val="center"/>
      </w:pPr>
      <w:r>
        <w:t>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In Chapter 7, you learned that “estates” are taxpayers that spring into being </w:t>
      </w:r>
      <w:r w:rsidR="00D176D7">
        <w:t xml:space="preserve">automatically </w:t>
      </w:r>
      <w:r>
        <w:t>when an individual dies and that estates must file an income tax return with respect to any income earned by the estate during its “life.”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rsidR="0078310B" w:rsidRPr="00CF340C" w:rsidRDefault="0078310B" w:rsidP="0078310B">
      <w:pPr>
        <w:widowControl w:val="0"/>
        <w:spacing w:after="120"/>
        <w:ind w:firstLine="288"/>
        <w:jc w:val="both"/>
      </w:pPr>
      <w:r>
        <w:t>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t>
      </w:r>
      <w:r w:rsidR="008B2A48">
        <w:t xml:space="preserve">w. The trust document will </w:t>
      </w:r>
      <w:r>
        <w:t>name the trust “beneficiaries” and describe their distribution rights. Some trust beneficiaries may legally assign (to the exten</w:t>
      </w:r>
      <w:r w:rsidR="008B2A48">
        <w:t>t permitted under the t</w:t>
      </w:r>
      <w:r>
        <w:t xml:space="preserve">rust document </w:t>
      </w:r>
      <w:r w:rsidR="008B2A48">
        <w:t>and trust law</w:t>
      </w:r>
      <w:r>
        <w:t>) all or a por</w:t>
      </w:r>
      <w:r w:rsidR="008B2A48">
        <w:t xml:space="preserve">tion of their </w:t>
      </w:r>
      <w:r>
        <w:t xml:space="preserve">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gift or by bequest can exclude his or her receipt under § 102(a)</w:t>
      </w:r>
      <w:r w:rsidR="00C908F8">
        <w:t xml:space="preserve"> when the trust is dissolved</w:t>
      </w:r>
      <w:r>
        <w:t xml:space="preserve">.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rsidR="0078310B" w:rsidRDefault="0078310B" w:rsidP="0078310B">
      <w:pPr>
        <w:widowControl w:val="0"/>
        <w:spacing w:after="120"/>
        <w:ind w:firstLine="288"/>
        <w:jc w:val="both"/>
      </w:pPr>
      <w:r>
        <w:t xml:space="preserve">One possibility is the grantor of the trust if the trust’s existence is ignored for Federal income tax purposes (as though it were never created in the first place and the grantor continued to own the trust property directly) under rules that will be explored in a few pages. Such trusts have come to be called “grantor trusts.” </w:t>
      </w:r>
    </w:p>
    <w:p w:rsidR="0078310B" w:rsidRDefault="0078310B" w:rsidP="0078310B">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 rather than distributed to beneficiaries).</w:t>
      </w:r>
      <w:r>
        <w:t xml:space="preserve"> </w:t>
      </w:r>
      <w:r>
        <w:rPr>
          <w:i/>
        </w:rPr>
        <w:t xml:space="preserve">See </w:t>
      </w:r>
      <w:hyperlink r:id="rId403" w:history="1">
        <w:r w:rsidRPr="006D3E27">
          <w:rPr>
            <w:rStyle w:val="Hyperlink"/>
          </w:rPr>
          <w:t>§ 61</w:t>
        </w:r>
      </w:hyperlink>
      <w:r>
        <w:t xml:space="preserve">(a)(15). </w:t>
      </w:r>
    </w:p>
    <w:p w:rsidR="0078310B" w:rsidRDefault="0078310B" w:rsidP="0078310B">
      <w:pPr>
        <w:widowControl w:val="0"/>
        <w:spacing w:after="120"/>
        <w:ind w:firstLine="288"/>
        <w:jc w:val="both"/>
      </w:pPr>
      <w:r>
        <w:t xml:space="preserve">Even though trust income is listed as an item of Gross Income, § 61’s introductory clause (“except as otherwise provided in this subtitle”) reminds us that explicitly listed items can nevertheless be excluded if a statutory exclusion applies. Thus, even though compensation for services rendered is listed as an item of Gross Income in § 61(a)(1), you learned in Chapter 5 that compensation can be excluded under §§ 119 and 132 if their requirements are satisfied. Can a trust distribution be excluded by a beneficiary under § 102(a), notwithstanding § 61(a)(15), if the trust interest was received as a gift or bequest from the grantor? No. As you learned in Chapter 7, § </w:t>
      </w:r>
      <w:hyperlink r:id="rId404"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rsidR="0078310B" w:rsidRDefault="0078310B" w:rsidP="0078310B">
      <w:pPr>
        <w:widowControl w:val="0"/>
        <w:ind w:firstLine="288"/>
        <w:jc w:val="both"/>
      </w:pPr>
      <w:r>
        <w:t>In the case below, Mr. Blair’s father created a trust under his will which was not a grantor trust. Mr. Blair was a beneficiary with a life estate in the trust’s income. Under the rules described above, therefore, Mr. Blair must include trust income distributions in his Gross Income. He nevertheless escaped taxation of a portion of the trust’s income that he assigned (before the distribution occurred) to his children. Precisely why was Mr. Blair’s assignment of income successful for purposes of income taxation?</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56" w:name="_Toc395790456"/>
      <w:r>
        <w:t>BLAIR v. COMMISSIONER</w:t>
      </w:r>
      <w:bookmarkEnd w:id="156"/>
    </w:p>
    <w:p w:rsidR="0078310B" w:rsidRDefault="0078310B" w:rsidP="0078310B">
      <w:pPr>
        <w:widowControl w:val="0"/>
        <w:jc w:val="center"/>
      </w:pPr>
      <w:r>
        <w:t>300 U.S. 5 (1937)</w:t>
      </w:r>
    </w:p>
    <w:p w:rsidR="0078310B" w:rsidRDefault="0078310B" w:rsidP="0078310B">
      <w:pPr>
        <w:widowControl w:val="0"/>
        <w:jc w:val="both"/>
      </w:pPr>
    </w:p>
    <w:p w:rsidR="0078310B" w:rsidRDefault="0078310B" w:rsidP="0078310B">
      <w:pPr>
        <w:widowControl w:val="0"/>
        <w:spacing w:after="120"/>
        <w:ind w:firstLine="288"/>
        <w:jc w:val="both"/>
      </w:pPr>
      <w:r>
        <w:rPr>
          <w:smallCaps/>
        </w:rPr>
        <w:t>Mr. Chief Justice Hughes</w:t>
      </w:r>
      <w:r>
        <w:t xml:space="preserve"> delivered the opinion of the Court.</w:t>
      </w:r>
    </w:p>
    <w:p w:rsidR="0078310B" w:rsidRPr="006A1771" w:rsidRDefault="0078310B" w:rsidP="0078310B">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rsidR="0078310B" w:rsidRPr="006A1771" w:rsidRDefault="0078310B" w:rsidP="0078310B">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inn, an interest amounting to $</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78310B" w:rsidRPr="006A1771" w:rsidRDefault="0078310B" w:rsidP="0078310B">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rsidR="0078310B" w:rsidRPr="006A1771" w:rsidRDefault="0078310B" w:rsidP="0078310B">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rsidR="0078310B" w:rsidRPr="006A1771" w:rsidRDefault="0078310B" w:rsidP="0078310B">
      <w:pPr>
        <w:widowControl w:val="0"/>
        <w:spacing w:after="120"/>
        <w:ind w:firstLine="288"/>
        <w:jc w:val="both"/>
      </w:pPr>
      <w:r w:rsidRPr="006A1771">
        <w:t xml:space="preserve">Because of an asserted conflict with the decision of the state court, and also with decisions of circuit courts of appeals, we granted certiorari. </w:t>
      </w:r>
    </w:p>
    <w:p w:rsidR="0078310B" w:rsidRPr="006A1771" w:rsidRDefault="0078310B" w:rsidP="0078310B">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rsidR="0078310B" w:rsidRPr="006A1771" w:rsidRDefault="0078310B" w:rsidP="0078310B">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rsidR="0078310B" w:rsidRPr="006A1771" w:rsidRDefault="0078310B" w:rsidP="0078310B">
      <w:pPr>
        <w:widowControl w:val="0"/>
        <w:spacing w:after="120"/>
        <w:ind w:firstLine="288"/>
        <w:jc w:val="both"/>
      </w:pPr>
      <w:r w:rsidRPr="006A1771">
        <w:t xml:space="preserve">Our decisions in </w:t>
      </w:r>
      <w:hyperlink r:id="rId405" w:history="1">
        <w:r w:rsidRPr="00EC78FD">
          <w:rPr>
            <w:i/>
          </w:rPr>
          <w:t>Lucas v. Earl</w:t>
        </w:r>
        <w:r w:rsidRPr="006A1771">
          <w:t>, 281 U.S. 111</w:t>
        </w:r>
      </w:hyperlink>
      <w:r w:rsidRPr="006A1771">
        <w:t xml:space="preserve">, and </w:t>
      </w:r>
      <w:hyperlink r:id="rId406"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407"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408" w:history="1">
        <w:r w:rsidRPr="004A0283">
          <w:rPr>
            <w:i/>
          </w:rPr>
          <w:t>Comm’r</w:t>
        </w:r>
        <w:r w:rsidRPr="004A0283">
          <w:t>, 279 U.S. 716</w:t>
        </w:r>
      </w:hyperlink>
      <w:r w:rsidRPr="004A0283">
        <w:t>.</w:t>
      </w:r>
      <w:r>
        <w:t xml:space="preserve"> </w:t>
      </w:r>
      <w:r w:rsidRPr="006A1771">
        <w:t>There is here no question of evasion or of giving effect to statutory provisions designed to forestall evasion; or of the taxpayer</w:t>
      </w:r>
      <w:r>
        <w:t>’</w:t>
      </w:r>
      <w:r w:rsidRPr="006A1771">
        <w:t xml:space="preserve">s retention of control. </w:t>
      </w:r>
      <w:hyperlink r:id="rId409" w:history="1">
        <w:r w:rsidRPr="00EC78FD">
          <w:rPr>
            <w:i/>
          </w:rPr>
          <w:t>Corliss v. Bowers</w:t>
        </w:r>
        <w:r w:rsidRPr="006A1771">
          <w:t>, 281 U.S. 376</w:t>
        </w:r>
      </w:hyperlink>
      <w:r>
        <w:t>.</w:t>
      </w:r>
    </w:p>
    <w:p w:rsidR="0078310B" w:rsidRPr="006A1771" w:rsidRDefault="0078310B" w:rsidP="0078310B">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410" w:history="1">
        <w:r w:rsidRPr="00EC78FD">
          <w:rPr>
            <w:i/>
          </w:rPr>
          <w:t>Poe v. Seaborn, supra</w:t>
        </w:r>
      </w:hyperlink>
      <w:r w:rsidRPr="006A1771">
        <w:t>.</w:t>
      </w:r>
    </w:p>
    <w:p w:rsidR="0078310B" w:rsidRPr="006A1771" w:rsidRDefault="0078310B" w:rsidP="0078310B">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78310B" w:rsidRPr="006A1771" w:rsidRDefault="0078310B" w:rsidP="0078310B">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411"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rsidR="0078310B" w:rsidRPr="006A1771" w:rsidRDefault="0078310B" w:rsidP="0078310B">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rsidR="0078310B" w:rsidRPr="006A1771" w:rsidRDefault="0078310B" w:rsidP="0078310B">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78310B" w:rsidRDefault="0078310B" w:rsidP="0078310B">
      <w:pPr>
        <w:widowControl w:val="0"/>
        <w:jc w:val="center"/>
      </w:pPr>
      <w:r>
        <w:t>__________________________________</w:t>
      </w:r>
    </w:p>
    <w:p w:rsidR="0078310B" w:rsidRDefault="0078310B" w:rsidP="0078310B">
      <w:pPr>
        <w:widowControl w:val="0"/>
        <w:jc w:val="both"/>
      </w:pPr>
    </w:p>
    <w:p w:rsidR="0078310B" w:rsidRDefault="0078310B" w:rsidP="0078310B">
      <w:pPr>
        <w:widowControl w:val="0"/>
        <w:ind w:firstLine="288"/>
        <w:jc w:val="both"/>
      </w:pPr>
      <w:r>
        <w:t xml:space="preserve">Instead of assigning specified interests in his life estate to his children </w:t>
      </w:r>
      <w:r w:rsidRPr="00B802A2">
        <w:rPr>
          <w:i/>
        </w:rPr>
        <w:t>for the rest of his life</w:t>
      </w:r>
      <w:r>
        <w:t>, would Mr. Blair’s assignment have been successful for income tax purposes if he had assigned the right to receive the income for only, say, the next year?</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57" w:name="_Toc395790457"/>
      <w:r>
        <w:t>HARRISON v. SCHAFFNER</w:t>
      </w:r>
      <w:bookmarkEnd w:id="157"/>
    </w:p>
    <w:p w:rsidR="0078310B" w:rsidRDefault="0078310B" w:rsidP="0078310B">
      <w:pPr>
        <w:widowControl w:val="0"/>
        <w:jc w:val="center"/>
      </w:pPr>
      <w:r>
        <w:t>312 U.S. 579 (1941)</w:t>
      </w:r>
    </w:p>
    <w:p w:rsidR="0078310B" w:rsidRPr="00F6592E" w:rsidRDefault="0078310B" w:rsidP="0078310B">
      <w:pPr>
        <w:widowControl w:val="0"/>
        <w:jc w:val="both"/>
      </w:pPr>
    </w:p>
    <w:p w:rsidR="0078310B" w:rsidRPr="00F6592E" w:rsidRDefault="0078310B" w:rsidP="0078310B">
      <w:pPr>
        <w:widowControl w:val="0"/>
        <w:spacing w:after="120"/>
        <w:ind w:firstLine="288"/>
        <w:jc w:val="both"/>
      </w:pPr>
      <w:r>
        <w:rPr>
          <w:smallCaps/>
        </w:rPr>
        <w:t>Mr. Justice Stone</w:t>
      </w:r>
      <w:r w:rsidRPr="00F6592E">
        <w:t xml:space="preserve"> delivered the opinion of the Court.</w:t>
      </w:r>
    </w:p>
    <w:p w:rsidR="0078310B" w:rsidRPr="00F6592E" w:rsidRDefault="0078310B" w:rsidP="0078310B">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rsidR="0078310B" w:rsidRPr="00F6592E" w:rsidRDefault="0078310B" w:rsidP="0078310B">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412" w:history="1">
        <w:r w:rsidRPr="00EC78FD">
          <w:rPr>
            <w:i/>
          </w:rPr>
          <w:t>Lucas v. Earl</w:t>
        </w:r>
        <w:r w:rsidRPr="00F6592E">
          <w:t>, 281 U.S. 111</w:t>
        </w:r>
      </w:hyperlink>
      <w:r w:rsidRPr="00F6592E">
        <w:t xml:space="preserve">; </w:t>
      </w:r>
      <w:hyperlink r:id="rId413" w:history="1">
        <w:r w:rsidRPr="00EC78FD">
          <w:rPr>
            <w:i/>
          </w:rPr>
          <w:t>Burnet v. Leininger</w:t>
        </w:r>
        <w:r w:rsidRPr="00F6592E">
          <w:t>, 285 U.S. 136</w:t>
        </w:r>
      </w:hyperlink>
      <w:r w:rsidRPr="00F6592E">
        <w:t xml:space="preserve">, and </w:t>
      </w:r>
      <w:hyperlink r:id="rId414" w:history="1">
        <w:r w:rsidRPr="00EC78FD">
          <w:rPr>
            <w:i/>
          </w:rPr>
          <w:t>Helvering v. Clifford</w:t>
        </w:r>
        <w:r w:rsidRPr="00F6592E">
          <w:t>, 309 U.S. 331</w:t>
        </w:r>
      </w:hyperlink>
      <w:r w:rsidRPr="00F6592E">
        <w:t>.</w:t>
      </w:r>
    </w:p>
    <w:p w:rsidR="0078310B" w:rsidRPr="00F6592E" w:rsidRDefault="0078310B" w:rsidP="0078310B">
      <w:pPr>
        <w:widowControl w:val="0"/>
        <w:spacing w:after="120"/>
        <w:ind w:firstLine="288"/>
        <w:jc w:val="both"/>
      </w:pPr>
      <w:r w:rsidRPr="00F6592E">
        <w:t xml:space="preserve">Since granting certiorari we have held, following the reasoning of </w:t>
      </w:r>
      <w:hyperlink r:id="rId415"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16" w:history="1">
        <w:r w:rsidRPr="00EC78FD">
          <w:rPr>
            <w:i/>
          </w:rPr>
          <w:t>Helvering v. Horst</w:t>
        </w:r>
        <w:r w:rsidRPr="00F6592E">
          <w:t>, 311 U.S. 112</w:t>
        </w:r>
      </w:hyperlink>
      <w:r w:rsidRPr="00F6592E">
        <w:t xml:space="preserve">; </w:t>
      </w:r>
      <w:hyperlink r:id="rId417"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rsidR="0078310B" w:rsidRPr="00F6592E" w:rsidRDefault="0078310B" w:rsidP="0078310B">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18" w:history="1">
        <w:r w:rsidRPr="00EC78FD">
          <w:rPr>
            <w:i/>
          </w:rPr>
          <w:t>Blair v. Comm’r</w:t>
        </w:r>
        <w:r w:rsidRPr="00F6592E">
          <w:t>, 300 U.S. 5</w:t>
        </w:r>
      </w:hyperlink>
      <w:r w:rsidRPr="00F6592E">
        <w:t>.</w:t>
      </w:r>
    </w:p>
    <w:p w:rsidR="0078310B" w:rsidRPr="00F6592E" w:rsidRDefault="0078310B" w:rsidP="0078310B">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19" w:history="1">
        <w:r w:rsidRPr="00EC78FD">
          <w:rPr>
            <w:i/>
          </w:rPr>
          <w:t>Lucas v. Earl</w:t>
        </w:r>
        <w:r w:rsidRPr="00F6592E">
          <w:t xml:space="preserve">, </w:t>
        </w:r>
        <w:r w:rsidRPr="00EC78FD">
          <w:rPr>
            <w:i/>
          </w:rPr>
          <w:t>supra</w:t>
        </w:r>
        <w:r w:rsidRPr="00F6592E">
          <w:t>, 114</w:t>
        </w:r>
      </w:hyperlink>
      <w:r w:rsidRPr="00F6592E">
        <w:t>.</w:t>
      </w:r>
    </w:p>
    <w:p w:rsidR="0078310B" w:rsidRPr="00F6592E" w:rsidRDefault="002B3596" w:rsidP="0078310B">
      <w:pPr>
        <w:widowControl w:val="0"/>
        <w:spacing w:after="120"/>
        <w:ind w:firstLine="288"/>
        <w:jc w:val="both"/>
      </w:pPr>
      <w:hyperlink r:id="rId420" w:history="1">
        <w:r w:rsidR="0078310B">
          <w:t>Section 22</w:t>
        </w:r>
        <w:r w:rsidR="0078310B" w:rsidRPr="00F6592E">
          <w:t>(a)</w:t>
        </w:r>
      </w:hyperlink>
      <w:r w:rsidR="0078310B" w:rsidRPr="00F6592E">
        <w:t xml:space="preserve"> of the 1928 Revenue Act provides, </w:t>
      </w:r>
      <w:r w:rsidR="0078310B">
        <w:t>“’Gross Income’</w:t>
      </w:r>
      <w:r w:rsidR="0078310B" w:rsidRPr="00F6592E">
        <w:t xml:space="preserve"> includes gains, profits, and income derived from . . . interest, rent, dividends, securities or the transactions of any business carried on for gain or profit, or gains or profits, and income derived from any source whatever.</w:t>
      </w:r>
      <w:r w:rsidR="0078310B">
        <w:t>”</w:t>
      </w:r>
      <w:r w:rsidR="0078310B" w:rsidRPr="00F6592E">
        <w:t xml:space="preserve"> By </w:t>
      </w:r>
      <w:hyperlink r:id="rId421" w:history="1">
        <w:r w:rsidR="0078310B">
          <w:t>§§ 161</w:t>
        </w:r>
        <w:r w:rsidR="0078310B" w:rsidRPr="00F6592E">
          <w:t>(a)</w:t>
        </w:r>
      </w:hyperlink>
      <w:r w:rsidR="0078310B" w:rsidRPr="00F6592E">
        <w:t xml:space="preserve"> and </w:t>
      </w:r>
      <w:hyperlink r:id="rId422" w:history="1">
        <w:r w:rsidR="0078310B">
          <w:t>162</w:t>
        </w:r>
        <w:r w:rsidR="0078310B" w:rsidRPr="00F6592E">
          <w:t>(b)</w:t>
        </w:r>
      </w:hyperlink>
      <w:r w:rsidR="0078310B" w:rsidRPr="00F6592E">
        <w:t xml:space="preserve"> the tax is laid upon the income </w:t>
      </w:r>
      <w:r w:rsidR="0078310B">
        <w:t>“</w:t>
      </w:r>
      <w:r w:rsidR="0078310B" w:rsidRPr="00F6592E">
        <w:t>of any kind of property held in trust,</w:t>
      </w:r>
      <w:r w:rsidR="0078310B">
        <w:t>”</w:t>
      </w:r>
      <w:r w:rsidR="0078310B" w:rsidRPr="00F6592E">
        <w:t xml:space="preserve"> and income of a trust for the taxable year which is to be distributed to the beneficiaries is to be taxed to them </w:t>
      </w:r>
      <w:r w:rsidR="0078310B">
        <w:t>….</w:t>
      </w:r>
      <w:r w:rsidR="0078310B"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78310B" w:rsidRPr="00823B73">
        <w:rPr>
          <w:i/>
        </w:rPr>
        <w:t>See</w:t>
      </w:r>
      <w:r w:rsidR="0078310B" w:rsidRPr="00F6592E">
        <w:t xml:space="preserve">  </w:t>
      </w:r>
      <w:hyperlink r:id="rId423" w:history="1">
        <w:r w:rsidR="0078310B" w:rsidRPr="00EC78FD">
          <w:rPr>
            <w:i/>
          </w:rPr>
          <w:t>Corliss v. Bowers</w:t>
        </w:r>
        <w:r w:rsidR="0078310B" w:rsidRPr="00F6592E">
          <w:t>, 281 U.S. 376</w:t>
        </w:r>
      </w:hyperlink>
      <w:r w:rsidR="0078310B" w:rsidRPr="00F6592E">
        <w:t xml:space="preserve">; </w:t>
      </w:r>
      <w:hyperlink r:id="rId424" w:history="1">
        <w:r w:rsidR="0078310B" w:rsidRPr="00EC78FD">
          <w:rPr>
            <w:i/>
          </w:rPr>
          <w:t>Lucas v. Earl</w:t>
        </w:r>
        <w:r w:rsidR="0078310B" w:rsidRPr="00F6592E">
          <w:t xml:space="preserve">, </w:t>
        </w:r>
        <w:r w:rsidR="0078310B" w:rsidRPr="00EC78FD">
          <w:rPr>
            <w:i/>
          </w:rPr>
          <w:t>supra</w:t>
        </w:r>
      </w:hyperlink>
      <w:r w:rsidR="0078310B" w:rsidRPr="00F6592E">
        <w:t xml:space="preserve">; </w:t>
      </w:r>
      <w:hyperlink r:id="rId425" w:history="1">
        <w:r w:rsidR="0078310B" w:rsidRPr="00EC78FD">
          <w:rPr>
            <w:i/>
          </w:rPr>
          <w:t>Helvering v. Horst</w:t>
        </w:r>
        <w:r w:rsidR="0078310B" w:rsidRPr="00F6592E">
          <w:t xml:space="preserve">, </w:t>
        </w:r>
        <w:r w:rsidR="0078310B" w:rsidRPr="00EC78FD">
          <w:rPr>
            <w:i/>
          </w:rPr>
          <w:t>supra</w:t>
        </w:r>
      </w:hyperlink>
      <w:r w:rsidR="0078310B" w:rsidRPr="00F6592E">
        <w:t xml:space="preserve">; </w:t>
      </w:r>
      <w:hyperlink r:id="rId426" w:history="1">
        <w:r w:rsidR="0078310B" w:rsidRPr="00EC78FD">
          <w:rPr>
            <w:i/>
          </w:rPr>
          <w:t>Helvering v. Eubank</w:t>
        </w:r>
        <w:r w:rsidR="0078310B" w:rsidRPr="00F6592E">
          <w:t xml:space="preserve">, </w:t>
        </w:r>
        <w:r w:rsidR="0078310B" w:rsidRPr="00EC78FD">
          <w:rPr>
            <w:i/>
          </w:rPr>
          <w:t>supra</w:t>
        </w:r>
      </w:hyperlink>
      <w:r w:rsidR="0078310B" w:rsidRPr="00F6592E">
        <w:t xml:space="preserve">; </w:t>
      </w:r>
      <w:hyperlink r:id="rId427" w:history="1">
        <w:r w:rsidR="0078310B" w:rsidRPr="00EC78FD">
          <w:rPr>
            <w:i/>
          </w:rPr>
          <w:t>Helvering v. Clifford</w:t>
        </w:r>
        <w:r w:rsidR="0078310B" w:rsidRPr="00F6592E">
          <w:t xml:space="preserve">, </w:t>
        </w:r>
        <w:r w:rsidR="0078310B" w:rsidRPr="00EC78FD">
          <w:rPr>
            <w:i/>
          </w:rPr>
          <w:t>supra</w:t>
        </w:r>
        <w:r w:rsidR="0078310B" w:rsidRPr="00F6592E">
          <w:t>.</w:t>
        </w:r>
      </w:hyperlink>
      <w:r w:rsidR="0078310B"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rsidR="0078310B" w:rsidRPr="00F6592E" w:rsidRDefault="0078310B" w:rsidP="0078310B">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28"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29"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30"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rsidR="0078310B" w:rsidRPr="00F6592E" w:rsidRDefault="0078310B" w:rsidP="0078310B">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recurrent difficulty in those fields of the law where differences in degree produce ultimate differences in kind. </w:t>
      </w:r>
      <w:r w:rsidRPr="00823B73">
        <w:rPr>
          <w:i/>
        </w:rPr>
        <w:t>See</w:t>
      </w:r>
      <w:r w:rsidRPr="00F6592E">
        <w:t xml:space="preserve"> </w:t>
      </w:r>
      <w:hyperlink r:id="rId431"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32" w:history="1">
        <w:r w:rsidRPr="00EC78FD">
          <w:rPr>
            <w:i/>
          </w:rPr>
          <w:t>Helvering v. Clifford</w:t>
        </w:r>
        <w:r w:rsidRPr="00F6592E">
          <w:t xml:space="preserve">, </w:t>
        </w:r>
        <w:r w:rsidRPr="00EC78FD">
          <w:rPr>
            <w:i/>
          </w:rPr>
          <w:t>supra</w:t>
        </w:r>
        <w:r w:rsidRPr="00F6592E">
          <w:t>.</w:t>
        </w:r>
      </w:hyperlink>
    </w:p>
    <w:p w:rsidR="0078310B" w:rsidRDefault="0078310B" w:rsidP="0078310B">
      <w:pPr>
        <w:widowControl w:val="0"/>
        <w:jc w:val="center"/>
      </w:pPr>
      <w:r>
        <w:t>_______________________________________</w:t>
      </w:r>
    </w:p>
    <w:p w:rsidR="0078310B" w:rsidRDefault="0078310B" w:rsidP="0078310B">
      <w:pPr>
        <w:widowControl w:val="0"/>
        <w:jc w:val="both"/>
      </w:pPr>
    </w:p>
    <w:p w:rsidR="0078310B" w:rsidRPr="00122AF9" w:rsidRDefault="0078310B" w:rsidP="0078310B">
      <w:pPr>
        <w:widowControl w:val="0"/>
        <w:spacing w:after="120"/>
        <w:ind w:firstLine="288"/>
        <w:jc w:val="both"/>
      </w:pPr>
      <w:r>
        <w:t xml:space="preserve">In </w:t>
      </w:r>
      <w:r>
        <w:rPr>
          <w:i/>
        </w:rPr>
        <w:t>He</w:t>
      </w:r>
      <w:r w:rsidR="004B784A">
        <w:rPr>
          <w:i/>
        </w:rPr>
        <w:t>l</w:t>
      </w:r>
      <w:r>
        <w:rPr>
          <w:i/>
        </w:rPr>
        <w:t>vering v. Horst</w:t>
      </w:r>
      <w:r>
        <w:t>,</w:t>
      </w:r>
      <w:r>
        <w:rPr>
          <w:rStyle w:val="FootnoteReference"/>
        </w:rPr>
        <w:footnoteReference w:id="282"/>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rsidR="0078310B" w:rsidRPr="00122AF9" w:rsidRDefault="0078310B" w:rsidP="0078310B">
      <w:pPr>
        <w:widowControl w:val="0"/>
        <w:spacing w:after="120"/>
        <w:ind w:left="720" w:right="720"/>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33" w:history="1">
        <w:r w:rsidRPr="00EC78FD">
          <w:rPr>
            <w:i/>
          </w:rPr>
          <w:t>Lucas v. Earl</w:t>
        </w:r>
        <w:r w:rsidRPr="00122AF9">
          <w:t xml:space="preserve">, </w:t>
        </w:r>
        <w:r w:rsidRPr="00EC78FD">
          <w:rPr>
            <w:i/>
          </w:rPr>
          <w:t>supra</w:t>
        </w:r>
      </w:hyperlink>
      <w:r w:rsidRPr="00122AF9">
        <w:t>;</w:t>
      </w:r>
      <w:r>
        <w:t xml:space="preserve"> </w:t>
      </w:r>
      <w:hyperlink r:id="rId434"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78310B" w:rsidRPr="00122AF9" w:rsidRDefault="0078310B" w:rsidP="0078310B">
      <w:pPr>
        <w:widowControl w:val="0"/>
        <w:spacing w:after="120"/>
        <w:ind w:left="720" w:right="720"/>
        <w:jc w:val="both"/>
      </w:pPr>
      <w:r w:rsidRPr="00122AF9">
        <w:t xml:space="preserve">This was emphasized in </w:t>
      </w:r>
      <w:hyperlink r:id="rId435"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436"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have held without deviation </w:t>
      </w:r>
      <w:r>
        <w:t xml:space="preserve">that </w:t>
      </w:r>
      <w:r w:rsidRPr="00122AF9">
        <w:t xml:space="preserve">where the donor retains control of the trust property the income is taxable to him although paid to the donee. </w:t>
      </w:r>
      <w:hyperlink r:id="rId437"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38" w:history="1">
        <w:r w:rsidRPr="00EC78FD">
          <w:rPr>
            <w:i/>
          </w:rPr>
          <w:t>Helvering v. Clifford</w:t>
        </w:r>
        <w:r w:rsidRPr="00122AF9">
          <w:t xml:space="preserve">, </w:t>
        </w:r>
        <w:r w:rsidRPr="00EC78FD">
          <w:rPr>
            <w:i/>
          </w:rPr>
          <w:t>supra</w:t>
        </w:r>
        <w:r w:rsidRPr="00122AF9">
          <w:t>.</w:t>
        </w:r>
      </w:hyperlink>
      <w:r>
        <w:t>...</w:t>
      </w:r>
    </w:p>
    <w:p w:rsidR="0078310B" w:rsidRDefault="0078310B" w:rsidP="0078310B">
      <w:pPr>
        <w:widowControl w:val="0"/>
        <w:spacing w:after="120"/>
        <w:ind w:left="720" w:right="720"/>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39" w:history="1">
        <w:r w:rsidRPr="00EC78FD">
          <w:rPr>
            <w:i/>
          </w:rPr>
          <w:t>Lucas v. Earl</w:t>
        </w:r>
        <w:r w:rsidRPr="00122AF9">
          <w:t xml:space="preserve">, </w:t>
        </w:r>
        <w:r w:rsidRPr="00EC78FD">
          <w:rPr>
            <w:i/>
          </w:rPr>
          <w:t>supra</w:t>
        </w:r>
        <w:r w:rsidRPr="00122AF9">
          <w:t>, 115</w:t>
        </w:r>
      </w:hyperlink>
      <w:r w:rsidRPr="00122AF9">
        <w:t>.</w:t>
      </w:r>
    </w:p>
    <w:p w:rsidR="0078310B" w:rsidRDefault="0078310B" w:rsidP="0078310B">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w:t>
      </w:r>
      <w:r w:rsidR="00463156">
        <w:t xml:space="preserve">(for income tax purposes) </w:t>
      </w:r>
      <w:r>
        <w:t xml:space="preserve">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rsidR="0078310B" w:rsidRPr="004E7E8B" w:rsidRDefault="0078310B" w:rsidP="0078310B">
      <w:pPr>
        <w:pStyle w:val="Heading3"/>
        <w:spacing w:before="0" w:beforeAutospacing="0" w:after="120" w:afterAutospacing="0"/>
        <w:rPr>
          <w:i/>
        </w:rPr>
      </w:pPr>
      <w:bookmarkStart w:id="158" w:name="_Toc395790458"/>
      <w:r>
        <w:rPr>
          <w:i/>
        </w:rPr>
        <w:t xml:space="preserve">The § 1(g) </w:t>
      </w:r>
      <w:r w:rsidRPr="004E7E8B">
        <w:rPr>
          <w:i/>
        </w:rPr>
        <w:t>kiddie tax</w:t>
      </w:r>
      <w:bookmarkEnd w:id="158"/>
    </w:p>
    <w:p w:rsidR="0078310B" w:rsidRDefault="0078310B" w:rsidP="0078310B">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(presumably much lower) tax rates. </w:t>
      </w:r>
    </w:p>
    <w:p w:rsidR="0078310B" w:rsidRDefault="0078310B" w:rsidP="0078310B">
      <w:pPr>
        <w:widowControl w:val="0"/>
        <w:spacing w:after="120"/>
        <w:ind w:firstLine="288"/>
        <w:jc w:val="both"/>
      </w:pPr>
      <w:r>
        <w:t xml:space="preserve">Enter 1986. As part of the Tax Reform Act of 1986, Congress enacted </w:t>
      </w:r>
      <w:hyperlink r:id="rId440" w:history="1">
        <w:r w:rsidRPr="00B773C4">
          <w:rPr>
            <w:rStyle w:val="Hyperlink"/>
          </w:rPr>
          <w:t>§ 1</w:t>
        </w:r>
      </w:hyperlink>
      <w:r>
        <w:t>(g), commonly referred to as the “kiddie tax.” Under that section, “unearned income” of a child (essentially all income except compensation for services rendered by the child) that exceeds certain thresholds, while included in Gross Income by Junior on Junior’s tax return, is taxed at mummy and daddy’s highest marginal tax rate, as though the income were marginal dollars received by them. In other words, even though the assignment of income is successful, the assignment ends up doing mummy and daddy little good from an income tax perspective. I say “little” good because, to the extent that the child’s unearned income does not exceed the thresholds described in § 1(g)(4)(A)(ii) (as indexed for inflation), the kiddie tax will not apply. Thus, there remains a little room for shifting relatively small amounts</w:t>
      </w:r>
      <w:r w:rsidR="00B773C4">
        <w:t>. While the threshold can vary (</w:t>
      </w:r>
      <w:r>
        <w:t>depending on whether the child has significant itemized deductions of his own</w:t>
      </w:r>
      <w:r w:rsidR="00B773C4">
        <w:t>)</w:t>
      </w:r>
      <w:r>
        <w:t>, the thresh</w:t>
      </w:r>
      <w:r w:rsidR="001250B5">
        <w:t>old is generally $2,100 for 2017</w:t>
      </w:r>
      <w:r>
        <w:t xml:space="preserve">. </w:t>
      </w:r>
    </w:p>
    <w:p w:rsidR="0078310B" w:rsidRDefault="0078310B" w:rsidP="0078310B">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parents are providing more than 50% of their support), if he or she is not filing a joint return with a spouse. </w:t>
      </w:r>
    </w:p>
    <w:p w:rsidR="0078310B" w:rsidRDefault="0078310B" w:rsidP="0078310B">
      <w:pPr>
        <w:widowControl w:val="0"/>
        <w:spacing w:after="120"/>
        <w:ind w:firstLine="288"/>
        <w:jc w:val="both"/>
      </w:pPr>
      <w:r>
        <w:t xml:space="preserve">To avoid having to go to the bother of filing a tax return for Junior, mummy and daddy can elect under § 1(g)(7) to include the portion of Junior’s unearned income exceeding the threshold amount on their own tax return, as that income is going to be taxed at their tax rates anyway. The details of § 1(g) can be somewhat complex, including the determination of the threshold below which unearned income will not trigger operation of the section in a given year, but my purpose here is mainly that you appreciate both Congress’s reaction to successful assignments of property income to children and the general idea regarding how § 1(g) operates. </w:t>
      </w:r>
    </w:p>
    <w:p w:rsidR="0078310B" w:rsidRPr="004E7E8B" w:rsidRDefault="0078310B" w:rsidP="0078310B">
      <w:pPr>
        <w:pStyle w:val="Heading3"/>
        <w:spacing w:before="0" w:beforeAutospacing="0" w:after="120" w:afterAutospacing="0"/>
        <w:rPr>
          <w:i/>
        </w:rPr>
      </w:pPr>
      <w:bookmarkStart w:id="159" w:name="_Toc395790459"/>
      <w:r w:rsidRPr="004E7E8B">
        <w:rPr>
          <w:i/>
        </w:rPr>
        <w:t>The grantor trust rules</w:t>
      </w:r>
      <w:bookmarkEnd w:id="159"/>
    </w:p>
    <w:p w:rsidR="0078310B" w:rsidRDefault="0078310B" w:rsidP="0078310B">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under Subchapter J and § 61(a)(15)) to a third party. </w:t>
      </w:r>
    </w:p>
    <w:p w:rsidR="0078310B" w:rsidRDefault="0078310B" w:rsidP="0078310B">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and that the married spouses living in the community property state at issue in </w:t>
      </w:r>
      <w:r>
        <w:rPr>
          <w:i/>
        </w:rPr>
        <w:t xml:space="preserve">Poe v. Seaborn </w:t>
      </w:r>
      <w:r>
        <w:t xml:space="preserve">were permitted to split the husband’s salary (as well as the couple’s investment income) on two tax returns (one for each spouse), which effectively allowed them to use the lower rate brackets </w:t>
      </w:r>
      <w:r>
        <w:rPr>
          <w:i/>
        </w:rPr>
        <w:t>twice</w:t>
      </w:r>
      <w:r>
        <w:t>, lo</w:t>
      </w:r>
      <w:r w:rsidR="00994FA9">
        <w:t xml:space="preserve">wering their aggregate tax </w:t>
      </w:r>
      <w:r>
        <w:t xml:space="preserve">from what it would have been if the husband had included his wages entirely on a single tax return. Absent rules preventing the technique, the same approach could be used to split income between two (or more) income tax returns using trusts. </w:t>
      </w:r>
    </w:p>
    <w:p w:rsidR="0078310B" w:rsidRDefault="0078310B" w:rsidP="0078310B">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combination of </w:t>
      </w:r>
      <w:hyperlink r:id="rId441" w:history="1">
        <w:r w:rsidRPr="00994FA9">
          <w:rPr>
            <w:rStyle w:val="Hyperlink"/>
          </w:rPr>
          <w:t>§ 262</w:t>
        </w:r>
      </w:hyperlink>
      <w:r>
        <w:t xml:space="preserve">(a) for Susan and </w:t>
      </w:r>
      <w:hyperlink r:id="rId442" w:history="1">
        <w:r w:rsidRPr="00994FA9">
          <w:rPr>
            <w:rStyle w:val="Hyperlink"/>
          </w:rPr>
          <w:t>§ 102</w:t>
        </w:r>
      </w:hyperlink>
      <w:r>
        <w:t>(a) for her recipients.) How can she effectively move some of those “last dolla</w:t>
      </w:r>
      <w:r w:rsidR="00296FD6">
        <w:t xml:space="preserve">rs” to one or more other </w:t>
      </w:r>
      <w:r>
        <w:t>tax return</w:t>
      </w:r>
      <w:r w:rsidR="00296FD6">
        <w:t>s</w:t>
      </w:r>
      <w:r>
        <w:t xml:space="preserve">, removing them from her high tax bracket to the lower rate brackets of a second (and third, and fourth, </w:t>
      </w:r>
      <w:r>
        <w:rPr>
          <w:i/>
        </w:rPr>
        <w:t>etc.</w:t>
      </w:r>
      <w:r>
        <w:t xml:space="preserve">) taxpayer? </w:t>
      </w:r>
    </w:p>
    <w:p w:rsidR="0078310B" w:rsidRDefault="0078310B" w:rsidP="0078310B">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160" w:name="_Toc395790460"/>
      <w:r>
        <w:t>HELVERING v. CLIFFORD</w:t>
      </w:r>
      <w:bookmarkEnd w:id="160"/>
    </w:p>
    <w:p w:rsidR="0078310B" w:rsidRDefault="0078310B" w:rsidP="0078310B">
      <w:pPr>
        <w:widowControl w:val="0"/>
        <w:jc w:val="center"/>
      </w:pPr>
      <w:r>
        <w:t>309 U.S. 331 (1940)</w:t>
      </w:r>
    </w:p>
    <w:p w:rsidR="0078310B" w:rsidRDefault="0078310B" w:rsidP="0078310B">
      <w:pPr>
        <w:widowControl w:val="0"/>
        <w:jc w:val="both"/>
      </w:pPr>
    </w:p>
    <w:p w:rsidR="0078310B" w:rsidRPr="00F56BB4" w:rsidRDefault="0078310B" w:rsidP="0078310B">
      <w:pPr>
        <w:widowControl w:val="0"/>
        <w:spacing w:after="120"/>
        <w:ind w:firstLine="288"/>
        <w:jc w:val="both"/>
      </w:pPr>
      <w:r>
        <w:rPr>
          <w:smallCaps/>
        </w:rPr>
        <w:t>Mr. Justice Douglas</w:t>
      </w:r>
      <w:r>
        <w:t xml:space="preserve"> delivered the opinion of t</w:t>
      </w:r>
      <w:r w:rsidRPr="00F56BB4">
        <w:t>he Court.</w:t>
      </w:r>
    </w:p>
    <w:p w:rsidR="0078310B" w:rsidRPr="00F56BB4" w:rsidRDefault="0078310B" w:rsidP="0078310B">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rsidR="0078310B" w:rsidRPr="00F56BB4" w:rsidRDefault="0078310B" w:rsidP="0078310B">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s wife had substantial income of her own from other sources; that there 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rsidR="0078310B" w:rsidRPr="00F56BB4" w:rsidRDefault="0078310B" w:rsidP="0078310B">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rsidR="0078310B" w:rsidRPr="00F56BB4" w:rsidRDefault="0078310B" w:rsidP="0078310B">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rsidR="0078310B" w:rsidRPr="00F56BB4" w:rsidRDefault="0078310B" w:rsidP="0078310B">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rsidR="0078310B" w:rsidRPr="00F56BB4" w:rsidRDefault="0078310B" w:rsidP="0078310B">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any substantial change in his economic position. It is hard to imagine that respondent felt himself the poorer after this trust had been executed or, if he did, that it had any 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rsidR="0078310B" w:rsidRPr="00F56BB4" w:rsidRDefault="0078310B" w:rsidP="0078310B">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43" w:history="1">
        <w:r w:rsidRPr="00EC78FD">
          <w:rPr>
            <w:i/>
          </w:rPr>
          <w:t>DuPont v. Comm’r</w:t>
        </w:r>
        <w:r w:rsidRPr="00F56BB4">
          <w:t>, 289 U.S. 685, 689</w:t>
        </w:r>
      </w:hyperlink>
      <w:r w:rsidRPr="00F56BB4">
        <w:t>.</w:t>
      </w:r>
    </w:p>
    <w:p w:rsidR="0078310B" w:rsidRPr="00F56BB4" w:rsidRDefault="0078310B" w:rsidP="0078310B">
      <w:pPr>
        <w:widowControl w:val="0"/>
        <w:spacing w:after="120"/>
        <w:ind w:firstLine="288"/>
        <w:jc w:val="both"/>
      </w:pPr>
      <w:r w:rsidRPr="00F56BB4">
        <w:t>The judgment of the Circuit Court of Appeals is reversed and that of the Board of Tax Appeals is affirmed.</w:t>
      </w:r>
    </w:p>
    <w:p w:rsidR="0078310B" w:rsidRPr="00F56BB4" w:rsidRDefault="0078310B" w:rsidP="0078310B">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rsidR="0078310B" w:rsidRDefault="0078310B" w:rsidP="0078310B">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rsidR="0078310B" w:rsidRPr="00F56BB4" w:rsidRDefault="0078310B" w:rsidP="0078310B">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rsidR="0078310B" w:rsidRPr="00F56BB4" w:rsidRDefault="0078310B" w:rsidP="0078310B">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rsidR="0078310B" w:rsidRPr="00F56BB4" w:rsidRDefault="0078310B" w:rsidP="0078310B">
      <w:pPr>
        <w:widowControl w:val="0"/>
        <w:spacing w:after="120"/>
        <w:ind w:firstLine="288"/>
        <w:jc w:val="both"/>
      </w:pPr>
      <w:r w:rsidRPr="00F56BB4">
        <w:t>If some short term trusts are to be treated as nonexistent for income tax purposes, it is for Congress to specify them.</w:t>
      </w:r>
    </w:p>
    <w:p w:rsidR="0078310B" w:rsidRPr="00F56BB4" w:rsidRDefault="0078310B" w:rsidP="0078310B">
      <w:pPr>
        <w:widowControl w:val="0"/>
        <w:ind w:firstLine="288"/>
        <w:jc w:val="both"/>
      </w:pPr>
      <w:r>
        <w:rPr>
          <w:smallCaps/>
        </w:rPr>
        <w:t>Mr. Justice McReynolds</w:t>
      </w:r>
      <w:r w:rsidRPr="00F56BB4">
        <w:t xml:space="preserve"> joins in this opinion.</w:t>
      </w:r>
    </w:p>
    <w:p w:rsidR="0078310B" w:rsidRDefault="0078310B" w:rsidP="0078310B">
      <w:pPr>
        <w:widowControl w:val="0"/>
        <w:jc w:val="center"/>
      </w:pPr>
      <w:r>
        <w:t>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sidR="00A8246C">
        <w:rPr>
          <w:b/>
        </w:rPr>
        <w:t xml:space="preserve">ross Income of the grantor, </w:t>
      </w:r>
      <w:r>
        <w:rPr>
          <w:b/>
        </w:rPr>
        <w:t xml:space="preserve">who </w:t>
      </w:r>
      <w:r w:rsidR="006D0D19">
        <w:rPr>
          <w:b/>
        </w:rPr>
        <w:t xml:space="preserve">created and </w:t>
      </w:r>
      <w:r>
        <w:rPr>
          <w:b/>
        </w:rPr>
        <w:t>funded the trust with cash or property</w:t>
      </w:r>
      <w:r>
        <w:t xml:space="preserve">—Mr. Clifford in the above case. You can think of a grantor trust as being treated the same (for Federal income tax purposes) as a one-owner Limited Liability Company (LLC), which you learned in the Introduction is an entity that is similarly ignored for tax purposes. That is to say, the sole owner of the LLC includes and deducts the amounts attributable to the LLC on her own individual tax return as though she did not create the LLC but rather operated the business directly as a sole proprietor. This is precisely how a grantor trust is treated for Federal income tax purposes. </w:t>
      </w:r>
    </w:p>
    <w:p w:rsidR="0078310B" w:rsidRDefault="0078310B" w:rsidP="0078310B">
      <w:pPr>
        <w:widowControl w:val="0"/>
        <w:spacing w:after="120"/>
        <w:ind w:firstLine="288"/>
        <w:jc w:val="both"/>
      </w:pPr>
      <w:r>
        <w:t>Even though Mr. Clifford lost his case, others followed in his wake and were more careful to draft trust instruments that deprived themselves of a bit more power and that created trusts that lasted for more tha</w:t>
      </w:r>
      <w:r w:rsidR="00933948">
        <w:t xml:space="preserve">n the five years in </w:t>
      </w:r>
      <w:r w:rsidR="00933948">
        <w:rPr>
          <w:i/>
        </w:rPr>
        <w:t>Clifford</w:t>
      </w:r>
      <w:r>
        <w:t xml:space="preserve">. Shortly after </w:t>
      </w:r>
      <w:r>
        <w:rPr>
          <w:i/>
        </w:rPr>
        <w:t xml:space="preserve">Clifford </w:t>
      </w:r>
      <w:r>
        <w:t xml:space="preserve">was decided, the Treasury Department issued regulations that more precisely described the characteristics of a grantor trust, and these regulations were codified in 1954 (addressing the issue highlighted in Justice Roberts’s dissent), modified significantly in 1969, and modified significantly again in 1986. Prior to 1986, a trust’s life had to exceed 10 years to avoid grantor trust status. Such trusts came to be known as </w:t>
      </w:r>
      <w:r>
        <w:rPr>
          <w:i/>
        </w:rPr>
        <w:t xml:space="preserve">Clifford </w:t>
      </w:r>
      <w:r>
        <w:t xml:space="preserve">trusts because they were specifically designed to avoid grantor trust status under </w:t>
      </w:r>
      <w:r>
        <w:rPr>
          <w:i/>
        </w:rPr>
        <w:t>Clifford</w:t>
      </w:r>
      <w:r>
        <w:t>.</w:t>
      </w:r>
      <w:r>
        <w:rPr>
          <w:i/>
        </w:rPr>
        <w:t xml:space="preserve"> </w:t>
      </w:r>
      <w:r>
        <w:t>“</w:t>
      </w:r>
      <w:r>
        <w:rPr>
          <w:i/>
        </w:rPr>
        <w:t xml:space="preserve">Clifford </w:t>
      </w:r>
      <w:r>
        <w:t xml:space="preserve">trusts, </w:t>
      </w:r>
      <w:r>
        <w:rPr>
          <w:i/>
        </w:rPr>
        <w:t>i.e.</w:t>
      </w:r>
      <w:r>
        <w:t>, trusts with a reversionary interest that would not take effect in fewer than 10 years, were widely used to shift income tax consequences of trusts from the grantor to the trust or a beneficiary from the 1940s through 1986.”</w:t>
      </w:r>
      <w:r>
        <w:rPr>
          <w:rStyle w:val="FootnoteReference"/>
        </w:rPr>
        <w:footnoteReference w:id="283"/>
      </w:r>
    </w:p>
    <w:p w:rsidR="0078310B" w:rsidRPr="001470B6" w:rsidRDefault="0078310B" w:rsidP="0078310B">
      <w:pPr>
        <w:widowControl w:val="0"/>
        <w:spacing w:after="120"/>
        <w:ind w:firstLine="288"/>
        <w:jc w:val="both"/>
      </w:pPr>
      <w:r>
        <w:t>In the Tax Reform Act of 1986, Congress substantially revised the grantor trust rules, now found in §</w:t>
      </w:r>
      <w:hyperlink r:id="rId444" w:history="1">
        <w:r w:rsidRPr="00933948">
          <w:rPr>
            <w:rStyle w:val="Hyperlink"/>
          </w:rPr>
          <w:t>§ 671</w:t>
        </w:r>
      </w:hyperlink>
      <w:r>
        <w:t xml:space="preserve"> to </w:t>
      </w:r>
      <w:hyperlink r:id="rId445" w:history="1">
        <w:r w:rsidRPr="00933948">
          <w:rPr>
            <w:rStyle w:val="Hyperlink"/>
          </w:rPr>
          <w:t>677</w:t>
        </w:r>
      </w:hyperlink>
      <w:r>
        <w:t xml:space="preserve"> of the Code.</w:t>
      </w:r>
      <w:r>
        <w:rPr>
          <w:rStyle w:val="FootnoteReference"/>
        </w:rPr>
        <w:footnoteReference w:id="284"/>
      </w:r>
      <w:r>
        <w:t xml:space="preserve"> Notice how detailed they are. To get a flavor, take a look, for example, at §</w:t>
      </w:r>
      <w:hyperlink r:id="rId446" w:history="1">
        <w:r w:rsidRPr="00933948">
          <w:rPr>
            <w:rStyle w:val="Hyperlink"/>
          </w:rPr>
          <w:t>§ 673</w:t>
        </w:r>
      </w:hyperlink>
      <w:r>
        <w:t xml:space="preserve">(a), </w:t>
      </w:r>
      <w:hyperlink r:id="rId447" w:history="1">
        <w:r w:rsidRPr="00933948">
          <w:rPr>
            <w:rStyle w:val="Hyperlink"/>
          </w:rPr>
          <w:t>674</w:t>
        </w:r>
      </w:hyperlink>
      <w:r>
        <w:t xml:space="preserve">(a) and </w:t>
      </w:r>
      <w:hyperlink r:id="rId448" w:history="1">
        <w:r w:rsidRPr="00933948">
          <w:rPr>
            <w:rStyle w:val="Hyperlink"/>
          </w:rPr>
          <w:t>676</w:t>
        </w:r>
      </w:hyperlink>
      <w:r>
        <w:t>(a). Instead of a simple 10-year rule, how is the reversionary interest necessary to avoid grantor trust status measured today? Because § 673 provides no methodology in valuing reversionary interests, the IRS utilizes the methods used to value reversionary interests under § 2037 for estate tax purposes.</w:t>
      </w:r>
      <w:r>
        <w:rPr>
          <w:rStyle w:val="FootnoteReference"/>
        </w:rPr>
        <w:footnoteReference w:id="285"/>
      </w:r>
    </w:p>
    <w:p w:rsidR="0078310B" w:rsidRDefault="0078310B" w:rsidP="0078310B">
      <w:pPr>
        <w:widowControl w:val="0"/>
        <w:spacing w:after="120"/>
        <w:ind w:firstLine="288"/>
        <w:jc w:val="both"/>
      </w:pPr>
      <w:r>
        <w:t>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gift or estate tax benefits. Such trusts are often referred to as “intentionally defective grantor trusts.”</w:t>
      </w:r>
    </w:p>
    <w:p w:rsidR="0078310B" w:rsidRPr="004E7E8B" w:rsidRDefault="0078310B" w:rsidP="0078310B">
      <w:pPr>
        <w:pStyle w:val="Heading3"/>
        <w:spacing w:before="0" w:beforeAutospacing="0" w:after="120" w:afterAutospacing="0"/>
        <w:rPr>
          <w:i/>
        </w:rPr>
      </w:pPr>
      <w:bookmarkStart w:id="161" w:name="_Toc395790461"/>
      <w:r w:rsidRPr="004E7E8B">
        <w:rPr>
          <w:i/>
        </w:rPr>
        <w:t>Income splitting using a nongrantor trust</w:t>
      </w:r>
      <w:bookmarkEnd w:id="161"/>
    </w:p>
    <w:p w:rsidR="0078310B" w:rsidRDefault="0078310B" w:rsidP="0078310B">
      <w:pPr>
        <w:widowControl w:val="0"/>
        <w:ind w:firstLine="288"/>
        <w:jc w:val="both"/>
      </w:pPr>
      <w:r>
        <w:t>Let’s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and capital gains (or close to it) are actually distributed every year (and thus taxed to the designated beneficiaries) rather than retained and accumulated by the trust (and taxed to it). The reason for this advice is that Congress drastically compressed the tax rate schedule for trusts and estates in § 1(e) in 1986. Compare the 2016 schedule below for estates and trusts</w:t>
      </w:r>
      <w:r>
        <w:rPr>
          <w:rStyle w:val="FootnoteReference"/>
        </w:rPr>
        <w:footnoteReference w:id="286"/>
      </w:r>
      <w:r>
        <w:t xml:space="preserve"> to the 2016 schedules for unmarried individuals and married couples filing jointly reprinted in Chapter 1, Part B.</w:t>
      </w:r>
    </w:p>
    <w:p w:rsidR="0078310B" w:rsidRPr="0087474F" w:rsidRDefault="0078310B" w:rsidP="0078310B">
      <w:pPr>
        <w:widowControl w:val="0"/>
        <w:jc w:val="both"/>
        <w:rPr>
          <w:b/>
          <w:bCs/>
          <w:u w:val="single"/>
        </w:rPr>
      </w:pPr>
    </w:p>
    <w:p w:rsidR="0078310B" w:rsidRPr="0087474F" w:rsidRDefault="0078310B" w:rsidP="0078310B">
      <w:pPr>
        <w:widowControl w:val="0"/>
        <w:jc w:val="center"/>
      </w:pPr>
      <w:r w:rsidRPr="0087474F">
        <w:rPr>
          <w:b/>
          <w:bCs/>
          <w:u w:val="single"/>
        </w:rPr>
        <w:t>201</w:t>
      </w:r>
      <w:r w:rsidR="00ED0A61">
        <w:rPr>
          <w:b/>
          <w:bCs/>
          <w:u w:val="single"/>
        </w:rPr>
        <w:t>7</w:t>
      </w:r>
      <w:r w:rsidRPr="0087474F">
        <w:rPr>
          <w:b/>
          <w:bCs/>
          <w:u w:val="single"/>
        </w:rPr>
        <w:t xml:space="preserve"> Table for Trusts &amp; Estates</w:t>
      </w:r>
    </w:p>
    <w:p w:rsidR="0078310B" w:rsidRPr="0087474F" w:rsidRDefault="0078310B" w:rsidP="0078310B">
      <w:pPr>
        <w:pStyle w:val="BodyText"/>
        <w:widowControl w:val="0"/>
        <w:rPr>
          <w:iCs/>
          <w:sz w:val="24"/>
          <w:szCs w:val="24"/>
        </w:rPr>
      </w:pPr>
    </w:p>
    <w:p w:rsidR="0078310B" w:rsidRPr="0087474F" w:rsidRDefault="0078310B" w:rsidP="0078310B">
      <w:pPr>
        <w:pStyle w:val="BodyText"/>
        <w:widowControl w:val="0"/>
        <w:spacing w:after="120"/>
        <w:rPr>
          <w:sz w:val="24"/>
          <w:szCs w:val="24"/>
        </w:rPr>
      </w:pPr>
      <w:r w:rsidRPr="0087474F">
        <w:rPr>
          <w:i/>
          <w:iCs/>
          <w:sz w:val="24"/>
          <w:szCs w:val="24"/>
        </w:rPr>
        <w:t>If Taxable Income is:                                    The tax is:</w:t>
      </w:r>
    </w:p>
    <w:p w:rsidR="0078310B" w:rsidRPr="0087474F" w:rsidRDefault="0078310B" w:rsidP="0078310B">
      <w:pPr>
        <w:pStyle w:val="BodyText"/>
        <w:widowControl w:val="0"/>
        <w:rPr>
          <w:sz w:val="24"/>
          <w:szCs w:val="24"/>
        </w:rPr>
      </w:pPr>
      <w:r>
        <w:rPr>
          <w:sz w:val="24"/>
          <w:szCs w:val="24"/>
        </w:rPr>
        <w:t>Not over $2,550…………………………...</w:t>
      </w:r>
      <w:r w:rsidRPr="0087474F">
        <w:rPr>
          <w:sz w:val="24"/>
          <w:szCs w:val="24"/>
        </w:rPr>
        <w:t>15% of taxable income</w:t>
      </w:r>
    </w:p>
    <w:p w:rsidR="0078310B" w:rsidRPr="0087474F" w:rsidRDefault="00ED0A61" w:rsidP="0078310B">
      <w:pPr>
        <w:pStyle w:val="BodyText"/>
        <w:widowControl w:val="0"/>
        <w:rPr>
          <w:sz w:val="24"/>
          <w:szCs w:val="24"/>
        </w:rPr>
      </w:pPr>
      <w:r>
        <w:rPr>
          <w:sz w:val="24"/>
          <w:szCs w:val="24"/>
        </w:rPr>
        <w:t>Over $2,550 but not over $6,00</w:t>
      </w:r>
      <w:r w:rsidR="0078310B">
        <w:rPr>
          <w:sz w:val="24"/>
          <w:szCs w:val="24"/>
        </w:rPr>
        <w:t>0……….....$382.50 plus 25% of excess over $2,55</w:t>
      </w:r>
      <w:r w:rsidR="0078310B" w:rsidRPr="0087474F">
        <w:rPr>
          <w:sz w:val="24"/>
          <w:szCs w:val="24"/>
        </w:rPr>
        <w:t>0</w:t>
      </w:r>
    </w:p>
    <w:p w:rsidR="0078310B" w:rsidRPr="0087474F" w:rsidRDefault="00ED0A61" w:rsidP="0078310B">
      <w:pPr>
        <w:pStyle w:val="BodyText"/>
        <w:widowControl w:val="0"/>
        <w:rPr>
          <w:sz w:val="24"/>
          <w:szCs w:val="24"/>
        </w:rPr>
      </w:pPr>
      <w:r>
        <w:rPr>
          <w:sz w:val="24"/>
          <w:szCs w:val="24"/>
        </w:rPr>
        <w:t>Over $6,000 but not over $9,150……….....$1,245 plus 28% of excess over $6,00</w:t>
      </w:r>
      <w:r w:rsidR="0078310B" w:rsidRPr="0087474F">
        <w:rPr>
          <w:sz w:val="24"/>
          <w:szCs w:val="24"/>
        </w:rPr>
        <w:t>0</w:t>
      </w:r>
    </w:p>
    <w:p w:rsidR="0078310B" w:rsidRPr="0087474F" w:rsidRDefault="00ED0A61" w:rsidP="0078310B">
      <w:pPr>
        <w:pStyle w:val="BodyText"/>
        <w:widowControl w:val="0"/>
        <w:rPr>
          <w:sz w:val="24"/>
          <w:szCs w:val="24"/>
        </w:rPr>
      </w:pPr>
      <w:r>
        <w:rPr>
          <w:sz w:val="24"/>
          <w:szCs w:val="24"/>
        </w:rPr>
        <w:t>Over $9,150 but not over $12,500………...$2,127 plus 33% of excess over $9,1</w:t>
      </w:r>
      <w:r w:rsidR="0078310B">
        <w:rPr>
          <w:sz w:val="24"/>
          <w:szCs w:val="24"/>
        </w:rPr>
        <w:t>50</w:t>
      </w:r>
    </w:p>
    <w:p w:rsidR="0078310B" w:rsidRPr="0087474F" w:rsidRDefault="00ED0A61" w:rsidP="0078310B">
      <w:pPr>
        <w:pStyle w:val="BodyText"/>
        <w:widowControl w:val="0"/>
        <w:rPr>
          <w:sz w:val="24"/>
          <w:szCs w:val="24"/>
        </w:rPr>
      </w:pPr>
      <w:r>
        <w:rPr>
          <w:sz w:val="24"/>
          <w:szCs w:val="24"/>
        </w:rPr>
        <w:t>Over $12,5</w:t>
      </w:r>
      <w:r w:rsidR="0078310B">
        <w:rPr>
          <w:sz w:val="24"/>
          <w:szCs w:val="24"/>
        </w:rPr>
        <w:t>00……………………………...</w:t>
      </w:r>
      <w:r w:rsidR="0078310B" w:rsidRPr="0087474F">
        <w:rPr>
          <w:sz w:val="24"/>
          <w:szCs w:val="24"/>
        </w:rPr>
        <w:t>$3</w:t>
      </w:r>
      <w:r>
        <w:rPr>
          <w:sz w:val="24"/>
          <w:szCs w:val="24"/>
        </w:rPr>
        <w:t>,232.50</w:t>
      </w:r>
      <w:r w:rsidR="0078310B" w:rsidRPr="0087474F">
        <w:rPr>
          <w:sz w:val="24"/>
          <w:szCs w:val="24"/>
        </w:rPr>
        <w:t xml:space="preserve"> </w:t>
      </w:r>
      <w:r w:rsidR="0078310B">
        <w:rPr>
          <w:sz w:val="24"/>
          <w:szCs w:val="24"/>
        </w:rPr>
        <w:t xml:space="preserve">plus 39.6% of excess </w:t>
      </w:r>
      <w:r>
        <w:rPr>
          <w:sz w:val="24"/>
          <w:szCs w:val="24"/>
        </w:rPr>
        <w:t>over $12,5</w:t>
      </w:r>
      <w:r w:rsidR="0078310B">
        <w:rPr>
          <w:sz w:val="24"/>
          <w:szCs w:val="24"/>
        </w:rPr>
        <w:t>0</w:t>
      </w:r>
      <w:r w:rsidR="0078310B" w:rsidRPr="0087474F">
        <w:rPr>
          <w:sz w:val="24"/>
          <w:szCs w:val="24"/>
        </w:rPr>
        <w:t>0</w:t>
      </w:r>
    </w:p>
    <w:p w:rsidR="0078310B" w:rsidRPr="0087474F" w:rsidRDefault="0078310B" w:rsidP="0078310B">
      <w:pPr>
        <w:widowControl w:val="0"/>
        <w:ind w:firstLine="288"/>
        <w:jc w:val="both"/>
      </w:pPr>
    </w:p>
    <w:p w:rsidR="0078310B" w:rsidRDefault="0078310B" w:rsidP="0078310B">
      <w:pPr>
        <w:widowControl w:val="0"/>
        <w:spacing w:after="120"/>
        <w:ind w:firstLine="288"/>
        <w:jc w:val="both"/>
      </w:pPr>
      <w:r>
        <w:t>In addition, undistributed net</w:t>
      </w:r>
      <w:r w:rsidR="00ED0A61">
        <w:t xml:space="preserve"> capital gain in excess of $12,5</w:t>
      </w:r>
      <w:r>
        <w:t>00 is taxed at the 2</w:t>
      </w:r>
      <w:r w:rsidR="00ED0A61">
        <w:t>0% net capital gain rate in 2017</w:t>
      </w:r>
      <w:r>
        <w:t xml:space="preserve"> (rather than the 15% rate that applies to individual taxpayers with AGI of less than approximately $400,000). </w:t>
      </w:r>
    </w:p>
    <w:p w:rsidR="0078310B" w:rsidRDefault="0078310B" w:rsidP="0078310B">
      <w:pPr>
        <w:widowControl w:val="0"/>
        <w:spacing w:after="120"/>
        <w:ind w:firstLine="288"/>
        <w:jc w:val="both"/>
      </w:pPr>
      <w:r>
        <w:t>In effect, Susan can shift investmen</w:t>
      </w:r>
      <w:r w:rsidR="00933948">
        <w:t xml:space="preserve">t income earned by her </w:t>
      </w:r>
      <w:r>
        <w:t xml:space="preserve">nongrantor trust to the tax returns of her low-bracket family members by ensuring distribution of 100% of the trust’s income and net capital gain each year, </w:t>
      </w:r>
      <w:r w:rsidRPr="00B93167">
        <w:t>thus lowering the aggregate</w:t>
      </w:r>
      <w:r>
        <w:t xml:space="preserve"> tax burden on that income.</w:t>
      </w:r>
      <w:r>
        <w:rPr>
          <w:rStyle w:val="FootnoteReference"/>
        </w:rPr>
        <w:footnoteReference w:id="287"/>
      </w:r>
      <w:r>
        <w:t xml:space="preserve"> If </w:t>
      </w:r>
      <w:r w:rsidRPr="00B93167">
        <w:t xml:space="preserve">Susan’s </w:t>
      </w:r>
      <w:r>
        <w:t xml:space="preserve">nongrantor </w:t>
      </w:r>
      <w:r w:rsidRPr="00B93167">
        <w:t xml:space="preserve">trust </w:t>
      </w:r>
      <w:r>
        <w:t xml:space="preserve">does not distribute its income every year (and therefore </w:t>
      </w:r>
      <w:r w:rsidRPr="00B93167">
        <w:t xml:space="preserve">is </w:t>
      </w:r>
      <w:r>
        <w:t xml:space="preserve">analogous to her own </w:t>
      </w:r>
      <w:r w:rsidRPr="00B93167">
        <w:t>pocketbook or bank account</w:t>
      </w:r>
      <w:r>
        <w:t>)</w:t>
      </w:r>
      <w:r w:rsidRPr="00B93167">
        <w:t xml:space="preserve">, the </w:t>
      </w:r>
      <w:r>
        <w:t xml:space="preserve">trust’s marginal </w:t>
      </w:r>
      <w:r w:rsidRPr="00B93167">
        <w:t>incom</w:t>
      </w:r>
      <w:r>
        <w:t xml:space="preserve">e tax rate will quickly reach the same 39.6% rate (and 20% rate for net capital gain) that would have applied to that income had she never created the trust in the first place and had </w:t>
      </w:r>
      <w:r w:rsidRPr="00B93167">
        <w:t>included the inves</w:t>
      </w:r>
      <w:r>
        <w:t>tment income on her own return.</w:t>
      </w:r>
    </w:p>
    <w:p w:rsidR="0078310B" w:rsidRPr="004E7E8B" w:rsidRDefault="0078310B" w:rsidP="0078310B">
      <w:pPr>
        <w:pStyle w:val="Heading3"/>
        <w:spacing w:before="0" w:beforeAutospacing="0" w:after="120" w:afterAutospacing="0"/>
        <w:rPr>
          <w:i/>
        </w:rPr>
      </w:pPr>
      <w:bookmarkStart w:id="162" w:name="_Toc395790462"/>
      <w:r w:rsidRPr="004E7E8B">
        <w:rPr>
          <w:i/>
        </w:rPr>
        <w:t>Final thoughts</w:t>
      </w:r>
      <w:bookmarkEnd w:id="162"/>
      <w:r w:rsidRPr="004E7E8B">
        <w:rPr>
          <w:i/>
        </w:rPr>
        <w:t xml:space="preserve"> </w:t>
      </w:r>
    </w:p>
    <w:p w:rsidR="0078310B" w:rsidRDefault="0078310B" w:rsidP="0078310B">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services. Retention of control over the thing that produces the income (your ow</w:t>
      </w:r>
      <w:r>
        <w:t xml:space="preserve">n body </w:t>
      </w:r>
      <w:r w:rsidR="006035CD">
        <w:t xml:space="preserve">and mind </w:t>
      </w:r>
      <w:r>
        <w:t>in the case of services</w:t>
      </w:r>
      <w:r w:rsidRPr="00B93167">
        <w:t xml:space="preserve"> </w:t>
      </w:r>
      <w:r>
        <w:t xml:space="preserve">and </w:t>
      </w:r>
      <w:r w:rsidRPr="00B93167">
        <w:t>the underlying property in the case of prop</w:t>
      </w:r>
      <w:r w:rsidR="00C86865">
        <w:t>erty) brings taxation with it. In other words, r</w:t>
      </w:r>
      <w:r w:rsidRPr="00B93167">
        <w:t>etention of control</w:t>
      </w:r>
      <w:r>
        <w:t xml:space="preserve"> </w:t>
      </w:r>
      <w:r w:rsidRPr="00B93167">
        <w:t xml:space="preserve">connotes tax ownership. That </w:t>
      </w:r>
      <w:r>
        <w:t xml:space="preserve">analysis explains </w:t>
      </w:r>
      <w:r w:rsidRPr="00B93167">
        <w:t xml:space="preserve">why there is so much more flexibility regarding the ability to assign property income compared to services income. You cannot give up control and ownership over your own body </w:t>
      </w:r>
      <w:r w:rsidR="00C86865">
        <w:t xml:space="preserve">and mind </w:t>
      </w:r>
      <w:r w:rsidRPr="00B93167">
        <w:t>as the source of income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88"/>
      </w:r>
      <w:r>
        <w:t xml:space="preserve"> (Emphasis added.) In other words, the worker controls whether the services income will be earned because he can turn the spigot on or off by choosing to work or not. You </w:t>
      </w:r>
      <w:r w:rsidRPr="00B93167">
        <w:rPr>
          <w:i/>
        </w:rPr>
        <w:t>can</w:t>
      </w:r>
      <w:r>
        <w:t>, in contrast, give up control over property that produces income.</w:t>
      </w:r>
    </w:p>
    <w:p w:rsidR="0078310B" w:rsidRDefault="0078310B" w:rsidP="0078310B">
      <w:pPr>
        <w:widowControl w:val="0"/>
        <w:spacing w:after="120"/>
        <w:ind w:firstLine="288"/>
        <w:jc w:val="both"/>
      </w:pPr>
      <w:r w:rsidRPr="00B93167">
        <w:t xml:space="preserve">While this </w:t>
      </w:r>
      <w:r>
        <w:t xml:space="preserve">reasoning may be intellectually tidy, </w:t>
      </w:r>
      <w:r w:rsidRPr="00B93167">
        <w:t xml:space="preserve">note that this gives propertied people—the wealthy—a much greater ability to shift </w:t>
      </w:r>
      <w:r w:rsidR="002918B0">
        <w:t xml:space="preserve">their (capital) </w:t>
      </w:r>
      <w:r w:rsidRPr="00B93167">
        <w:t>income than t</w:t>
      </w:r>
      <w:r>
        <w:t xml:space="preserve">he larger majority whose main source of income is </w:t>
      </w:r>
      <w:r w:rsidR="002918B0">
        <w:t>from labor (</w:t>
      </w:r>
      <w:r>
        <w:t>compensation for services rendered</w:t>
      </w:r>
      <w:r w:rsidR="002918B0">
        <w:t>)</w:t>
      </w:r>
      <w:r w:rsidRPr="00B93167">
        <w:t xml:space="preserve">. </w:t>
      </w:r>
    </w:p>
    <w:p w:rsidR="0078310B" w:rsidRPr="0048054B" w:rsidRDefault="0078310B" w:rsidP="0078310B">
      <w:pPr>
        <w:pStyle w:val="NormalWeb"/>
        <w:widowControl w:val="0"/>
        <w:spacing w:before="0" w:beforeAutospacing="0" w:after="120" w:afterAutospacing="0"/>
        <w:ind w:firstLine="288"/>
        <w:jc w:val="both"/>
      </w:pPr>
    </w:p>
    <w:p w:rsidR="0078310B" w:rsidRDefault="0078310B" w:rsidP="0078310B">
      <w:pPr>
        <w:widowControl w:val="0"/>
        <w:spacing w:after="120"/>
        <w:ind w:firstLine="288"/>
        <w:sectPr w:rsidR="0078310B" w:rsidSect="005337BA">
          <w:headerReference w:type="default" r:id="rId449"/>
          <w:footnotePr>
            <w:numRestart w:val="eachSect"/>
          </w:footnotePr>
          <w:type w:val="continuous"/>
          <w:pgSz w:w="12240" w:h="15840"/>
          <w:pgMar w:top="1440" w:right="1440" w:bottom="1440" w:left="1440" w:header="1008" w:footer="720" w:gutter="0"/>
          <w:cols w:space="720"/>
          <w:titlePg/>
          <w:docGrid w:linePitch="360"/>
        </w:sectPr>
      </w:pPr>
    </w:p>
    <w:p w:rsidR="0078310B" w:rsidRDefault="0078310B" w:rsidP="0078310B">
      <w:pPr>
        <w:widowControl w:val="0"/>
        <w:sectPr w:rsidR="0078310B" w:rsidSect="005337BA">
          <w:footnotePr>
            <w:numRestart w:val="eachSect"/>
          </w:footnotePr>
          <w:pgSz w:w="12240" w:h="15840"/>
          <w:pgMar w:top="1440" w:right="1440" w:bottom="1440" w:left="1440" w:header="1008" w:footer="720" w:gutter="0"/>
          <w:cols w:space="720"/>
          <w:titlePg/>
          <w:docGrid w:linePitch="360"/>
        </w:sectPr>
      </w:pPr>
    </w:p>
    <w:p w:rsidR="0078310B" w:rsidRPr="00717CEE" w:rsidRDefault="0078310B" w:rsidP="0078310B">
      <w:pPr>
        <w:pStyle w:val="Heading2"/>
        <w:spacing w:before="0"/>
        <w:rPr>
          <w:sz w:val="36"/>
          <w:szCs w:val="36"/>
          <w:u w:val="single"/>
        </w:rPr>
      </w:pPr>
      <w:bookmarkStart w:id="163" w:name="_Toc395790463"/>
      <w:r w:rsidRPr="00717CEE">
        <w:rPr>
          <w:sz w:val="36"/>
          <w:szCs w:val="36"/>
          <w:u w:val="single"/>
        </w:rPr>
        <w:t>Chapter 9: Income Shifting in the Fractured Family</w:t>
      </w:r>
      <w:bookmarkEnd w:id="163"/>
    </w:p>
    <w:p w:rsidR="0078310B" w:rsidRDefault="0078310B" w:rsidP="0078310B">
      <w:pPr>
        <w:widowControl w:val="0"/>
        <w:spacing w:after="120"/>
        <w:jc w:val="both"/>
      </w:pPr>
    </w:p>
    <w:p w:rsidR="0078310B" w:rsidRPr="00F97959" w:rsidRDefault="0078310B" w:rsidP="0078310B">
      <w:pPr>
        <w:widowControl w:val="0"/>
        <w:spacing w:after="120"/>
        <w:ind w:firstLine="288"/>
        <w:jc w:val="both"/>
      </w:pPr>
      <w:r>
        <w:t>In Chapter 8, you studied the constraints imposed on income shifting in the happy family under both the assignment-of-income doctrine and statutory provisions. This chapter considers the planning possibilities regarding income shifting in divorce, whether between same-sex or opposite sex spouses.</w:t>
      </w:r>
      <w:r>
        <w:rPr>
          <w:rStyle w:val="FootnoteReference"/>
        </w:rPr>
        <w:footnoteReference w:id="289"/>
      </w:r>
      <w:r>
        <w:t xml:space="preserve"> </w:t>
      </w:r>
    </w:p>
    <w:p w:rsidR="0078310B" w:rsidRDefault="0078310B" w:rsidP="0078310B">
      <w:pPr>
        <w:widowControl w:val="0"/>
        <w:ind w:firstLine="288"/>
        <w:jc w:val="both"/>
      </w:pPr>
      <w:r>
        <w:t xml:space="preserve">Because divorce, unlike transfers in the intact family, is a one-time event that is not typically undertaken to achieve income shifting for Federal income tax purposes, Congress has explicitly provided more leeway for income shifting in this context. Thus, the wise tax advisor will carefully consider the </w:t>
      </w:r>
      <w:r>
        <w:rPr>
          <w:i/>
        </w:rPr>
        <w:t xml:space="preserve">after-tax </w:t>
      </w:r>
      <w:r>
        <w:t xml:space="preserve">consequences of the various transfer possibilities when negotiating and drafting the divorce or separation instrument. </w:t>
      </w:r>
    </w:p>
    <w:p w:rsidR="0078310B" w:rsidRPr="00CC50B2" w:rsidRDefault="0078310B" w:rsidP="0078310B">
      <w:pPr>
        <w:widowControl w:val="0"/>
        <w:ind w:firstLine="288"/>
        <w:jc w:val="both"/>
      </w:pPr>
    </w:p>
    <w:p w:rsidR="0078310B" w:rsidRPr="00717CEE" w:rsidRDefault="0078310B" w:rsidP="0078310B">
      <w:pPr>
        <w:pStyle w:val="Heading2"/>
        <w:spacing w:before="0"/>
        <w:rPr>
          <w:sz w:val="32"/>
          <w:szCs w:val="32"/>
          <w:u w:val="single"/>
        </w:rPr>
      </w:pPr>
      <w:bookmarkStart w:id="164" w:name="_Toc395790464"/>
      <w:r w:rsidRPr="00717CEE">
        <w:rPr>
          <w:sz w:val="32"/>
          <w:szCs w:val="32"/>
          <w:u w:val="single"/>
        </w:rPr>
        <w:t>A. Cash payments</w:t>
      </w:r>
      <w:bookmarkEnd w:id="164"/>
    </w:p>
    <w:p w:rsidR="0078310B" w:rsidRDefault="0078310B" w:rsidP="0078310B">
      <w:pPr>
        <w:widowControl w:val="0"/>
        <w:jc w:val="both"/>
      </w:pPr>
    </w:p>
    <w:p w:rsidR="0078310B" w:rsidRDefault="0078310B" w:rsidP="0078310B">
      <w:pPr>
        <w:widowControl w:val="0"/>
        <w:ind w:firstLine="288"/>
        <w:jc w:val="both"/>
      </w:pPr>
      <w:r>
        <w:t>The background rule regarding the tax</w:t>
      </w:r>
      <w:r w:rsidR="00FD4CA7">
        <w:t xml:space="preserve"> consequences for both the payor and payee</w:t>
      </w:r>
      <w:r>
        <w:t xml:space="preserve"> of a cash “support” payment—whether in divorce, as in the case below, or in the intact family—is found in </w:t>
      </w:r>
      <w:r>
        <w:rPr>
          <w:i/>
        </w:rPr>
        <w:t>Gould v. Gould</w:t>
      </w:r>
      <w:r>
        <w:t>.</w:t>
      </w:r>
    </w:p>
    <w:p w:rsidR="0078310B" w:rsidRDefault="0078310B" w:rsidP="0078310B">
      <w:pPr>
        <w:widowControl w:val="0"/>
        <w:ind w:firstLine="288"/>
        <w:jc w:val="both"/>
      </w:pPr>
    </w:p>
    <w:p w:rsidR="0078310B" w:rsidRPr="00CC50B2" w:rsidRDefault="0078310B" w:rsidP="0078310B">
      <w:pPr>
        <w:pStyle w:val="Heading3"/>
        <w:spacing w:before="0" w:beforeAutospacing="0" w:after="120" w:afterAutospacing="0"/>
        <w:jc w:val="center"/>
      </w:pPr>
      <w:bookmarkStart w:id="165" w:name="_Toc395790465"/>
      <w:r w:rsidRPr="00CC50B2">
        <w:t>GOULD v. GOULD</w:t>
      </w:r>
      <w:bookmarkEnd w:id="165"/>
    </w:p>
    <w:p w:rsidR="0078310B" w:rsidRPr="00533595" w:rsidRDefault="0078310B" w:rsidP="0078310B">
      <w:pPr>
        <w:widowControl w:val="0"/>
        <w:jc w:val="center"/>
      </w:pPr>
      <w:r w:rsidRPr="00533595">
        <w:t>245 U.S. 151 (1917)</w:t>
      </w:r>
    </w:p>
    <w:p w:rsidR="0078310B" w:rsidRPr="00533595" w:rsidRDefault="0078310B" w:rsidP="0078310B">
      <w:pPr>
        <w:widowControl w:val="0"/>
        <w:jc w:val="both"/>
      </w:pPr>
    </w:p>
    <w:p w:rsidR="0078310B" w:rsidRPr="00533595" w:rsidRDefault="0078310B" w:rsidP="0078310B">
      <w:pPr>
        <w:widowControl w:val="0"/>
        <w:spacing w:after="120"/>
        <w:ind w:firstLine="288"/>
        <w:jc w:val="both"/>
      </w:pPr>
      <w:r>
        <w:rPr>
          <w:smallCaps/>
        </w:rPr>
        <w:t>Mr. Justice McReynolds</w:t>
      </w:r>
      <w:r w:rsidRPr="00533595">
        <w:t xml:space="preserve"> delivered the opinion of the court.</w:t>
      </w:r>
    </w:p>
    <w:p w:rsidR="0078310B" w:rsidRPr="00533595" w:rsidRDefault="0078310B" w:rsidP="0078310B">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t xml:space="preserve"> [Ed. Note: approximately $77,000 per month in 2015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rsidR="0078310B" w:rsidRPr="00533595" w:rsidRDefault="0078310B" w:rsidP="0078310B">
      <w:pPr>
        <w:widowControl w:val="0"/>
        <w:spacing w:after="120"/>
        <w:ind w:firstLine="288"/>
        <w:jc w:val="both"/>
      </w:pPr>
      <w:r w:rsidRPr="00533595">
        <w:t>Pertinent portions of the act follow:</w:t>
      </w:r>
    </w:p>
    <w:p w:rsidR="0078310B" w:rsidRPr="00533595" w:rsidRDefault="0078310B" w:rsidP="0078310B">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rsidR="0078310B" w:rsidRPr="00533595" w:rsidRDefault="0078310B" w:rsidP="0078310B">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50" w:history="1">
        <w:r>
          <w:rPr>
            <w:i/>
          </w:rPr>
          <w:t>Am.</w:t>
        </w:r>
        <w:r w:rsidRPr="005E0B95">
          <w:rPr>
            <w:i/>
          </w:rPr>
          <w:t xml:space="preserve"> Net &amp; Twine Co. v. Worthington</w:t>
        </w:r>
        <w:r w:rsidRPr="00533595">
          <w:t>, 141 U.S. 468, 474</w:t>
        </w:r>
      </w:hyperlink>
      <w:r w:rsidRPr="00533595">
        <w:t xml:space="preserve">; </w:t>
      </w:r>
      <w:hyperlink r:id="rId451"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rsidR="0078310B" w:rsidRPr="00533595" w:rsidRDefault="0078310B" w:rsidP="0078310B">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rsidR="0078310B" w:rsidRPr="00533595" w:rsidRDefault="0078310B" w:rsidP="0078310B">
      <w:pPr>
        <w:widowControl w:val="0"/>
        <w:spacing w:after="120"/>
        <w:ind w:firstLine="288"/>
        <w:jc w:val="both"/>
      </w:pPr>
      <w:r w:rsidRPr="00533595">
        <w:t xml:space="preserve">In </w:t>
      </w:r>
      <w:hyperlink r:id="rId452"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rsidR="0078310B" w:rsidRPr="00533595" w:rsidRDefault="0078310B" w:rsidP="0078310B">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rsidR="0078310B" w:rsidRPr="00533595" w:rsidRDefault="0078310B" w:rsidP="0078310B">
      <w:pPr>
        <w:widowControl w:val="0"/>
        <w:spacing w:after="120"/>
        <w:ind w:firstLine="288"/>
        <w:jc w:val="both"/>
      </w:pPr>
      <w:r w:rsidRPr="00533595">
        <w:t>The judgment of the court below is</w:t>
      </w:r>
    </w:p>
    <w:p w:rsidR="0078310B" w:rsidRDefault="0078310B" w:rsidP="0078310B">
      <w:pPr>
        <w:widowControl w:val="0"/>
        <w:ind w:firstLine="288"/>
        <w:jc w:val="both"/>
      </w:pPr>
      <w:r>
        <w:rPr>
          <w:i/>
        </w:rPr>
        <w:t>Affirmed.</w:t>
      </w:r>
    </w:p>
    <w:p w:rsidR="0078310B" w:rsidRDefault="0078310B" w:rsidP="0078310B">
      <w:pPr>
        <w:widowControl w:val="0"/>
        <w:jc w:val="center"/>
      </w:pPr>
      <w:r>
        <w:t>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 xml:space="preserve">Once again, this opinion was not heavily edited. Precisely why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was Mrs. Gould’s cash receipt an accession to wealth, clearly realized, over which she had complete dominion? If we similarly analyze Mr. Gould’s payment through the normative lens of measuring “income” accurately, the payment would be nondeductible by him as a personal expense under § 262.</w:t>
      </w:r>
    </w:p>
    <w:p w:rsidR="0078310B" w:rsidRDefault="0078310B" w:rsidP="0078310B">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w:t>
      </w:r>
      <w:r w:rsidR="00AF30AC">
        <w:t xml:space="preserve">particularly under § 1014, which </w:t>
      </w:r>
      <w:r>
        <w:t>allows wealth accessions to go untaxed to either party under the inco</w:t>
      </w:r>
      <w:r w:rsidR="00AF30AC">
        <w:t xml:space="preserve">me tax). </w:t>
      </w:r>
      <w:r>
        <w:t>Mrs. Gould</w:t>
      </w:r>
      <w:r w:rsidR="00AF30AC">
        <w:t>’s receipt</w:t>
      </w:r>
      <w:r>
        <w:t xml:space="preserve">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rsidR="00AF30AC">
        <w:t xml:space="preserve">, that </w:t>
      </w:r>
      <w:r>
        <w:t xml:space="preserve">Mrs. Gould </w:t>
      </w:r>
      <w:r w:rsidR="00AF30AC">
        <w:t xml:space="preserve">need not include the receipt </w:t>
      </w:r>
      <w:r w:rsidRPr="004D6219">
        <w:rPr>
          <w:i/>
        </w:rPr>
        <w:t>precisely because</w:t>
      </w:r>
      <w:r w:rsidR="00AF30AC">
        <w:t xml:space="preserve"> </w:t>
      </w:r>
      <w:r>
        <w:t>Mr. Gould</w:t>
      </w:r>
      <w:r w:rsidR="00AF30AC">
        <w:t xml:space="preserve"> could not deduct the payment</w:t>
      </w:r>
      <w:r>
        <w:t xml:space="preserve">. </w:t>
      </w:r>
      <w:r w:rsidR="007872B4">
        <w:t xml:space="preserve">In other words, the Court implied </w:t>
      </w:r>
      <w:r>
        <w:t xml:space="preserve">that the amount should not be taxed to both. Because the Court has no power to create nonstatutory deductions, it exercised its power to define the contours of residual income </w:t>
      </w:r>
      <w:r w:rsidR="007872B4">
        <w:t xml:space="preserve">(where we saw in Chapter 6 </w:t>
      </w:r>
      <w:r w:rsidR="00AF30AC">
        <w:t xml:space="preserve">that </w:t>
      </w:r>
      <w:r w:rsidR="007872B4">
        <w:t xml:space="preserve">the very vagueness of the language permits consideration of external norms) </w:t>
      </w:r>
      <w:r>
        <w:t>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rsidR="0078310B" w:rsidRDefault="0078310B" w:rsidP="0078310B">
      <w:pPr>
        <w:widowControl w:val="0"/>
        <w:spacing w:after="120"/>
        <w:ind w:firstLine="288"/>
        <w:jc w:val="both"/>
      </w:pPr>
      <w:r>
        <w:t xml:space="preserve">Today, </w:t>
      </w:r>
      <w:r>
        <w:rPr>
          <w:i/>
        </w:rPr>
        <w:t xml:space="preserve">Gould </w:t>
      </w:r>
      <w:r>
        <w:t>stands for the proposition that, except to the extent overturned by statute under §</w:t>
      </w:r>
      <w:hyperlink r:id="rId453" w:history="1">
        <w:r w:rsidRPr="000C4189">
          <w:rPr>
            <w:rStyle w:val="Hyperlink"/>
          </w:rPr>
          <w:t>§ 71</w:t>
        </w:r>
      </w:hyperlink>
      <w:r>
        <w:t xml:space="preserve"> and </w:t>
      </w:r>
      <w:hyperlink r:id="rId454" w:history="1">
        <w:r w:rsidRPr="000C4189">
          <w:rPr>
            <w:rStyle w:val="Hyperlink"/>
          </w:rPr>
          <w:t>215</w:t>
        </w:r>
      </w:hyperlink>
      <w:r>
        <w:t xml:space="preserve">, explored below, explicit or implicit </w:t>
      </w:r>
      <w:r w:rsidR="00AF66B2">
        <w:t xml:space="preserve">cash </w:t>
      </w:r>
      <w:r>
        <w:t>support payments made within the intact or broken family have no income tax consequences for either</w:t>
      </w:r>
      <w:r w:rsidR="00AF30AC">
        <w:t xml:space="preserve"> the payor or the payee. F</w:t>
      </w:r>
      <w:r>
        <w:t xml:space="preserve">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gifts, however, the amounts are taxed only once within the payor/payee pair. </w:t>
      </w:r>
    </w:p>
    <w:p w:rsidR="0078310B" w:rsidRDefault="0078310B" w:rsidP="0078310B">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should not be viewed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rsidR="0078310B" w:rsidRDefault="0078310B" w:rsidP="0078310B">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w:t>
      </w:r>
      <w:r w:rsidR="00686930">
        <w:t>omes exceeding $200,000, or nearly $3 million in today’s dollars</w:t>
      </w:r>
      <w:r>
        <w:t>).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Thus, Congress reversed the </w:t>
      </w:r>
      <w:r>
        <w:rPr>
          <w:i/>
        </w:rPr>
        <w:t xml:space="preserve">Gould </w:t>
      </w:r>
      <w:r>
        <w:t>rule by statute in 1942, requiring the recipient to include alimony and creating a new deduction for the alimony payor. But Congress drew the line at payments “fixed” for child support in the divorce instrument, which remained tax-neutral payments. In this way, the statute explicitly blessed income shifting from the payor’s (</w:t>
      </w:r>
      <w:r w:rsidR="00686930">
        <w:t xml:space="preserve">presumably </w:t>
      </w:r>
      <w:r>
        <w:t>higher) tax bracket to the recipient’s (</w:t>
      </w:r>
      <w:r w:rsidR="00686930">
        <w:t xml:space="preserve">presumably </w:t>
      </w:r>
      <w:r>
        <w:t xml:space="preserve">lower) tax bracket with respect to alimony but not child support. </w:t>
      </w:r>
    </w:p>
    <w:p w:rsidR="0078310B" w:rsidRDefault="0078310B" w:rsidP="0078310B">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w:t>
      </w:r>
      <w:r w:rsidR="00BC3150">
        <w:t>lleviate the immediate and</w:t>
      </w:r>
      <w:r>
        <w:t xml:space="preserve">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rsidR="0078310B" w:rsidRDefault="0078310B" w:rsidP="0078310B">
      <w:pPr>
        <w:widowControl w:val="0"/>
        <w:spacing w:after="120"/>
        <w:ind w:firstLine="288"/>
        <w:jc w:val="both"/>
      </w:pPr>
      <w:r>
        <w:t xml:space="preserve">In addition to carving out child support in 1942, Congress attempted to ensure that cash property settlements did not qualify for the new income-shifting regime by requiring that, to be eligible for the inclusion/deduction scheme, payments must be “periodic” and must discharge a legal obligation imposed on the payor because of the marital relationship. These last two requirements were thought to ensure that the payments had the flavor of continuing “support” paid out of future-earned income of the payor, as opposed to the splitting up of past (saved) income of the marital unit (a property settlement). But these requirements were difficult to administer, and Congress simplified the law in 1984 by enacting the current versions of §§ 71 and 215. Nevertheless, the requirements now found in </w:t>
      </w:r>
      <w:hyperlink r:id="rId455" w:history="1">
        <w:r w:rsidRPr="00A26484">
          <w:rPr>
            <w:rStyle w:val="Hyperlink"/>
          </w:rPr>
          <w:t>§ 71</w:t>
        </w:r>
      </w:hyperlink>
      <w:r>
        <w:t xml:space="preserve">(b) that must be satisfied in order for the payment to be includable by the payee and deductible by the payor under </w:t>
      </w:r>
      <w:hyperlink r:id="rId456" w:history="1">
        <w:r w:rsidRPr="00A26484">
          <w:rPr>
            <w:rStyle w:val="Hyperlink"/>
          </w:rPr>
          <w:t>§ 215</w:t>
        </w:r>
      </w:hyperlink>
      <w:r>
        <w:t xml:space="preserve"> continue to ensure that the payments have a support-like flavor. We can call such payments “tax alimony.”</w:t>
      </w:r>
      <w:r w:rsidR="004E0E53">
        <w:t xml:space="preserve"> What are those requirements?</w:t>
      </w:r>
    </w:p>
    <w:p w:rsidR="0078310B" w:rsidRDefault="0078310B" w:rsidP="0078310B">
      <w:pPr>
        <w:pStyle w:val="ListParagraph"/>
        <w:widowControl w:val="0"/>
        <w:numPr>
          <w:ilvl w:val="0"/>
          <w:numId w:val="8"/>
        </w:numPr>
        <w:spacing w:after="120"/>
        <w:ind w:left="648"/>
        <w:contextualSpacing w:val="0"/>
        <w:jc w:val="both"/>
      </w:pPr>
      <w:r>
        <w:t xml:space="preserve">Under the language in </w:t>
      </w:r>
      <w:r w:rsidRPr="00FE5460">
        <w:t>§ 71</w:t>
      </w:r>
      <w:r>
        <w:t xml:space="preserve">(b) preceding subparagraph (1), the payment must be in </w:t>
      </w:r>
      <w:r w:rsidRPr="002F0F75">
        <w:rPr>
          <w:i/>
        </w:rPr>
        <w:t>cash</w:t>
      </w:r>
      <w:r>
        <w:t xml:space="preserve"> to qualify as tax alimony. Thus, the receipt of property in kind cannot qualify. </w:t>
      </w:r>
    </w:p>
    <w:p w:rsidR="0078310B" w:rsidRDefault="0078310B" w:rsidP="0078310B">
      <w:pPr>
        <w:pStyle w:val="ListParagraph"/>
        <w:widowControl w:val="0"/>
        <w:numPr>
          <w:ilvl w:val="0"/>
          <w:numId w:val="8"/>
        </w:numPr>
        <w:spacing w:after="120"/>
        <w:ind w:left="648"/>
        <w:contextualSpacing w:val="0"/>
        <w:jc w:val="both"/>
      </w:pPr>
      <w:r>
        <w:t xml:space="preserve">Under </w:t>
      </w:r>
      <w:r w:rsidRPr="00FE5460">
        <w:t>§ 71</w:t>
      </w:r>
      <w:r>
        <w:t>(b)(1)(A), the cash payment must be received “by (or on behalf of)” the recipient spouse under the terms of a “divorce or separation instrument,” as defined in § 71(b)(2).</w:t>
      </w:r>
    </w:p>
    <w:p w:rsidR="0078310B" w:rsidRPr="00C200CD" w:rsidRDefault="0078310B" w:rsidP="0078310B">
      <w:pPr>
        <w:pStyle w:val="ListParagraph"/>
        <w:widowControl w:val="0"/>
        <w:numPr>
          <w:ilvl w:val="0"/>
          <w:numId w:val="8"/>
        </w:numPr>
        <w:spacing w:after="120"/>
        <w:ind w:left="648"/>
        <w:contextualSpacing w:val="0"/>
        <w:jc w:val="both"/>
      </w:pPr>
      <w:r>
        <w:t xml:space="preserve">Under </w:t>
      </w:r>
      <w:r w:rsidRPr="00FE5460">
        <w:t>§ 71</w:t>
      </w:r>
      <w:r>
        <w:t xml:space="preserve">(b)(1)(B), the payment must </w:t>
      </w:r>
      <w:r w:rsidRPr="00C81FF9">
        <w:rPr>
          <w:i/>
        </w:rPr>
        <w:t>not</w:t>
      </w:r>
      <w:r>
        <w:t xml:space="preserve"> be designated by the parties in the divorce or separation instrument as one that is excludable by the payee and nondeductible by the payor. Notice that, in this way, the parties are empowered to </w:t>
      </w:r>
      <w:r>
        <w:rPr>
          <w:i/>
        </w:rPr>
        <w:t>opt out</w:t>
      </w:r>
      <w:r>
        <w:t xml:space="preserve"> of the inclusion/deduction scheme for payments that otherwise satisfy § 71(b) if they so wish. </w:t>
      </w:r>
    </w:p>
    <w:p w:rsidR="0078310B" w:rsidRPr="00CD50AC" w:rsidRDefault="0078310B" w:rsidP="0078310B">
      <w:pPr>
        <w:pStyle w:val="ListParagraph"/>
        <w:widowControl w:val="0"/>
        <w:numPr>
          <w:ilvl w:val="0"/>
          <w:numId w:val="8"/>
        </w:numPr>
        <w:spacing w:after="120"/>
        <w:ind w:left="648"/>
        <w:contextualSpacing w:val="0"/>
        <w:jc w:val="both"/>
      </w:pPr>
      <w:r>
        <w:t xml:space="preserve">Under </w:t>
      </w:r>
      <w:r w:rsidRPr="00FE5460">
        <w:t>§ 71</w:t>
      </w:r>
      <w:r>
        <w:t xml:space="preserve">(b)(1)(C), the parties must not be living in the same household at the time of payment. The concern here was avoidance of the income-shifting constraints imposed on the intact family (studied in the last chapter) by a couple choosing to divorce but then continuing on as though nothing happened, simply in order to take advantage of the income-shifting rules in §§ 71 and 215. </w:t>
      </w:r>
    </w:p>
    <w:p w:rsidR="0078310B" w:rsidRPr="00047560" w:rsidRDefault="0078310B" w:rsidP="0078310B">
      <w:pPr>
        <w:pStyle w:val="ListParagraph"/>
        <w:widowControl w:val="0"/>
        <w:numPr>
          <w:ilvl w:val="0"/>
          <w:numId w:val="8"/>
        </w:numPr>
        <w:spacing w:after="120"/>
        <w:ind w:left="648"/>
        <w:contextualSpacing w:val="0"/>
        <w:jc w:val="both"/>
      </w:pPr>
      <w:r>
        <w:t>Unde</w:t>
      </w:r>
      <w:r w:rsidR="00AF30AC">
        <w:t xml:space="preserve">r </w:t>
      </w:r>
      <w:r w:rsidR="00AF30AC" w:rsidRPr="00FE5460">
        <w:t>§ 71</w:t>
      </w:r>
      <w:r w:rsidR="00AF30AC">
        <w:t xml:space="preserve">(b)(1)(D)—a </w:t>
      </w:r>
      <w:r>
        <w:t xml:space="preserve">requirement that generates the most litigation—there must be no liability to make the payment (or a substitute payment) if the payee spouse should die before payment is received. A payment liability that survives the payee spouse’s death, allowing the decedent’s estate to collect, looks much more like a property settlement to which the spouse was entitled than an amount intended to purchase food, housing, clothing, </w:t>
      </w:r>
      <w:r>
        <w:rPr>
          <w:i/>
        </w:rPr>
        <w:t>etc.</w:t>
      </w:r>
      <w:r>
        <w:t>, for the payee spouse. To be blunt, a dead spouse obviously does not need continuing support payments. It looks like a property settlement dressed up to look like support.</w:t>
      </w:r>
    </w:p>
    <w:p w:rsidR="0078310B" w:rsidRPr="004332A1" w:rsidRDefault="0078310B" w:rsidP="0078310B">
      <w:pPr>
        <w:pStyle w:val="ListParagraph"/>
        <w:widowControl w:val="0"/>
        <w:numPr>
          <w:ilvl w:val="0"/>
          <w:numId w:val="8"/>
        </w:numPr>
        <w:spacing w:after="120"/>
        <w:ind w:left="648"/>
        <w:contextualSpacing w:val="0"/>
        <w:jc w:val="both"/>
      </w:pPr>
      <w:r>
        <w:t xml:space="preserve">Under </w:t>
      </w:r>
      <w:r w:rsidRPr="00FE5460">
        <w:t>§ 71</w:t>
      </w:r>
      <w:r>
        <w:t>(c)(1), the payment must not be one that is “fixed” as child support in the divorce or separation instrument—another heavily litigated requirement.</w:t>
      </w:r>
    </w:p>
    <w:p w:rsidR="0078310B" w:rsidRPr="001D7F30" w:rsidRDefault="0078310B" w:rsidP="0078310B">
      <w:pPr>
        <w:widowControl w:val="0"/>
        <w:spacing w:after="120"/>
        <w:ind w:firstLine="288"/>
        <w:jc w:val="both"/>
      </w:pPr>
      <w:r>
        <w:t xml:space="preserve">Any payment that does not satisfy </w:t>
      </w:r>
      <w:r w:rsidRPr="000936D8">
        <w:rPr>
          <w:i/>
        </w:rPr>
        <w:t>each</w:t>
      </w:r>
      <w:r>
        <w:rPr>
          <w:i/>
        </w:rPr>
        <w:t xml:space="preserve"> and every one</w:t>
      </w:r>
      <w:r>
        <w:t xml:space="preserve"> of these requirements is a tax-neutral payment</w:t>
      </w:r>
      <w:r w:rsidR="00BA5DF8">
        <w:t xml:space="preserve"> under </w:t>
      </w:r>
      <w:r w:rsidR="00BA5DF8">
        <w:rPr>
          <w:i/>
        </w:rPr>
        <w:t>Gould</w:t>
      </w:r>
      <w:r>
        <w:t>, neither includable by the payee nor deductible by the payor. Any payment that satisfies these requirements is includable by the payee under §§ 61(a)(8) and 71(a) and deductible by the payor under § 215,</w:t>
      </w:r>
      <w:r>
        <w:rPr>
          <w:rStyle w:val="FootnoteReference"/>
        </w:rPr>
        <w:footnoteReference w:id="290"/>
      </w:r>
      <w:r>
        <w:t xml:space="preserve"> regardless of what the payment may be called for state law purposes. Thus, a cash property settlement </w:t>
      </w:r>
      <w:r w:rsidR="00DE3EF9">
        <w:t xml:space="preserve">in substance </w:t>
      </w:r>
      <w:r>
        <w:t xml:space="preserve">can fit within the inclusion/deduction scheme so long as the payments </w:t>
      </w:r>
      <w:r w:rsidR="00DE3EF9">
        <w:t xml:space="preserve">satisfy the form requirements listed above. </w:t>
      </w:r>
    </w:p>
    <w:p w:rsidR="0078310B" w:rsidRDefault="0078310B" w:rsidP="0078310B">
      <w:pPr>
        <w:widowControl w:val="0"/>
        <w:spacing w:after="120"/>
        <w:ind w:firstLine="288"/>
        <w:jc w:val="both"/>
      </w:pPr>
      <w:r>
        <w:t xml:space="preserve">Notice that there is no requirement that the payment satisfy any state law definition of “alimony.” Indeed, many state laws have abandoned such terms in favor of “equitable distribution,” “equitable apportionment,” and similar language. Moreover, just because a payment </w:t>
      </w:r>
      <w:r>
        <w:rPr>
          <w:i/>
        </w:rPr>
        <w:t xml:space="preserve">does </w:t>
      </w:r>
      <w:r>
        <w:t xml:space="preserve">satisfy the definition of “alimony” for </w:t>
      </w:r>
      <w:r w:rsidRPr="000936D8">
        <w:rPr>
          <w:i/>
        </w:rPr>
        <w:t>state law purposes</w:t>
      </w:r>
      <w:r>
        <w:t xml:space="preserve"> does not mean that it automatically qualifies for the inclusion/deduction scheme under §§ 71 and 215, even though it is clear from a reading of the litigated cases that a significant number of divorcing couples (and even their counsel) </w:t>
      </w:r>
      <w:r w:rsidRPr="001D695D">
        <w:rPr>
          <w:i/>
        </w:rPr>
        <w:t>think</w:t>
      </w:r>
      <w:r>
        <w:t xml:space="preserve"> that this is true. For example, </w:t>
      </w:r>
      <w:r>
        <w:rPr>
          <w:i/>
        </w:rPr>
        <w:t>Pettet v. U.S</w:t>
      </w:r>
      <w:r w:rsidRPr="00301047">
        <w:t>.</w:t>
      </w:r>
      <w:r w:rsidRPr="00301047">
        <w:rPr>
          <w:rStyle w:val="FootnoteReference"/>
        </w:rPr>
        <w:footnoteReference w:id="291"/>
      </w:r>
      <w:r>
        <w:t xml:space="preserve"> recites:</w:t>
      </w:r>
    </w:p>
    <w:p w:rsidR="0078310B" w:rsidRDefault="0078310B" w:rsidP="0078310B">
      <w:pPr>
        <w:pStyle w:val="BodyTextIndent"/>
        <w:widowControl w:val="0"/>
        <w:ind w:left="720" w:right="720"/>
        <w:jc w:val="both"/>
      </w:pPr>
      <w:r>
        <w:t xml:space="preserve">Don … testified that he was unfamiliar with the Federal tax law requirements of 26 U.S.C. § 71(b)(1). His attorney, Mr. Davis, testified that he too was unfamiliar with the requirements of this tax provision including the termination at death requirement. Don’s accountant, Mr. Thomas May, testified that during the negotiation of the Agreement he advised Rosa and Don of the tax consequences of paying and receiving alimony, </w:t>
      </w:r>
      <w:r>
        <w:rPr>
          <w:i/>
        </w:rPr>
        <w:t>i.e.</w:t>
      </w:r>
      <w:r>
        <w:t xml:space="preserve">, that it was includable as income for Rosa and deductible for Don. But he testified that he was unfamiliar with the termination at death requirement of 26 U.S.C. § 71(b)(1) and advised the parties on the tax consequences of alimony according to Don’s characterization of the payments as “alimony.” </w:t>
      </w:r>
    </w:p>
    <w:p w:rsidR="0078310B" w:rsidRDefault="0078310B" w:rsidP="0078310B">
      <w:pPr>
        <w:pStyle w:val="BodyTextIndent"/>
        <w:widowControl w:val="0"/>
        <w:ind w:left="720" w:right="720"/>
        <w:jc w:val="both"/>
      </w:pPr>
      <w:r>
        <w:t xml:space="preserve">The court finds that use of the term alimony … is insufficient to prove the parties’ intentions that the payments terminate at Rosa’s death. That Don intended the payments to be “alimony” or even intended them to be deductible from his income does not demonstrate that </w:t>
      </w:r>
      <w:r>
        <w:rPr>
          <w:i/>
        </w:rPr>
        <w:t xml:space="preserve">both </w:t>
      </w:r>
      <w:r>
        <w:t>he and Rosa intended the mortgage portion of the … payments to terminate upon her death.</w:t>
      </w:r>
    </w:p>
    <w:p w:rsidR="0078310B" w:rsidRDefault="0078310B" w:rsidP="0078310B">
      <w:pPr>
        <w:widowControl w:val="0"/>
        <w:spacing w:after="120"/>
        <w:ind w:firstLine="288"/>
        <w:jc w:val="both"/>
      </w:pPr>
      <w:r>
        <w:t xml:space="preserve">Congress imposed uniform requirements for the inclusion/deduction scheme in 1984—ignoring state definitions (if any) of “alimony,” “property settlements,” and “child support”—because of the belief that divorcing couples should be treated the same for Federal income tax purposes on making similar payments, no matter where they happened to live. This laudable goal is cold comfort, however, for those couples who have their economic bargains (arrived at after taking the assumed tax consequences into account) upset after the fact when they discover that they have tripped over a rule of which they were unaware, particularly the stop-at-death rule. </w:t>
      </w:r>
    </w:p>
    <w:p w:rsidR="0078310B" w:rsidRDefault="0078310B" w:rsidP="0078310B">
      <w:pPr>
        <w:widowControl w:val="0"/>
        <w:spacing w:after="120"/>
        <w:ind w:firstLine="288"/>
        <w:jc w:val="both"/>
      </w:pPr>
      <w:r>
        <w:t xml:space="preserve">In the 1984 statute, the divorce or separation instrument had to expressly state that the payments would stop at death to qualify as tax alimony. Congress deleted this language (though not the requirement) just two years later, in 1986, so that payments that would stop at death by operation of state law would satisfy the stop-at-death requirement, even if the divorce or separation instrument was silent on the matter. Thus, if the parties (or a state judge) fail to stipulate in the divorce agreement whether the liability to make a described cash payment would survive the recipient spouse’s death—a not uncommon occurrence—the Federal judge in the ensuing tax litigation must explore the underlying state law in an attempt to glean whether state law </w:t>
      </w:r>
      <w:r w:rsidRPr="001D695D">
        <w:rPr>
          <w:i/>
        </w:rPr>
        <w:t xml:space="preserve">would have </w:t>
      </w:r>
      <w:r>
        <w:t xml:space="preserve">required the payment at issue to be made after the death of the payee’s spouse. These are entirely hypothetical inquiries because both spouses remain living and are simply trying to determine whether the payment is a tax-neutral one or includable by the payee and deductible by the payor! Is this a sound way to figure out whose marginal rates should apply to the cash payment? </w:t>
      </w:r>
    </w:p>
    <w:p w:rsidR="0078310B" w:rsidRDefault="0078310B" w:rsidP="0078310B">
      <w:pPr>
        <w:widowControl w:val="0"/>
        <w:spacing w:after="120"/>
        <w:ind w:firstLine="288"/>
        <w:jc w:val="both"/>
      </w:pPr>
      <w:r>
        <w:t>A common example in the litigated cases is the payment by one spouse of the other spouse’s attorney fees in the divorce. A family court judge will order the payment (or the spouses will agree in their divorce agreement that one spouse should pay the other spouse’s attorney fees), but the order or agreement is typically silent regarding whether the payor spouse’s obligation to make the payment would be voided if the payee spouse should</w:t>
      </w:r>
      <w:r w:rsidR="00CE6F04">
        <w:t xml:space="preserve"> happen to</w:t>
      </w:r>
      <w:r>
        <w:t xml:space="preserve"> die between the time the order is entered or the agreement is executed and the payment is made. The judge adjudicating the resulting tax controversy must immerse himself in the intricacies of often ambiguous state law regarding whether the payor spouse’s obligation would survive the death of the payee spouse (or whether the payee spouse’s estate would have to pay the attorney fees at issue, instead). </w:t>
      </w:r>
    </w:p>
    <w:p w:rsidR="0078310B" w:rsidRDefault="0078310B" w:rsidP="0078310B">
      <w:pPr>
        <w:widowControl w:val="0"/>
        <w:spacing w:after="120"/>
        <w:ind w:firstLine="288"/>
        <w:jc w:val="both"/>
      </w:pPr>
      <w:r>
        <w:t xml:space="preserve">For example, in </w:t>
      </w:r>
      <w:r>
        <w:rPr>
          <w:i/>
        </w:rPr>
        <w:t>Smith v. Commissioner</w:t>
      </w:r>
      <w:r>
        <w:t>,</w:t>
      </w:r>
      <w:r>
        <w:rPr>
          <w:rStyle w:val="FootnoteReference"/>
        </w:rPr>
        <w:footnoteReference w:id="292"/>
      </w:r>
      <w:r>
        <w:t xml:space="preserve"> the Georgia Superior Court ordered Lawrence Smith to pay $25,000 in attorneys’ fees and costs incurred by Connie Page Smith in connection with their divorce. The order was (not surprisingly) silent regarding whether Mr. Smith’s obligation would disappear should Ms. Smith die before she received the payment. Mr. Smith deducted the payment, but the Tax Court, after an examination of state law, concluded that Georgia law would not have absolved Mr. Smith of the payment obligation if Ms. Smith had died during that interim. The Tax Court stated:</w:t>
      </w:r>
      <w:r w:rsidRPr="005F7B8A">
        <w:rPr>
          <w:rStyle w:val="FootnoteReference"/>
        </w:rPr>
        <w:t xml:space="preserve"> </w:t>
      </w:r>
    </w:p>
    <w:p w:rsidR="0078310B" w:rsidRDefault="0078310B" w:rsidP="0078310B">
      <w:pPr>
        <w:pStyle w:val="BodyTextIndent"/>
        <w:widowControl w:val="0"/>
        <w:ind w:left="720" w:right="720"/>
        <w:jc w:val="both"/>
      </w:pPr>
      <w:r>
        <w:t>While it seems somewhat peculiar to discuss payment of fees made to a former spouse’s attorneys for services in terms of alimony or separate maintenance payments, section 71(b) does not differentiate as to the reasons for the payment….</w:t>
      </w:r>
    </w:p>
    <w:p w:rsidR="0078310B" w:rsidRDefault="0078310B" w:rsidP="0078310B">
      <w:pPr>
        <w:widowControl w:val="0"/>
        <w:spacing w:after="120"/>
        <w:ind w:left="720" w:right="720"/>
        <w:jc w:val="both"/>
      </w:pPr>
      <w:r>
        <w:t>Petitioner contends … that the focus of section 71(b)(1)(D) is whether “the payment was for a period which could not end after [the spouse’s] death,” rather than whether the liability could survive the death of the spouse. We do not agree…. It may be that under Georgia law, which controls here, the liability for support or alimony payments would be extinguished by the payee’s death, but the liability here was for attorneys’ fees. Petitioner points us to no authority, and we have discovered none, that such a debt would be extinguished by the wife’s death.</w:t>
      </w:r>
      <w:r>
        <w:rPr>
          <w:rStyle w:val="FootnoteReference"/>
        </w:rPr>
        <w:footnoteReference w:id="293"/>
      </w:r>
    </w:p>
    <w:p w:rsidR="0078310B" w:rsidRDefault="0078310B" w:rsidP="0078310B">
      <w:pPr>
        <w:pStyle w:val="BodyTextIndent"/>
        <w:widowControl w:val="0"/>
        <w:ind w:left="0" w:firstLine="288"/>
        <w:jc w:val="both"/>
      </w:pPr>
      <w:r>
        <w:t xml:space="preserve">The Tax Court came to a similar conclusion in </w:t>
      </w:r>
      <w:r>
        <w:rPr>
          <w:i/>
        </w:rPr>
        <w:t>Ribera v. Commissioner</w:t>
      </w:r>
      <w:r>
        <w:t>,</w:t>
      </w:r>
      <w:r>
        <w:rPr>
          <w:rStyle w:val="FootnoteReference"/>
        </w:rPr>
        <w:footnoteReference w:id="294"/>
      </w:r>
      <w:r>
        <w:t xml:space="preserve"> </w:t>
      </w:r>
      <w:r>
        <w:rPr>
          <w:i/>
        </w:rPr>
        <w:t>Zinsmeister v. Commissioner</w:t>
      </w:r>
      <w:r>
        <w:t>,</w:t>
      </w:r>
      <w:r>
        <w:rPr>
          <w:rStyle w:val="FootnoteReference"/>
        </w:rPr>
        <w:footnoteReference w:id="295"/>
      </w:r>
      <w:r>
        <w:t xml:space="preserve"> and </w:t>
      </w:r>
      <w:r>
        <w:rPr>
          <w:i/>
        </w:rPr>
        <w:t>Berry v. Commissioner</w:t>
      </w:r>
      <w:r>
        <w:rPr>
          <w:rStyle w:val="FootnoteReference"/>
        </w:rPr>
        <w:footnoteReference w:id="296"/>
      </w:r>
      <w:r>
        <w:t xml:space="preserve"> but only after exploring ambiguous state law regarding whether the payment obligation would have survived the death of the payee spouse. </w:t>
      </w:r>
    </w:p>
    <w:p w:rsidR="0078310B" w:rsidRDefault="0078310B" w:rsidP="0078310B">
      <w:pPr>
        <w:pStyle w:val="BodyTextIndent"/>
        <w:widowControl w:val="0"/>
        <w:ind w:left="0" w:firstLine="288"/>
        <w:jc w:val="both"/>
      </w:pPr>
      <w:r>
        <w:t xml:space="preserve">Coming to precisely the opposite conclusion is </w:t>
      </w:r>
      <w:r>
        <w:rPr>
          <w:i/>
        </w:rPr>
        <w:t>Burkes v. Commissioner</w:t>
      </w:r>
      <w:r>
        <w:t>,</w:t>
      </w:r>
      <w:r>
        <w:rPr>
          <w:rStyle w:val="FootnoteReference"/>
        </w:rPr>
        <w:footnoteReference w:id="297"/>
      </w:r>
      <w:r>
        <w:t xml:space="preserve"> in which the divorce decree required Mr. Burkes to pay $60,000 to his ex-wife’s attorneys for their work in connection with the divorce. The provision stated: “[Mr. Burkes] shall pay to … [Mrs. Burkes] the sum of $60,000.00 as additional alimony toward attorney fees, for which sum judgment is rendered and execution may issue.”</w:t>
      </w:r>
      <w:r>
        <w:rPr>
          <w:rStyle w:val="FootnoteReference"/>
        </w:rPr>
        <w:footnoteReference w:id="298"/>
      </w:r>
      <w:r>
        <w:t xml:space="preserve"> Once again, the document was silent regarding whether the obligation to pay would disappear if Ms. Burkes died in the short period between the entering of the divorce decree and the payment to the attorneys. Looking to Ohio law, the Tax Court concluded that the term “alimony” can comprise both support payments and property settlements. Alimony constituting support payments stop by reason of the death of the payee under Ohio law; alimony constituting property settlement payments does not. Therefore, the Tax Court had to determine whether the term “alimony” was used here in its “support” sense or in its “property settlement” sense under Ohio law, and it concluded that the payment constituted support, the obligation for which would end on the payee’s death. Therefore, the payment of the attorneys’ fees constituted deductible alimony for Mr. Burkes, unlike in </w:t>
      </w:r>
      <w:r>
        <w:rPr>
          <w:i/>
        </w:rPr>
        <w:t>Smith</w:t>
      </w:r>
      <w:r>
        <w:t xml:space="preserve">, </w:t>
      </w:r>
      <w:r>
        <w:rPr>
          <w:i/>
        </w:rPr>
        <w:t>Ribera</w:t>
      </w:r>
      <w:r>
        <w:t xml:space="preserve">, </w:t>
      </w:r>
      <w:r>
        <w:rPr>
          <w:i/>
        </w:rPr>
        <w:t>Zinsmeister</w:t>
      </w:r>
      <w:r>
        <w:t xml:space="preserve">, and </w:t>
      </w:r>
      <w:r>
        <w:rPr>
          <w:i/>
        </w:rPr>
        <w:t>Berry</w:t>
      </w:r>
      <w:r>
        <w:t>.</w:t>
      </w:r>
    </w:p>
    <w:p w:rsidR="0078310B" w:rsidRDefault="0078310B" w:rsidP="0078310B">
      <w:pPr>
        <w:pStyle w:val="BodyTextIndent"/>
        <w:widowControl w:val="0"/>
        <w:ind w:left="0" w:firstLine="288"/>
        <w:jc w:val="both"/>
      </w:pPr>
      <w:r>
        <w:t>Other examples include an order for one spouse to pay the other spouse’s health insurance premiums and even car repair expenses.</w:t>
      </w:r>
      <w:r>
        <w:rPr>
          <w:rStyle w:val="FootnoteReference"/>
        </w:rPr>
        <w:footnoteReference w:id="299"/>
      </w:r>
      <w:r>
        <w:t xml:space="preserve"> Whether the payment qualifies as tax alimony will depend on the Federal judge’s parsing of state law regarding whether the obligation to make the payment would have survived the payee spouse’s purely hypothetical death. Quite odd!</w:t>
      </w:r>
    </w:p>
    <w:p w:rsidR="0078310B" w:rsidRDefault="0078310B" w:rsidP="0078310B">
      <w:pPr>
        <w:pStyle w:val="BodyTextIndent"/>
        <w:widowControl w:val="0"/>
        <w:ind w:left="0" w:firstLine="288"/>
        <w:jc w:val="both"/>
      </w:pPr>
      <w:r>
        <w:t xml:space="preserve">Going further, how do we determine if an amount is “fixed” in the divorce or separation instrument as child support within the meaning of </w:t>
      </w:r>
      <w:hyperlink r:id="rId457" w:history="1">
        <w:r w:rsidRPr="00A03A5A">
          <w:rPr>
            <w:rStyle w:val="Hyperlink"/>
          </w:rPr>
          <w:t>§ 71</w:t>
        </w:r>
      </w:hyperlink>
      <w:r>
        <w:t xml:space="preserve">(c) and thus is excludable by the recipient and nondeductible by the payor? What if no amount is expressly “fixed” as child support but the payor’s “alimony” obligation is explicitly reduced in a designated year that happens to coincide with a child reaching, say, age 21? </w:t>
      </w:r>
      <w:r>
        <w:rPr>
          <w:i/>
        </w:rPr>
        <w:t>See</w:t>
      </w:r>
      <w:r>
        <w:t xml:space="preserve"> </w:t>
      </w:r>
      <w:hyperlink r:id="rId458" w:history="1">
        <w:r w:rsidRPr="00A03A5A">
          <w:rPr>
            <w:rStyle w:val="Hyperlink"/>
          </w:rPr>
          <w:t>§ 71</w:t>
        </w:r>
      </w:hyperlink>
      <w:r>
        <w:t xml:space="preserve">(c)(2). </w:t>
      </w:r>
    </w:p>
    <w:p w:rsidR="0078310B" w:rsidRDefault="0078310B" w:rsidP="0078310B">
      <w:pPr>
        <w:pStyle w:val="BodyTextIndent"/>
        <w:widowControl w:val="0"/>
        <w:ind w:left="0" w:firstLine="288"/>
        <w:jc w:val="both"/>
      </w:pPr>
      <w:r>
        <w:t xml:space="preserve">Alternatively, suppose that a state family court judge orders a stream of unallocated “family support payments” that implicitly encompasses both spousal and child support elements. Every state has published child support guidelines that provide how much child support should generally be ordered for various family sizes of varying incomes. Can the recipient of an unallocated “family support” payment argue that the entire payment is “fixed” as child support within the meaning of § 71(c)(1)—and is thus excludable—if it does not exceed the amount prescribed in the state child support guidelines? Does </w:t>
      </w:r>
      <w:r>
        <w:rPr>
          <w:i/>
        </w:rPr>
        <w:t xml:space="preserve">no </w:t>
      </w:r>
      <w:r>
        <w:t xml:space="preserve">part of the payment qualify as child support? Notice that </w:t>
      </w:r>
      <w:hyperlink r:id="rId459" w:history="1">
        <w:r w:rsidRPr="00A03A5A">
          <w:rPr>
            <w:rStyle w:val="Hyperlink"/>
          </w:rPr>
          <w:t>§ 71</w:t>
        </w:r>
      </w:hyperlink>
      <w:r>
        <w:t>(c)(1) provides that the “</w:t>
      </w:r>
      <w:r w:rsidRPr="0050336D">
        <w:rPr>
          <w:i/>
        </w:rPr>
        <w:t>the terms of the divorce or separation instrument</w:t>
      </w:r>
      <w:r>
        <w:t xml:space="preserve">” must “fix” the amount that constitutes child support. Courts have read this language literally. </w:t>
      </w:r>
    </w:p>
    <w:p w:rsidR="0078310B" w:rsidRDefault="0078310B" w:rsidP="0078310B">
      <w:pPr>
        <w:pStyle w:val="BodyTextIndent"/>
        <w:widowControl w:val="0"/>
        <w:ind w:left="0" w:firstLine="288"/>
        <w:jc w:val="both"/>
      </w:pPr>
      <w:r>
        <w:t xml:space="preserve">In </w:t>
      </w:r>
      <w:r>
        <w:rPr>
          <w:i/>
        </w:rPr>
        <w:t>Simpson v. Commissioner</w:t>
      </w:r>
      <w:r>
        <w:t>,</w:t>
      </w:r>
      <w:r>
        <w:rPr>
          <w:rStyle w:val="FootnoteReference"/>
        </w:rPr>
        <w:footnoteReference w:id="300"/>
      </w:r>
      <w:r>
        <w:t xml:space="preserve"> for example, a Pennsylvania family court issued an order requiring Mr. Simpson to pay a monthly unallocated family support payment of $718 to Ms. Simpson for the support of herself and their minor children. Ms. Simpson argued that the entire payment constituted child support because the Pennsylvania child support guidelines would require a monthly payment of $789, which exceeded the unallocated family support payment. The Tax Court, however, concluded that such inferences are not permissible in determining whether any amount is “fixed” as child support </w:t>
      </w:r>
      <w:r w:rsidRPr="00035012">
        <w:rPr>
          <w:i/>
        </w:rPr>
        <w:t>in the divorce or separation instrument</w:t>
      </w:r>
      <w:r>
        <w:t xml:space="preserve"> for Federal income tax purposes.</w:t>
      </w:r>
    </w:p>
    <w:p w:rsidR="0078310B" w:rsidRDefault="0078310B" w:rsidP="0078310B">
      <w:pPr>
        <w:pStyle w:val="BodyTextIndent"/>
        <w:widowControl w:val="0"/>
        <w:ind w:left="720" w:right="720"/>
        <w:jc w:val="both"/>
      </w:pPr>
      <w:r>
        <w:t xml:space="preserve">The language of section 71(c)(1) is clear that for payments to be child support, the written divorce instrument by its terms must fix a sum which is payable as child support. It is inappropriate, in light of this clear statutory language, to look beyond the written instrument to examine what effects, if any, are made by operation of State law. </w:t>
      </w:r>
    </w:p>
    <w:p w:rsidR="0078310B" w:rsidRDefault="0078310B" w:rsidP="0078310B">
      <w:pPr>
        <w:pStyle w:val="BodyTextIndent"/>
        <w:widowControl w:val="0"/>
        <w:ind w:left="720" w:right="720"/>
        <w:jc w:val="both"/>
      </w:pPr>
      <w:r>
        <w:t>If Congress had intended for us to look beyond the written instrument, it would have amended section 71(c)(1) to so reflect….</w:t>
      </w:r>
      <w:r w:rsidR="00AF30AC">
        <w:t xml:space="preserve"> </w:t>
      </w:r>
      <w:r>
        <w:t>We conclude, therefore, that because the court order does not specifically fix a portion of the $718 monthly payment as child support, the entire amount of such payments received by petitioner in 1994 and 1995 is alimony and includable in income.</w:t>
      </w:r>
      <w:r>
        <w:rPr>
          <w:rStyle w:val="FootnoteReference"/>
        </w:rPr>
        <w:footnoteReference w:id="301"/>
      </w:r>
    </w:p>
    <w:p w:rsidR="0078310B" w:rsidRDefault="0078310B" w:rsidP="0078310B">
      <w:pPr>
        <w:pStyle w:val="BodyTextIndent"/>
        <w:widowControl w:val="0"/>
        <w:ind w:left="0" w:firstLine="288"/>
        <w:jc w:val="both"/>
      </w:pPr>
      <w:r>
        <w:t xml:space="preserve">Ditto in </w:t>
      </w:r>
      <w:r>
        <w:rPr>
          <w:i/>
        </w:rPr>
        <w:t>Lawton v. Commissioner</w:t>
      </w:r>
      <w:r>
        <w:t>,</w:t>
      </w:r>
      <w:r>
        <w:rPr>
          <w:rStyle w:val="FootnoteReference"/>
        </w:rPr>
        <w:footnoteReference w:id="302"/>
      </w:r>
      <w:r>
        <w:t xml:space="preserve"> where the Tax Court confirmed that “[e]ven assuming, for the sake of argument, that a simple reference to the [state child support guidelines] grid would produce an accurate figure for what portion of the amounts she received was for child support, petitioner has not satisfied the requirements of section 71(c)(1). The amount of child support must be fixed by the terms of the instrument.” </w:t>
      </w:r>
    </w:p>
    <w:p w:rsidR="0078310B" w:rsidRDefault="0078310B" w:rsidP="0078310B">
      <w:pPr>
        <w:pStyle w:val="BodyTextIndent"/>
        <w:widowControl w:val="0"/>
        <w:ind w:left="0" w:firstLine="288"/>
        <w:jc w:val="both"/>
      </w:pPr>
      <w:r>
        <w:t xml:space="preserve">Finally, the presence of </w:t>
      </w:r>
      <w:hyperlink r:id="rId460" w:history="1">
        <w:r w:rsidRPr="0060319A">
          <w:rPr>
            <w:rStyle w:val="Hyperlink"/>
          </w:rPr>
          <w:t>§ 71</w:t>
        </w:r>
      </w:hyperlink>
      <w:r>
        <w:t>(f) adds to the notion that the § 71(b) payments that are includable by the recipient and deductible by the payor should have the flavor of “support” rather than “property settlement,” even though those words are never used in § 71(b). The idea behind § 71(f) is that divorcing spouses attempting to disguise a tax-neutral cash property settlement as includable/deductible tax alimony would frontload the payments because of the stop-at-death requirement. If the cash payments otherwise satisfying the requirements of § 71(b) are excessively front-loaded, the statute essentially presumes that a portion of the front-loaded payments are actually disguised property settlements masquerading as includable/deductible support payments. The statute does not, however, deny inclusion by the payee and deduction by the payor of the payments in the year made. Rather, the statute creates a phantom offsetting</w:t>
      </w:r>
      <w:r>
        <w:rPr>
          <w:i/>
        </w:rPr>
        <w:t xml:space="preserve"> </w:t>
      </w:r>
      <w:r w:rsidRPr="003B2261">
        <w:rPr>
          <w:i/>
        </w:rPr>
        <w:t>deduction by the payee</w:t>
      </w:r>
      <w:r>
        <w:t xml:space="preserve"> and </w:t>
      </w:r>
      <w:r w:rsidRPr="003B2261">
        <w:rPr>
          <w:i/>
        </w:rPr>
        <w:t>inclusion by the payor</w:t>
      </w:r>
      <w:r>
        <w:t xml:space="preserve"> in Year 3 to, in effect, counteract the economic effects of the prior- and current-year inclusions by the payee and deductions by the payor of the payments actually made.  </w:t>
      </w:r>
    </w:p>
    <w:p w:rsidR="0078310B" w:rsidRDefault="0078310B" w:rsidP="0078310B">
      <w:pPr>
        <w:pStyle w:val="BodyTextIndent"/>
        <w:widowControl w:val="0"/>
        <w:ind w:left="0" w:firstLine="288"/>
        <w:jc w:val="both"/>
      </w:pPr>
      <w:r>
        <w:t xml:space="preserve">To be specific, </w:t>
      </w:r>
      <w:r w:rsidRPr="00FE5460">
        <w:t>§ 71</w:t>
      </w:r>
      <w:r>
        <w:t xml:space="preserve">(f)(1) creates a </w:t>
      </w:r>
      <w:r w:rsidRPr="003B2261">
        <w:rPr>
          <w:i/>
        </w:rPr>
        <w:t>deduction for the payee</w:t>
      </w:r>
      <w:r>
        <w:rPr>
          <w:i/>
        </w:rPr>
        <w:t xml:space="preserve"> </w:t>
      </w:r>
      <w:r>
        <w:t xml:space="preserve">and </w:t>
      </w:r>
      <w:r>
        <w:rPr>
          <w:i/>
        </w:rPr>
        <w:t>Gross Income</w:t>
      </w:r>
      <w:r w:rsidRPr="003B2261">
        <w:rPr>
          <w:i/>
        </w:rPr>
        <w:t xml:space="preserve"> inclusion for the payor</w:t>
      </w:r>
      <w:r>
        <w:t xml:space="preserve"> in the third post-separation year of any “excess alimony </w:t>
      </w:r>
      <w:r w:rsidR="0060319A">
        <w:t>payments.”</w:t>
      </w:r>
      <w:r>
        <w:t xml:space="preserve"> Thus, while the payee includes the payments actually received in Years 1, 2, and 3 under § 71(a), the payee’s Year-3 deduction under </w:t>
      </w:r>
      <w:r w:rsidRPr="00FE5460">
        <w:t>§ 71</w:t>
      </w:r>
      <w:r>
        <w:t xml:space="preserve">(f)(1)(B) will economically reverse a portion of the current- and prior-year inclusions. Similarly, while the payor deducts the payments actually made in Years 1, 2, and 3 under § 215, the payor’s Year-3 Gross Income inclusion under </w:t>
      </w:r>
      <w:r w:rsidRPr="00FE5460">
        <w:t>§ 71</w:t>
      </w:r>
      <w:r>
        <w:t xml:space="preserve">(f)(1)(A) will economically reverse a portion of the current- and prior-year deductions. </w:t>
      </w:r>
    </w:p>
    <w:p w:rsidR="0078310B" w:rsidRDefault="0078310B" w:rsidP="0078310B">
      <w:pPr>
        <w:pStyle w:val="BodyTextIndent"/>
        <w:widowControl w:val="0"/>
        <w:ind w:left="0" w:firstLine="288"/>
        <w:jc w:val="both"/>
      </w:pPr>
      <w:r>
        <w:t xml:space="preserve">For example, assume that Sam and Sheila, who have no children, divorce in Year 1 and maintain separate households thereafter. Under the terms of their divorce agreement, Sam must pay Sheila $100,000 in Year 1, $60,000 in Year 2, and $30,000 in each year thereafter until Sheila either dies or remarries. The agreement does not, under § 71(b)(1)(B), designate any of the payments as excludable by Sheila and nondeductible by Sam. Because these payments satisfy each of the requirements found in § 71(b), Sheila must include in her Gross Income $100,000 in Year 1, $60,000 in Year 2, and $30,000 in Year 3 and every year thereafter. Similarly, Sam deducts $100,000 in Year 1, $60,000 in Year 2, and $30,000 in Year 3 and every year thereafter under § 215(a). In addition to Sheila’s $30,000 Year-3 inclusion, however, she also is entitled to </w:t>
      </w:r>
      <w:r>
        <w:rPr>
          <w:i/>
        </w:rPr>
        <w:t xml:space="preserve">deduct </w:t>
      </w:r>
      <w:r>
        <w:t xml:space="preserve">the $62,500 “excess alimony payment” in Year 3. Similarly, in addition to Sam’s $30,000 Year-3 deduction, he must </w:t>
      </w:r>
      <w:r>
        <w:rPr>
          <w:i/>
        </w:rPr>
        <w:t xml:space="preserve">include </w:t>
      </w:r>
      <w:r>
        <w:t xml:space="preserve">in Gross Income the $62,500 “excess alimony payment” in his Year-3 Gross Income. </w:t>
      </w:r>
    </w:p>
    <w:p w:rsidR="0078310B" w:rsidRDefault="0078310B" w:rsidP="0078310B">
      <w:pPr>
        <w:pStyle w:val="BodyTextIndent"/>
        <w:widowControl w:val="0"/>
        <w:ind w:left="0" w:firstLine="288"/>
        <w:jc w:val="both"/>
      </w:pPr>
      <w:r>
        <w:t xml:space="preserve">How did we arrive at $62,500 as the “excess alimony payment”? Under </w:t>
      </w:r>
      <w:hyperlink r:id="rId461" w:history="1">
        <w:r w:rsidRPr="00DB44C8">
          <w:rPr>
            <w:rStyle w:val="Hyperlink"/>
          </w:rPr>
          <w:t>§ 71</w:t>
        </w:r>
      </w:hyperlink>
      <w:r>
        <w:t>(f)(2), the “excess alimony payment” is the sum of “the excess payments for the 1</w:t>
      </w:r>
      <w:r w:rsidRPr="00195666">
        <w:rPr>
          <w:vertAlign w:val="superscript"/>
        </w:rPr>
        <w:t>st</w:t>
      </w:r>
      <w:r>
        <w:t xml:space="preserve"> post-separation year” and “the excess payments for the 2</w:t>
      </w:r>
      <w:r w:rsidRPr="00195666">
        <w:rPr>
          <w:vertAlign w:val="superscript"/>
        </w:rPr>
        <w:t>nd</w:t>
      </w:r>
      <w:r>
        <w:t xml:space="preserve"> post-separation year.” Because we need the number computed for the 2</w:t>
      </w:r>
      <w:r w:rsidRPr="00195666">
        <w:rPr>
          <w:vertAlign w:val="superscript"/>
        </w:rPr>
        <w:t>nd</w:t>
      </w:r>
      <w:r>
        <w:t xml:space="preserve"> post-separation year in order to compute the number for the 1</w:t>
      </w:r>
      <w:r w:rsidRPr="00195666">
        <w:rPr>
          <w:vertAlign w:val="superscript"/>
        </w:rPr>
        <w:t>st</w:t>
      </w:r>
      <w:r>
        <w:t xml:space="preserve"> post-separation year, we start with </w:t>
      </w:r>
      <w:r w:rsidRPr="00FE5460">
        <w:t>§ 71</w:t>
      </w:r>
      <w:r>
        <w:t>(f)(4). Carefully read the formula provided there. After filling in the numbers in our agreement in the appropriate slots, the excess payment for the 2</w:t>
      </w:r>
      <w:r w:rsidRPr="00195666">
        <w:rPr>
          <w:vertAlign w:val="superscript"/>
        </w:rPr>
        <w:t>nd</w:t>
      </w:r>
      <w:r>
        <w:t xml:space="preserve"> post-separation year is $15,000: (A) $60,000 </w:t>
      </w:r>
      <w:r>
        <w:rPr>
          <w:i/>
        </w:rPr>
        <w:t xml:space="preserve">less </w:t>
      </w:r>
      <w:r>
        <w:t xml:space="preserve">(B) [$30,000 </w:t>
      </w:r>
      <w:r>
        <w:rPr>
          <w:i/>
        </w:rPr>
        <w:t xml:space="preserve">plus </w:t>
      </w:r>
      <w:r>
        <w:t xml:space="preserve">$15,000]. Now we have the information that we need to apply </w:t>
      </w:r>
      <w:r w:rsidRPr="00FE5460">
        <w:t>§ 71</w:t>
      </w:r>
      <w:r>
        <w:t>(f)(3). The excess payment for the 1</w:t>
      </w:r>
      <w:r w:rsidRPr="00FE1470">
        <w:rPr>
          <w:vertAlign w:val="superscript"/>
        </w:rPr>
        <w:t>st</w:t>
      </w:r>
      <w:r>
        <w:t xml:space="preserve"> post-separation year is equal to $47,500: (A) $100,000 </w:t>
      </w:r>
      <w:r>
        <w:rPr>
          <w:i/>
        </w:rPr>
        <w:t>less</w:t>
      </w:r>
      <w:r>
        <w:t xml:space="preserve"> (B) $52,500. To arrive at the $52,500 described in (B), we must start with the average of (I) $60,000 </w:t>
      </w:r>
      <w:r>
        <w:rPr>
          <w:i/>
        </w:rPr>
        <w:t xml:space="preserve">less </w:t>
      </w:r>
      <w:r>
        <w:t xml:space="preserve">$15,000 (or $45,000) and (II) $30,000. To arrive at the average of two figures, you must add them together and divide by two. Thus, the average of $45,000 and $30,000 is $75,000/2, or $37,500. We must then add $15,000 to this figure under § 71(f)(3)(B)(ii) to reach $52,500. Subtracting this $52,500 from the $100,000 described in § 71(f)(3)(A) leaves $47,500. The “excess alimony payments” within the meaning of § 71(f)(2) is, therefore, $62,500 ($15,000 under § 71(f)(4) </w:t>
      </w:r>
      <w:r>
        <w:rPr>
          <w:i/>
        </w:rPr>
        <w:t>plus</w:t>
      </w:r>
      <w:r>
        <w:t xml:space="preserve"> $47,500 under § 71(f)(3)), which is the amount that Sheila (the payee) </w:t>
      </w:r>
      <w:r>
        <w:rPr>
          <w:i/>
        </w:rPr>
        <w:t>deducts</w:t>
      </w:r>
      <w:r>
        <w:t xml:space="preserve"> in Year 3 under § 71(f)(1)(B) and that Sam (the payor) </w:t>
      </w:r>
      <w:r>
        <w:rPr>
          <w:i/>
        </w:rPr>
        <w:t>includes</w:t>
      </w:r>
      <w:r>
        <w:t xml:space="preserve"> in Year 3 under § 71(f)(1)(A). In that same Year 3, Sheila will include (and Sam will deduct) the $30,000 payment actually made. </w:t>
      </w:r>
    </w:p>
    <w:p w:rsidR="0078310B" w:rsidRDefault="0078310B" w:rsidP="0078310B">
      <w:pPr>
        <w:pStyle w:val="BodyTextIndent"/>
        <w:widowControl w:val="0"/>
        <w:ind w:left="0" w:firstLine="288"/>
        <w:jc w:val="both"/>
      </w:pPr>
      <w:r>
        <w:t>Whew!</w:t>
      </w:r>
    </w:p>
    <w:p w:rsidR="0078310B" w:rsidRDefault="0078310B" w:rsidP="0078310B">
      <w:pPr>
        <w:pStyle w:val="BodyTextIndent"/>
        <w:widowControl w:val="0"/>
        <w:spacing w:after="0"/>
        <w:ind w:left="0" w:firstLine="288"/>
        <w:jc w:val="both"/>
      </w:pPr>
      <w:r>
        <w:t xml:space="preserve">Is this all worth it? Putting § 71(c) and (f) aside, notice that the parties are expressly permitted to </w:t>
      </w:r>
      <w:r>
        <w:rPr>
          <w:i/>
        </w:rPr>
        <w:t>opt out</w:t>
      </w:r>
      <w:r>
        <w:t xml:space="preserve"> of the § 71 inclusion/§ 215 deduction scheme simply by designating the payments under </w:t>
      </w:r>
      <w:r w:rsidRPr="00293E68">
        <w:t>§ 71</w:t>
      </w:r>
      <w:r>
        <w:t xml:space="preserve">(b)(1)(B) as not includable by the payee and not deductible by the payor, but they are not provided the similar freedom to simply </w:t>
      </w:r>
      <w:r>
        <w:rPr>
          <w:i/>
        </w:rPr>
        <w:t>opt in</w:t>
      </w:r>
      <w:r>
        <w:t xml:space="preserve"> to the inclusion/deduction scheme. If they want the cash payment to be includable by the payee and deductible by the payor, they must navigate the minefield of § 71(b), including the stop-at-death requirement in § 71(b)(1)(D), the § 71(c) restriction, and the § 71(f) front-loading ru</w:t>
      </w:r>
      <w:bookmarkStart w:id="166" w:name="_Toc395790466"/>
      <w:r w:rsidR="00D06E50">
        <w:t>les. Satisfying these formal requirements is crucial.</w:t>
      </w:r>
    </w:p>
    <w:p w:rsidR="0078310B" w:rsidRDefault="0078310B" w:rsidP="0078310B">
      <w:pPr>
        <w:pStyle w:val="BodyTextIndent"/>
        <w:widowControl w:val="0"/>
        <w:spacing w:after="0"/>
        <w:ind w:left="0" w:firstLine="288"/>
        <w:jc w:val="both"/>
      </w:pPr>
    </w:p>
    <w:p w:rsidR="0078310B" w:rsidRDefault="0078310B" w:rsidP="0078310B">
      <w:pPr>
        <w:pStyle w:val="BodyTextIndent"/>
        <w:widowControl w:val="0"/>
        <w:spacing w:after="0"/>
        <w:ind w:left="0"/>
        <w:jc w:val="center"/>
        <w:rPr>
          <w:b/>
        </w:rPr>
      </w:pPr>
      <w:r w:rsidRPr="00EE02BB">
        <w:rPr>
          <w:b/>
          <w:i/>
        </w:rPr>
        <w:t xml:space="preserve">Excerpt from </w:t>
      </w:r>
      <w:r w:rsidRPr="00EE02BB">
        <w:rPr>
          <w:b/>
        </w:rPr>
        <w:t>Simplifying and Rationalizing the</w:t>
      </w:r>
    </w:p>
    <w:p w:rsidR="0078310B" w:rsidRPr="00EE02BB" w:rsidRDefault="0078310B" w:rsidP="0078310B">
      <w:pPr>
        <w:pStyle w:val="BodyTextIndent"/>
        <w:widowControl w:val="0"/>
        <w:ind w:left="0"/>
        <w:jc w:val="center"/>
        <w:rPr>
          <w:b/>
        </w:rPr>
      </w:pPr>
      <w:r w:rsidRPr="00EE02BB">
        <w:rPr>
          <w:b/>
        </w:rPr>
        <w:t>Federal Income Tax Law Applicable to Transfers in Divorce</w:t>
      </w:r>
      <w:r w:rsidRPr="00EE02BB">
        <w:rPr>
          <w:rStyle w:val="FootnoteReference"/>
        </w:rPr>
        <w:footnoteReference w:id="303"/>
      </w:r>
    </w:p>
    <w:p w:rsidR="0078310B" w:rsidRDefault="0078310B" w:rsidP="0078310B">
      <w:pPr>
        <w:pStyle w:val="Heading3"/>
        <w:spacing w:before="0" w:beforeAutospacing="0" w:after="0" w:afterAutospacing="0"/>
        <w:jc w:val="center"/>
        <w:rPr>
          <w:b w:val="0"/>
        </w:rPr>
      </w:pPr>
      <w:r w:rsidRPr="00543C8C">
        <w:rPr>
          <w:b w:val="0"/>
        </w:rPr>
        <w:t>Deborah A. Geier</w:t>
      </w:r>
      <w:bookmarkEnd w:id="166"/>
    </w:p>
    <w:p w:rsidR="0078310B" w:rsidRDefault="0078310B" w:rsidP="0078310B">
      <w:pPr>
        <w:pStyle w:val="Heading3"/>
        <w:spacing w:before="0" w:beforeAutospacing="0" w:after="0" w:afterAutospacing="0"/>
        <w:jc w:val="center"/>
      </w:pPr>
    </w:p>
    <w:p w:rsidR="0078310B" w:rsidRDefault="0078310B" w:rsidP="0078310B">
      <w:pPr>
        <w:pStyle w:val="BodyTextIndent"/>
        <w:widowControl w:val="0"/>
        <w:ind w:left="0" w:firstLine="288"/>
        <w:jc w:val="both"/>
      </w:pPr>
      <w:r>
        <w:t xml:space="preserve">Since we are not dealing, under this pragmatic paradigm, with something as theoretically fundamental as the question of “what is income” but rather dealing only with a pragmatic decision regarding which of two parties should be taxed on what is concededly income to </w:t>
      </w:r>
      <w:r>
        <w:rPr>
          <w:i/>
        </w:rPr>
        <w:t>someone</w:t>
      </w:r>
      <w:r>
        <w:t>, the main concerns should be what side effects—good and bad—would result from our decision regarding whom to tax.</w:t>
      </w:r>
    </w:p>
    <w:p w:rsidR="0078310B" w:rsidRDefault="0078310B" w:rsidP="0078310B">
      <w:pPr>
        <w:widowControl w:val="0"/>
        <w:spacing w:after="120"/>
        <w:ind w:firstLine="288"/>
        <w:jc w:val="both"/>
      </w:pPr>
      <w:r>
        <w:t>Since all cash payments incident to divorce will be taxed to one or the other spouse, the Federal government is a mere stakeholder regarding the issue of whether a cash payment is includable/deductible or excludable/nondeductible. Only the rate-bracket differential between the parties (if any) can result in a revenue loss, and this loss is self-limiting, as the greater the amount paid to the lower-bracket payee in the includable/deductible system, the higher the tax bracket that will apply to it, until further income-shifting would not produce a revenue loss. Moreover, in the context of a payor in a significantly higher tax bracket than the payee in the includable/deductible system—which is the very context that would appear to result in the most lost revenue—any revenue loss is more illusory than real because of the loss of the marriage bonus [Ed. Note: described in Chapter 8 in the context of a high-income spouse with a low-income or no-income spouse] which occurs on the divorce.</w:t>
      </w:r>
    </w:p>
    <w:p w:rsidR="0078310B" w:rsidRDefault="0078310B" w:rsidP="0078310B">
      <w:pPr>
        <w:widowControl w:val="0"/>
        <w:spacing w:after="120"/>
        <w:ind w:firstLine="288"/>
        <w:jc w:val="both"/>
      </w:pPr>
      <w:r>
        <w:t xml:space="preserve">Since little revenue is at stake, the parties should be given full power to decide who, between them, should be taxed on all cash transfers incident to divorce. Well-advised taxpayers already have a great deal of power to decide who is taxed, but the power can be implemented only by choosing the correct transactional form for the payment stream. Transactional elections … are not appropriate in the world of divorce, a common transaction not engaged in for tax reasons, often by people not well informed of the effective elections available to them by choosing the correct form. Rather than hiding the effective elections, the elections should be made explicit, with simple default rules for those taxpayers who fail to address the issue in their divorce instrument. </w:t>
      </w:r>
    </w:p>
    <w:p w:rsidR="0078310B" w:rsidRDefault="0078310B" w:rsidP="0078310B">
      <w:pPr>
        <w:pStyle w:val="BodyTextIndent"/>
        <w:widowControl w:val="0"/>
        <w:ind w:left="0" w:firstLine="288"/>
        <w:jc w:val="both"/>
      </w:pPr>
      <w:r>
        <w:t xml:space="preserve">An explicit election is preferable to trying to further distinguish, for Federal tax purposes, among alimony, child support, and property settlements. Without exception, the difficulties described … in the litigated cases stem from trying to properly characterize the cash payment as “alimony,” “child support,” or “property settlement” for Federal income tax purposes …. But as illustrated by the litigated cases, these payments are nearly impossible to distinguish on any consistent basis. </w:t>
      </w:r>
    </w:p>
    <w:p w:rsidR="0078310B" w:rsidRDefault="0078310B" w:rsidP="0078310B">
      <w:pPr>
        <w:pStyle w:val="BodyTextIndent"/>
        <w:widowControl w:val="0"/>
        <w:ind w:left="0" w:firstLine="288"/>
        <w:jc w:val="both"/>
      </w:pPr>
      <w:r>
        <w:t>As indicated by the child support guideline controversy …, child support can still fairly easily be cast as alimony if the right form is used. Cash property settlements are also not easy to identify. The underlying assumption of current law is that cash property settlements can, in fact, be differentiated from support payments on a consistent basis and that the “stop-at-death” rule, coupled with the recapture rule in the case of front-loaded payments, serves to adequately police that line. Both contentions are dubious, at best, and reflect outdated notions that family law is increasingly abandoning. With respect to the recapture rule, for example, property settlements may be paid over several years in level payments. Only the constraints of the tax law require the parties to maintain contact for at least three years in order that the status of their “alimony” arrangement be respected as such….</w:t>
      </w:r>
    </w:p>
    <w:p w:rsidR="0078310B" w:rsidRDefault="0078310B" w:rsidP="0078310B">
      <w:pPr>
        <w:pStyle w:val="BodyTextIndent"/>
        <w:widowControl w:val="0"/>
        <w:ind w:left="0" w:firstLine="288"/>
        <w:jc w:val="both"/>
      </w:pPr>
      <w:r>
        <w:t xml:space="preserve">Moreover, the “stop-at-death” rule serves only to require judges to delve, once again, into state law to try to determine whether any part of an unallocated payment stream </w:t>
      </w:r>
      <w:r>
        <w:rPr>
          <w:i/>
        </w:rPr>
        <w:t>might</w:t>
      </w:r>
      <w:r>
        <w:t xml:space="preserve"> stop automatically if the payee should die, an actuarially unlikely event that the parties never addressed in their agreements…. And it results in many payments that are clearly not property settlements—such as the payment of attorney fees, medical expenses, and auto repair expenses—to be so characterized…. </w:t>
      </w:r>
    </w:p>
    <w:p w:rsidR="0078310B" w:rsidRDefault="0078310B" w:rsidP="0078310B">
      <w:pPr>
        <w:pStyle w:val="BodyTextIndent"/>
        <w:widowControl w:val="0"/>
        <w:ind w:left="0" w:firstLine="288"/>
        <w:jc w:val="both"/>
      </w:pPr>
      <w:r>
        <w:t xml:space="preserve">For all of these reasons, the statute should not attempt to identify those payments eligible for the inclusion/deduction system by reference to whether or not they fall into a particular category. Moreover, Congress should also reject treating all cash payments either under a rigid exclusion/nondeduction system or rigid inclusion/deduction system in the name of simplification. A mandatory exclusion/nondeduction system for all cash payments is not wise for the following reasons. </w:t>
      </w:r>
    </w:p>
    <w:p w:rsidR="0078310B" w:rsidRDefault="0078310B" w:rsidP="0078310B">
      <w:pPr>
        <w:pStyle w:val="BodyTextIndent"/>
        <w:widowControl w:val="0"/>
        <w:ind w:left="0" w:firstLine="288"/>
        <w:jc w:val="both"/>
      </w:pPr>
      <w:r>
        <w:t xml:space="preserve">First, mandatory exclusion/nondeduction for all cash payments would likely increase the aggregate tax burden on divorcing couples, since the couple in different tax brackets (where substantial cash payments are more likely) would lose their marriage bonus at the same time that more of the couple’s income would be taxed at the payor’s higher marginal rate bracket under the schedule for single filers. Divorce is usually accompanied by financial hardship (and triples the chances of bankruptcy). Therefore, Congress should avoid adopting what would amount to a mandatory divorce tax “penalty” in many cases. </w:t>
      </w:r>
    </w:p>
    <w:p w:rsidR="0078310B" w:rsidRDefault="0078310B" w:rsidP="0078310B">
      <w:pPr>
        <w:pStyle w:val="BodyTextIndent"/>
        <w:widowControl w:val="0"/>
        <w:ind w:left="0" w:firstLine="288"/>
        <w:jc w:val="both"/>
      </w:pPr>
      <w:r>
        <w:t xml:space="preserve">Second, a mandatory exclusion/nondeduction rule would also introduce a disparity between less wealthy couples, where support payments must come from future wages of the payor, and wealthy couples, who could still engage in significant income-shifting by transferring income-producing assets to the payee to fund support…. It would also be inconsistent with the income-shifting allowed under I.R.C. § 1041, … so there would be a new and dramatic difference between the two areas, whereas both now contemplate income shifting. </w:t>
      </w:r>
    </w:p>
    <w:p w:rsidR="0078310B" w:rsidRDefault="0078310B" w:rsidP="0078310B">
      <w:pPr>
        <w:pStyle w:val="BodyTextIndent"/>
        <w:widowControl w:val="0"/>
        <w:ind w:left="0" w:firstLine="288"/>
        <w:jc w:val="both"/>
      </w:pPr>
      <w:r>
        <w:t xml:space="preserve">Third, a rigid exclusion/nondeduction rule would decrease flexibility in settling other matters in the divorce, with the likelihood of increasing the number of cases that go to full contest in state court. </w:t>
      </w:r>
    </w:p>
    <w:p w:rsidR="0078310B" w:rsidRDefault="0078310B" w:rsidP="0078310B">
      <w:pPr>
        <w:pStyle w:val="BodyTextIndent"/>
        <w:widowControl w:val="0"/>
        <w:ind w:left="0" w:firstLine="288"/>
        <w:jc w:val="both"/>
      </w:pPr>
      <w:r>
        <w:t xml:space="preserve">Fourth (and perhaps most important), when the payor is in a higher tax bracket, a mandatory exclusion/nondeduction system would erase the current-law bias that encourages the payor to make larger payments than he or she would otherwise make and that leaves the payee with more after-tax cash than he or she would otherwise have under an exclusion/nondeduction system. </w:t>
      </w:r>
    </w:p>
    <w:p w:rsidR="0078310B" w:rsidRDefault="0078310B" w:rsidP="0078310B">
      <w:pPr>
        <w:pStyle w:val="BodyTextIndent"/>
        <w:widowControl w:val="0"/>
        <w:ind w:left="0" w:firstLine="288"/>
        <w:jc w:val="both"/>
      </w:pPr>
      <w:r>
        <w:t xml:space="preserve">For example, assume that John and Mary, who have one minor child, age 12, are divorcing. The child will live primarily with Mary, with generous visitation to John. Without taking into consideration the following cash transfers, John, if single, would be in the 36% bracket, and Mary would be in the 15% bracket. Mary demands $1,000 per month in child support for ten years. John does not object to the figure but suggests that they call the payment a “family support payment,” with no amount specifically designated as “child support.” They agree that if Mary should die before their child is emancipated (an actuarially unlikely event), John will gain full custody. </w:t>
      </w:r>
    </w:p>
    <w:p w:rsidR="0078310B" w:rsidRDefault="0078310B" w:rsidP="0078310B">
      <w:pPr>
        <w:pStyle w:val="BodyTextIndent"/>
        <w:widowControl w:val="0"/>
        <w:ind w:left="0" w:firstLine="288"/>
        <w:jc w:val="both"/>
      </w:pPr>
      <w:r>
        <w:t>The intent is to structure the payments as includable/deductible “tax alimony.” Economically, it doesn’t matter whether the payment is called “child support” or “family support” or “alimony.” “Alimony” sounds mercenary and “child support” sounds benevolent, but otherwise there is no difference; the recipient is typically under no duty to account for how the funds are used.</w:t>
      </w:r>
    </w:p>
    <w:p w:rsidR="0078310B" w:rsidRDefault="0078310B" w:rsidP="0078310B">
      <w:pPr>
        <w:pStyle w:val="BodyTextIndent"/>
        <w:widowControl w:val="0"/>
        <w:ind w:left="0" w:firstLine="288"/>
        <w:jc w:val="both"/>
      </w:pPr>
      <w:r>
        <w:t xml:space="preserve">Mary would reject that offer, since her $1,000 per month would be worth less to her if she must pay tax on it. John then offers $1,200 per month. After Mary’s 15% tax ($180), she has $1,020, which is more than she would have under a rigid exclusion/nondeduction system under which John would agree to pay no more than $1,000 per month. John is willing to do this only because his net outlay is reduced from $1,000 to $768 ($1,200 </w:t>
      </w:r>
      <w:r w:rsidRPr="003C11F1">
        <w:rPr>
          <w:i/>
        </w:rPr>
        <w:t>less</w:t>
      </w:r>
      <w:r>
        <w:t xml:space="preserve"> $432 tax savings) because of the deduction. John and Mary effectively save $180 net</w:t>
      </w:r>
      <w:r>
        <w:rPr>
          <w:rStyle w:val="FootnoteReference"/>
        </w:rPr>
        <w:footnoteReference w:customMarkFollows="1" w:id="304"/>
        <w:t>[248]</w:t>
      </w:r>
      <w:r>
        <w:t xml:space="preserve">  and share the spoils. (Mary should claim more of the spoils than $20.)</w:t>
      </w:r>
    </w:p>
    <w:p w:rsidR="0078310B" w:rsidRDefault="0078310B" w:rsidP="0078310B">
      <w:pPr>
        <w:pStyle w:val="BodyTextIndent"/>
        <w:widowControl w:val="0"/>
        <w:ind w:left="0" w:firstLine="288"/>
        <w:jc w:val="both"/>
      </w:pPr>
      <w:r>
        <w:t xml:space="preserve">As indicated by the above example, which uses current law, this kind of flexibility is </w:t>
      </w:r>
      <w:r>
        <w:rPr>
          <w:i/>
        </w:rPr>
        <w:t xml:space="preserve">already </w:t>
      </w:r>
      <w:r>
        <w:t xml:space="preserve">incorporated into the statute, so long as the parties agree that the payments would end on the payee’s death and are not excessively front-loaded. Why not make the flexibility explicit? Failing to do so simply rewards the well-advised over the ill-advised. The election is one dependent on knowledgeably structuring the transaction in a certain manner (increasing attorneys’ fees and penalizing the ill-informed) rather than one that can be simply made explicit in the divorce agreement. </w:t>
      </w:r>
    </w:p>
    <w:p w:rsidR="0078310B" w:rsidRDefault="0078310B" w:rsidP="0078310B">
      <w:pPr>
        <w:pStyle w:val="BodyTextIndent"/>
        <w:widowControl w:val="0"/>
        <w:ind w:left="0" w:firstLine="288"/>
        <w:jc w:val="both"/>
      </w:pPr>
      <w:r>
        <w:t>Moreover, since Mary is in a lower tax bracket than John, it would be defensible to assume (since assumptions are unavoidable) that she is in greater need of the funds than John and that structuring the tax system so that she could end up with more after-tax cash is good policy, particularly since payees after divorce do tend to have a lower standard of living than payors….</w:t>
      </w:r>
    </w:p>
    <w:p w:rsidR="0078310B" w:rsidRDefault="0078310B" w:rsidP="0078310B">
      <w:pPr>
        <w:pStyle w:val="BodyTextIndent"/>
        <w:widowControl w:val="0"/>
        <w:ind w:left="0" w:firstLine="288"/>
        <w:jc w:val="both"/>
      </w:pPr>
      <w:r>
        <w:t xml:space="preserve">That John must be given a deduction to encourage him to provide Mary with more after-tax cash bothers some commentators who just don’t like to see the Johns of the world reduce their taxes in this manner. But such a view reverts to a different paradigm—asking whether John, viewed independently, should be able to deduct an amount that is not made in pursuance of income—rather than the more pragmatic paradigm of deciding simply who should be taxed on these payments by looking to the side effects of the various possible decisions. I admit that I like the fact that Mary ends up with more after-tax cash here under the inclusion/deduction system, and the bald fact is that John would not be willing to provide her with more after-tax cash if he weren’t better off as well, </w:t>
      </w:r>
      <w:r>
        <w:rPr>
          <w:i/>
        </w:rPr>
        <w:t>i.e.</w:t>
      </w:r>
      <w:r>
        <w:t xml:space="preserve">, if it weren’t for the tax savings that he enjoys through the deduction under his higher rate bracket. In short, this side effect is one that tends toward encouraging the higher-income spouse to provide more after-tax income to the lower-income spouse, which might be a good side effect for society in general, at a cost to the fisc that is self-limiting. </w:t>
      </w:r>
    </w:p>
    <w:p w:rsidR="0078310B" w:rsidRDefault="0078310B" w:rsidP="0078310B">
      <w:pPr>
        <w:pStyle w:val="BodyTextIndent"/>
        <w:widowControl w:val="0"/>
        <w:ind w:left="0" w:firstLine="288"/>
        <w:jc w:val="both"/>
      </w:pPr>
      <w:r>
        <w:t>Finally, John’s deduction would encourage him to satisfy his $1,200 per month payment obligation, rather than renege on his $1,000 per month obligation that he would otherwise agree to under an exclusion/nondeduction system, an all-too-common occurrence in the real world….</w:t>
      </w:r>
    </w:p>
    <w:p w:rsidR="0078310B" w:rsidRDefault="0078310B" w:rsidP="0078310B">
      <w:pPr>
        <w:pStyle w:val="BodyTextIndent"/>
        <w:widowControl w:val="0"/>
        <w:ind w:left="0" w:firstLine="288"/>
        <w:jc w:val="both"/>
      </w:pPr>
      <w:r>
        <w:t xml:space="preserve">Why don’t I simply advocate that </w:t>
      </w:r>
      <w:r>
        <w:rPr>
          <w:i/>
        </w:rPr>
        <w:t xml:space="preserve">all </w:t>
      </w:r>
      <w:r>
        <w:t xml:space="preserve">cash payments fall within the inclusion/deduction system, with no ability on the part of the parties to agree to exclusion/nondeduction? I think that such a system would be less optimum than one preserving the effective flexibility of current law (for the well-advised). First, for parties who will not be in different tax brackets after divorce—which may be the case more often with lower- and middle-income taxpayers who are both in the 15% bracket or both in the 28% bracket—it would be defensible to allow them to decide who should be taxed on these payments simply because no revenue is at stake. The greater flexibility to designate tax responsibility for cash payments can grease the wheels of negotiation with respect to many other matters on the table, such as who gets the car. Parties who </w:t>
      </w:r>
      <w:r>
        <w:rPr>
          <w:i/>
        </w:rPr>
        <w:t xml:space="preserve">are </w:t>
      </w:r>
      <w:r>
        <w:t xml:space="preserve">in different tax brackets should, if well-advised, not wish to opt out of the inclusion/deduction system in most cases, since </w:t>
      </w:r>
      <w:r>
        <w:rPr>
          <w:i/>
        </w:rPr>
        <w:t>both</w:t>
      </w:r>
      <w:r>
        <w:t xml:space="preserve"> can usually be better off (after taxes) under that system, as illustrated in the John/Mary negotiations….</w:t>
      </w:r>
    </w:p>
    <w:p w:rsidR="0078310B" w:rsidRDefault="0078310B" w:rsidP="0078310B">
      <w:pPr>
        <w:pStyle w:val="BodyTextIndent"/>
        <w:widowControl w:val="0"/>
        <w:ind w:left="0" w:firstLine="288"/>
        <w:jc w:val="both"/>
      </w:pPr>
      <w:r>
        <w:t xml:space="preserve">The flexibility allowed to the parties to decide to whom cash payments should be taxed is not the cause of confusion under current law. Rather, as illustrated by the cases discussed above, the confusion under current law arises because the flexibility provided to the parties is dependent on them knowing and understanding the various transactional forms and requirements available to them. It is not necessary to eliminate the flexibility available to the parties under current law in the name of simplification; rather, it is necessary only to allow the parties to exercise their flexibility explicitly, rather than indirectly, by allowing them to designate for themselves the extent to which some or all cash payments incident to divorce should be includable/deductible or excludable/nondeductible. </w:t>
      </w:r>
    </w:p>
    <w:p w:rsidR="0078310B" w:rsidRDefault="0078310B" w:rsidP="0078310B">
      <w:pPr>
        <w:pStyle w:val="BodyTextIndent"/>
        <w:widowControl w:val="0"/>
        <w:ind w:left="0" w:firstLine="288"/>
        <w:jc w:val="both"/>
      </w:pPr>
      <w:r>
        <w:t xml:space="preserve">In such a system, the only remaining issue is which default rule should govern in case of silence or a failure to reach agreement. The default rule should ideally provide the outcome that the parties might have agreed to if they had thought about it, </w:t>
      </w:r>
      <w:r>
        <w:rPr>
          <w:i/>
        </w:rPr>
        <w:t>i.e.</w:t>
      </w:r>
      <w:r>
        <w:t>, it should not be counterintuitive or surprising. I believe that the payee likely would not be surprised to find out that cash that he or she receives and controls and spends is includable. But if the payor pays a child’s tuition or summer camp fees directly to a third party, with no control by or direct consumption by the payee, the payee might likely be surprised to find that such a payment is includable (absent a designation otherwise). Thus, I recommend that the default rule should be inclusion/deduction unless the payment is made to a third party on behalf of a child. Such payments should be relatively easy to distinguish. This default rule would step in, however, only in cases in which the parties fail to stipulate how their cash payments should be treated for tax purposes. For example, if the parties so choose, they could agree that payments to a third party on a behalf of a child are includable/deductible payments.</w:t>
      </w:r>
    </w:p>
    <w:p w:rsidR="0078310B" w:rsidRDefault="0078310B" w:rsidP="0078310B">
      <w:pPr>
        <w:pStyle w:val="BodyTextIndent"/>
        <w:widowControl w:val="0"/>
        <w:spacing w:after="0"/>
        <w:ind w:left="0" w:firstLine="288"/>
        <w:jc w:val="both"/>
      </w:pPr>
      <w:r>
        <w:t>At bottom, the appropriate reform analogy is the 1984 reform to the dependency exemption pertaining to the minor children of divorced spouses. [P]rior to 1984, the spouses often had to engage in protracted litigation to determine who provided the greater amount of support for the children in order to determine who was entitled to the dependency exemptions. While such an approach was surely theoretically defensible, it was impractical when applied to the real world, and it resulted in an overabundance of costly litigation for both the divorced parties and the government, while little, if any, Federal revenue was at stake. The 1984 reform simply assigned a default rule that the custodial parent gets the exemption, in the absence of an agreement by the parties that the non-custodial parent should get it.</w:t>
      </w:r>
      <w:r>
        <w:rPr>
          <w:rStyle w:val="FootnoteReference"/>
        </w:rPr>
        <w:footnoteReference w:id="305"/>
      </w:r>
      <w:r>
        <w:t xml:space="preserve"> In that way, the parties could negotiate between themselves who would get the dependency exemption. This resolution might not be theoretically pure, but it was an absolutely defensible simplification that should provide the ready touchstone for simplification of the tax consequences of cash transfers in divorce.</w:t>
      </w:r>
    </w:p>
    <w:p w:rsidR="0078310B" w:rsidRDefault="0078310B" w:rsidP="0078310B">
      <w:pPr>
        <w:pStyle w:val="BodyTextIndent"/>
        <w:widowControl w:val="0"/>
        <w:spacing w:after="0"/>
        <w:ind w:left="0"/>
        <w:jc w:val="center"/>
      </w:pPr>
      <w:r>
        <w:t>______________________________________</w:t>
      </w:r>
    </w:p>
    <w:p w:rsidR="0078310B" w:rsidRDefault="0078310B" w:rsidP="0078310B">
      <w:pPr>
        <w:pStyle w:val="BodyTextIndent"/>
        <w:widowControl w:val="0"/>
        <w:spacing w:after="0"/>
        <w:jc w:val="both"/>
      </w:pPr>
    </w:p>
    <w:p w:rsidR="0078310B" w:rsidRDefault="0078310B" w:rsidP="0078310B">
      <w:pPr>
        <w:pStyle w:val="BodyTextIndent"/>
        <w:widowControl w:val="0"/>
        <w:ind w:left="0" w:firstLine="288"/>
        <w:jc w:val="both"/>
      </w:pPr>
      <w:r>
        <w:t xml:space="preserve">The Tax Court agrees that a “family support” payment (or an unallocated payment for the support of both the ex-spouse and children) does not trigger </w:t>
      </w:r>
      <w:hyperlink r:id="rId462" w:history="1">
        <w:r w:rsidRPr="00DB44C8">
          <w:rPr>
            <w:rStyle w:val="Hyperlink"/>
          </w:rPr>
          <w:t>§ 71</w:t>
        </w:r>
      </w:hyperlink>
      <w:r>
        <w:t>(c)(1) because no amount is “fixed” specifically as child support in the agreement.</w:t>
      </w:r>
      <w:r>
        <w:rPr>
          <w:rStyle w:val="FootnoteReference"/>
        </w:rPr>
        <w:footnoteReference w:id="306"/>
      </w:r>
    </w:p>
    <w:p w:rsidR="00AF30AC" w:rsidRDefault="0078310B" w:rsidP="0078310B">
      <w:pPr>
        <w:pStyle w:val="BodyTextIndent"/>
        <w:widowControl w:val="0"/>
        <w:ind w:left="0" w:firstLine="288"/>
        <w:jc w:val="both"/>
      </w:pPr>
      <w:r>
        <w:t>A</w:t>
      </w:r>
      <w:r w:rsidR="00F966A8">
        <w:t>s described in the excerpt</w:t>
      </w:r>
      <w:r>
        <w:t xml:space="preserve">, the divorcing parties (and their counsel) should consider the </w:t>
      </w:r>
      <w:r w:rsidRPr="007A6DE3">
        <w:rPr>
          <w:i/>
        </w:rPr>
        <w:t>after-tax cost</w:t>
      </w:r>
      <w:r>
        <w:t xml:space="preserve"> of the payments to the payor (the pre-tax payment </w:t>
      </w:r>
      <w:r>
        <w:rPr>
          <w:i/>
        </w:rPr>
        <w:t xml:space="preserve">less </w:t>
      </w:r>
      <w:r>
        <w:t xml:space="preserve">tax saved) and </w:t>
      </w:r>
      <w:r w:rsidRPr="007A6DE3">
        <w:rPr>
          <w:i/>
        </w:rPr>
        <w:t>the after-tax benefit</w:t>
      </w:r>
      <w:r>
        <w:t xml:space="preserve"> of the receipts to the payee (the pre-tax payment </w:t>
      </w:r>
      <w:r>
        <w:rPr>
          <w:i/>
        </w:rPr>
        <w:t xml:space="preserve">less </w:t>
      </w:r>
      <w:r>
        <w:t>tax owed) when negotiating a cash payment stream. This analysis is where your appreciation of the marginal rate concept, explored in Part B. of Chapter 1, become</w:t>
      </w:r>
      <w:r w:rsidR="00F966A8">
        <w:t xml:space="preserve">s valuable. If the parties </w:t>
      </w:r>
      <w:r>
        <w:t xml:space="preserve">work together, those in different tax brackets can often </w:t>
      </w:r>
      <w:r>
        <w:rPr>
          <w:i/>
        </w:rPr>
        <w:t>both</w:t>
      </w:r>
      <w:r>
        <w:t xml:space="preserve"> be better off with includabl</w:t>
      </w:r>
      <w:r w:rsidR="00F966A8">
        <w:t xml:space="preserve">e/deductible payments </w:t>
      </w:r>
      <w:r w:rsidR="00DB44C8">
        <w:t xml:space="preserve">than </w:t>
      </w:r>
      <w:r>
        <w:t xml:space="preserve">with excludable/nondeductible payments. Nevertheless, the ability to memorialize their agreement in a way that will produce the expected tax outcomes is hampered by the forms required in § 71(b) and (c). </w:t>
      </w:r>
    </w:p>
    <w:p w:rsidR="0078310B" w:rsidRDefault="0078310B" w:rsidP="0078310B">
      <w:pPr>
        <w:pStyle w:val="BodyTextIndent"/>
        <w:widowControl w:val="0"/>
        <w:ind w:left="0" w:firstLine="288"/>
        <w:jc w:val="both"/>
      </w:pPr>
      <w:r>
        <w:t xml:space="preserve">The recommendations described above were made in the context of a study ordered by Congress and undertaken by the Joint Committee on Taxation concerning tax simplification. The recommendations have </w:t>
      </w:r>
      <w:r w:rsidRPr="0075255E">
        <w:t>not</w:t>
      </w:r>
      <w:r>
        <w:rPr>
          <w:i/>
        </w:rPr>
        <w:t xml:space="preserve"> </w:t>
      </w:r>
      <w:r>
        <w:t>(yet?) found their way into the statute. Thus, great care must be taken to avoid the traps for the unwary embedded in §§ 71 and 215, and the parties should draft their divorce or separation instruments with precision.</w:t>
      </w:r>
      <w:r w:rsidR="004974A4">
        <w:rPr>
          <w:rStyle w:val="FootnoteReference"/>
        </w:rPr>
        <w:footnoteReference w:id="307"/>
      </w:r>
      <w:r>
        <w:t xml:space="preserve"> </w:t>
      </w:r>
    </w:p>
    <w:p w:rsidR="0078310B" w:rsidRDefault="0078310B" w:rsidP="0078310B">
      <w:pPr>
        <w:pStyle w:val="BodyTextIndent"/>
        <w:widowControl w:val="0"/>
        <w:spacing w:after="0"/>
        <w:ind w:left="0" w:firstLine="288"/>
        <w:jc w:val="both"/>
      </w:pPr>
      <w:r>
        <w:t xml:space="preserve">The excerpt stresses the parties’ ability to </w:t>
      </w:r>
      <w:r>
        <w:rPr>
          <w:i/>
        </w:rPr>
        <w:t xml:space="preserve">opt out </w:t>
      </w:r>
      <w:r>
        <w:t xml:space="preserve">of the inclusion/deduction scheme under § 71(b)(1)(B) in their divorce agreement as one means available to them to decide for themselves the after-tax consequences of cash payments otherwise satisfying the § 71(b) definition of tax alimony. Can the parties be </w:t>
      </w:r>
      <w:r w:rsidRPr="000876D1">
        <w:rPr>
          <w:i/>
        </w:rPr>
        <w:t>forced</w:t>
      </w:r>
      <w:r>
        <w:t xml:space="preserve"> to opt out under the order of a state judge? Would that be a wise interpretation of the statutory language in view of the concerns expressed in the excerpt?</w:t>
      </w:r>
    </w:p>
    <w:p w:rsidR="0078310B" w:rsidRDefault="0078310B" w:rsidP="0078310B">
      <w:pPr>
        <w:pStyle w:val="BodyTextIndent"/>
        <w:widowControl w:val="0"/>
        <w:spacing w:after="0"/>
        <w:ind w:left="0" w:firstLine="288"/>
        <w:jc w:val="both"/>
      </w:pPr>
    </w:p>
    <w:p w:rsidR="0078310B" w:rsidRDefault="0078310B" w:rsidP="0078310B">
      <w:pPr>
        <w:pStyle w:val="Heading3"/>
        <w:spacing w:before="0" w:beforeAutospacing="0" w:after="120" w:afterAutospacing="0"/>
        <w:jc w:val="center"/>
      </w:pPr>
      <w:bookmarkStart w:id="167" w:name="_Toc395790467"/>
      <w:r>
        <w:t>TUCKER v. COMMISSIONER</w:t>
      </w:r>
      <w:bookmarkEnd w:id="167"/>
    </w:p>
    <w:p w:rsidR="0078310B" w:rsidRDefault="0078310B" w:rsidP="0078310B">
      <w:pPr>
        <w:pStyle w:val="BodyTextIndent"/>
        <w:widowControl w:val="0"/>
        <w:spacing w:after="0"/>
        <w:ind w:left="0"/>
        <w:jc w:val="center"/>
      </w:pPr>
      <w:r>
        <w:t>T.C. Summary Opinion 2013-94</w:t>
      </w:r>
    </w:p>
    <w:p w:rsidR="0078310B" w:rsidRDefault="0078310B" w:rsidP="0078310B">
      <w:pPr>
        <w:pStyle w:val="BodyTextIndent"/>
        <w:widowControl w:val="0"/>
        <w:spacing w:after="0"/>
        <w:ind w:left="0"/>
        <w:jc w:val="center"/>
      </w:pPr>
    </w:p>
    <w:p w:rsidR="0078310B" w:rsidRPr="008A3BF8" w:rsidRDefault="0078310B" w:rsidP="0078310B">
      <w:pPr>
        <w:widowControl w:val="0"/>
        <w:autoSpaceDE w:val="0"/>
        <w:autoSpaceDN w:val="0"/>
        <w:adjustRightInd w:val="0"/>
        <w:spacing w:after="120"/>
        <w:ind w:firstLine="288"/>
        <w:jc w:val="both"/>
        <w:rPr>
          <w:rFonts w:cs="Times New Roman"/>
        </w:rPr>
      </w:pPr>
      <w:r w:rsidRPr="008A3BF8">
        <w:rPr>
          <w:rFonts w:cs="Times New Roman"/>
          <w:smallCaps/>
        </w:rPr>
        <w:t>Dean, Special Trial Judge</w:t>
      </w:r>
      <w:r w:rsidRPr="008A3BF8">
        <w:rPr>
          <w:rFonts w:cs="Times New Roman"/>
        </w:rPr>
        <w:t>: This case was heard pursuant to the provisions of section 7463 of the Internal Revenue Code in effect when the petition was filed. Pursuant to section 7463(b), the decision to be entered is not reviewable by any other court, and this opinion shall not be treated as precedent for any other case.</w:t>
      </w:r>
    </w:p>
    <w:p w:rsidR="0078310B" w:rsidRPr="008A3BF8" w:rsidRDefault="0078310B" w:rsidP="0078310B">
      <w:pPr>
        <w:widowControl w:val="0"/>
        <w:autoSpaceDE w:val="0"/>
        <w:autoSpaceDN w:val="0"/>
        <w:adjustRightInd w:val="0"/>
        <w:spacing w:after="120"/>
        <w:ind w:firstLine="288"/>
        <w:jc w:val="both"/>
        <w:rPr>
          <w:rFonts w:cs="Times New Roman"/>
        </w:rPr>
      </w:pPr>
      <w:r w:rsidRPr="008A3BF8">
        <w:rPr>
          <w:rFonts w:cs="Times New Roman"/>
        </w:rPr>
        <w:t>Respondent determined a deficiency of $10,425 in petitioner’s 2010 Federal</w:t>
      </w:r>
      <w:r>
        <w:rPr>
          <w:rFonts w:cs="Times New Roman"/>
        </w:rPr>
        <w:t xml:space="preserve"> </w:t>
      </w:r>
      <w:r w:rsidRPr="008A3BF8">
        <w:rPr>
          <w:rFonts w:cs="Times New Roman"/>
        </w:rPr>
        <w:t>income tax and disallowed, in part, a claimed deduction for payments made on</w:t>
      </w:r>
      <w:r>
        <w:rPr>
          <w:rFonts w:cs="Times New Roman"/>
        </w:rPr>
        <w:t xml:space="preserve"> </w:t>
      </w:r>
      <w:r w:rsidRPr="008A3BF8">
        <w:rPr>
          <w:rFonts w:cs="Times New Roman"/>
        </w:rPr>
        <w:t>behalf of Darlene Wilmoth-Tucker (Ms. Wilmoth). The remaining issue for</w:t>
      </w:r>
      <w:r>
        <w:rPr>
          <w:rFonts w:cs="Times New Roman"/>
        </w:rPr>
        <w:t xml:space="preserve"> </w:t>
      </w:r>
      <w:r w:rsidRPr="008A3BF8">
        <w:rPr>
          <w:rFonts w:cs="Times New Roman"/>
        </w:rPr>
        <w:t>decision is whether the payments petitioner made in 2010 on behalf of Ms.Wilmoth are properly deductible as alimony payments under section 215.</w:t>
      </w:r>
    </w:p>
    <w:p w:rsidR="0078310B" w:rsidRPr="008A3BF8" w:rsidRDefault="0078310B" w:rsidP="0078310B">
      <w:pPr>
        <w:widowControl w:val="0"/>
        <w:autoSpaceDE w:val="0"/>
        <w:autoSpaceDN w:val="0"/>
        <w:adjustRightInd w:val="0"/>
        <w:spacing w:after="120"/>
        <w:jc w:val="center"/>
        <w:rPr>
          <w:rFonts w:cs="Times New Roman"/>
          <w:u w:val="single"/>
        </w:rPr>
      </w:pPr>
      <w:r w:rsidRPr="008A3BF8">
        <w:rPr>
          <w:rFonts w:cs="Times New Roman"/>
          <w:u w:val="single"/>
        </w:rPr>
        <w:t>Background</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Petitioner and Ms. Wilmoth were married on May 25, 1985. The parties</w:t>
      </w:r>
      <w:r>
        <w:rPr>
          <w:rFonts w:cs="Times New Roman"/>
        </w:rPr>
        <w:t xml:space="preserve"> </w:t>
      </w:r>
      <w:r w:rsidRPr="008A3BF8">
        <w:rPr>
          <w:rFonts w:cs="Times New Roman"/>
        </w:rPr>
        <w:t>separated in 2004, and Ms. Wilmoth later initiated divorce proceedings.</w:t>
      </w:r>
      <w:r>
        <w:rPr>
          <w:rFonts w:cs="Times New Roman"/>
        </w:rPr>
        <w:t xml:space="preserve"> </w:t>
      </w:r>
      <w:r w:rsidRPr="008A3BF8">
        <w:rPr>
          <w:rFonts w:cs="Times New Roman"/>
        </w:rPr>
        <w:t>In April 2009 the court (trial court) exercising jurisdiction over petitioner’s</w:t>
      </w:r>
      <w:r>
        <w:rPr>
          <w:rFonts w:cs="Times New Roman"/>
        </w:rPr>
        <w:t xml:space="preserve"> </w:t>
      </w:r>
      <w:r w:rsidRPr="008A3BF8">
        <w:rPr>
          <w:rFonts w:cs="Times New Roman"/>
        </w:rPr>
        <w:t>divorce proceedings issued a memorandum (memorandum) identifying and</w:t>
      </w:r>
      <w:r>
        <w:rPr>
          <w:rFonts w:cs="Times New Roman"/>
        </w:rPr>
        <w:t xml:space="preserve"> </w:t>
      </w:r>
      <w:r w:rsidRPr="008A3BF8">
        <w:rPr>
          <w:rFonts w:cs="Times New Roman"/>
        </w:rPr>
        <w:t>distributing the marital estate and awarding support. With respect to child and</w:t>
      </w:r>
      <w:r>
        <w:rPr>
          <w:rFonts w:cs="Times New Roman"/>
        </w:rPr>
        <w:t xml:space="preserve"> </w:t>
      </w:r>
      <w:r w:rsidRPr="008A3BF8">
        <w:rPr>
          <w:rFonts w:cs="Times New Roman"/>
        </w:rPr>
        <w:t>spousal support, the trial court ordered petitioner to pay Ms. Wilmoth $2,414 per</w:t>
      </w:r>
      <w:r>
        <w:rPr>
          <w:rFonts w:cs="Times New Roman"/>
        </w:rPr>
        <w:t xml:space="preserve"> </w:t>
      </w:r>
      <w:r w:rsidRPr="008A3BF8">
        <w:rPr>
          <w:rFonts w:cs="Times New Roman"/>
        </w:rPr>
        <w:t>month. The trial court further ordered petitioner “to provide for Mrs. Tucker’s</w:t>
      </w:r>
      <w:r>
        <w:rPr>
          <w:rFonts w:cs="Times New Roman"/>
        </w:rPr>
        <w:t xml:space="preserve"> </w:t>
      </w:r>
      <w:r w:rsidRPr="008A3BF8">
        <w:rPr>
          <w:rFonts w:cs="Times New Roman"/>
        </w:rPr>
        <w:t>health insurance in the amount of $1,400 per month.”</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In August 2009 the trial court issued the final divorce decree (final decree)</w:t>
      </w:r>
      <w:r>
        <w:rPr>
          <w:rFonts w:cs="Times New Roman"/>
        </w:rPr>
        <w:t xml:space="preserve"> </w:t>
      </w:r>
      <w:r w:rsidRPr="008A3BF8">
        <w:rPr>
          <w:rFonts w:cs="Times New Roman"/>
        </w:rPr>
        <w:t>and affirmed, ratified and incorporated by reference its own memorandum,</w:t>
      </w:r>
      <w:r>
        <w:rPr>
          <w:rFonts w:cs="Times New Roman"/>
        </w:rPr>
        <w:t xml:space="preserve"> </w:t>
      </w:r>
      <w:r w:rsidRPr="008A3BF8">
        <w:rPr>
          <w:rFonts w:cs="Times New Roman"/>
        </w:rPr>
        <w:t>ordering that</w:t>
      </w:r>
      <w:r>
        <w:rPr>
          <w:rFonts w:cs="Times New Roman"/>
        </w:rPr>
        <w:t xml:space="preserve"> </w:t>
      </w:r>
    </w:p>
    <w:p w:rsidR="0078310B" w:rsidRPr="008A3BF8" w:rsidRDefault="0078310B" w:rsidP="0078310B">
      <w:pPr>
        <w:widowControl w:val="0"/>
        <w:autoSpaceDE w:val="0"/>
        <w:autoSpaceDN w:val="0"/>
        <w:adjustRightInd w:val="0"/>
        <w:spacing w:after="120"/>
        <w:ind w:left="720" w:right="720"/>
        <w:jc w:val="both"/>
        <w:rPr>
          <w:rFonts w:cs="Times New Roman"/>
        </w:rPr>
      </w:pPr>
      <w:r w:rsidRPr="008A3BF8">
        <w:rPr>
          <w:rFonts w:cs="Times New Roman"/>
        </w:rPr>
        <w:t xml:space="preserve">[U]pon entry of the Final Decree of divorce, * * * [husband] shall pay to * * * [wife] the sum of $1,400 per month in addition to spousal support to assist * * * [wife] in paying health insurance premiums. </w:t>
      </w:r>
      <w:r w:rsidRPr="00863DC9">
        <w:rPr>
          <w:rFonts w:cs="Times New Roman"/>
          <w:u w:val="single"/>
        </w:rPr>
        <w:t>This is not in the nature of spousal support and shall not be taxable to * * * [wife] nor deductible to * * * [husband] for income tax purposes.</w:t>
      </w:r>
      <w:r w:rsidRPr="008A3BF8">
        <w:rPr>
          <w:rFonts w:cs="Times New Roman"/>
        </w:rPr>
        <w:t xml:space="preserve"> </w:t>
      </w:r>
    </w:p>
    <w:p w:rsidR="0078310B" w:rsidRPr="008A3BF8" w:rsidRDefault="0078310B" w:rsidP="0078310B">
      <w:pPr>
        <w:widowControl w:val="0"/>
        <w:autoSpaceDE w:val="0"/>
        <w:autoSpaceDN w:val="0"/>
        <w:adjustRightInd w:val="0"/>
        <w:spacing w:after="120"/>
        <w:jc w:val="both"/>
        <w:rPr>
          <w:rFonts w:cs="Times New Roman"/>
        </w:rPr>
      </w:pPr>
      <w:r w:rsidRPr="008A3BF8">
        <w:rPr>
          <w:rFonts w:cs="Times New Roman"/>
        </w:rPr>
        <w:t>[Emphasis added].</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Petitioner appealed the trial court’s order in the final decree, in pertinent</w:t>
      </w:r>
      <w:r>
        <w:rPr>
          <w:rFonts w:cs="Times New Roman"/>
        </w:rPr>
        <w:t xml:space="preserve"> </w:t>
      </w:r>
      <w:r w:rsidRPr="008A3BF8">
        <w:rPr>
          <w:rFonts w:cs="Times New Roman"/>
        </w:rPr>
        <w:t>part, because of the language characterizing the health insurance premium</w:t>
      </w:r>
      <w:r>
        <w:rPr>
          <w:rFonts w:cs="Times New Roman"/>
        </w:rPr>
        <w:t xml:space="preserve"> </w:t>
      </w:r>
      <w:r w:rsidRPr="008A3BF8">
        <w:rPr>
          <w:rFonts w:cs="Times New Roman"/>
        </w:rPr>
        <w:t>payments as not in the nature of spousal support. Petitioner alleged that the trial</w:t>
      </w:r>
      <w:r>
        <w:rPr>
          <w:rFonts w:cs="Times New Roman"/>
        </w:rPr>
        <w:t xml:space="preserve"> </w:t>
      </w:r>
      <w:r w:rsidRPr="008A3BF8">
        <w:rPr>
          <w:rFonts w:cs="Times New Roman"/>
        </w:rPr>
        <w:t>court lacked the authority to order him to make health insurance premium</w:t>
      </w:r>
      <w:r>
        <w:rPr>
          <w:rFonts w:cs="Times New Roman"/>
        </w:rPr>
        <w:t xml:space="preserve"> </w:t>
      </w:r>
      <w:r w:rsidRPr="008A3BF8">
        <w:rPr>
          <w:rFonts w:cs="Times New Roman"/>
        </w:rPr>
        <w:t>payments that were “not in the nature of spousal support” and that the trial court</w:t>
      </w:r>
      <w:r>
        <w:rPr>
          <w:rFonts w:cs="Times New Roman"/>
        </w:rPr>
        <w:t xml:space="preserve"> </w:t>
      </w:r>
      <w:r w:rsidRPr="008A3BF8">
        <w:rPr>
          <w:rFonts w:cs="Times New Roman"/>
        </w:rPr>
        <w:t>failed to properly characterize the payments as either a distribution of property or in the nature of spousal support. Upon appeal, the Court of Appeals of Virginia</w:t>
      </w:r>
      <w:r>
        <w:rPr>
          <w:rFonts w:cs="Times New Roman"/>
        </w:rPr>
        <w:t xml:space="preserve"> </w:t>
      </w:r>
      <w:r w:rsidRPr="008A3BF8">
        <w:rPr>
          <w:rFonts w:cs="Times New Roman"/>
        </w:rPr>
        <w:t>(appeals court) determined that “the trial court did not err upon inclusion of the</w:t>
      </w:r>
      <w:r>
        <w:rPr>
          <w:rFonts w:cs="Times New Roman"/>
        </w:rPr>
        <w:t xml:space="preserve"> </w:t>
      </w:r>
      <w:r w:rsidRPr="008A3BF8">
        <w:rPr>
          <w:rFonts w:cs="Times New Roman"/>
        </w:rPr>
        <w:t>phrase ‘not in the nature of spousal support’” in the final decree. The appeals</w:t>
      </w:r>
      <w:r>
        <w:rPr>
          <w:rFonts w:cs="Times New Roman"/>
        </w:rPr>
        <w:t xml:space="preserve"> </w:t>
      </w:r>
      <w:r w:rsidRPr="008A3BF8">
        <w:rPr>
          <w:rFonts w:cs="Times New Roman"/>
        </w:rPr>
        <w:t>court explained in an analogous case that although health insurance premium</w:t>
      </w:r>
      <w:r>
        <w:rPr>
          <w:rFonts w:cs="Times New Roman"/>
        </w:rPr>
        <w:t xml:space="preserve"> </w:t>
      </w:r>
      <w:r w:rsidRPr="008A3BF8">
        <w:rPr>
          <w:rFonts w:cs="Times New Roman"/>
        </w:rPr>
        <w:t>payments may be labeled as spousal support for bankruptcy purposes (and may be</w:t>
      </w:r>
      <w:r>
        <w:rPr>
          <w:rFonts w:cs="Times New Roman"/>
        </w:rPr>
        <w:t xml:space="preserve"> </w:t>
      </w:r>
      <w:r w:rsidRPr="008A3BF8">
        <w:rPr>
          <w:rFonts w:cs="Times New Roman"/>
        </w:rPr>
        <w:t>“labeled” as such in a separation agreement or divorce decree), a court may also</w:t>
      </w:r>
      <w:r>
        <w:rPr>
          <w:rFonts w:cs="Times New Roman"/>
        </w:rPr>
        <w:t xml:space="preserve"> </w:t>
      </w:r>
      <w:r w:rsidRPr="008A3BF8">
        <w:rPr>
          <w:rFonts w:cs="Times New Roman"/>
        </w:rPr>
        <w:t>simultaneously characterize these payments as “not in the nature of spousal</w:t>
      </w:r>
      <w:r>
        <w:rPr>
          <w:rFonts w:cs="Times New Roman"/>
        </w:rPr>
        <w:t xml:space="preserve"> </w:t>
      </w:r>
      <w:r w:rsidRPr="008A3BF8">
        <w:rPr>
          <w:rFonts w:cs="Times New Roman"/>
        </w:rPr>
        <w:t xml:space="preserve">support” for income tax purposes only. </w:t>
      </w:r>
      <w:r w:rsidRPr="00F30719">
        <w:rPr>
          <w:rFonts w:cs="Times New Roman"/>
          <w:i/>
        </w:rPr>
        <w:t>Stacy v. Stacy</w:t>
      </w:r>
      <w:r w:rsidRPr="008A3BF8">
        <w:rPr>
          <w:rFonts w:cs="Times New Roman"/>
        </w:rPr>
        <w:t>, 669 S.E.2d 348 (Va. Ct.</w:t>
      </w:r>
      <w:r>
        <w:rPr>
          <w:rFonts w:cs="Times New Roman"/>
        </w:rPr>
        <w:t xml:space="preserve"> </w:t>
      </w:r>
      <w:r w:rsidRPr="008A3BF8">
        <w:rPr>
          <w:rFonts w:cs="Times New Roman"/>
        </w:rPr>
        <w:t>App. 2007).</w:t>
      </w:r>
      <w:r>
        <w:rPr>
          <w:rFonts w:cs="Times New Roman"/>
        </w:rPr>
        <w:t xml:space="preserve"> </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The appeals court went on to explain the rationale for the simultaneous yet</w:t>
      </w:r>
      <w:r>
        <w:rPr>
          <w:rFonts w:cs="Times New Roman"/>
        </w:rPr>
        <w:t xml:space="preserve"> </w:t>
      </w:r>
      <w:r w:rsidRPr="008A3BF8">
        <w:rPr>
          <w:rFonts w:cs="Times New Roman"/>
        </w:rPr>
        <w:t>contradictory characterization for a payment. A Virginia State court may</w:t>
      </w:r>
      <w:r>
        <w:rPr>
          <w:rFonts w:cs="Times New Roman"/>
        </w:rPr>
        <w:t xml:space="preserve"> </w:t>
      </w:r>
      <w:r w:rsidRPr="008A3BF8">
        <w:rPr>
          <w:rFonts w:cs="Times New Roman"/>
        </w:rPr>
        <w:t>designate a payment as “in the nature of spousal support” to prevent, for example,</w:t>
      </w:r>
      <w:r>
        <w:rPr>
          <w:rFonts w:cs="Times New Roman"/>
        </w:rPr>
        <w:t xml:space="preserve"> </w:t>
      </w:r>
      <w:r w:rsidRPr="008A3BF8">
        <w:rPr>
          <w:rFonts w:cs="Times New Roman"/>
        </w:rPr>
        <w:t>a discharge of such an obligation in bankruptcy proceedings. However, the court</w:t>
      </w:r>
      <w:r>
        <w:rPr>
          <w:rFonts w:cs="Times New Roman"/>
        </w:rPr>
        <w:t xml:space="preserve"> </w:t>
      </w:r>
      <w:r w:rsidRPr="008A3BF8">
        <w:rPr>
          <w:rFonts w:cs="Times New Roman"/>
        </w:rPr>
        <w:t>may also designate the same payment as “not in the nature of spousal support” for</w:t>
      </w:r>
      <w:r>
        <w:rPr>
          <w:rFonts w:cs="Times New Roman"/>
        </w:rPr>
        <w:t xml:space="preserve"> </w:t>
      </w:r>
      <w:r w:rsidRPr="008A3BF8">
        <w:rPr>
          <w:rFonts w:cs="Times New Roman"/>
        </w:rPr>
        <w:t>income tax purposes, thereby limiting the payor spouse’s ability to claim a</w:t>
      </w:r>
      <w:r>
        <w:rPr>
          <w:rFonts w:cs="Times New Roman"/>
        </w:rPr>
        <w:t xml:space="preserve"> </w:t>
      </w:r>
      <w:r w:rsidRPr="008A3BF8">
        <w:rPr>
          <w:rFonts w:cs="Times New Roman"/>
        </w:rPr>
        <w:t>deduction for the payment. The appeals court concluded that it would not decide</w:t>
      </w:r>
      <w:r>
        <w:rPr>
          <w:rFonts w:cs="Times New Roman"/>
        </w:rPr>
        <w:t xml:space="preserve"> </w:t>
      </w:r>
      <w:r w:rsidRPr="008A3BF8">
        <w:rPr>
          <w:rFonts w:cs="Times New Roman"/>
        </w:rPr>
        <w:t>whether the language in the final decree was sufficient to avoid potential tax</w:t>
      </w:r>
      <w:r>
        <w:rPr>
          <w:rFonts w:cs="Times New Roman"/>
        </w:rPr>
        <w:t xml:space="preserve"> </w:t>
      </w:r>
      <w:r w:rsidRPr="008A3BF8">
        <w:rPr>
          <w:rFonts w:cs="Times New Roman"/>
        </w:rPr>
        <w:t>consequences but that it seemed apparent that the language was included for that purpose. The appeals court then found that the health insurance premium payments were in the nature of spousal support and upheld the trial court’s</w:t>
      </w:r>
      <w:r>
        <w:rPr>
          <w:rFonts w:cs="Times New Roman"/>
        </w:rPr>
        <w:t xml:space="preserve"> </w:t>
      </w:r>
      <w:r w:rsidRPr="008A3BF8">
        <w:rPr>
          <w:rFonts w:cs="Times New Roman"/>
        </w:rPr>
        <w:t>characterization of the payments as nondeductible by the husband and not</w:t>
      </w:r>
      <w:r>
        <w:rPr>
          <w:rFonts w:cs="Times New Roman"/>
        </w:rPr>
        <w:t xml:space="preserve"> </w:t>
      </w:r>
      <w:r w:rsidRPr="008A3BF8">
        <w:rPr>
          <w:rFonts w:cs="Times New Roman"/>
        </w:rPr>
        <w:t>includible in income by the wife.</w:t>
      </w:r>
    </w:p>
    <w:p w:rsidR="0078310B" w:rsidRPr="008A3BF8" w:rsidRDefault="0078310B" w:rsidP="0078310B">
      <w:pPr>
        <w:widowControl w:val="0"/>
        <w:autoSpaceDE w:val="0"/>
        <w:autoSpaceDN w:val="0"/>
        <w:adjustRightInd w:val="0"/>
        <w:spacing w:after="120"/>
        <w:ind w:firstLine="288"/>
        <w:jc w:val="both"/>
        <w:rPr>
          <w:rFonts w:cs="Times New Roman"/>
        </w:rPr>
      </w:pPr>
      <w:r w:rsidRPr="008A3BF8">
        <w:rPr>
          <w:rFonts w:cs="Times New Roman"/>
        </w:rPr>
        <w:t>The appeals court affirmed the trial court’s order in the final decree</w:t>
      </w:r>
      <w:r>
        <w:rPr>
          <w:rFonts w:cs="Times New Roman"/>
        </w:rPr>
        <w:t xml:space="preserve"> </w:t>
      </w:r>
      <w:r w:rsidRPr="008A3BF8">
        <w:rPr>
          <w:rFonts w:cs="Times New Roman"/>
        </w:rPr>
        <w:t>regarding the health insurance premium payments and reversed and remanded on</w:t>
      </w:r>
      <w:r>
        <w:rPr>
          <w:rFonts w:cs="Times New Roman"/>
        </w:rPr>
        <w:t xml:space="preserve"> </w:t>
      </w:r>
      <w:r w:rsidRPr="008A3BF8">
        <w:rPr>
          <w:rFonts w:cs="Times New Roman"/>
        </w:rPr>
        <w:t>other issues. The trial court on remand issued a final order affirming its language</w:t>
      </w:r>
      <w:r>
        <w:rPr>
          <w:rFonts w:cs="Times New Roman"/>
        </w:rPr>
        <w:t xml:space="preserve"> </w:t>
      </w:r>
      <w:r w:rsidRPr="008A3BF8">
        <w:rPr>
          <w:rFonts w:cs="Times New Roman"/>
        </w:rPr>
        <w:t>in the final decree, stating that “the order for health insurance payments to the</w:t>
      </w:r>
      <w:r>
        <w:rPr>
          <w:rFonts w:cs="Times New Roman"/>
        </w:rPr>
        <w:t xml:space="preserve"> </w:t>
      </w:r>
      <w:r w:rsidRPr="008A3BF8">
        <w:rPr>
          <w:rFonts w:cs="Times New Roman"/>
        </w:rPr>
        <w:t>plaintiff from the defendant in the sum of $1,400.00 per month as set forth on page</w:t>
      </w:r>
      <w:r>
        <w:rPr>
          <w:rFonts w:cs="Times New Roman"/>
        </w:rPr>
        <w:t xml:space="preserve"> </w:t>
      </w:r>
      <w:r w:rsidRPr="008A3BF8">
        <w:rPr>
          <w:rFonts w:cs="Times New Roman"/>
        </w:rPr>
        <w:t>4 of the final decree is affirmed and said order shall continue in full force and</w:t>
      </w:r>
      <w:r>
        <w:rPr>
          <w:rFonts w:cs="Times New Roman"/>
        </w:rPr>
        <w:t xml:space="preserve"> </w:t>
      </w:r>
      <w:r w:rsidRPr="008A3BF8">
        <w:rPr>
          <w:rFonts w:cs="Times New Roman"/>
        </w:rPr>
        <w:t>effect.” The trial court’s final order retained the original language in the final</w:t>
      </w:r>
      <w:r>
        <w:rPr>
          <w:rFonts w:cs="Times New Roman"/>
        </w:rPr>
        <w:t xml:space="preserve"> </w:t>
      </w:r>
      <w:r w:rsidRPr="008A3BF8">
        <w:rPr>
          <w:rFonts w:cs="Times New Roman"/>
        </w:rPr>
        <w:t>decree which specified that the health insurance premium payments were “not in the nature of spousal support and shall not be taxable to *** [wife] nor deductible</w:t>
      </w:r>
      <w:r>
        <w:rPr>
          <w:rFonts w:cs="Times New Roman"/>
        </w:rPr>
        <w:t xml:space="preserve"> </w:t>
      </w:r>
      <w:r w:rsidRPr="008A3BF8">
        <w:rPr>
          <w:rFonts w:cs="Times New Roman"/>
        </w:rPr>
        <w:t>to *** [husband] for income tax purposes.”</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For the 2010 tax year petitioner paid $16,632 in health insurance premiums</w:t>
      </w:r>
      <w:r>
        <w:rPr>
          <w:rFonts w:cs="Times New Roman"/>
        </w:rPr>
        <w:t xml:space="preserve"> </w:t>
      </w:r>
      <w:r w:rsidRPr="008A3BF8">
        <w:rPr>
          <w:rFonts w:cs="Times New Roman"/>
        </w:rPr>
        <w:t>on behalf of Ms. Tucker.</w:t>
      </w:r>
      <w:r w:rsidRPr="008A3BF8">
        <w:rPr>
          <w:rStyle w:val="FootnoteReference"/>
          <w:rFonts w:cs="Times New Roman"/>
        </w:rPr>
        <w:footnoteReference w:customMarkFollows="1" w:id="308"/>
        <w:t>[3]</w:t>
      </w:r>
      <w:r w:rsidRPr="008A3BF8">
        <w:rPr>
          <w:rFonts w:cs="Times New Roman"/>
        </w:rPr>
        <w:t xml:space="preserve"> On his 2010 Federal income tax return petitioner claimed a deduction for “alimony paid” on behalf of Ms. Tucker for her health</w:t>
      </w:r>
      <w:r>
        <w:rPr>
          <w:rFonts w:cs="Times New Roman"/>
        </w:rPr>
        <w:t xml:space="preserve"> </w:t>
      </w:r>
      <w:r w:rsidRPr="008A3BF8">
        <w:rPr>
          <w:rFonts w:cs="Times New Roman"/>
        </w:rPr>
        <w:t>insurance premiums.</w:t>
      </w:r>
      <w:r>
        <w:rPr>
          <w:rFonts w:cs="Times New Roman"/>
        </w:rPr>
        <w:t xml:space="preserve"> </w:t>
      </w:r>
      <w:r w:rsidRPr="008A3BF8">
        <w:rPr>
          <w:rFonts w:cs="Times New Roman"/>
        </w:rPr>
        <w:t>In a notice of deficiency dated July 2, 2012, respondent disallowed</w:t>
      </w:r>
      <w:r>
        <w:rPr>
          <w:rFonts w:cs="Times New Roman"/>
        </w:rPr>
        <w:t xml:space="preserve"> petitioner’s claimed </w:t>
      </w:r>
      <w:r w:rsidRPr="008A3BF8">
        <w:rPr>
          <w:rFonts w:cs="Times New Roman"/>
        </w:rPr>
        <w:t>deduction for the health insurance premium payments.</w:t>
      </w:r>
      <w:r>
        <w:rPr>
          <w:rFonts w:cs="Times New Roman"/>
        </w:rPr>
        <w:t xml:space="preserve"> </w:t>
      </w:r>
    </w:p>
    <w:p w:rsidR="0078310B" w:rsidRPr="008A3BF8" w:rsidRDefault="0078310B" w:rsidP="0078310B">
      <w:pPr>
        <w:widowControl w:val="0"/>
        <w:autoSpaceDE w:val="0"/>
        <w:autoSpaceDN w:val="0"/>
        <w:adjustRightInd w:val="0"/>
        <w:spacing w:after="120"/>
        <w:ind w:firstLine="288"/>
        <w:jc w:val="both"/>
        <w:rPr>
          <w:rFonts w:cs="Times New Roman"/>
        </w:rPr>
      </w:pPr>
      <w:r w:rsidRPr="008A3BF8">
        <w:rPr>
          <w:rFonts w:cs="Times New Roman"/>
        </w:rPr>
        <w:t>The parties agree that petitioner and Ms. Wilmoth lived in separate</w:t>
      </w:r>
      <w:r>
        <w:rPr>
          <w:rFonts w:cs="Times New Roman"/>
        </w:rPr>
        <w:t xml:space="preserve"> </w:t>
      </w:r>
      <w:r w:rsidRPr="008A3BF8">
        <w:rPr>
          <w:rFonts w:cs="Times New Roman"/>
        </w:rPr>
        <w:t>households at all relevant times and that the obligation to make payments to Ms.</w:t>
      </w:r>
      <w:r>
        <w:rPr>
          <w:rFonts w:cs="Times New Roman"/>
        </w:rPr>
        <w:t xml:space="preserve"> </w:t>
      </w:r>
      <w:r w:rsidRPr="008A3BF8">
        <w:rPr>
          <w:rFonts w:cs="Times New Roman"/>
        </w:rPr>
        <w:t>Wilmoth will automatically terminate upon her death. In addition, petitioner’s</w:t>
      </w:r>
      <w:r>
        <w:rPr>
          <w:rFonts w:cs="Times New Roman"/>
        </w:rPr>
        <w:t xml:space="preserve"> </w:t>
      </w:r>
      <w:r w:rsidRPr="008A3BF8">
        <w:rPr>
          <w:rFonts w:cs="Times New Roman"/>
        </w:rPr>
        <w:t>obligation to make health insurance premium payments on behalf of Ms. Wilmoth</w:t>
      </w:r>
      <w:r>
        <w:rPr>
          <w:rFonts w:cs="Times New Roman"/>
        </w:rPr>
        <w:t xml:space="preserve"> </w:t>
      </w:r>
      <w:r w:rsidRPr="008A3BF8">
        <w:rPr>
          <w:rFonts w:cs="Times New Roman"/>
        </w:rPr>
        <w:t>is provided for in a divorce or separation instrument. Respondent contends that</w:t>
      </w:r>
      <w:r>
        <w:rPr>
          <w:rFonts w:cs="Times New Roman"/>
        </w:rPr>
        <w:t xml:space="preserve"> </w:t>
      </w:r>
      <w:r w:rsidRPr="008A3BF8">
        <w:rPr>
          <w:rFonts w:cs="Times New Roman"/>
        </w:rPr>
        <w:t>because the final decree specifies that the health insurance premium payments are</w:t>
      </w:r>
      <w:r>
        <w:rPr>
          <w:rFonts w:cs="Times New Roman"/>
        </w:rPr>
        <w:t xml:space="preserve"> </w:t>
      </w:r>
      <w:r w:rsidRPr="008A3BF8">
        <w:rPr>
          <w:rFonts w:cs="Times New Roman"/>
        </w:rPr>
        <w:t>“not in the nature of spousal support</w:t>
      </w:r>
      <w:r>
        <w:rPr>
          <w:rFonts w:cs="Times New Roman"/>
        </w:rPr>
        <w:t>,”</w:t>
      </w:r>
      <w:r w:rsidRPr="008A3BF8">
        <w:rPr>
          <w:rFonts w:cs="Times New Roman"/>
        </w:rPr>
        <w:t xml:space="preserve"> such payments are nondeductible by</w:t>
      </w:r>
      <w:r>
        <w:rPr>
          <w:rFonts w:cs="Times New Roman"/>
        </w:rPr>
        <w:t xml:space="preserve"> </w:t>
      </w:r>
      <w:r w:rsidRPr="008A3BF8">
        <w:rPr>
          <w:rFonts w:cs="Times New Roman"/>
        </w:rPr>
        <w:t>petitioner and not includible in income for Ms. Wilmoth.</w:t>
      </w:r>
    </w:p>
    <w:p w:rsidR="0078310B" w:rsidRPr="008A3BF8" w:rsidRDefault="0078310B" w:rsidP="0078310B">
      <w:pPr>
        <w:widowControl w:val="0"/>
        <w:autoSpaceDE w:val="0"/>
        <w:autoSpaceDN w:val="0"/>
        <w:adjustRightInd w:val="0"/>
        <w:spacing w:after="120"/>
        <w:jc w:val="center"/>
        <w:rPr>
          <w:rFonts w:cs="Times New Roman"/>
          <w:u w:val="single"/>
        </w:rPr>
      </w:pPr>
      <w:r w:rsidRPr="008A3BF8">
        <w:rPr>
          <w:rFonts w:cs="Times New Roman"/>
          <w:u w:val="single"/>
        </w:rPr>
        <w:t>Discussion</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Section 215(a) allows a deduction for alimony paid during the payor’s</w:t>
      </w:r>
      <w:r>
        <w:rPr>
          <w:rFonts w:cs="Times New Roman"/>
        </w:rPr>
        <w:t xml:space="preserve"> </w:t>
      </w:r>
      <w:r w:rsidRPr="008A3BF8">
        <w:rPr>
          <w:rFonts w:cs="Times New Roman"/>
        </w:rPr>
        <w:t>taxable year. Section 215(b) defines alimony or separate maintenance as any</w:t>
      </w:r>
      <w:r>
        <w:rPr>
          <w:rFonts w:cs="Times New Roman"/>
        </w:rPr>
        <w:t xml:space="preserve"> </w:t>
      </w:r>
      <w:r w:rsidRPr="008A3BF8">
        <w:rPr>
          <w:rFonts w:cs="Times New Roman"/>
        </w:rPr>
        <w:t>“payment (as defined in section 71(b)) which is includible in the gross income of</w:t>
      </w:r>
      <w:r>
        <w:rPr>
          <w:rFonts w:cs="Times New Roman"/>
        </w:rPr>
        <w:t xml:space="preserve"> </w:t>
      </w:r>
      <w:r w:rsidRPr="008A3BF8">
        <w:rPr>
          <w:rFonts w:cs="Times New Roman"/>
        </w:rPr>
        <w:t>the recipient under section 71.” Section 71(b) provides a four-step inquiry</w:t>
      </w:r>
      <w:r>
        <w:rPr>
          <w:rFonts w:cs="Times New Roman"/>
        </w:rPr>
        <w:t xml:space="preserve"> </w:t>
      </w:r>
      <w:r w:rsidRPr="008A3BF8">
        <w:rPr>
          <w:rFonts w:cs="Times New Roman"/>
        </w:rPr>
        <w:t>for determining whether a cash payment is alimony</w:t>
      </w:r>
      <w:r>
        <w:rPr>
          <w:rFonts w:cs="Times New Roman"/>
        </w:rPr>
        <w:t xml:space="preserve">…. </w:t>
      </w:r>
      <w:r w:rsidRPr="008A3BF8">
        <w:rPr>
          <w:rFonts w:cs="Times New Roman"/>
        </w:rPr>
        <w:t>Payments are deductible as alimony only if all four requirements of section</w:t>
      </w:r>
      <w:r>
        <w:rPr>
          <w:rFonts w:cs="Times New Roman"/>
        </w:rPr>
        <w:t xml:space="preserve"> </w:t>
      </w:r>
      <w:r w:rsidRPr="008A3BF8">
        <w:rPr>
          <w:rFonts w:cs="Times New Roman"/>
        </w:rPr>
        <w:t xml:space="preserve">71(b)(1) are met. </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Section 71 was originally enacted to provide a uniform</w:t>
      </w:r>
      <w:r>
        <w:rPr>
          <w:rFonts w:cs="Times New Roman"/>
        </w:rPr>
        <w:t xml:space="preserve"> </w:t>
      </w:r>
      <w:r w:rsidRPr="008A3BF8">
        <w:rPr>
          <w:rFonts w:cs="Times New Roman"/>
        </w:rPr>
        <w:t>definition of alimony so that alimony payments could be distinguished from</w:t>
      </w:r>
      <w:r>
        <w:rPr>
          <w:rFonts w:cs="Times New Roman"/>
        </w:rPr>
        <w:t xml:space="preserve"> </w:t>
      </w:r>
      <w:r w:rsidRPr="008A3BF8">
        <w:rPr>
          <w:rFonts w:cs="Times New Roman"/>
        </w:rPr>
        <w:t>property settlements, which receive different tax treatment. H.R. Rept. No. 98-432</w:t>
      </w:r>
      <w:r>
        <w:rPr>
          <w:rFonts w:cs="Times New Roman"/>
        </w:rPr>
        <w:t xml:space="preserve"> </w:t>
      </w:r>
      <w:r w:rsidRPr="008A3BF8">
        <w:rPr>
          <w:rFonts w:cs="Times New Roman"/>
        </w:rPr>
        <w:t xml:space="preserve">(Part 2), at 1495 (1984), 1984 U.S.C.C.A.N. 697, 1137; </w:t>
      </w:r>
      <w:r w:rsidRPr="003C6FE0">
        <w:rPr>
          <w:rFonts w:cs="Times New Roman"/>
          <w:i/>
        </w:rPr>
        <w:t>see also</w:t>
      </w:r>
      <w:r w:rsidRPr="008A3BF8">
        <w:rPr>
          <w:rFonts w:cs="Times New Roman"/>
        </w:rPr>
        <w:t xml:space="preserve"> </w:t>
      </w:r>
      <w:r w:rsidRPr="003C6FE0">
        <w:rPr>
          <w:rFonts w:cs="Times New Roman"/>
          <w:i/>
        </w:rPr>
        <w:t>Kean v. Comm’r</w:t>
      </w:r>
      <w:r w:rsidRPr="008A3BF8">
        <w:rPr>
          <w:rFonts w:cs="Times New Roman"/>
        </w:rPr>
        <w:t>, 407 F.3d 186, 189 (3d Cir. 2005), aff’g T.C. Memo. 1995-183.</w:t>
      </w:r>
      <w:r>
        <w:rPr>
          <w:rFonts w:cs="Times New Roman"/>
        </w:rPr>
        <w:t xml:space="preserve"> </w:t>
      </w:r>
      <w:r w:rsidRPr="008A3BF8">
        <w:rPr>
          <w:rFonts w:cs="Times New Roman"/>
        </w:rPr>
        <w:t>Congress specifically intended to eliminate the subjective inquir</w:t>
      </w:r>
      <w:r>
        <w:rPr>
          <w:rFonts w:cs="Times New Roman"/>
        </w:rPr>
        <w:t>i</w:t>
      </w:r>
      <w:r w:rsidRPr="008A3BF8">
        <w:rPr>
          <w:rFonts w:cs="Times New Roman"/>
        </w:rPr>
        <w:t>es into intent and</w:t>
      </w:r>
      <w:r>
        <w:rPr>
          <w:rFonts w:cs="Times New Roman"/>
        </w:rPr>
        <w:t xml:space="preserve"> </w:t>
      </w:r>
      <w:r w:rsidRPr="008A3BF8">
        <w:rPr>
          <w:rFonts w:cs="Times New Roman"/>
        </w:rPr>
        <w:t>the nature of payments that had plagued the courts in favor of a simpler, more</w:t>
      </w:r>
      <w:r>
        <w:rPr>
          <w:rFonts w:cs="Times New Roman"/>
        </w:rPr>
        <w:t xml:space="preserve"> </w:t>
      </w:r>
      <w:r w:rsidRPr="008A3BF8">
        <w:rPr>
          <w:rFonts w:cs="Times New Roman"/>
        </w:rPr>
        <w:t xml:space="preserve">objective test. </w:t>
      </w:r>
      <w:r w:rsidRPr="003C6FE0">
        <w:rPr>
          <w:rFonts w:cs="Times New Roman"/>
          <w:i/>
        </w:rPr>
        <w:t>Hoover v. Comm’r</w:t>
      </w:r>
      <w:r w:rsidRPr="008A3BF8">
        <w:rPr>
          <w:rFonts w:cs="Times New Roman"/>
        </w:rPr>
        <w:t>, 102 F.3d 842, 845 (6th Cir. 1996), aff’g T.C. Memo. 1995-183.</w:t>
      </w:r>
      <w:r>
        <w:rPr>
          <w:rFonts w:cs="Times New Roman"/>
        </w:rPr>
        <w:t xml:space="preserve"> </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The parties are in agreement that petitioner’s payments were made pursuant</w:t>
      </w:r>
      <w:r>
        <w:rPr>
          <w:rFonts w:cs="Times New Roman"/>
        </w:rPr>
        <w:t xml:space="preserve"> </w:t>
      </w:r>
      <w:r w:rsidRPr="008A3BF8">
        <w:rPr>
          <w:rFonts w:cs="Times New Roman"/>
        </w:rPr>
        <w:t>to a divorce or separation instrument, that petitioner and his former wife were not</w:t>
      </w:r>
      <w:r>
        <w:rPr>
          <w:rFonts w:cs="Times New Roman"/>
        </w:rPr>
        <w:t xml:space="preserve"> </w:t>
      </w:r>
      <w:r w:rsidRPr="008A3BF8">
        <w:rPr>
          <w:rFonts w:cs="Times New Roman"/>
        </w:rPr>
        <w:t>members of the same household during the year at issue, and that the obligation to</w:t>
      </w:r>
      <w:r>
        <w:rPr>
          <w:rFonts w:cs="Times New Roman"/>
        </w:rPr>
        <w:t xml:space="preserve"> </w:t>
      </w:r>
      <w:r w:rsidRPr="008A3BF8">
        <w:rPr>
          <w:rFonts w:cs="Times New Roman"/>
        </w:rPr>
        <w:t>make the payments will not survive the death of the payee spouse. The parties</w:t>
      </w:r>
      <w:r>
        <w:rPr>
          <w:rFonts w:cs="Times New Roman"/>
        </w:rPr>
        <w:t xml:space="preserve"> </w:t>
      </w:r>
      <w:r w:rsidRPr="008A3BF8">
        <w:rPr>
          <w:rFonts w:cs="Times New Roman"/>
        </w:rPr>
        <w:t>disagree, however, as to whether the divorce or separation instrument designates</w:t>
      </w:r>
      <w:r>
        <w:rPr>
          <w:rFonts w:cs="Times New Roman"/>
        </w:rPr>
        <w:t xml:space="preserve"> </w:t>
      </w:r>
      <w:r w:rsidRPr="008A3BF8">
        <w:rPr>
          <w:rFonts w:cs="Times New Roman"/>
        </w:rPr>
        <w:t>the payments as not includible in gross income for the payee and not allowable as</w:t>
      </w:r>
      <w:r>
        <w:rPr>
          <w:rFonts w:cs="Times New Roman"/>
        </w:rPr>
        <w:t xml:space="preserve"> </w:t>
      </w:r>
      <w:r w:rsidRPr="008A3BF8">
        <w:rPr>
          <w:rFonts w:cs="Times New Roman"/>
        </w:rPr>
        <w:t>a deduction for the payor.</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Petitioner acknowledges that caselaw does not allow a deduction for</w:t>
      </w:r>
      <w:r>
        <w:rPr>
          <w:rFonts w:cs="Times New Roman"/>
        </w:rPr>
        <w:t xml:space="preserve"> </w:t>
      </w:r>
      <w:r w:rsidRPr="008A3BF8">
        <w:rPr>
          <w:rFonts w:cs="Times New Roman"/>
        </w:rPr>
        <w:t>payments made to a former spouse if the instrument ordering such payments specifies that the payments are nondeductible by the payor spouse. Petitioner</w:t>
      </w:r>
      <w:r>
        <w:rPr>
          <w:rFonts w:cs="Times New Roman"/>
        </w:rPr>
        <w:t xml:space="preserve"> </w:t>
      </w:r>
      <w:r w:rsidRPr="008A3BF8">
        <w:rPr>
          <w:rFonts w:cs="Times New Roman"/>
        </w:rPr>
        <w:t>contends that even though the final decree characterizes the payments as</w:t>
      </w:r>
      <w:r>
        <w:rPr>
          <w:rFonts w:cs="Times New Roman"/>
        </w:rPr>
        <w:t xml:space="preserve"> </w:t>
      </w:r>
      <w:r w:rsidRPr="008A3BF8">
        <w:rPr>
          <w:rFonts w:cs="Times New Roman"/>
        </w:rPr>
        <w:t>nondeductible by the payor spouse, the spouses themselves must first intend such</w:t>
      </w:r>
      <w:r>
        <w:rPr>
          <w:rFonts w:cs="Times New Roman"/>
        </w:rPr>
        <w:t xml:space="preserve"> </w:t>
      </w:r>
      <w:r w:rsidRPr="008A3BF8">
        <w:rPr>
          <w:rFonts w:cs="Times New Roman"/>
        </w:rPr>
        <w:t>a designation. Petitioner cites section 1.71-1T(b), Q&amp;A-8, Temporary Income Tax</w:t>
      </w:r>
      <w:r>
        <w:rPr>
          <w:rFonts w:cs="Times New Roman"/>
        </w:rPr>
        <w:t xml:space="preserve"> </w:t>
      </w:r>
      <w:r w:rsidRPr="008A3BF8">
        <w:rPr>
          <w:rFonts w:cs="Times New Roman"/>
        </w:rPr>
        <w:t>Regs., 49 Fed. Reg. 34455 (Aug. 31, 1984), in support of his proposition that the</w:t>
      </w:r>
      <w:r>
        <w:rPr>
          <w:rFonts w:cs="Times New Roman"/>
        </w:rPr>
        <w:t xml:space="preserve"> </w:t>
      </w:r>
      <w:r w:rsidRPr="008A3BF8">
        <w:rPr>
          <w:rFonts w:cs="Times New Roman"/>
        </w:rPr>
        <w:t>spouses must intend such a designation.</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 xml:space="preserve">Section 1.71-1T(b), Q&amp;A-8, Temporary Income Tax Regs., </w:t>
      </w:r>
      <w:r w:rsidRPr="0044209B">
        <w:rPr>
          <w:rFonts w:cs="Times New Roman"/>
          <w:i/>
        </w:rPr>
        <w:t>supra</w:t>
      </w:r>
      <w:r w:rsidRPr="008A3BF8">
        <w:rPr>
          <w:rFonts w:cs="Times New Roman"/>
        </w:rPr>
        <w:t>, provides</w:t>
      </w:r>
      <w:r>
        <w:rPr>
          <w:rFonts w:cs="Times New Roman"/>
        </w:rPr>
        <w:t xml:space="preserve"> </w:t>
      </w:r>
      <w:r w:rsidRPr="008A3BF8">
        <w:rPr>
          <w:rFonts w:cs="Times New Roman"/>
        </w:rPr>
        <w:t>that “spouses may designate that payments otherwise qualifying as alimony or</w:t>
      </w:r>
      <w:r>
        <w:rPr>
          <w:rFonts w:cs="Times New Roman"/>
        </w:rPr>
        <w:t xml:space="preserve"> </w:t>
      </w:r>
      <w:r w:rsidRPr="008A3BF8">
        <w:rPr>
          <w:rFonts w:cs="Times New Roman"/>
        </w:rPr>
        <w:t>separate maintenance payments shall be nondeductible by the payor and</w:t>
      </w:r>
      <w:r>
        <w:rPr>
          <w:rFonts w:cs="Times New Roman"/>
        </w:rPr>
        <w:t xml:space="preserve"> </w:t>
      </w:r>
      <w:r w:rsidRPr="008A3BF8">
        <w:rPr>
          <w:rFonts w:cs="Times New Roman"/>
        </w:rPr>
        <w:t>excludible from gross income by the payee by so providing in a divorce or</w:t>
      </w:r>
      <w:r>
        <w:rPr>
          <w:rFonts w:cs="Times New Roman"/>
        </w:rPr>
        <w:t xml:space="preserve"> </w:t>
      </w:r>
      <w:r w:rsidRPr="008A3BF8">
        <w:rPr>
          <w:rFonts w:cs="Times New Roman"/>
        </w:rPr>
        <w:t>separation instrument</w:t>
      </w:r>
      <w:r>
        <w:rPr>
          <w:rFonts w:cs="Times New Roman"/>
        </w:rPr>
        <w:t>.”</w:t>
      </w:r>
      <w:r w:rsidRPr="008A3BF8">
        <w:rPr>
          <w:rFonts w:cs="Times New Roman"/>
        </w:rPr>
        <w:t xml:space="preserve"> Petitioner emphasizes that the phrase “spouses may</w:t>
      </w:r>
      <w:r>
        <w:rPr>
          <w:rFonts w:cs="Times New Roman"/>
        </w:rPr>
        <w:t xml:space="preserve"> </w:t>
      </w:r>
      <w:r w:rsidRPr="008A3BF8">
        <w:rPr>
          <w:rFonts w:cs="Times New Roman"/>
        </w:rPr>
        <w:t>designate” (emphasis added) demonstrates that the trial court lacked the authority</w:t>
      </w:r>
      <w:r>
        <w:rPr>
          <w:rFonts w:cs="Times New Roman"/>
        </w:rPr>
        <w:t xml:space="preserve"> </w:t>
      </w:r>
      <w:r w:rsidRPr="008A3BF8">
        <w:rPr>
          <w:rFonts w:cs="Times New Roman"/>
        </w:rPr>
        <w:t>to include such language without the consent of the parties. Petitioner further</w:t>
      </w:r>
      <w:r>
        <w:rPr>
          <w:rFonts w:cs="Times New Roman"/>
        </w:rPr>
        <w:t xml:space="preserve"> </w:t>
      </w:r>
      <w:r w:rsidRPr="008A3BF8">
        <w:rPr>
          <w:rFonts w:cs="Times New Roman"/>
        </w:rPr>
        <w:t>alleges that despite the “income tax” language in the final decree, the trial court</w:t>
      </w:r>
      <w:r>
        <w:rPr>
          <w:rFonts w:cs="Times New Roman"/>
        </w:rPr>
        <w:t xml:space="preserve"> </w:t>
      </w:r>
      <w:r w:rsidRPr="008A3BF8">
        <w:rPr>
          <w:rFonts w:cs="Times New Roman"/>
        </w:rPr>
        <w:t>had not contemplated an income tax designation for these payments. Accordingly,</w:t>
      </w:r>
      <w:r>
        <w:rPr>
          <w:rFonts w:cs="Times New Roman"/>
        </w:rPr>
        <w:t xml:space="preserve"> </w:t>
      </w:r>
      <w:r w:rsidRPr="008A3BF8">
        <w:rPr>
          <w:rFonts w:cs="Times New Roman"/>
        </w:rPr>
        <w:t>petitioner urges this Court to look beyond the four corners of the final decree to</w:t>
      </w:r>
      <w:r>
        <w:rPr>
          <w:rFonts w:cs="Times New Roman"/>
        </w:rPr>
        <w:t xml:space="preserve"> </w:t>
      </w:r>
      <w:r w:rsidRPr="008A3BF8">
        <w:rPr>
          <w:rFonts w:cs="Times New Roman"/>
        </w:rPr>
        <w:t>determine whether the parties intended to include language characterizing the</w:t>
      </w:r>
      <w:r>
        <w:rPr>
          <w:rFonts w:cs="Times New Roman"/>
        </w:rPr>
        <w:t xml:space="preserve"> </w:t>
      </w:r>
      <w:r w:rsidRPr="008A3BF8">
        <w:rPr>
          <w:rFonts w:cs="Times New Roman"/>
        </w:rPr>
        <w:t>health insurance premium payments as nondeductible by the payor and not</w:t>
      </w:r>
      <w:r>
        <w:rPr>
          <w:rFonts w:cs="Times New Roman"/>
        </w:rPr>
        <w:t xml:space="preserve"> </w:t>
      </w:r>
      <w:r w:rsidRPr="008A3BF8">
        <w:rPr>
          <w:rFonts w:cs="Times New Roman"/>
        </w:rPr>
        <w:t>includible in income by the payee.</w:t>
      </w:r>
    </w:p>
    <w:p w:rsidR="0078310B" w:rsidRDefault="0078310B" w:rsidP="0078310B">
      <w:pPr>
        <w:widowControl w:val="0"/>
        <w:autoSpaceDE w:val="0"/>
        <w:autoSpaceDN w:val="0"/>
        <w:adjustRightInd w:val="0"/>
        <w:spacing w:after="120"/>
        <w:ind w:firstLine="288"/>
        <w:jc w:val="both"/>
        <w:rPr>
          <w:rFonts w:cs="Times New Roman"/>
        </w:rPr>
      </w:pPr>
      <w:r w:rsidRPr="008A3BF8">
        <w:rPr>
          <w:rFonts w:cs="Times New Roman"/>
        </w:rPr>
        <w:t>Petitioner’s argument that the regulations constrain a trial court’s ability to</w:t>
      </w:r>
      <w:r>
        <w:rPr>
          <w:rFonts w:cs="Times New Roman"/>
        </w:rPr>
        <w:t xml:space="preserve"> </w:t>
      </w:r>
      <w:r w:rsidRPr="008A3BF8">
        <w:rPr>
          <w:rFonts w:cs="Times New Roman"/>
        </w:rPr>
        <w:t>characterize such a payment as nondeductible and excludible from income is</w:t>
      </w:r>
      <w:r>
        <w:rPr>
          <w:rFonts w:cs="Times New Roman"/>
        </w:rPr>
        <w:t xml:space="preserve"> </w:t>
      </w:r>
      <w:r w:rsidRPr="008A3BF8">
        <w:rPr>
          <w:rFonts w:cs="Times New Roman"/>
        </w:rPr>
        <w:t xml:space="preserve">without merit. Section 1.71-1T(b), Q&amp;A-8, Temporary Income Tax Regs., </w:t>
      </w:r>
      <w:r w:rsidRPr="0044209B">
        <w:rPr>
          <w:rFonts w:cs="Times New Roman"/>
          <w:i/>
        </w:rPr>
        <w:t>supra</w:t>
      </w:r>
      <w:r w:rsidRPr="008A3BF8">
        <w:rPr>
          <w:rFonts w:cs="Times New Roman"/>
        </w:rPr>
        <w:t>,</w:t>
      </w:r>
      <w:r>
        <w:rPr>
          <w:rFonts w:cs="Times New Roman"/>
        </w:rPr>
        <w:t xml:space="preserve"> </w:t>
      </w:r>
      <w:r w:rsidRPr="008A3BF8">
        <w:rPr>
          <w:rFonts w:cs="Times New Roman"/>
        </w:rPr>
        <w:t>provides that the parties to a separation may agree that payments in the form of</w:t>
      </w:r>
      <w:r>
        <w:rPr>
          <w:rFonts w:cs="Times New Roman"/>
        </w:rPr>
        <w:t xml:space="preserve"> </w:t>
      </w:r>
      <w:r w:rsidRPr="008A3BF8">
        <w:rPr>
          <w:rFonts w:cs="Times New Roman"/>
        </w:rPr>
        <w:t xml:space="preserve">alimony are nondeductible by the payor and not </w:t>
      </w:r>
      <w:r>
        <w:rPr>
          <w:rFonts w:cs="Times New Roman"/>
        </w:rPr>
        <w:t>i</w:t>
      </w:r>
      <w:r w:rsidRPr="008A3BF8">
        <w:rPr>
          <w:rFonts w:cs="Times New Roman"/>
        </w:rPr>
        <w:t>ncludible in income by the payee.</w:t>
      </w:r>
      <w:r>
        <w:rPr>
          <w:rFonts w:cs="Times New Roman"/>
        </w:rPr>
        <w:t xml:space="preserve"> </w:t>
      </w:r>
      <w:r w:rsidRPr="008A3BF8">
        <w:rPr>
          <w:rFonts w:cs="Times New Roman"/>
        </w:rPr>
        <w:t>The regulations allow for parties to agree but do not provide spouses with</w:t>
      </w:r>
      <w:r>
        <w:rPr>
          <w:rFonts w:cs="Times New Roman"/>
        </w:rPr>
        <w:t xml:space="preserve"> </w:t>
      </w:r>
      <w:r w:rsidRPr="008A3BF8">
        <w:rPr>
          <w:rFonts w:cs="Times New Roman"/>
        </w:rPr>
        <w:t>complete authority to define such payments in a State court matter. Furthermore,</w:t>
      </w:r>
      <w:r>
        <w:rPr>
          <w:rFonts w:cs="Times New Roman"/>
        </w:rPr>
        <w:t xml:space="preserve"> </w:t>
      </w:r>
      <w:r w:rsidRPr="008A3BF8">
        <w:rPr>
          <w:rFonts w:cs="Times New Roman"/>
        </w:rPr>
        <w:t>the regulations do not contemplate or regulate the ability of a State trial court, in its discretion, to designate a payment as alimony, as child support, or as an</w:t>
      </w:r>
      <w:r>
        <w:rPr>
          <w:rFonts w:cs="Times New Roman"/>
        </w:rPr>
        <w:t xml:space="preserve"> </w:t>
      </w:r>
      <w:r w:rsidRPr="008A3BF8">
        <w:rPr>
          <w:rFonts w:cs="Times New Roman"/>
        </w:rPr>
        <w:t>equitable division of property under State law. The appeals court recognized that</w:t>
      </w:r>
      <w:r>
        <w:rPr>
          <w:rFonts w:cs="Times New Roman"/>
        </w:rPr>
        <w:t xml:space="preserve"> </w:t>
      </w:r>
      <w:r w:rsidRPr="008A3BF8">
        <w:rPr>
          <w:rFonts w:cs="Times New Roman"/>
        </w:rPr>
        <w:t>the trial court had broad discretion in characterizing the payments made pursuant</w:t>
      </w:r>
      <w:r>
        <w:rPr>
          <w:rFonts w:cs="Times New Roman"/>
        </w:rPr>
        <w:t xml:space="preserve"> </w:t>
      </w:r>
      <w:r w:rsidRPr="008A3BF8">
        <w:rPr>
          <w:rFonts w:cs="Times New Roman"/>
        </w:rPr>
        <w:t>to the separation instrument, and the trial court used its discretion in characterizing</w:t>
      </w:r>
      <w:r>
        <w:rPr>
          <w:rFonts w:cs="Times New Roman"/>
        </w:rPr>
        <w:t xml:space="preserve"> </w:t>
      </w:r>
      <w:r w:rsidRPr="008A3BF8">
        <w:rPr>
          <w:rFonts w:cs="Times New Roman"/>
        </w:rPr>
        <w:t>the payments as nondeductible by petitioner and not includible in income by Ms.</w:t>
      </w:r>
      <w:r>
        <w:rPr>
          <w:rFonts w:cs="Times New Roman"/>
        </w:rPr>
        <w:t xml:space="preserve"> </w:t>
      </w:r>
      <w:r w:rsidRPr="008A3BF8">
        <w:rPr>
          <w:rFonts w:cs="Times New Roman"/>
        </w:rPr>
        <w:t>Wilmoth. On remand, the trial court specifically affirmed, in full force and effect,</w:t>
      </w:r>
      <w:r>
        <w:rPr>
          <w:rFonts w:cs="Times New Roman"/>
        </w:rPr>
        <w:t xml:space="preserve"> </w:t>
      </w:r>
      <w:r w:rsidRPr="008A3BF8">
        <w:rPr>
          <w:rFonts w:cs="Times New Roman"/>
        </w:rPr>
        <w:t>its characterization in the final decree regarding the health insurance premium payments.</w:t>
      </w:r>
      <w:r>
        <w:rPr>
          <w:rFonts w:cs="Times New Roman"/>
        </w:rPr>
        <w:t xml:space="preserve"> </w:t>
      </w:r>
      <w:r w:rsidRPr="008A3BF8">
        <w:rPr>
          <w:rFonts w:cs="Times New Roman"/>
        </w:rPr>
        <w:t>Finally, section 71(b) provides a uniform definition of alimony, and this</w:t>
      </w:r>
      <w:r>
        <w:rPr>
          <w:rFonts w:cs="Times New Roman"/>
        </w:rPr>
        <w:t xml:space="preserve"> </w:t>
      </w:r>
      <w:r w:rsidRPr="008A3BF8">
        <w:rPr>
          <w:rFonts w:cs="Times New Roman"/>
        </w:rPr>
        <w:t>Court will not revert to the inquiry that courts wrestled with before the enactment of section 71(b) by looking to the intent of the parties in determining whether</w:t>
      </w:r>
      <w:r>
        <w:rPr>
          <w:rFonts w:cs="Times New Roman"/>
        </w:rPr>
        <w:t xml:space="preserve"> </w:t>
      </w:r>
      <w:r w:rsidRPr="008A3BF8">
        <w:rPr>
          <w:rFonts w:cs="Times New Roman"/>
        </w:rPr>
        <w:t>health insurance premium payments are in the nature of spousal support.</w:t>
      </w:r>
    </w:p>
    <w:p w:rsidR="0078310B" w:rsidRDefault="0078310B" w:rsidP="00063E1B">
      <w:pPr>
        <w:widowControl w:val="0"/>
        <w:autoSpaceDE w:val="0"/>
        <w:autoSpaceDN w:val="0"/>
        <w:adjustRightInd w:val="0"/>
        <w:ind w:firstLine="288"/>
        <w:jc w:val="both"/>
        <w:rPr>
          <w:rFonts w:cs="Times New Roman"/>
        </w:rPr>
      </w:pPr>
      <w:r w:rsidRPr="008A3BF8">
        <w:rPr>
          <w:rFonts w:cs="Times New Roman"/>
        </w:rPr>
        <w:t>As discussed above, section 71 requires, as one of the conditions to qualify</w:t>
      </w:r>
      <w:r>
        <w:rPr>
          <w:rFonts w:cs="Times New Roman"/>
        </w:rPr>
        <w:t xml:space="preserve"> </w:t>
      </w:r>
      <w:r w:rsidRPr="008A3BF8">
        <w:rPr>
          <w:rFonts w:cs="Times New Roman"/>
        </w:rPr>
        <w:t>as alimony, that the divorce instrument not designate a payment as not includible</w:t>
      </w:r>
      <w:r>
        <w:rPr>
          <w:rFonts w:cs="Times New Roman"/>
        </w:rPr>
        <w:t xml:space="preserve"> </w:t>
      </w:r>
      <w:r w:rsidRPr="008A3BF8">
        <w:rPr>
          <w:rFonts w:cs="Times New Roman"/>
        </w:rPr>
        <w:t>in gross income and not allowable as a deduction under section 215. The final</w:t>
      </w:r>
      <w:r>
        <w:rPr>
          <w:rFonts w:cs="Times New Roman"/>
        </w:rPr>
        <w:t xml:space="preserve"> </w:t>
      </w:r>
      <w:r w:rsidRPr="008A3BF8">
        <w:rPr>
          <w:rFonts w:cs="Times New Roman"/>
        </w:rPr>
        <w:t>decree is conclusive in characterizing the health insurance premium payments as</w:t>
      </w:r>
      <w:r>
        <w:rPr>
          <w:rFonts w:cs="Times New Roman"/>
        </w:rPr>
        <w:t xml:space="preserve"> </w:t>
      </w:r>
      <w:r w:rsidRPr="008A3BF8">
        <w:rPr>
          <w:rFonts w:cs="Times New Roman"/>
        </w:rPr>
        <w:t>nondeductible by the payor spouse and not includible in income by the payee</w:t>
      </w:r>
      <w:r>
        <w:rPr>
          <w:rFonts w:cs="Times New Roman"/>
        </w:rPr>
        <w:t xml:space="preserve"> </w:t>
      </w:r>
      <w:r w:rsidRPr="008A3BF8">
        <w:rPr>
          <w:rFonts w:cs="Times New Roman"/>
        </w:rPr>
        <w:t>spouse, thus excluding the payments from the definition of alimony pursuant to</w:t>
      </w:r>
      <w:r>
        <w:rPr>
          <w:rFonts w:cs="Times New Roman"/>
        </w:rPr>
        <w:t xml:space="preserve"> </w:t>
      </w:r>
      <w:r w:rsidRPr="008A3BF8">
        <w:rPr>
          <w:rFonts w:cs="Times New Roman"/>
        </w:rPr>
        <w:t>section 71(b)(1)(B). The health insurance premium payments are not alimony under section 71(b) and are, therefore, not deductible by petitioner.</w:t>
      </w:r>
    </w:p>
    <w:p w:rsidR="0078310B" w:rsidRDefault="0078310B" w:rsidP="0078310B">
      <w:pPr>
        <w:widowControl w:val="0"/>
        <w:autoSpaceDE w:val="0"/>
        <w:autoSpaceDN w:val="0"/>
        <w:adjustRightInd w:val="0"/>
        <w:jc w:val="center"/>
        <w:rPr>
          <w:rFonts w:cs="Times New Roman"/>
        </w:rPr>
      </w:pPr>
      <w:r>
        <w:rPr>
          <w:rFonts w:cs="Times New Roman"/>
        </w:rPr>
        <w:t>_________________________________________________</w:t>
      </w:r>
    </w:p>
    <w:p w:rsidR="0078310B" w:rsidRDefault="0078310B" w:rsidP="0078310B">
      <w:pPr>
        <w:pStyle w:val="BodyTextIndent"/>
        <w:widowControl w:val="0"/>
        <w:spacing w:after="0"/>
        <w:ind w:left="0"/>
        <w:jc w:val="both"/>
      </w:pPr>
    </w:p>
    <w:p w:rsidR="0078310B" w:rsidRDefault="0078310B" w:rsidP="0078310B">
      <w:pPr>
        <w:pStyle w:val="BodyTextIndent"/>
        <w:widowControl w:val="0"/>
        <w:spacing w:after="0"/>
        <w:ind w:left="0" w:firstLine="288"/>
        <w:jc w:val="both"/>
      </w:pPr>
      <w:r>
        <w:t xml:space="preserve">A state judge clearly has the power to “fix” a payment as “child support” in the divorce instrument, thus triggering </w:t>
      </w:r>
      <w:hyperlink r:id="rId463" w:history="1">
        <w:r w:rsidRPr="00423A0F">
          <w:rPr>
            <w:rStyle w:val="Hyperlink"/>
          </w:rPr>
          <w:t>§ 71</w:t>
        </w:r>
      </w:hyperlink>
      <w:r>
        <w:t xml:space="preserve">(c) and rendering a payment excludable/nondeductible. Does the statute indicate an intent to empower state judges to go further and simply declare that payments otherwise satisfying § 71(b) are (or are not) includable/deductible for Federal income tax purposes? Notice that the taxpayer lost his ability to appeal this decision to a U.S. Circuit Court of Appeals by electing to litigate under </w:t>
      </w:r>
      <w:hyperlink r:id="rId464" w:history="1">
        <w:r w:rsidRPr="00423A0F">
          <w:rPr>
            <w:rStyle w:val="Hyperlink"/>
          </w:rPr>
          <w:t>§ 7463</w:t>
        </w:r>
      </w:hyperlink>
      <w:r>
        <w:t xml:space="preserve">. The appellate court referred to in the decision was a state appeals court having jurisdiction over the state family law matters but having no authority to decide Federal income tax controversies. </w:t>
      </w:r>
    </w:p>
    <w:p w:rsidR="0078310B" w:rsidRDefault="0078310B" w:rsidP="0078310B">
      <w:pPr>
        <w:pStyle w:val="BodyTextIndent"/>
        <w:widowControl w:val="0"/>
        <w:spacing w:after="0"/>
        <w:ind w:left="0" w:firstLine="288"/>
        <w:jc w:val="both"/>
      </w:pPr>
    </w:p>
    <w:p w:rsidR="0078310B" w:rsidRDefault="0078310B" w:rsidP="0078310B">
      <w:pPr>
        <w:pStyle w:val="Heading3"/>
        <w:spacing w:before="0" w:beforeAutospacing="0" w:after="0" w:afterAutospacing="0"/>
        <w:jc w:val="center"/>
        <w:rPr>
          <w:b w:val="0"/>
        </w:rPr>
      </w:pPr>
      <w:bookmarkStart w:id="168" w:name="_Toc395790468"/>
      <w:r w:rsidRPr="00B4225D">
        <w:rPr>
          <w:u w:val="single"/>
        </w:rPr>
        <w:t>Problems</w:t>
      </w:r>
      <w:bookmarkEnd w:id="168"/>
    </w:p>
    <w:p w:rsidR="0078310B" w:rsidRPr="00EE02BB" w:rsidRDefault="0078310B" w:rsidP="0078310B">
      <w:pPr>
        <w:pStyle w:val="Heading3"/>
        <w:spacing w:before="0" w:beforeAutospacing="0" w:after="0" w:afterAutospacing="0"/>
        <w:jc w:val="center"/>
        <w:rPr>
          <w:b w:val="0"/>
        </w:rPr>
      </w:pPr>
    </w:p>
    <w:p w:rsidR="0078310B" w:rsidRDefault="0078310B" w:rsidP="0078310B">
      <w:pPr>
        <w:pStyle w:val="BodyTextIndent"/>
        <w:widowControl w:val="0"/>
        <w:spacing w:after="0"/>
        <w:ind w:left="0" w:firstLine="288"/>
        <w:jc w:val="both"/>
      </w:pPr>
      <w:r>
        <w:rPr>
          <w:b/>
        </w:rPr>
        <w:t>1.</w:t>
      </w:r>
      <w:r>
        <w:t xml:space="preserve"> Tom and Katie, who have one minor child, are divorcing, and Katie will have primary custody of their daughter. Tom will be in the 39.6% tax bracket when he files as an individual. Aside from the tax consequences of any cash payments that they negotiate as part of their divorce settlement, Katie expects to have Taxable Income (Gross Income </w:t>
      </w:r>
      <w:r>
        <w:rPr>
          <w:i/>
        </w:rPr>
        <w:t xml:space="preserve">less </w:t>
      </w:r>
      <w:r>
        <w:t xml:space="preserve">deductions) of about $90,000, which will place any additional marginal dollars that she includes in the 28% tax bracket. Katie has not requested alimony, but she has demanded $50,000 each year as child support until their minor daughter reaches age 18, dies, or marries, whichever occurs first. Student A represents Tom. Student B represents Katie. You must meet, negotiate the terms of the cash payments to be incorporated into the divorce agreement, and report back to the class the final result of your negotiations and how you both arrived at those terms. </w:t>
      </w:r>
    </w:p>
    <w:p w:rsidR="0078310B" w:rsidRDefault="0078310B" w:rsidP="0078310B">
      <w:pPr>
        <w:pStyle w:val="BodyTextIndent"/>
        <w:widowControl w:val="0"/>
        <w:spacing w:after="0"/>
        <w:ind w:left="0" w:firstLine="288"/>
        <w:jc w:val="both"/>
      </w:pPr>
    </w:p>
    <w:p w:rsidR="0078310B" w:rsidRPr="00AA222E" w:rsidRDefault="0078310B" w:rsidP="0078310B">
      <w:pPr>
        <w:pStyle w:val="BodyTextIndent"/>
        <w:widowControl w:val="0"/>
        <w:spacing w:after="0"/>
        <w:ind w:left="0" w:firstLine="288"/>
        <w:jc w:val="both"/>
      </w:pPr>
      <w:r>
        <w:rPr>
          <w:b/>
        </w:rPr>
        <w:t>2.</w:t>
      </w:r>
      <w:r>
        <w:t xml:space="preserve"> Janice and Kathleen divorce, and their divorce agreement requires that Janice pay the rent for Kathleen’s apartment directly to her landlord for five years or until her earlier death or remarriage. Do the rental payments satisfy the definition of tax alimony? </w:t>
      </w:r>
      <w:r>
        <w:rPr>
          <w:i/>
        </w:rPr>
        <w:t xml:space="preserve">See </w:t>
      </w:r>
      <w:hyperlink r:id="rId465" w:history="1">
        <w:r w:rsidRPr="00423A0F">
          <w:rPr>
            <w:rStyle w:val="Hyperlink"/>
          </w:rPr>
          <w:t>Treas. Reg. § 1.71-1T(b)</w:t>
        </w:r>
      </w:hyperlink>
      <w:r>
        <w:t xml:space="preserve">, Q&amp;A 6. </w:t>
      </w:r>
    </w:p>
    <w:p w:rsidR="0078310B" w:rsidRDefault="0078310B" w:rsidP="0078310B">
      <w:pPr>
        <w:pStyle w:val="BodyTextIndent"/>
        <w:widowControl w:val="0"/>
        <w:spacing w:after="0"/>
        <w:ind w:left="0" w:firstLine="288"/>
        <w:jc w:val="both"/>
      </w:pPr>
    </w:p>
    <w:p w:rsidR="0078310B" w:rsidRPr="00DE728E" w:rsidRDefault="0078310B" w:rsidP="0078310B">
      <w:pPr>
        <w:pStyle w:val="BodyTextIndent"/>
        <w:widowControl w:val="0"/>
        <w:spacing w:after="0"/>
        <w:ind w:left="0" w:firstLine="288"/>
        <w:jc w:val="both"/>
      </w:pPr>
      <w:r>
        <w:rPr>
          <w:b/>
        </w:rPr>
        <w:t>3.</w:t>
      </w:r>
      <w:r>
        <w:t xml:space="preserve"> Arnold and Maria, who have two minor children, are divorcing. Maria will have primary custody of their two children, one of whom will turn 18 in 2018 and the other of whom will turn 18 in 2020. Arnold and Maria’s divorce instrument provides for an annual cash payment equal to $1 million for 10 years or until Maria’s earlier death or remarriage. In 2018, however, the $1 million payment will be reduced to $750,000, and in 2020, the payment will be further reduced to $500,000. Maria received the first $1 million this year. Must she include the entire $1 million? </w:t>
      </w:r>
      <w:r>
        <w:rPr>
          <w:i/>
        </w:rPr>
        <w:t xml:space="preserve">See </w:t>
      </w:r>
      <w:hyperlink r:id="rId466" w:history="1">
        <w:r w:rsidRPr="00423A0F">
          <w:rPr>
            <w:rStyle w:val="Hyperlink"/>
          </w:rPr>
          <w:t>§ 71</w:t>
        </w:r>
      </w:hyperlink>
      <w:r>
        <w:t>(c)(2).</w:t>
      </w:r>
    </w:p>
    <w:p w:rsidR="0078310B" w:rsidRDefault="0078310B" w:rsidP="0078310B">
      <w:pPr>
        <w:pStyle w:val="BodyTextIndent"/>
        <w:widowControl w:val="0"/>
        <w:spacing w:after="0"/>
        <w:ind w:left="0" w:firstLine="288"/>
        <w:jc w:val="both"/>
        <w:rPr>
          <w:b/>
        </w:rPr>
      </w:pPr>
    </w:p>
    <w:p w:rsidR="0078310B" w:rsidRDefault="0078310B" w:rsidP="0078310B">
      <w:pPr>
        <w:pStyle w:val="BodyTextIndent"/>
        <w:widowControl w:val="0"/>
        <w:spacing w:after="0"/>
        <w:ind w:left="0" w:firstLine="288"/>
        <w:jc w:val="both"/>
      </w:pPr>
      <w:r>
        <w:rPr>
          <w:b/>
        </w:rPr>
        <w:t>4.</w:t>
      </w:r>
      <w:r>
        <w:t xml:space="preserve"> Kelsey and Camille, who have one minor child, are divorcing. Camille will have primary custody of their child. Their divorce agreement provides that Kelsey will pay $400,000 in alimony annually for five years or until Camille’s earlier death or remarriage and $600,000 in child support annually until their child reaches age 18, dies, or marries, whichever occurs first. Kelsey pays only $500,000 of the required $1 million aggregate payment this year. How much can Kelsey deduct? </w:t>
      </w:r>
      <w:r>
        <w:rPr>
          <w:i/>
        </w:rPr>
        <w:t>See</w:t>
      </w:r>
      <w:r>
        <w:t xml:space="preserve"> </w:t>
      </w:r>
      <w:hyperlink r:id="rId467" w:history="1">
        <w:r w:rsidRPr="00423A0F">
          <w:rPr>
            <w:rStyle w:val="Hyperlink"/>
          </w:rPr>
          <w:t>§ 71</w:t>
        </w:r>
      </w:hyperlink>
      <w:r>
        <w:t xml:space="preserve">(c)(3). </w:t>
      </w:r>
    </w:p>
    <w:p w:rsidR="0078310B" w:rsidRDefault="0078310B" w:rsidP="0078310B">
      <w:pPr>
        <w:pStyle w:val="BodyTextIndent"/>
        <w:widowControl w:val="0"/>
        <w:spacing w:after="0"/>
        <w:ind w:left="0"/>
        <w:jc w:val="center"/>
      </w:pPr>
      <w:r>
        <w:t>_________________________________</w:t>
      </w:r>
    </w:p>
    <w:p w:rsidR="0078310B" w:rsidRDefault="0078310B" w:rsidP="0078310B">
      <w:pPr>
        <w:pStyle w:val="BodyTextIndent"/>
        <w:widowControl w:val="0"/>
        <w:spacing w:after="0"/>
        <w:ind w:left="0" w:firstLine="288"/>
        <w:jc w:val="both"/>
      </w:pPr>
    </w:p>
    <w:p w:rsidR="0078310B" w:rsidRDefault="0078310B" w:rsidP="0078310B">
      <w:pPr>
        <w:pStyle w:val="BodyTextIndent"/>
        <w:widowControl w:val="0"/>
        <w:ind w:left="0" w:firstLine="288"/>
        <w:jc w:val="both"/>
        <w:rPr>
          <w:i/>
        </w:rPr>
      </w:pPr>
      <w:r>
        <w:t xml:space="preserve">Under a “qualified domestic relations order” (QDRO) within the meaning of </w:t>
      </w:r>
      <w:hyperlink r:id="rId468" w:history="1">
        <w:r w:rsidRPr="00423A0F">
          <w:rPr>
            <w:rStyle w:val="Hyperlink"/>
          </w:rPr>
          <w:t>§ 414</w:t>
        </w:r>
      </w:hyperlink>
      <w:r>
        <w:t xml:space="preserve">(p), divorcing couples can negotiate the sharing of one spouse’s retirement savings housed in certain eligible qualified defined benefit or qualified defined contribution plans (such as under a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not John. In other words, a QDRO enables just the kind of income-shifting contemplated by §§ 71 and 215. </w:t>
      </w:r>
    </w:p>
    <w:p w:rsidR="0078310B" w:rsidRDefault="0078310B" w:rsidP="0078310B">
      <w:pPr>
        <w:pStyle w:val="BodyTextIndent"/>
        <w:widowControl w:val="0"/>
        <w:spacing w:after="0"/>
        <w:ind w:left="0" w:firstLine="288"/>
        <w:jc w:val="both"/>
      </w:pPr>
      <w:r>
        <w:t xml:space="preserve">While QDROs cannot apply to individual retirement accounts (IRAs) </w:t>
      </w:r>
      <w:hyperlink r:id="rId469" w:history="1">
        <w:r w:rsidRPr="00423A0F">
          <w:rPr>
            <w:rStyle w:val="Hyperlink"/>
          </w:rPr>
          <w:t>§ 408</w:t>
        </w:r>
      </w:hyperlink>
      <w:r>
        <w:t>(d)(6) provides similar treatment for IRA transfers in divorce.</w:t>
      </w:r>
    </w:p>
    <w:p w:rsidR="0078310B" w:rsidRDefault="0078310B" w:rsidP="0078310B">
      <w:pPr>
        <w:pStyle w:val="BodyTextIndent"/>
        <w:widowControl w:val="0"/>
        <w:spacing w:after="0"/>
        <w:ind w:left="0" w:firstLine="288"/>
        <w:jc w:val="both"/>
      </w:pPr>
    </w:p>
    <w:p w:rsidR="0078310B" w:rsidRPr="00EE02BB" w:rsidRDefault="0078310B" w:rsidP="0078310B">
      <w:pPr>
        <w:pStyle w:val="Heading2"/>
        <w:spacing w:before="0"/>
        <w:rPr>
          <w:sz w:val="32"/>
          <w:szCs w:val="32"/>
          <w:u w:val="single"/>
        </w:rPr>
      </w:pPr>
      <w:bookmarkStart w:id="169" w:name="_Toc395790469"/>
      <w:r w:rsidRPr="00EE02BB">
        <w:rPr>
          <w:sz w:val="32"/>
          <w:szCs w:val="32"/>
          <w:u w:val="single"/>
        </w:rPr>
        <w:t>B. Transfers of property in kind</w:t>
      </w:r>
      <w:bookmarkEnd w:id="169"/>
    </w:p>
    <w:p w:rsidR="0078310B" w:rsidRDefault="0078310B" w:rsidP="0078310B">
      <w:pPr>
        <w:pStyle w:val="BodyTextIndent"/>
        <w:widowControl w:val="0"/>
        <w:spacing w:after="0"/>
        <w:ind w:left="0" w:firstLine="288"/>
        <w:jc w:val="both"/>
      </w:pPr>
    </w:p>
    <w:p w:rsidR="0078310B" w:rsidRDefault="0078310B" w:rsidP="0078310B">
      <w:pPr>
        <w:pStyle w:val="BodyTextIndent"/>
        <w:widowControl w:val="0"/>
        <w:ind w:left="0" w:firstLine="288"/>
        <w:jc w:val="both"/>
      </w:pPr>
      <w:r>
        <w:t xml:space="preserve">You have already learned that a transfer of property in kind cannot qualify for the inclusion/deduction scheme in §§ 71 and 215 because of the requirement in § 71(b) that such transfers be made in cash. A second question arises, however, with respect to transfers of property in kind, illustrated by the facts in </w:t>
      </w:r>
      <w:r>
        <w:rPr>
          <w:i/>
        </w:rPr>
        <w:t>Davis v. Commissioner</w:t>
      </w:r>
      <w:r>
        <w:t>.</w:t>
      </w:r>
      <w:r>
        <w:rPr>
          <w:rStyle w:val="FootnoteReference"/>
        </w:rPr>
        <w:footnoteReference w:id="309"/>
      </w:r>
      <w:r>
        <w:t xml:space="preserve"> In that case, Mr. Davis transferred 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rsidR="0078310B" w:rsidRDefault="0078310B" w:rsidP="0078310B">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310"/>
      </w:r>
      <w:r>
        <w:t xml:space="preserve"> Thus, if Mary borrows $4,000 from John and repays her debt to him by transferring property with a value of $4,000 and basis of $3,000, Mary realizes and recognizes a § 1001 gain of $1,000.</w:t>
      </w:r>
    </w:p>
    <w:p w:rsidR="0078310B" w:rsidRDefault="0078310B" w:rsidP="0078310B">
      <w:pPr>
        <w:pStyle w:val="BodyTextIndent"/>
        <w:widowControl w:val="0"/>
        <w:ind w:left="0" w:firstLine="288"/>
        <w:jc w:val="both"/>
      </w:pPr>
      <w:r>
        <w:t xml:space="preserve">The </w:t>
      </w:r>
      <w:r>
        <w:rPr>
          <w:i/>
        </w:rPr>
        <w:t>Davis</w:t>
      </w:r>
      <w:r>
        <w:t xml:space="preserve"> Court applied this unexceptional marketplace rule, assumed that the value</w:t>
      </w:r>
      <w:r w:rsidR="0047378D">
        <w:t xml:space="preserve"> of the release of the </w:t>
      </w:r>
      <w:r>
        <w:t>marital rights equaled the value of the stock, concluded that Mr. Davis realized a § 1001 gain of $7,250 on the transfer, and concluded that Mrs. Davis took a cost basis of $82,250 in the property under § 1012. The Court noted in a footnote the “administrative practice” of not taxing Mrs. Davis on the release of marital rights</w:t>
      </w:r>
      <w:r w:rsidR="00B163E1">
        <w:t>, which presumably have a zero basis</w:t>
      </w:r>
      <w:r>
        <w:t>.</w:t>
      </w:r>
      <w:r>
        <w:rPr>
          <w:rStyle w:val="FootnoteReference"/>
        </w:rPr>
        <w:footnoteReference w:id="311"/>
      </w:r>
      <w:r>
        <w:t xml:space="preserve"> </w:t>
      </w:r>
    </w:p>
    <w:p w:rsidR="0078310B" w:rsidRDefault="0078310B" w:rsidP="0078310B">
      <w:pPr>
        <w:pStyle w:val="BodyTextIndent"/>
        <w:widowControl w:val="0"/>
        <w:ind w:left="0" w:firstLine="288"/>
        <w:jc w:val="both"/>
      </w:pPr>
      <w:r>
        <w:t>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w:t>
      </w:r>
    </w:p>
    <w:p w:rsidR="0078310B" w:rsidRDefault="0078310B" w:rsidP="0078310B">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312"/>
      </w:r>
      <w:r>
        <w:t xml:space="preserve"> or property in states where the law is “similar to community property law”</w:t>
      </w:r>
      <w:r>
        <w:rPr>
          <w:rStyle w:val="FootnoteReference"/>
        </w:rPr>
        <w:footnoteReference w:id="313"/>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14"/>
      </w:r>
      <w:r>
        <w:t xml:space="preserve"> Not all transfers in community property states were tax-free events, however. An exchange of separate (nonmarital) property for community property or an unequal division of community property resulted in taxation,</w:t>
      </w:r>
      <w:r>
        <w:rPr>
          <w:rStyle w:val="FootnoteReference"/>
        </w:rPr>
        <w:footnoteReference w:id="315"/>
      </w:r>
      <w:r>
        <w:t xml:space="preserve"> as did unequal divisions of jointly owned property in common law states.</w:t>
      </w:r>
      <w:r>
        <w:rPr>
          <w:rStyle w:val="FootnoteReference"/>
        </w:rPr>
        <w:footnoteReference w:id="316"/>
      </w:r>
    </w:p>
    <w:p w:rsidR="0078310B" w:rsidRDefault="0078310B" w:rsidP="0078310B">
      <w:pPr>
        <w:pStyle w:val="BodyTextIndent"/>
        <w:widowControl w:val="0"/>
        <w:ind w:left="0" w:firstLine="288"/>
        <w:jc w:val="both"/>
      </w:pPr>
      <w:r>
        <w:t>This reliance on state law enabled states to enact anti-</w:t>
      </w:r>
      <w:r>
        <w:rPr>
          <w:i/>
        </w:rPr>
        <w:t>Davis</w:t>
      </w:r>
      <w:r>
        <w:t xml:space="preserve"> legislation, exemplified by 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17"/>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18"/>
      </w:r>
      <w:r>
        <w:t xml:space="preserve"> </w:t>
      </w:r>
    </w:p>
    <w:p w:rsidR="0078310B" w:rsidRDefault="0078310B" w:rsidP="0078310B">
      <w:pPr>
        <w:pStyle w:val="BodyTextIndent"/>
        <w:widowControl w:val="0"/>
        <w:ind w:left="0" w:firstLine="288"/>
        <w:jc w:val="both"/>
      </w:pPr>
      <w:r>
        <w:t>This state of affairs resulted in much confus</w:t>
      </w:r>
      <w:r w:rsidR="00661360">
        <w:t>ion and costly litigation</w:t>
      </w:r>
      <w:r>
        <w:t>, many traps for the unwary, and a variety of</w:t>
      </w:r>
      <w:r w:rsidR="00743EEE">
        <w:t xml:space="preserve"> results for</w:t>
      </w:r>
      <w:r>
        <w:t xml:space="preserve"> similarly situated taxpayers, depending on state law. It also resulted in a fair amount of whipsaw for the Federal Treasury, with the transferor spouse claiming a tax-free division of property and the transferee claiming a stepped-up basis under </w:t>
      </w:r>
      <w:r>
        <w:rPr>
          <w:i/>
        </w:rPr>
        <w:t>Davis</w:t>
      </w:r>
      <w:r w:rsidR="00661360">
        <w:t xml:space="preserve"> on later disposition. In 1984, Congress finally enacted </w:t>
      </w:r>
      <w:hyperlink r:id="rId470" w:history="1">
        <w:r w:rsidR="00661360" w:rsidRPr="00F375E9">
          <w:rPr>
            <w:rStyle w:val="Hyperlink"/>
          </w:rPr>
          <w:t>§ 1041</w:t>
        </w:r>
      </w:hyperlink>
      <w:r>
        <w:t xml:space="preserve">, which you should read now. </w:t>
      </w:r>
    </w:p>
    <w:p w:rsidR="0078310B" w:rsidRDefault="0078310B" w:rsidP="0078310B">
      <w:pPr>
        <w:widowControl w:val="0"/>
        <w:spacing w:after="120"/>
        <w:ind w:firstLine="288"/>
        <w:jc w:val="both"/>
      </w:pPr>
      <w:r w:rsidRPr="00095588">
        <w:t>Section 1041</w:t>
      </w:r>
      <w:r>
        <w:t>(a) is the first “nonrecognition” provision that</w:t>
      </w:r>
      <w:r w:rsidR="001E5575">
        <w:t xml:space="preserve"> we have encountered. Had § 1041(a)</w:t>
      </w:r>
      <w:r>
        <w:t xml:space="preserve"> been in effect in </w:t>
      </w:r>
      <w:r>
        <w:rPr>
          <w:i/>
        </w:rPr>
        <w:t>Davis</w:t>
      </w:r>
      <w:r w:rsidR="001E5575">
        <w:t xml:space="preserve">, Mr. Davis would not have “recognized” his $7,250 “realized” § 1001 gain, </w:t>
      </w:r>
      <w:r>
        <w:t xml:space="preserve">which means that he would not include the § 1001 gain in his Gross Income under § 61(a)(3). Notice, however, that the built-in gain would not </w:t>
      </w:r>
      <w:r w:rsidR="001E5575">
        <w:t xml:space="preserve">have </w:t>
      </w:r>
      <w:r>
        <w:t>disappear</w:t>
      </w:r>
      <w:r w:rsidR="001E5575">
        <w:t>ed</w:t>
      </w:r>
      <w:r>
        <w:t xml:space="preserve"> from the tax system; rather, it would </w:t>
      </w:r>
      <w:r w:rsidR="001E5575">
        <w:t xml:space="preserve">have been </w:t>
      </w:r>
      <w:r>
        <w:t xml:space="preserve">preserved for future reckoning in the hands of Mrs. Davis. Under </w:t>
      </w:r>
      <w:r w:rsidRPr="00095588">
        <w:t>§ 1041</w:t>
      </w:r>
      <w:r>
        <w:t xml:space="preserve">(b)(1), Mrs. Davis would </w:t>
      </w:r>
      <w:r w:rsidR="001E5575">
        <w:t xml:space="preserve">have </w:t>
      </w:r>
      <w:r>
        <w:t>exclude</w:t>
      </w:r>
      <w:r w:rsidR="001E5575">
        <w:t>d</w:t>
      </w:r>
      <w:r>
        <w:t xml:space="preserve"> the stock received from Mr. Davis as though it were a “gift,” and she would </w:t>
      </w:r>
      <w:r w:rsidR="001E5575">
        <w:t xml:space="preserve">have </w:t>
      </w:r>
      <w:r>
        <w:t>take</w:t>
      </w:r>
      <w:r w:rsidR="001E5575">
        <w:t>n</w:t>
      </w:r>
      <w:r>
        <w:t xml:space="preserve"> a carryover basis in the property</w:t>
      </w:r>
      <w:r w:rsidRPr="002C511C">
        <w:t xml:space="preserve"> </w:t>
      </w:r>
      <w:r>
        <w:t xml:space="preserve">under </w:t>
      </w:r>
      <w:r w:rsidRPr="00095588">
        <w:t>§ 1041</w:t>
      </w:r>
      <w:r>
        <w:t xml:space="preserve">(b)(2), </w:t>
      </w:r>
      <w:r>
        <w:rPr>
          <w:i/>
        </w:rPr>
        <w:t>i.e</w:t>
      </w:r>
      <w:r>
        <w:t xml:space="preserve">., the same basis that Mr. Davis had in the stock. Thus, the built-in gain would have been both </w:t>
      </w:r>
      <w:r>
        <w:rPr>
          <w:i/>
        </w:rPr>
        <w:t xml:space="preserve">deferred </w:t>
      </w:r>
      <w:r>
        <w:t xml:space="preserve">and </w:t>
      </w:r>
      <w:r w:rsidRPr="00905E8B">
        <w:rPr>
          <w:i/>
        </w:rPr>
        <w:t>shifted</w:t>
      </w:r>
      <w:r>
        <w:t xml:space="preserve"> from Mr. Davis’s return to Mrs. Davis’s return, to be realized and </w:t>
      </w:r>
      <w:r w:rsidR="001E5575">
        <w:t xml:space="preserve">recognized by her when </w:t>
      </w:r>
      <w:r>
        <w:t>she sold the DuPont stock to a thir</w:t>
      </w:r>
      <w:r w:rsidR="00BE7323">
        <w:t>d party</w:t>
      </w:r>
      <w:r>
        <w:t>.</w:t>
      </w:r>
      <w:r w:rsidR="001E5575">
        <w:t xml:space="preserve"> </w:t>
      </w:r>
      <w:r w:rsidR="00BE7323">
        <w:t xml:space="preserve">(Of course, if she had held </w:t>
      </w:r>
      <w:r w:rsidR="001E5575">
        <w:t xml:space="preserve">the stock until her death, the preserved built-in gain would </w:t>
      </w:r>
      <w:r w:rsidR="00BE7323">
        <w:t xml:space="preserve">then </w:t>
      </w:r>
      <w:r w:rsidR="001E5575">
        <w:t xml:space="preserve">have been wiped out under </w:t>
      </w:r>
      <w:r w:rsidR="001E5575" w:rsidRPr="00095588">
        <w:t>§ 1014</w:t>
      </w:r>
      <w:r w:rsidR="001E5575">
        <w:t>.</w:t>
      </w:r>
      <w:r w:rsidR="00BE7323">
        <w:t>)</w:t>
      </w:r>
    </w:p>
    <w:p w:rsidR="0078310B" w:rsidRDefault="0078310B" w:rsidP="0078310B">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Thus, for example, assume that Patti, a lawyer, sells a painting to a stranger for $500 that she had purchased years earlier for $100. Patti’s </w:t>
      </w:r>
      <w:hyperlink r:id="rId471" w:history="1">
        <w:r w:rsidRPr="00F375E9">
          <w:rPr>
            <w:rStyle w:val="Hyperlink"/>
          </w:rPr>
          <w:t>§ 1001</w:t>
        </w:r>
      </w:hyperlink>
      <w:r>
        <w:t xml:space="preserve"> realized gain of $400 </w:t>
      </w:r>
      <w:r w:rsidR="00F2020B">
        <w:t xml:space="preserve">($500 A/R </w:t>
      </w:r>
      <w:r w:rsidR="00F2020B">
        <w:rPr>
          <w:i/>
        </w:rPr>
        <w:t xml:space="preserve">less </w:t>
      </w:r>
      <w:r w:rsidR="00F2020B">
        <w:t xml:space="preserve">$100 A/B) </w:t>
      </w:r>
      <w:r>
        <w:t xml:space="preserve">would be recognized (included in her Gross Income under § 61(a)(3)) and would likely contribute to her low-taxed “net capital gain.” If, on the other hand, Patti sells the same painting to her husband John, an art dealer, for $500, her $400 realized gain under § 1001 would go unrecognized under </w:t>
      </w:r>
      <w:r w:rsidRPr="00095588">
        <w:t>§ 1041</w:t>
      </w:r>
      <w:r>
        <w:t xml:space="preserve">(a), and John would take Patti’s $100 basis under </w:t>
      </w:r>
      <w:r w:rsidRPr="00095588">
        <w:t>§ 1041</w:t>
      </w:r>
      <w:r>
        <w:t xml:space="preserve">(b)(2). Thus, when he sells the painting to a customer for $500, his $400 realized and recognized gain is ordinary because the painting is an inventory item in his hands. </w:t>
      </w:r>
      <w:r>
        <w:rPr>
          <w:i/>
        </w:rPr>
        <w:t>See</w:t>
      </w:r>
      <w:r>
        <w:t xml:space="preserve"> </w:t>
      </w:r>
      <w:hyperlink r:id="rId472" w:history="1">
        <w:r w:rsidRPr="00F375E9">
          <w:rPr>
            <w:rStyle w:val="Hyperlink"/>
          </w:rPr>
          <w:t>§ 1221</w:t>
        </w:r>
      </w:hyperlink>
      <w:r>
        <w:t xml:space="preserve">(a)(1). In short, Patti cannot launder out the low-taxed gain by selling to her husband for valuable consideration, who would then realize no high-taxed ordinary income when he sold to his customer. Rather, he takes the same basis that he would take in the painting if Patti had simply given the painting to him as a gift </w:t>
      </w:r>
      <w:r w:rsidR="00F2020B">
        <w:t xml:space="preserve">(§ 1015) </w:t>
      </w:r>
      <w:r>
        <w:t>instead of sellin</w:t>
      </w:r>
      <w:r w:rsidR="00F2020B">
        <w:t>g the painting to him for $500 (§ 1012).</w:t>
      </w:r>
    </w:p>
    <w:p w:rsidR="0078310B" w:rsidRDefault="0078310B" w:rsidP="0078310B">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1041(b)(2) controls, which does not contain such a rule. </w:t>
      </w:r>
      <w:r>
        <w:rPr>
          <w:i/>
        </w:rPr>
        <w:t xml:space="preserve">See </w:t>
      </w:r>
      <w:hyperlink r:id="rId473"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transfers, even in the case of a true “gift.” Rather, § 1041 occupies the field.</w:t>
      </w:r>
    </w:p>
    <w:p w:rsidR="0078310B" w:rsidRPr="007A2663" w:rsidRDefault="0078310B" w:rsidP="0078310B">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agreement, where § 1041 cannot apply? The taxpayer in </w:t>
      </w:r>
      <w:r>
        <w:rPr>
          <w:i/>
        </w:rPr>
        <w:t>Farid-es-Sultaneh v. Commissioner</w:t>
      </w:r>
      <w:r>
        <w:rPr>
          <w:rStyle w:val="FootnoteReference"/>
        </w:rPr>
        <w:footnoteReference w:id="319"/>
      </w:r>
      <w:r>
        <w:t xml:space="preserve"> was a 32-year-old American citizen known as Doris, who executed an ante-nuptial agreement in 1924 with Sebastian S. Kresge, a 57-year-old store magnate</w:t>
      </w:r>
      <w:r>
        <w:rPr>
          <w:rStyle w:val="FootnoteReference"/>
        </w:rPr>
        <w:footnoteReference w:id="320"/>
      </w:r>
      <w:r>
        <w:t xml:space="preserve"> with an estimated net worth of $375 millio</w:t>
      </w:r>
      <w:r w:rsidR="005E4446">
        <w:t xml:space="preserve">n (more than $5 billion in today’s </w:t>
      </w:r>
      <w:r>
        <w:t xml:space="preserve">dollars). Under the agreement, Doris received 2,500 shares of the S.S. Kresge Company from Sebastian, which </w:t>
      </w:r>
      <w:r w:rsidR="005E4446">
        <w:t xml:space="preserve">were then worth $787,500 (more than $11 million in today’s </w:t>
      </w:r>
      <w:r>
        <w:t xml:space="preserve">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rsidR="0078310B" w:rsidRDefault="0078310B" w:rsidP="0078310B">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74" w:history="1">
        <w:r w:rsidRPr="00A63F1E">
          <w:rPr>
            <w:rStyle w:val="Hyperlink"/>
          </w:rPr>
          <w:t>§ 165</w:t>
        </w:r>
      </w:hyperlink>
      <w:r>
        <w:t>(c).</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70" w:name="_Toc395790470"/>
      <w:r w:rsidRPr="00B4225D">
        <w:rPr>
          <w:u w:val="single"/>
        </w:rPr>
        <w:t>Problems</w:t>
      </w:r>
      <w:bookmarkEnd w:id="170"/>
    </w:p>
    <w:p w:rsidR="0078310B" w:rsidRPr="00EE02BB"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rPr>
          <w:b/>
        </w:rPr>
        <w:t>1.</w:t>
      </w:r>
      <w:r>
        <w:t xml:space="preserve"> Lori and Luke are planning to divorce. Their stock portfolio contains shares of High Tech, Inc., with a basis of $70,000 and a FMV of $100,000, and shares of Realty, Inc., with a basis of $130,000 and a FMV of $100,000. What tax consequences result if they sell both blocks of stock to third parties while still married, split the cash, and then divorce?</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Same as </w:t>
      </w:r>
      <w:r>
        <w:rPr>
          <w:b/>
        </w:rPr>
        <w:t>1.</w:t>
      </w:r>
      <w:r>
        <w:t>, except that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and who is not?</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Same as </w:t>
      </w:r>
      <w:r>
        <w:rPr>
          <w:b/>
        </w:rPr>
        <w:t>1.</w:t>
      </w:r>
      <w:r>
        <w:t>, except that Luke suggests that Lori take no property in kind. Instead, Luke suggests that they incorporate into the divorce agreement a requirement that he pay Lori cash payments of $20,000 annually for five years (or until her earlier death). Any advice for Lori?</w:t>
      </w:r>
    </w:p>
    <w:p w:rsidR="0078310B" w:rsidRDefault="0078310B" w:rsidP="0078310B">
      <w:pPr>
        <w:widowControl w:val="0"/>
        <w:ind w:firstLine="288"/>
        <w:jc w:val="both"/>
      </w:pPr>
    </w:p>
    <w:p w:rsidR="0078310B" w:rsidRPr="00EE02BB" w:rsidRDefault="0078310B" w:rsidP="0078310B">
      <w:pPr>
        <w:pStyle w:val="Heading2"/>
        <w:spacing w:before="0"/>
        <w:rPr>
          <w:sz w:val="32"/>
          <w:szCs w:val="32"/>
          <w:u w:val="single"/>
        </w:rPr>
      </w:pPr>
      <w:bookmarkStart w:id="171" w:name="_Toc395790471"/>
      <w:r w:rsidRPr="00AF675A">
        <w:rPr>
          <w:sz w:val="32"/>
          <w:szCs w:val="32"/>
          <w:u w:val="single"/>
        </w:rPr>
        <w:t xml:space="preserve">C. Unmarried </w:t>
      </w:r>
      <w:r>
        <w:rPr>
          <w:sz w:val="32"/>
          <w:szCs w:val="32"/>
          <w:u w:val="single"/>
        </w:rPr>
        <w:t xml:space="preserve">cohabitants </w:t>
      </w:r>
      <w:r w:rsidRPr="00EE02BB">
        <w:rPr>
          <w:sz w:val="32"/>
          <w:szCs w:val="32"/>
          <w:u w:val="single"/>
        </w:rPr>
        <w:t>and members of an RDP or civil union</w:t>
      </w:r>
      <w:bookmarkEnd w:id="171"/>
    </w:p>
    <w:p w:rsidR="0078310B" w:rsidRDefault="0078310B" w:rsidP="0078310B">
      <w:pPr>
        <w:widowControl w:val="0"/>
        <w:jc w:val="both"/>
      </w:pPr>
    </w:p>
    <w:p w:rsidR="0078310B" w:rsidRPr="00B4225D" w:rsidRDefault="0078310B" w:rsidP="0078310B">
      <w:pPr>
        <w:pStyle w:val="Heading3"/>
        <w:spacing w:before="0" w:beforeAutospacing="0" w:after="120" w:afterAutospacing="0"/>
        <w:rPr>
          <w:i/>
        </w:rPr>
      </w:pPr>
      <w:bookmarkStart w:id="172" w:name="_Toc395790473"/>
      <w:r w:rsidRPr="00B4225D">
        <w:rPr>
          <w:i/>
        </w:rPr>
        <w:t xml:space="preserve">Unmarried cohabitants with no formal </w:t>
      </w:r>
      <w:r>
        <w:rPr>
          <w:i/>
        </w:rPr>
        <w:t xml:space="preserve">state-sanctioned </w:t>
      </w:r>
      <w:r w:rsidRPr="00B4225D">
        <w:rPr>
          <w:i/>
        </w:rPr>
        <w:t>legal relationship</w:t>
      </w:r>
      <w:bookmarkEnd w:id="172"/>
    </w:p>
    <w:p w:rsidR="0078310B" w:rsidRDefault="0078310B" w:rsidP="0078310B">
      <w:pPr>
        <w:widowControl w:val="0"/>
        <w:ind w:firstLine="288"/>
        <w:jc w:val="both"/>
      </w:pPr>
      <w:r>
        <w:t xml:space="preserve">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 respect to the party without formal legal title under the written or oral contract. The most famous example is the case of </w:t>
      </w:r>
      <w:r>
        <w:rPr>
          <w:i/>
        </w:rPr>
        <w:t>Marvin v. Marvin</w:t>
      </w:r>
      <w:r>
        <w:t xml:space="preserve">, involving the actor Lee Marvin and his partner, though his partner was unable to prove such a contract. The case, which brought the colloquialism “palimony” into the lexicon, is cited in footnote 8 in </w:t>
      </w:r>
      <w:r>
        <w:rPr>
          <w:i/>
        </w:rPr>
        <w:t>Reynolds</w:t>
      </w:r>
      <w:r>
        <w:t>, below.</w:t>
      </w:r>
    </w:p>
    <w:p w:rsidR="0078310B" w:rsidRPr="00CE0799" w:rsidRDefault="0078310B" w:rsidP="0078310B">
      <w:pPr>
        <w:widowControl w:val="0"/>
        <w:ind w:firstLine="288"/>
        <w:jc w:val="both"/>
      </w:pPr>
    </w:p>
    <w:p w:rsidR="0078310B" w:rsidRPr="005C0641" w:rsidRDefault="0078310B" w:rsidP="0078310B">
      <w:pPr>
        <w:pStyle w:val="Heading3"/>
        <w:spacing w:before="0" w:beforeAutospacing="0" w:after="120" w:afterAutospacing="0"/>
        <w:jc w:val="center"/>
      </w:pPr>
      <w:bookmarkStart w:id="173" w:name="_Toc395790474"/>
      <w:r>
        <w:t>REYNOLDS v. COMMISSIONER</w:t>
      </w:r>
      <w:bookmarkEnd w:id="173"/>
    </w:p>
    <w:p w:rsidR="0078310B" w:rsidRDefault="0078310B" w:rsidP="0078310B">
      <w:pPr>
        <w:widowControl w:val="0"/>
        <w:ind w:firstLine="288"/>
        <w:jc w:val="center"/>
      </w:pPr>
      <w:r>
        <w:t>T.C. Memo. 1999-62</w:t>
      </w:r>
    </w:p>
    <w:p w:rsidR="0078310B" w:rsidRDefault="0078310B" w:rsidP="0078310B">
      <w:pPr>
        <w:widowControl w:val="0"/>
        <w:ind w:firstLine="288"/>
      </w:pPr>
    </w:p>
    <w:p w:rsidR="0078310B" w:rsidRDefault="0078310B" w:rsidP="0078310B">
      <w:pPr>
        <w:widowControl w:val="0"/>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rsidR="0078310B" w:rsidRDefault="0078310B" w:rsidP="0078310B">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rsidR="0078310B" w:rsidRDefault="0078310B" w:rsidP="0078310B">
      <w:pPr>
        <w:widowControl w:val="0"/>
        <w:spacing w:after="120"/>
        <w:ind w:firstLine="288"/>
        <w:jc w:val="both"/>
      </w:pPr>
      <w:r>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rsidR="0078310B" w:rsidRDefault="0078310B" w:rsidP="0078310B">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rsidR="0078310B" w:rsidRDefault="0078310B" w:rsidP="0078310B">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rsidR="0078310B" w:rsidRDefault="0078310B" w:rsidP="0078310B">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rsidR="0078310B" w:rsidRDefault="0078310B" w:rsidP="0078310B">
      <w:pPr>
        <w:widowControl w:val="0"/>
        <w:spacing w:after="120"/>
        <w:jc w:val="both"/>
      </w:pPr>
      <w:r>
        <w:t>DISCUSSION</w:t>
      </w:r>
    </w:p>
    <w:p w:rsidR="0078310B" w:rsidRDefault="0078310B" w:rsidP="0078310B">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rsidR="0078310B" w:rsidRDefault="0078310B" w:rsidP="0078310B">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rsidR="0078310B" w:rsidRDefault="0078310B" w:rsidP="0078310B">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21"/>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rsidR="0078310B" w:rsidRDefault="0078310B" w:rsidP="0078310B">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22"/>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rsidR="0078310B" w:rsidRDefault="0078310B" w:rsidP="0078310B">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23"/>
        <w:t>[8]</w:t>
      </w:r>
    </w:p>
    <w:p w:rsidR="0078310B" w:rsidRDefault="0078310B" w:rsidP="0078310B">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rsidR="0078310B" w:rsidRDefault="0078310B" w:rsidP="0078310B">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rsidR="0078310B" w:rsidRDefault="0078310B" w:rsidP="0078310B">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rsidR="0078310B" w:rsidRDefault="0078310B" w:rsidP="0078310B">
      <w:pPr>
        <w:widowControl w:val="0"/>
        <w:spacing w:after="120"/>
        <w:ind w:firstLine="288"/>
        <w:jc w:val="both"/>
      </w:pPr>
      <w:r>
        <w:t>Given our conclusion in this case that petitioner received her interest in the property as gifts from Mr. Kent, her basis in the property equals Mr. Kent’s basis immediately before the gifts, to the extent that his basis is attributable to the gifted property.</w:t>
      </w:r>
      <w:r>
        <w:rPr>
          <w:rStyle w:val="FootnoteReference"/>
        </w:rPr>
        <w:footnoteReference w:customMarkFollows="1" w:id="324"/>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rsidR="0078310B" w:rsidRDefault="0078310B" w:rsidP="0078310B">
      <w:pPr>
        <w:widowControl w:val="0"/>
        <w:ind w:firstLine="288"/>
        <w:jc w:val="both"/>
      </w:pPr>
      <w:r>
        <w:t>We have carefully considered all arguments by respondent for a contrary holding, and, to the extent not discussed above, find them to be irrelevant or without merit.</w:t>
      </w:r>
    </w:p>
    <w:p w:rsidR="0078310B" w:rsidRDefault="0078310B" w:rsidP="0078310B">
      <w:pPr>
        <w:widowControl w:val="0"/>
        <w:jc w:val="center"/>
      </w:pPr>
      <w:r>
        <w:t>_____________________________________________</w:t>
      </w:r>
    </w:p>
    <w:p w:rsidR="0078310B" w:rsidRDefault="0078310B" w:rsidP="0078310B">
      <w:pPr>
        <w:pStyle w:val="Heading3"/>
        <w:spacing w:before="0" w:beforeAutospacing="0" w:after="0" w:afterAutospacing="0"/>
        <w:ind w:firstLine="288"/>
        <w:rPr>
          <w:b w:val="0"/>
        </w:rPr>
      </w:pPr>
      <w:bookmarkStart w:id="174" w:name="_Toc395790475"/>
    </w:p>
    <w:p w:rsidR="0078310B" w:rsidRPr="00B4225D" w:rsidRDefault="0078310B" w:rsidP="0078310B">
      <w:pPr>
        <w:pStyle w:val="Heading3"/>
        <w:spacing w:before="0" w:beforeAutospacing="0" w:after="120" w:afterAutospacing="0"/>
        <w:rPr>
          <w:i/>
        </w:rPr>
      </w:pPr>
      <w:r w:rsidRPr="00B4225D">
        <w:rPr>
          <w:i/>
        </w:rPr>
        <w:t>RDPs and civil unions</w:t>
      </w:r>
      <w:bookmarkEnd w:id="174"/>
    </w:p>
    <w:p w:rsidR="0078310B" w:rsidRPr="00E2563D" w:rsidRDefault="0078310B" w:rsidP="0078310B">
      <w:pPr>
        <w:widowControl w:val="0"/>
        <w:spacing w:after="120"/>
        <w:ind w:firstLine="288"/>
        <w:jc w:val="both"/>
      </w:pPr>
      <w:r>
        <w:t>You learned in Revenue Ruling 2013-17</w:t>
      </w:r>
      <w:r>
        <w:rPr>
          <w:rStyle w:val="FootnoteReference"/>
        </w:rPr>
        <w:footnoteReference w:id="325"/>
      </w:r>
      <w:r>
        <w:t xml:space="preserve"> </w:t>
      </w:r>
      <w:r w:rsidR="00E51927">
        <w:t xml:space="preserve">(Chapter 8) </w:t>
      </w:r>
      <w:r>
        <w:t>that members of an RDP or civil union are not considered married for Federal tax purposes. Until and unless this treatment changes, §§ 71, 215, and 1041 do not apply to such couples who dissolve their legal relationship using state law procedures. Moreover, such couples are prevented from using QDROs to apportion pension benefits. In the absence of §§ 71, 215, and 1041, how are cash and property tra</w:t>
      </w:r>
      <w:r w:rsidR="00E51927">
        <w:t>nsfers analyzed</w:t>
      </w:r>
      <w:r>
        <w:t xml:space="preserve">? </w:t>
      </w:r>
    </w:p>
    <w:p w:rsidR="0078310B" w:rsidRDefault="0078310B" w:rsidP="0078310B">
      <w:pPr>
        <w:widowControl w:val="0"/>
        <w:spacing w:after="120"/>
        <w:ind w:firstLine="288"/>
        <w:jc w:val="both"/>
      </w:pPr>
      <w:r>
        <w:t xml:space="preserve">With respect to cash transfers, one possibility may be that </w:t>
      </w:r>
      <w:r>
        <w:rPr>
          <w:i/>
        </w:rPr>
        <w:t>Gould</w:t>
      </w:r>
      <w:r>
        <w:t xml:space="preserve"> would continue to control support payments made under the legal compulsion of state law, even child support (though none was at issue in </w:t>
      </w:r>
      <w:r>
        <w:rPr>
          <w:i/>
        </w:rPr>
        <w:t>Gould</w:t>
      </w:r>
      <w:r>
        <w:t>).</w:t>
      </w:r>
      <w:r>
        <w:rPr>
          <w:rStyle w:val="FootnoteReference"/>
        </w:rPr>
        <w:footnoteReference w:id="326"/>
      </w:r>
      <w:r>
        <w:t xml:space="preserve"> If that assumption is correct, payments would be excludable by the payee and nondeductible by the payor, with no flexibility to achieve the sort of income shifting described in Part A., under which </w:t>
      </w:r>
      <w:r>
        <w:rPr>
          <w:i/>
        </w:rPr>
        <w:t>both</w:t>
      </w:r>
      <w:r w:rsidR="00E04122">
        <w:t xml:space="preserve"> parties may be made better off (after tax).</w:t>
      </w:r>
    </w:p>
    <w:p w:rsidR="0078310B" w:rsidRDefault="0078310B" w:rsidP="0078310B">
      <w:pPr>
        <w:widowControl w:val="0"/>
        <w:autoSpaceDE w:val="0"/>
        <w:autoSpaceDN w:val="0"/>
        <w:adjustRightInd w:val="0"/>
        <w:spacing w:after="120"/>
        <w:ind w:firstLine="288"/>
        <w:jc w:val="both"/>
        <w:rPr>
          <w:rFonts w:cs="Times New Roman"/>
        </w:rPr>
      </w:pPr>
      <w:r>
        <w:t>With respect to property transfers, the pre-</w:t>
      </w:r>
      <w:r>
        <w:rPr>
          <w:i/>
        </w:rPr>
        <w:t>Davis</w:t>
      </w:r>
      <w:r>
        <w:t xml:space="preserve"> precedents described earlier would presumably govern—even though those precedents dealt with couples that were recognized as married for Federal income tax purposes—because they </w:t>
      </w:r>
      <w:r w:rsidRPr="00F65835">
        <w:rPr>
          <w:rFonts w:cs="Times New Roman"/>
        </w:rPr>
        <w:t>focused on the effect of state law on the parties’ property ownership interests rather than on thei</w:t>
      </w:r>
      <w:r>
        <w:rPr>
          <w:rFonts w:cs="Times New Roman"/>
        </w:rPr>
        <w:t>r marital status. A</w:t>
      </w:r>
      <w:r w:rsidRPr="00F65835">
        <w:rPr>
          <w:rFonts w:cs="Times New Roman"/>
        </w:rPr>
        <w:t>s noted in Chief Counsel Advice 2010</w:t>
      </w:r>
      <w:r w:rsidR="005F3673">
        <w:rPr>
          <w:rFonts w:cs="Times New Roman"/>
        </w:rPr>
        <w:t>21050 (</w:t>
      </w:r>
      <w:r>
        <w:rPr>
          <w:rFonts w:cs="Times New Roman"/>
        </w:rPr>
        <w:t xml:space="preserve">Chapter 8), </w:t>
      </w:r>
      <w:r w:rsidRPr="00F65835">
        <w:rPr>
          <w:rFonts w:cs="Times New Roman"/>
        </w:rPr>
        <w:t>state law govern</w:t>
      </w:r>
      <w:r>
        <w:rPr>
          <w:rFonts w:cs="Times New Roman"/>
        </w:rPr>
        <w:t>s</w:t>
      </w:r>
      <w:r w:rsidRPr="00F65835">
        <w:rPr>
          <w:rFonts w:cs="Times New Roman"/>
        </w:rPr>
        <w:t xml:space="preserve"> the </w:t>
      </w:r>
      <w:r w:rsidRPr="007B42F0">
        <w:rPr>
          <w:rFonts w:cs="Times New Roman"/>
          <w:i/>
        </w:rPr>
        <w:t>property interests</w:t>
      </w:r>
      <w:r w:rsidRPr="00F65835">
        <w:rPr>
          <w:rFonts w:cs="Times New Roman"/>
        </w:rPr>
        <w:t xml:space="preserve"> enjoyed by each member of a</w:t>
      </w:r>
      <w:r>
        <w:rPr>
          <w:rFonts w:cs="Times New Roman"/>
        </w:rPr>
        <w:t>n RDP for purposes of Federal income taxation</w:t>
      </w:r>
      <w:r w:rsidRPr="00F65835">
        <w:rPr>
          <w:rFonts w:cs="Times New Roman"/>
        </w:rPr>
        <w:t>. Thus, under Revenue Ruling</w:t>
      </w:r>
      <w:r>
        <w:rPr>
          <w:rFonts w:cs="Times New Roman"/>
        </w:rPr>
        <w:t xml:space="preserve">s 76-83 and 74-347 (described and cited 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 and some goes in its entirety to the other. </w:t>
      </w:r>
      <w:r w:rsidRPr="00F65835">
        <w:rPr>
          <w:rFonts w:cs="Times New Roman"/>
        </w:rPr>
        <w:t xml:space="preserve">“The legal argument </w:t>
      </w:r>
      <w:r>
        <w:rPr>
          <w:rFonts w:cs="Times New Roman"/>
        </w:rPr>
        <w:t>[in those rulings] i</w:t>
      </w:r>
      <w:r w:rsidRPr="00F65835">
        <w:rPr>
          <w:rFonts w:cs="Times New Roman"/>
        </w:rPr>
        <w:t xml:space="preserve">s that there is </w:t>
      </w:r>
      <w:r w:rsidRPr="00F65835">
        <w:rPr>
          <w:rFonts w:cs="Times New Roman"/>
          <w:i/>
          <w:iCs/>
        </w:rPr>
        <w:t xml:space="preserve">no realization </w:t>
      </w:r>
      <w:r w:rsidRPr="00F65835">
        <w:rPr>
          <w:rFonts w:cs="Times New Roman"/>
        </w:rPr>
        <w:t>when two partners make an equal division of their jointly owned property. The same argument can be used to support non-realization in property divisi</w:t>
      </w:r>
      <w:r>
        <w:rPr>
          <w:rFonts w:cs="Times New Roman"/>
        </w:rPr>
        <w:t xml:space="preserve">ons between … </w:t>
      </w:r>
      <w:r w:rsidRPr="00F65835">
        <w:rPr>
          <w:rFonts w:cs="Times New Roman"/>
        </w:rPr>
        <w:t>registered domestic partners.”</w:t>
      </w:r>
      <w:r>
        <w:rPr>
          <w:rStyle w:val="FootnoteReference"/>
          <w:rFonts w:cs="Times New Roman"/>
        </w:rPr>
        <w:footnoteReference w:id="327"/>
      </w:r>
      <w:r>
        <w:rPr>
          <w:rFonts w:cs="Times New Roman"/>
        </w:rPr>
        <w:t xml:space="preserve"> If gain is not realized under § 1001, § 1041 is not needed to avoid recognition of that gain. </w:t>
      </w:r>
    </w:p>
    <w:p w:rsidR="0078310B" w:rsidRPr="004C48AC" w:rsidRDefault="0078310B" w:rsidP="0078310B">
      <w:pPr>
        <w:widowControl w:val="0"/>
        <w:autoSpaceDE w:val="0"/>
        <w:autoSpaceDN w:val="0"/>
        <w:adjustRightInd w:val="0"/>
        <w:spacing w:after="120"/>
        <w:ind w:firstLine="288"/>
        <w:jc w:val="both"/>
      </w:pPr>
      <w:r>
        <w:rPr>
          <w:rFonts w:cs="Times New Roman"/>
        </w:rPr>
        <w:t xml:space="preserve">Under Revenue Ruling 74-347, however, unequal divisions of jointly owned property in common law states could result in taxation if § 1041 does not apply. Indeed, </w:t>
      </w:r>
      <w:r>
        <w:t xml:space="preserve">a transfer of property wholly owned by one party to the other in a common law state under legal compulsion of a civil decree dissolving the union would be a realization event for the transferor under </w:t>
      </w:r>
      <w:r>
        <w:rPr>
          <w:i/>
        </w:rPr>
        <w:t>Davis</w:t>
      </w:r>
      <w:r>
        <w:t>, itself.</w:t>
      </w:r>
    </w:p>
    <w:p w:rsidR="0078310B" w:rsidRDefault="0078310B" w:rsidP="0078310B">
      <w:pPr>
        <w:widowControl w:val="0"/>
        <w:spacing w:after="120"/>
        <w:ind w:firstLine="288"/>
        <w:jc w:val="both"/>
      </w:pPr>
      <w:r>
        <w:t xml:space="preserve">In a community property state, the unequal division of community property in kind on dissolution of an RDP can be resolved by one partner agreeing to pay cash (earned in the future after dissolution and thus not community property but rather separate property of the earner)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the full account balance and thus agrees to pay to Lee $50,000 in several installments after the dissolution in order to purchase Lee’s 50% community interest in the account. </w:t>
      </w:r>
    </w:p>
    <w:p w:rsidR="0078310B" w:rsidRDefault="0078310B" w:rsidP="0078310B">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property is clearly $0 on these facts.</w:t>
      </w:r>
      <w:r>
        <w:rPr>
          <w:rStyle w:val="FootnoteReference"/>
        </w:rPr>
        <w:footnoteReference w:id="328"/>
      </w:r>
      <w:r>
        <w:t xml:space="preserve"> Thus, 100% of each cash receipt constitutes §1001 realized gain for Lee and would be fully includable as ordinary income.</w:t>
      </w:r>
      <w:r>
        <w:rPr>
          <w:rStyle w:val="FootnoteReference"/>
        </w:rPr>
        <w:footnoteReference w:id="329"/>
      </w:r>
      <w:r>
        <w:t xml:space="preserve"> Mary should, in theory, be able to increase her $0 basis in the § 401(k) account by $50,000, equal to the $50,000 that she pays to Lee for her interest in the property.</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75" w:name="_Toc395790476"/>
      <w:r w:rsidRPr="00B4225D">
        <w:rPr>
          <w:u w:val="single"/>
        </w:rPr>
        <w:t>Problem</w:t>
      </w:r>
      <w:bookmarkEnd w:id="175"/>
    </w:p>
    <w:p w:rsidR="0078310B" w:rsidRPr="00EE02BB"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rsidR="0078310B" w:rsidRDefault="0078310B" w:rsidP="0078310B">
      <w:pPr>
        <w:widowControl w:val="0"/>
        <w:ind w:firstLine="288"/>
        <w:jc w:val="both"/>
      </w:pPr>
      <w:r>
        <w:t xml:space="preserve">Neither Matthew nor William plan to sell their properties soon. (William plans to move into what had been their vacation home and use it as his new primary residence.) To equalize the 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 </w:t>
      </w:r>
    </w:p>
    <w:p w:rsidR="0078310B" w:rsidRPr="00D51854" w:rsidRDefault="0078310B" w:rsidP="0078310B">
      <w:pPr>
        <w:sectPr w:rsidR="0078310B" w:rsidRPr="00D51854" w:rsidSect="005337BA">
          <w:headerReference w:type="default" r:id="rId475"/>
          <w:footnotePr>
            <w:numRestart w:val="eachSect"/>
          </w:footnotePr>
          <w:type w:val="continuous"/>
          <w:pgSz w:w="12240" w:h="15840"/>
          <w:pgMar w:top="1440" w:right="1440" w:bottom="1440" w:left="1440" w:header="1008" w:footer="720" w:gutter="0"/>
          <w:cols w:space="720"/>
          <w:titlePg/>
          <w:docGrid w:linePitch="360"/>
        </w:sectPr>
      </w:pPr>
    </w:p>
    <w:p w:rsidR="0078310B" w:rsidRDefault="0078310B" w:rsidP="0078310B">
      <w:pPr>
        <w:widowControl w:val="0"/>
        <w:spacing w:after="120"/>
        <w:ind w:firstLine="288"/>
        <w:sectPr w:rsidR="0078310B" w:rsidSect="005337BA">
          <w:headerReference w:type="default" r:id="rId476"/>
          <w:footnotePr>
            <w:numRestart w:val="eachSect"/>
          </w:footnotePr>
          <w:pgSz w:w="12240" w:h="15840"/>
          <w:pgMar w:top="1440" w:right="1440" w:bottom="1440" w:left="1440" w:header="1008" w:footer="720" w:gutter="0"/>
          <w:cols w:space="720"/>
          <w:docGrid w:linePitch="360"/>
        </w:sectPr>
      </w:pPr>
    </w:p>
    <w:p w:rsidR="0078310B" w:rsidRDefault="0078310B" w:rsidP="0078310B">
      <w:pPr>
        <w:pStyle w:val="Heading1"/>
        <w:spacing w:before="0"/>
        <w:rPr>
          <w:b w:val="0"/>
          <w:sz w:val="40"/>
          <w:szCs w:val="40"/>
          <w:u w:val="none"/>
        </w:rPr>
      </w:pPr>
      <w:bookmarkStart w:id="176" w:name="_Toc395790477"/>
      <w:r w:rsidRPr="00EE02BB">
        <w:rPr>
          <w:sz w:val="40"/>
          <w:szCs w:val="40"/>
          <w:u w:val="none"/>
        </w:rPr>
        <w:t>Unit IV</w:t>
      </w:r>
      <w:r>
        <w:rPr>
          <w:sz w:val="40"/>
          <w:szCs w:val="40"/>
          <w:u w:val="none"/>
        </w:rPr>
        <w:t>:</w:t>
      </w:r>
    </w:p>
    <w:p w:rsidR="0078310B" w:rsidRPr="00EE02BB" w:rsidRDefault="0078310B" w:rsidP="0078310B">
      <w:pPr>
        <w:rPr>
          <w:sz w:val="36"/>
          <w:szCs w:val="36"/>
        </w:rPr>
      </w:pPr>
    </w:p>
    <w:p w:rsidR="0078310B" w:rsidRDefault="0078310B" w:rsidP="0078310B">
      <w:pPr>
        <w:pStyle w:val="Heading1"/>
        <w:spacing w:before="0"/>
        <w:rPr>
          <w:sz w:val="36"/>
          <w:szCs w:val="36"/>
          <w:u w:val="none"/>
        </w:rPr>
      </w:pPr>
      <w:r w:rsidRPr="00EE02BB">
        <w:rPr>
          <w:sz w:val="36"/>
          <w:szCs w:val="36"/>
          <w:u w:val="none"/>
        </w:rPr>
        <w:t xml:space="preserve">Everything You Ever </w:t>
      </w:r>
      <w:r>
        <w:rPr>
          <w:sz w:val="36"/>
          <w:szCs w:val="36"/>
          <w:u w:val="none"/>
        </w:rPr>
        <w:t>Wanted</w:t>
      </w:r>
    </w:p>
    <w:p w:rsidR="0078310B" w:rsidRPr="00EE02BB" w:rsidRDefault="0078310B" w:rsidP="0078310B">
      <w:pPr>
        <w:pStyle w:val="Heading1"/>
        <w:spacing w:before="0"/>
        <w:rPr>
          <w:b w:val="0"/>
          <w:sz w:val="36"/>
          <w:szCs w:val="36"/>
        </w:rPr>
      </w:pPr>
      <w:r>
        <w:rPr>
          <w:sz w:val="36"/>
          <w:szCs w:val="36"/>
        </w:rPr>
        <w:t>To Know About Debt b</w:t>
      </w:r>
      <w:r w:rsidRPr="00EE02BB">
        <w:rPr>
          <w:sz w:val="36"/>
          <w:szCs w:val="36"/>
        </w:rPr>
        <w:t>ut Were Afraid To Ask</w:t>
      </w:r>
      <w:bookmarkEnd w:id="176"/>
    </w:p>
    <w:p w:rsidR="0078310B" w:rsidRPr="00EE02BB" w:rsidRDefault="0078310B" w:rsidP="0078310B">
      <w:pPr>
        <w:spacing w:after="120"/>
      </w:pPr>
    </w:p>
    <w:p w:rsidR="0078310B" w:rsidRDefault="0078310B" w:rsidP="0078310B">
      <w:pPr>
        <w:pStyle w:val="Heading2"/>
        <w:spacing w:before="0"/>
        <w:rPr>
          <w:b w:val="0"/>
        </w:rPr>
      </w:pPr>
      <w:bookmarkStart w:id="177" w:name="_Toc395790478"/>
      <w:r w:rsidRPr="008858B6">
        <w:rPr>
          <w:u w:val="single"/>
        </w:rPr>
        <w:t>Introduct</w:t>
      </w:r>
      <w:r>
        <w:rPr>
          <w:u w:val="single"/>
        </w:rPr>
        <w:t>ion to Chapters 10 through</w:t>
      </w:r>
      <w:r w:rsidRPr="008858B6">
        <w:rPr>
          <w:u w:val="single"/>
        </w:rPr>
        <w:t xml:space="preserve"> 12</w:t>
      </w:r>
      <w:bookmarkEnd w:id="177"/>
    </w:p>
    <w:p w:rsidR="0078310B" w:rsidRPr="00594157" w:rsidRDefault="0078310B" w:rsidP="0078310B"/>
    <w:p w:rsidR="0078310B" w:rsidRDefault="0078310B" w:rsidP="0078310B">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rsidR="0078310B" w:rsidRDefault="0078310B" w:rsidP="0078310B">
      <w:pPr>
        <w:widowControl w:val="0"/>
        <w:spacing w:after="120"/>
        <w:ind w:firstLine="288"/>
        <w:jc w:val="both"/>
      </w:pPr>
      <w:r>
        <w:t xml:space="preserve">For example, assume a no-tax world in which Veronica and Victor each have $100,000 in cash to invest. Veronica uses her funds to purchase one rental property (nondepreciable land rented to tenant farmers, to keep the analysis simple) for $100,000 in cash, which she rents to a tenant at a monthly rent of $1,000, or $12,000 per year. At the end of five years, the land has appreciated in value to $130,000, and she sells the property. </w:t>
      </w:r>
    </w:p>
    <w:p w:rsidR="0078310B" w:rsidRDefault="0078310B" w:rsidP="0078310B">
      <w:pPr>
        <w:widowControl w:val="0"/>
        <w:spacing w:after="120"/>
        <w:ind w:firstLine="288"/>
        <w:jc w:val="both"/>
      </w:pPr>
      <w:r>
        <w:t xml:space="preserve">Victor uses his funds to purchase </w:t>
      </w:r>
      <w:r w:rsidRPr="0031632F">
        <w:rPr>
          <w:i/>
        </w:rPr>
        <w:t>five</w:t>
      </w:r>
      <w:r>
        <w:t xml:space="preserve"> rental properties (nondepreciable land rented to tenant farmers) for $100,000 each, making a $20,000 cash down payment and borrowing $80,000 at an interest rate of 4% with respect to each property. Thus,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rsidR="0078310B" w:rsidRDefault="0078310B" w:rsidP="0078310B">
      <w:pPr>
        <w:widowControl w:val="0"/>
        <w:ind w:firstLine="288"/>
        <w:jc w:val="both"/>
      </w:pPr>
      <w:r>
        <w:t xml:space="preserve">Putting tax consequences aside, compare the aggregate pre-tax profit for each on these identical $100,000 cash investments. </w:t>
      </w:r>
    </w:p>
    <w:p w:rsidR="0078310B" w:rsidRDefault="0078310B" w:rsidP="0078310B">
      <w:pPr>
        <w:widowControl w:val="0"/>
        <w:ind w:firstLine="288"/>
        <w:jc w:val="both"/>
      </w:pPr>
    </w:p>
    <w:p w:rsidR="0078310B" w:rsidRPr="004A461F" w:rsidRDefault="0078310B" w:rsidP="0078310B">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rsidR="0078310B" w:rsidRDefault="0078310B" w:rsidP="0078310B">
      <w:pPr>
        <w:widowControl w:val="0"/>
      </w:pPr>
      <w:r>
        <w:t xml:space="preserve">buys 1 land tract for $100,000 cash                  buys 5 land tracts, paying $20,000 in cash and </w:t>
      </w:r>
    </w:p>
    <w:p w:rsidR="0078310B" w:rsidRDefault="0078310B" w:rsidP="0078310B">
      <w:pPr>
        <w:widowControl w:val="0"/>
      </w:pPr>
      <w:r>
        <w:t xml:space="preserve">                                                                          borrowing $80,000 at 4% interest for each,</w:t>
      </w:r>
    </w:p>
    <w:p w:rsidR="0078310B" w:rsidRDefault="0078310B" w:rsidP="0078310B">
      <w:pPr>
        <w:widowControl w:val="0"/>
        <w:spacing w:after="120"/>
      </w:pPr>
      <w:r>
        <w:t xml:space="preserve">                                                                          with $400,000 borrowed in the aggregate</w:t>
      </w:r>
    </w:p>
    <w:p w:rsidR="0078310B" w:rsidRDefault="0078310B" w:rsidP="0078310B">
      <w:pPr>
        <w:widowControl w:val="0"/>
      </w:pPr>
      <w:r>
        <w:t>annual rental income: $12,000                         annual gross rental income: $60,000</w:t>
      </w:r>
    </w:p>
    <w:p w:rsidR="0078310B" w:rsidRPr="00D20DE2" w:rsidRDefault="0078310B" w:rsidP="0078310B">
      <w:pPr>
        <w:widowControl w:val="0"/>
      </w:pPr>
      <w:r>
        <w:t xml:space="preserve">                                                                          </w:t>
      </w:r>
      <w:r>
        <w:rPr>
          <w:i/>
        </w:rPr>
        <w:t>less</w:t>
      </w:r>
      <w:r>
        <w:t xml:space="preserve"> annual interest cost:        </w:t>
      </w:r>
      <w:r w:rsidRPr="003A309E">
        <w:rPr>
          <w:u w:val="single"/>
        </w:rPr>
        <w:t>16,000</w:t>
      </w:r>
    </w:p>
    <w:p w:rsidR="0078310B" w:rsidRDefault="0078310B" w:rsidP="0078310B">
      <w:pPr>
        <w:widowControl w:val="0"/>
        <w:spacing w:after="120"/>
      </w:pPr>
      <w:r>
        <w:t xml:space="preserve">                                                                          annual net rental income:     $44,000   </w:t>
      </w:r>
    </w:p>
    <w:p w:rsidR="0078310B" w:rsidRDefault="0078310B" w:rsidP="0078310B">
      <w:pPr>
        <w:widowControl w:val="0"/>
        <w:spacing w:after="120"/>
      </w:pPr>
      <w:r>
        <w:t>total rental income over 5 years: $60,000        total net rental income over 5 years: $220,000</w:t>
      </w:r>
    </w:p>
    <w:p w:rsidR="0078310B" w:rsidRDefault="0078310B" w:rsidP="0078310B">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rsidR="0078310B" w:rsidRDefault="0078310B" w:rsidP="0078310B">
      <w:pPr>
        <w:widowControl w:val="0"/>
        <w:spacing w:after="120"/>
      </w:pPr>
      <w:r>
        <w:t xml:space="preserve">                                                                          profit</w:t>
      </w:r>
    </w:p>
    <w:p w:rsidR="0078310B" w:rsidRPr="00A8051C" w:rsidRDefault="0078310B" w:rsidP="0078310B">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rsidR="0078310B" w:rsidRDefault="0078310B" w:rsidP="0078310B">
      <w:pPr>
        <w:widowControl w:val="0"/>
        <w:spacing w:after="120"/>
      </w:pPr>
      <w:r>
        <w:t>$30,000) = 90% ($90,000/$100,</w:t>
      </w:r>
      <w:r w:rsidR="00D37CA0">
        <w:t xml:space="preserve">000)              = 370% </w:t>
      </w:r>
      <w:r>
        <w:t xml:space="preserve">($370,000/$100,000)                                            </w:t>
      </w:r>
    </w:p>
    <w:p w:rsidR="0078310B" w:rsidRPr="004629B0" w:rsidRDefault="0078310B" w:rsidP="0078310B">
      <w:pPr>
        <w:widowControl w:val="0"/>
        <w:rPr>
          <w:b/>
        </w:rPr>
      </w:pPr>
      <w:r>
        <w:t>$190,000 cash in hand                                      $470,000 cash in hand</w:t>
      </w:r>
    </w:p>
    <w:p w:rsidR="0078310B" w:rsidRPr="00A8051C" w:rsidRDefault="0078310B" w:rsidP="0078310B">
      <w:pPr>
        <w:widowControl w:val="0"/>
        <w:jc w:val="both"/>
      </w:pPr>
    </w:p>
    <w:p w:rsidR="0078310B" w:rsidRDefault="0078310B" w:rsidP="0078310B">
      <w:pPr>
        <w:widowControl w:val="0"/>
        <w:ind w:firstLine="288"/>
        <w:jc w:val="both"/>
      </w:pPr>
      <w:r>
        <w:t xml:space="preserve">The description above is a simple example of how private equity firms use leverage (borrowed 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rsidR="0078310B" w:rsidRDefault="0078310B" w:rsidP="0078310B">
      <w:pPr>
        <w:widowControl w:val="0"/>
        <w:ind w:firstLine="288"/>
        <w:jc w:val="both"/>
        <w:rPr>
          <w:b/>
          <w:u w:val="single"/>
        </w:rPr>
      </w:pPr>
    </w:p>
    <w:p w:rsidR="0078310B" w:rsidRDefault="0078310B" w:rsidP="0078310B">
      <w:pPr>
        <w:widowControl w:val="0"/>
        <w:spacing w:after="120"/>
        <w:jc w:val="both"/>
      </w:pPr>
      <w:r>
        <w:rPr>
          <w:b/>
          <w:u w:val="single"/>
        </w:rPr>
        <w:t>Veronica</w:t>
      </w:r>
      <w:r>
        <w:t xml:space="preserve">                                                          </w:t>
      </w:r>
      <w:r w:rsidRPr="00D20DE2">
        <w:rPr>
          <w:b/>
          <w:u w:val="single"/>
        </w:rPr>
        <w:t>Victor</w:t>
      </w:r>
    </w:p>
    <w:p w:rsidR="0078310B" w:rsidRDefault="0078310B" w:rsidP="0078310B">
      <w:pPr>
        <w:widowControl w:val="0"/>
        <w:spacing w:after="120"/>
      </w:pPr>
      <w:r>
        <w:t>total rental income over 5 years: $60,000        total net rental income over 5 years: $220,000</w:t>
      </w:r>
    </w:p>
    <w:p w:rsidR="0078310B" w:rsidRDefault="0078310B" w:rsidP="0078310B">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rsidR="0078310B" w:rsidRDefault="0078310B" w:rsidP="0078310B">
      <w:pPr>
        <w:widowControl w:val="0"/>
        <w:spacing w:after="120"/>
      </w:pPr>
      <w:r>
        <w:t xml:space="preserve">                                                                          loss</w:t>
      </w:r>
    </w:p>
    <w:p w:rsidR="0078310B" w:rsidRPr="00A8051C" w:rsidRDefault="0078310B" w:rsidP="0078310B">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rsidR="0078310B" w:rsidRDefault="0078310B" w:rsidP="0078310B">
      <w:pPr>
        <w:widowControl w:val="0"/>
        <w:spacing w:after="120"/>
      </w:pPr>
      <w:r>
        <w:t>$50,000) = 10% profit                                      = 30% loss</w:t>
      </w:r>
    </w:p>
    <w:p w:rsidR="0078310B" w:rsidRDefault="0078310B" w:rsidP="0078310B">
      <w:pPr>
        <w:widowControl w:val="0"/>
      </w:pPr>
      <w:r>
        <w:t>$110,000 cash on hand                                     $70,000 cash on hand</w:t>
      </w:r>
    </w:p>
    <w:p w:rsidR="0078310B" w:rsidRDefault="0078310B" w:rsidP="0078310B">
      <w:pPr>
        <w:widowControl w:val="0"/>
        <w:ind w:firstLine="288"/>
        <w:jc w:val="both"/>
      </w:pPr>
    </w:p>
    <w:p w:rsidR="0078310B" w:rsidRDefault="0078310B" w:rsidP="0078310B">
      <w:pPr>
        <w:widowControl w:val="0"/>
        <w:spacing w:after="120"/>
        <w:ind w:firstLine="288"/>
        <w:jc w:val="both"/>
      </w:pPr>
      <w:r>
        <w:t>Th</w:t>
      </w:r>
      <w:r w:rsidR="00863540">
        <w:t xml:space="preserve">e financial sector occupied about 2.8% </w:t>
      </w:r>
      <w:r>
        <w:t>of GDP</w:t>
      </w:r>
      <w:r w:rsidR="00863540">
        <w:t xml:space="preserve"> in 1950 but occupies more than </w:t>
      </w:r>
      <w:r>
        <w:t>8</w:t>
      </w:r>
      <w:r w:rsidR="00863540">
        <w:t xml:space="preserve">% </w:t>
      </w:r>
      <w:r>
        <w:t>today.</w:t>
      </w:r>
      <w:r>
        <w:rPr>
          <w:rStyle w:val="FootnoteReference"/>
        </w:rPr>
        <w:footnoteReference w:id="330"/>
      </w:r>
      <w:r>
        <w:t xml:space="preserve"> It has doubled since 1980, making the tax system’s rules regarding debt increasingly important. </w:t>
      </w:r>
    </w:p>
    <w:p w:rsidR="0078310B" w:rsidRDefault="0078310B" w:rsidP="0078310B">
      <w:pPr>
        <w:widowControl w:val="0"/>
        <w:spacing w:after="120"/>
        <w:ind w:firstLine="288"/>
        <w:jc w:val="both"/>
      </w:pPr>
      <w:r>
        <w:t xml:space="preserve">Chapter 10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rsidR="0078310B" w:rsidRDefault="0078310B" w:rsidP="0078310B">
      <w:pPr>
        <w:widowControl w:val="0"/>
        <w:spacing w:after="120"/>
        <w:ind w:firstLine="288"/>
        <w:jc w:val="both"/>
      </w:pPr>
      <w:r>
        <w:t>What tax consequences arise for both the lender and the borrower if events do not unfold accordin</w:t>
      </w:r>
      <w:r w:rsidR="0071545D">
        <w:t>g to original assumptions</w:t>
      </w:r>
      <w:r>
        <w:t xml:space="preserve">, and the borrower fails to repay principal or fails to pay required interest? Chapter 11 examines this issue. </w:t>
      </w:r>
    </w:p>
    <w:p w:rsidR="0078310B" w:rsidRPr="00D407C1" w:rsidRDefault="0078310B" w:rsidP="0078310B">
      <w:pPr>
        <w:widowControl w:val="0"/>
        <w:spacing w:after="120"/>
        <w:ind w:firstLine="288"/>
        <w:jc w:val="both"/>
      </w:pPr>
      <w:r>
        <w:t>Finally, Chapter 12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rsidR="0078310B" w:rsidRDefault="0078310B" w:rsidP="0078310B">
      <w:pPr>
        <w:widowControl w:val="0"/>
        <w:spacing w:after="120"/>
        <w:ind w:firstLine="288"/>
      </w:pPr>
    </w:p>
    <w:p w:rsidR="0078310B" w:rsidRDefault="0078310B" w:rsidP="0078310B">
      <w:pPr>
        <w:widowControl w:val="0"/>
        <w:spacing w:after="120"/>
        <w:ind w:firstLine="288"/>
        <w:sectPr w:rsidR="0078310B" w:rsidSect="005337BA">
          <w:headerReference w:type="default" r:id="rId477"/>
          <w:footnotePr>
            <w:numRestart w:val="eachSect"/>
          </w:footnotePr>
          <w:type w:val="continuous"/>
          <w:pgSz w:w="12240" w:h="15840"/>
          <w:pgMar w:top="1440" w:right="1440" w:bottom="1440" w:left="1440" w:header="1008" w:footer="720" w:gutter="0"/>
          <w:cols w:space="720"/>
          <w:docGrid w:linePitch="360"/>
        </w:sectPr>
      </w:pPr>
    </w:p>
    <w:p w:rsidR="0078310B" w:rsidRDefault="0078310B" w:rsidP="0078310B">
      <w:pPr>
        <w:widowControl w:val="0"/>
        <w:sectPr w:rsidR="0078310B" w:rsidSect="005337BA">
          <w:footnotePr>
            <w:numRestart w:val="eachSect"/>
          </w:footnotePr>
          <w:pgSz w:w="12240" w:h="15840"/>
          <w:pgMar w:top="1440" w:right="1440" w:bottom="1440" w:left="1440" w:header="1008" w:footer="720" w:gutter="0"/>
          <w:cols w:space="720"/>
          <w:titlePg/>
          <w:docGrid w:linePitch="360"/>
        </w:sectPr>
      </w:pPr>
    </w:p>
    <w:p w:rsidR="0078310B" w:rsidRPr="00C17FE7" w:rsidRDefault="0078310B" w:rsidP="0078310B">
      <w:pPr>
        <w:pStyle w:val="Heading2"/>
        <w:spacing w:before="0"/>
        <w:rPr>
          <w:sz w:val="36"/>
          <w:szCs w:val="36"/>
          <w:u w:val="single"/>
        </w:rPr>
      </w:pPr>
      <w:bookmarkStart w:id="178" w:name="_Toc395790479"/>
      <w:r w:rsidRPr="00C17FE7">
        <w:rPr>
          <w:sz w:val="36"/>
          <w:szCs w:val="36"/>
          <w:u w:val="single"/>
        </w:rPr>
        <w:t>Chapter 10: Borrowing and Lending</w:t>
      </w:r>
      <w:bookmarkEnd w:id="178"/>
    </w:p>
    <w:p w:rsidR="0078310B" w:rsidRDefault="0078310B" w:rsidP="0078310B">
      <w:pPr>
        <w:widowControl w:val="0"/>
        <w:spacing w:after="120"/>
        <w:ind w:firstLine="288"/>
      </w:pPr>
    </w:p>
    <w:p w:rsidR="0078310B" w:rsidRDefault="0078310B" w:rsidP="0078310B">
      <w:pPr>
        <w:widowControl w:val="0"/>
        <w:ind w:firstLine="288"/>
        <w:jc w:val="both"/>
      </w:pPr>
      <w:r>
        <w:t xml:space="preserve">This chapter addresses the income tax treatment of the borrowing, lending, and repayment of principal, as well as the payment and receipt of interest, </w:t>
      </w:r>
      <w:r w:rsidR="000937FD">
        <w:t xml:space="preserve">which </w:t>
      </w:r>
      <w:r>
        <w:t xml:space="preserve">compensates the lender for the time value of money. </w:t>
      </w:r>
      <w:r w:rsidR="000937FD">
        <w:t>(</w:t>
      </w:r>
      <w:r>
        <w:t>You can think of interest as “rent” paid to use someone else’s cash, just as “rent” can be paid to use someone else’s re</w:t>
      </w:r>
      <w:r w:rsidR="000937FD">
        <w:t xml:space="preserve">al estate.) At least, this chapter describes those tax consequences when everything goes according to plan and all payments are made as expected. </w:t>
      </w:r>
    </w:p>
    <w:p w:rsidR="0078310B" w:rsidRDefault="0078310B" w:rsidP="0078310B">
      <w:pPr>
        <w:widowControl w:val="0"/>
        <w:ind w:firstLine="288"/>
        <w:jc w:val="both"/>
      </w:pPr>
    </w:p>
    <w:p w:rsidR="0078310B" w:rsidRPr="00C17FE7" w:rsidRDefault="0078310B" w:rsidP="0078310B">
      <w:pPr>
        <w:pStyle w:val="Heading2"/>
        <w:spacing w:before="0"/>
        <w:rPr>
          <w:sz w:val="32"/>
          <w:szCs w:val="32"/>
          <w:u w:val="single"/>
        </w:rPr>
      </w:pPr>
      <w:bookmarkStart w:id="179" w:name="_Toc395790480"/>
      <w:r w:rsidRPr="00C17FE7">
        <w:rPr>
          <w:sz w:val="32"/>
          <w:szCs w:val="32"/>
          <w:u w:val="single"/>
        </w:rPr>
        <w:t>A. The basic rules of the road</w:t>
      </w:r>
      <w:bookmarkEnd w:id="179"/>
    </w:p>
    <w:p w:rsidR="0078310B" w:rsidRPr="00A8715B" w:rsidRDefault="0078310B" w:rsidP="0078310B">
      <w:pPr>
        <w:widowControl w:val="0"/>
      </w:pPr>
    </w:p>
    <w:p w:rsidR="0078310B" w:rsidRDefault="0078310B" w:rsidP="0078310B">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31"/>
      </w:r>
      <w:r w:rsidRPr="001729B2">
        <w:rPr>
          <w:sz w:val="24"/>
          <w:szCs w:val="24"/>
        </w:rPr>
        <w:t xml:space="preserve"> </w:t>
      </w:r>
      <w:r>
        <w:rPr>
          <w:sz w:val="24"/>
          <w:szCs w:val="24"/>
        </w:rPr>
        <w:t>What is the income tax treatment of these payments and receipts for each party?</w:t>
      </w:r>
    </w:p>
    <w:p w:rsidR="0078310B" w:rsidRPr="002F0208" w:rsidRDefault="0078310B" w:rsidP="0078310B">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 his wealth—a nondeductible “capital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78"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 latter characterization. Thus, Larry cannot deduct the $100,000 transferred to Betty in Year 1, but that nondeduction immediately</w:t>
      </w:r>
      <w:r>
        <w:rPr>
          <w:sz w:val="24"/>
          <w:szCs w:val="24"/>
        </w:rPr>
        <w:t xml:space="preserve"> creates a $100,000 basis in the loan. Of the aggregate $148,024.43 that Larry will receive</w:t>
      </w:r>
      <w:r w:rsidR="001708D2">
        <w:rPr>
          <w:sz w:val="24"/>
          <w:szCs w:val="24"/>
        </w:rPr>
        <w:t xml:space="preserve"> in Year 10</w:t>
      </w:r>
      <w:r>
        <w:rPr>
          <w:sz w:val="24"/>
          <w:szCs w:val="24"/>
        </w:rPr>
        <w:t>, $100</w:t>
      </w:r>
      <w:r w:rsidR="001708D2">
        <w:rPr>
          <w:sz w:val="24"/>
          <w:szCs w:val="24"/>
        </w:rPr>
        <w:t>,000 is tax-free basis recovery</w:t>
      </w:r>
      <w:r>
        <w:rPr>
          <w:sz w:val="24"/>
          <w:szCs w:val="24"/>
        </w:rPr>
        <w:t xml:space="preserve">, but the remaining $48,024.43 is new wealth to Larry in the form of interest, includable in his Gross Income under </w:t>
      </w:r>
      <w:hyperlink r:id="rId479"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rsidR="0078310B" w:rsidRPr="002F0208" w:rsidRDefault="0078310B" w:rsidP="0078310B">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rsidR="0078310B" w:rsidRPr="00A94163" w:rsidRDefault="0078310B" w:rsidP="0078310B">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rsidR="0078310B" w:rsidRPr="00A94163" w:rsidRDefault="0078310B" w:rsidP="0078310B">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rsidR="0078310B" w:rsidRPr="0024192A" w:rsidRDefault="0078310B" w:rsidP="0078310B">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78310B" w:rsidRPr="002F0208" w:rsidRDefault="0078310B" w:rsidP="0078310B">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obligation to repay. Were it not for Betty’s promise to repay </w:t>
      </w:r>
      <w:r w:rsidR="004B24B1">
        <w:rPr>
          <w:sz w:val="24"/>
          <w:szCs w:val="24"/>
        </w:rPr>
        <w:t xml:space="preserve">in Year 10 </w:t>
      </w:r>
      <w:r>
        <w:rPr>
          <w:sz w:val="24"/>
          <w:szCs w:val="24"/>
        </w:rPr>
        <w:t xml:space="preserve">the $100,000 cash received in Year 1, the receipt would clearly constitute an immediate wealth accession under </w:t>
      </w:r>
      <w:r>
        <w:rPr>
          <w:i/>
          <w:sz w:val="24"/>
          <w:szCs w:val="24"/>
        </w:rPr>
        <w:t>Glenshaw Glass</w:t>
      </w:r>
      <w:r>
        <w:rPr>
          <w:sz w:val="24"/>
          <w:szCs w:val="24"/>
        </w:rPr>
        <w:t>’s interpretation of the § 61 residual clause.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If we stick with this “balance sheet”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rsidR="0078310B" w:rsidRPr="00B03155"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Thus, </w:t>
      </w:r>
      <w:hyperlink r:id="rId480" w:history="1">
        <w:r w:rsidRPr="004765E4">
          <w:rPr>
            <w:rStyle w:val="Hyperlink"/>
          </w:rPr>
          <w:t>§ 61</w:t>
        </w:r>
      </w:hyperlink>
      <w:r>
        <w:t xml:space="preserve">(a)(12) will generally generate Gross Income if her obligation to repay disappears, or else Betty will have received </w:t>
      </w:r>
      <w:r w:rsidRPr="002A0398">
        <w:rPr>
          <w:i/>
        </w:rPr>
        <w:t>permanently</w:t>
      </w:r>
      <w:r>
        <w:t xml:space="preserve"> tax-free cash back in Year 1. But we are getting ahead of ourselves! </w:t>
      </w:r>
    </w:p>
    <w:p w:rsidR="0078310B" w:rsidRDefault="0078310B" w:rsidP="0078310B">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be deductible under § 163(a). If she uses the loan principal to, say, buy a personal-use boat, the interest would not be deductible. </w:t>
      </w:r>
      <w:r w:rsidRPr="008174C0">
        <w:rPr>
          <w:i/>
          <w:sz w:val="24"/>
          <w:szCs w:val="24"/>
        </w:rPr>
        <w:t>See</w:t>
      </w:r>
      <w:r>
        <w:rPr>
          <w:sz w:val="24"/>
          <w:szCs w:val="24"/>
        </w:rPr>
        <w:t xml:space="preserve"> </w:t>
      </w:r>
      <w:hyperlink r:id="rId481"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out of otherwise nondeductible “personal” interest, which we shall explore in Chapter 18. We shall also examine the deductibility of “investment interest” under § 163(d) in Chapter 16. </w:t>
      </w:r>
    </w:p>
    <w:p w:rsidR="0078310B" w:rsidRDefault="0078310B" w:rsidP="0078310B">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rsidR="0078310B" w:rsidRDefault="0078310B" w:rsidP="0078310B">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t xml:space="preserve"> accession to wealth (in the absence of considering that future repayment obligation).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16 (Tax Shelters). </w:t>
      </w:r>
    </w:p>
    <w:p w:rsidR="0078310B" w:rsidRDefault="0078310B" w:rsidP="0078310B">
      <w:pPr>
        <w:widowControl w:val="0"/>
        <w:spacing w:after="120"/>
        <w:ind w:firstLine="288"/>
        <w:jc w:val="both"/>
      </w:pPr>
      <w:r>
        <w:t>So where does the borrowing exclusion come from? As recounted in earlier chapters, interpreters of the early income tax tended to borrow from other disciplines (such as trust and financial accounting) in defining “income” prior to the work of Messers. Schanz, Haig, Simons (and others), who developed a uniquely tax-specific meaning. The borrowing exclusion under the income tax likely arose from a reflexive borrowing (pun intended) from financial accounting</w:t>
      </w:r>
      <w:r w:rsidR="003D03AC">
        <w:t>, under which borrowed principal is not included on a business’s “income” statement</w:t>
      </w:r>
      <w:r>
        <w:t xml:space="preserve">.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w:t>
      </w:r>
      <w:r w:rsidR="003D03AC">
        <w:t>d is) excluded from the income</w:t>
      </w:r>
      <w:r>
        <w:t xml:space="preserve"> statement in financial accounting because transactional accounting expressly permits (indeed, requires) a look forward to future years (and the obligation to repay) with respect to the front-end treatment of this “transaction” called borrowing.</w:t>
      </w:r>
    </w:p>
    <w:p w:rsidR="0078310B" w:rsidRDefault="0078310B" w:rsidP="0078310B">
      <w:pPr>
        <w:widowControl w:val="0"/>
        <w:ind w:firstLine="288"/>
        <w:jc w:val="both"/>
      </w:pPr>
      <w:r>
        <w:t xml:space="preserve">As described more fully in Chapter 22,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mischief under the income tax—likely for sheer administrative ease. As described above, the plain vanilla borrowing and repayment of principal (though not interest) can usually be ignored by both the borrower and lender for tax purposes, which is an easy rule to administer. </w:t>
      </w:r>
    </w:p>
    <w:p w:rsidR="0078310B" w:rsidRPr="009965BB" w:rsidRDefault="0078310B" w:rsidP="0078310B">
      <w:pPr>
        <w:widowControl w:val="0"/>
        <w:ind w:firstLine="288"/>
        <w:jc w:val="both"/>
      </w:pPr>
    </w:p>
    <w:p w:rsidR="0078310B" w:rsidRPr="00C17FE7" w:rsidRDefault="0078310B" w:rsidP="0078310B">
      <w:pPr>
        <w:pStyle w:val="Heading2"/>
        <w:spacing w:before="0"/>
        <w:rPr>
          <w:sz w:val="32"/>
          <w:szCs w:val="32"/>
          <w:u w:val="single"/>
        </w:rPr>
      </w:pPr>
      <w:bookmarkStart w:id="180" w:name="_Toc395790481"/>
      <w:r w:rsidRPr="00C17FE7">
        <w:rPr>
          <w:sz w:val="32"/>
          <w:szCs w:val="32"/>
          <w:u w:val="single"/>
        </w:rPr>
        <w:t>B. Section 7872</w:t>
      </w:r>
      <w:bookmarkEnd w:id="180"/>
    </w:p>
    <w:p w:rsidR="0078310B" w:rsidRDefault="0078310B" w:rsidP="0078310B">
      <w:pPr>
        <w:pStyle w:val="FootnoteText"/>
        <w:widowControl w:val="0"/>
        <w:rPr>
          <w:sz w:val="24"/>
          <w:szCs w:val="24"/>
        </w:rPr>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 xml:space="preserve">Notice that the analysis in Part A. ignored the critical time value of money and thus ignored her requirement to pay interest to compensate Larry for the use of his money. Instead,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(and ignoring both interest and the passage of time before that repayment obligation ripens), 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32"/>
      </w:r>
      <w:r>
        <w:t xml:space="preserve"> In other words,</w:t>
      </w:r>
      <w:r w:rsidRPr="00363C18">
        <w:t xml:space="preserve"> the </w:t>
      </w:r>
      <w:r w:rsidRPr="00363C18">
        <w:rPr>
          <w:i/>
          <w:iCs/>
        </w:rPr>
        <w:t xml:space="preserve">present value </w:t>
      </w:r>
      <w:r w:rsidR="007C5FD9">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sidR="007C5FD9">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rsidR="0078310B" w:rsidRPr="00B76E0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The material that follows will use some mathematics. Do not be intimidated by this. These examples are here merely to illustrate the underlying economics of loans, which helps us to better understand the tax rules that apply to them. Read them with that goal in mind—to see how they lead to the tax rules described in this chapter. I now return you to our regularly scheduled program.</w:t>
      </w:r>
    </w:p>
    <w:p w:rsidR="0078310B" w:rsidRPr="00780830"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rsidR="0078310B" w:rsidRPr="00A94163" w:rsidRDefault="0078310B" w:rsidP="0078310B">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rsidR="0078310B" w:rsidRPr="00A94163" w:rsidRDefault="0078310B" w:rsidP="0078310B">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rsidR="0078310B" w:rsidRPr="0024192A" w:rsidRDefault="0078310B" w:rsidP="0078310B">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78310B" w:rsidRPr="007E3CBC"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w:t>
      </w:r>
      <w:r w:rsidR="00B55E9B">
        <w:t xml:space="preserve">(as of the Year-1 receipt) </w:t>
      </w:r>
      <w:r>
        <w:t xml:space="preserve">of </w:t>
      </w:r>
      <w:r w:rsidR="00B55E9B">
        <w:t xml:space="preserve">her Year-10 payment obligation </w:t>
      </w:r>
      <w:r>
        <w:t xml:space="preserve">were less than $148,024.43.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ment obligation</w:t>
      </w:r>
      <w:r w:rsidR="00B55E9B">
        <w:t xml:space="preserve"> (ignoring both interest and the time value of money)</w:t>
      </w:r>
      <w:r>
        <w:t xml:space="preserve">,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sidR="00B55E9B">
        <w:rPr>
          <w:iCs/>
        </w:rPr>
        <w:t xml:space="preserve">(as of the Year-1 receipt) </w:t>
      </w:r>
      <w:r w:rsidRPr="00856332">
        <w:t xml:space="preserve">of his </w:t>
      </w:r>
      <w:r w:rsidR="00B55E9B">
        <w:t xml:space="preserve">Year-10 </w:t>
      </w:r>
      <w:r w:rsidR="00D22F43">
        <w:t xml:space="preserve">$100,000 </w:t>
      </w:r>
      <w:r w:rsidR="00B55E9B">
        <w:t>payment obligation of i</w:t>
      </w:r>
      <w:r>
        <w:t>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t>ssion equal to $32,500—the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w:t>
      </w:r>
      <w:r w:rsidR="00D22F43">
        <w:t xml:space="preserve">(as of the Year-1 receipt) </w:t>
      </w:r>
      <w:r>
        <w:t xml:space="preserve">of his aggregate </w:t>
      </w:r>
      <w:r w:rsidR="00D22F43">
        <w:t xml:space="preserve">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82" w:history="1">
        <w:r w:rsidRPr="004765E4">
          <w:rPr>
            <w:rStyle w:val="Hyperlink"/>
          </w:rPr>
          <w:t>§ 7872</w:t>
        </w:r>
      </w:hyperlink>
      <w:r>
        <w:t xml:space="preserve"> now requires. Section 7872, enacted in 1984, does not describe the actual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for example, because only $67,500 is the </w:t>
      </w:r>
      <w:r w:rsidRPr="00FE444F">
        <w:rPr>
          <w:i/>
        </w:rPr>
        <w:t>real</w:t>
      </w:r>
      <w:r>
        <w:t xml:space="preserve"> loan principal when Sam receives the $100,000, the remaining $32,500 would be immediately included on receipt by Sam under § 61(a)(1) as compensation, notwithstanding the loan document’s designation of the entire $100,000 as loan principal. Similarly, while High Tech would be unable to deduct any part of the $100,000 transferred to Sam in Year 1 if it were treated entirely as loan principal (a nondeductible capital expenditure), High Tech can, in fact, deduct under </w:t>
      </w:r>
      <w:hyperlink r:id="rId483" w:history="1">
        <w:r w:rsidRPr="004765E4">
          <w:rPr>
            <w:rStyle w:val="Hyperlink"/>
          </w:rPr>
          <w:t>§ 162</w:t>
        </w:r>
      </w:hyperlink>
      <w:r>
        <w:t xml:space="preserve">(a)(1) the $32,500 compensation paid to Sam in Year 1 in substance.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33"/>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34"/>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rsidR="0078310B" w:rsidRPr="00E3688A"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actually paid and received) for reasons described in Part C.</w:t>
      </w:r>
      <w:r>
        <w:rPr>
          <w:rStyle w:val="FootnoteReference"/>
        </w:rPr>
        <w:footnoteReference w:id="335"/>
      </w:r>
      <w:r>
        <w:t xml:space="preserve"> But we are not there yet. Baby steps!</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Thus, with demand loans, </w:t>
      </w:r>
      <w:hyperlink r:id="rId484" w:history="1">
        <w:r w:rsidRPr="004765E4">
          <w:rPr>
            <w:rStyle w:val="Hyperlink"/>
          </w:rPr>
          <w:t>§ 7872</w:t>
        </w:r>
      </w:hyperlink>
      <w:r>
        <w:t xml:space="preserve">(a)(1) requires that the “forgone  interest” be treated as paid to Sam as additional compensation (and repaid by Sam to High Tech as interest) on the last day of each year during which the demand loan is outstanding. “Forgone interest”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36"/>
      </w:r>
      <w:r>
        <w:t xml:space="preserve"> and he would be deemed to repay that $2,000 right back to High Tech as interest on the same date.</w:t>
      </w:r>
      <w:r>
        <w:rPr>
          <w:rStyle w:val="FootnoteReference"/>
        </w:rPr>
        <w:footnoteReference w:id="337"/>
      </w:r>
      <w:r>
        <w:t xml:space="preserve"> High Tech would include the deemed interest payment, and Sam may (or may not) be able to deduct it under § 163, again depending on how Sam uses the borrowed money.</w:t>
      </w:r>
    </w:p>
    <w:p w:rsidR="0078310B" w:rsidRPr="00F26720"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What if Sam is not an employee of High Tech but is a major shareholder—perhaps a controlling shareholder who could force High Tech to make a no-interest loan to him? The $32,500 that Sam receives in Year 1 in excess of the</w:t>
      </w:r>
      <w:r w:rsidR="004765E4">
        <w:t xml:space="preserve"> present value of his Year-10 </w:t>
      </w:r>
      <w:r>
        <w:t xml:space="preserve">payment obligation (under our original fact pattern involving the 10-year term loan and a 4% discount rate) is not disguised compensation, includable under § 61(a)(1), but rather a disguised </w:t>
      </w:r>
      <w:r w:rsidRPr="00E075C0">
        <w:rPr>
          <w:i/>
        </w:rPr>
        <w:t>dividend</w:t>
      </w:r>
      <w:r>
        <w:t xml:space="preserve">, includable under </w:t>
      </w:r>
      <w:hyperlink r:id="rId485"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38"/>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39"/>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rsidR="0078310B" w:rsidRPr="00856332"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78310B" w:rsidRPr="00C17FE7" w:rsidRDefault="0078310B" w:rsidP="0078310B">
      <w:pPr>
        <w:pStyle w:val="Heading2"/>
        <w:spacing w:before="0"/>
        <w:rPr>
          <w:sz w:val="32"/>
          <w:szCs w:val="32"/>
          <w:u w:val="single"/>
        </w:rPr>
      </w:pPr>
      <w:bookmarkStart w:id="181"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81"/>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rsidR="0078310B" w:rsidRPr="00151F93" w:rsidRDefault="0078310B" w:rsidP="0078310B">
      <w:pPr>
        <w:pStyle w:val="Heading3"/>
        <w:spacing w:before="0" w:beforeAutospacing="0" w:after="120" w:afterAutospacing="0"/>
        <w:rPr>
          <w:i/>
        </w:rPr>
      </w:pPr>
      <w:bookmarkStart w:id="182" w:name="_Toc395790483"/>
      <w:r w:rsidRPr="00151F93">
        <w:rPr>
          <w:i/>
        </w:rPr>
        <w:t>Identifying principal and interest</w:t>
      </w:r>
      <w:bookmarkEnd w:id="182"/>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payments are transferred from the borrower to the lender, how do we economically identify interest from principal? </w:t>
      </w:r>
      <w:r w:rsidR="004765E4">
        <w:t xml:space="preserve">After reading the material in Parts A. and B., you </w:t>
      </w:r>
      <w:r>
        <w:t xml:space="preserve">now </w:t>
      </w:r>
      <w:r w:rsidR="004765E4">
        <w:t xml:space="preserve">know </w:t>
      </w:r>
      <w:r>
        <w:t xml:space="preserve">that merely calling a payment “interest” or “principal” does not necessarily make it so for tax purposes. Rather, the answer is intimately related to the time value of money and the realization requirement.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over the loan term, with a large “balloon”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each of her $400 interest payments, as well as the present value of her obligation to repay the $10,000 at the end of Year 3, adds up to $10,000 (using our agreed-upon 4% discount rate). </w:t>
      </w:r>
    </w:p>
    <w:p w:rsidR="0078310B" w:rsidRPr="002763F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w:t>
      </w:r>
      <w:r w:rsidR="007A781B">
        <w:t>, which means that the $400 receipt must be interest, not repaid principal</w:t>
      </w:r>
      <w:r>
        <w:t>. The same analysis applies to his Year-2 receipt of $400. None of it is tax-free basis recovery because the present value of his future receipts from Betty remains $10,000.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When Larry receives $10,400 from Betty at the end of Year 3, he can finally recover his $10,000 basis tax-free, but he </w:t>
      </w:r>
      <w:r w:rsidR="007A781B">
        <w:t>must include the remaining $400 as interest.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40"/>
      </w:r>
      <w:r>
        <w:t xml:space="preserve"> adding up to $10,810.47. We know that this payment plan is correct because the present value of all three payments </w:t>
      </w:r>
      <w:r w:rsidR="007A781B">
        <w:t>(</w:t>
      </w:r>
      <w:r>
        <w:t>as of the beginning of Year 1</w:t>
      </w:r>
      <w:r w:rsidR="007A781B">
        <w:t>)</w:t>
      </w:r>
      <w:r>
        <w:t xml:space="preserve"> is $10,000, using the agreed-upon 4% discount rate. </w:t>
      </w:r>
    </w:p>
    <w:p w:rsidR="0078310B" w:rsidRPr="00AC66C1"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3</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w:t>
      </w:r>
      <w:r w:rsidR="005E4841" w:rsidRPr="00433434">
        <w:rPr>
          <w:i/>
        </w:rPr>
        <w:t>000 originally loaned to Betty.</w:t>
      </w:r>
      <w:r w:rsidR="005E4841">
        <w:t xml:space="preserve"> </w:t>
      </w:r>
      <w:r>
        <w:t>Larry has thus suffer</w:t>
      </w:r>
      <w:r w:rsidR="005E4841">
        <w:t>ed a</w:t>
      </w:r>
      <w:r>
        <w:t xml:space="preserve"> loss </w:t>
      </w:r>
      <w:r w:rsidRPr="00F331F7">
        <w:rPr>
          <w:i/>
        </w:rPr>
        <w:t>in the underlying loan investment</w:t>
      </w:r>
      <w:r>
        <w:t xml:space="preserve"> </w:t>
      </w:r>
      <w:r w:rsidR="00F331F7">
        <w:t xml:space="preserve">(viewed alone) </w:t>
      </w:r>
      <w:r>
        <w:t xml:space="preserve">because of the receipt of that first $3,603.49 payment. </w:t>
      </w:r>
      <w:r w:rsidR="005E4841">
        <w:t>If, for example, Larry were to attempt to sell his debt instrument to Bob Buyer on January 1 of Year 2</w:t>
      </w:r>
      <w:r w:rsidR="00F331F7">
        <w:t xml:space="preserve"> (after he received that first cash payment from Betty)</w:t>
      </w:r>
      <w:r w:rsidR="005E4841">
        <w:t xml:space="preserve">, he would be in a position to demand no more than $6,796.52 for it because that is the present value of the future payments that the holder of the loan (whether Larry or Bob) will be able to collect. Even though Larry has not actually sold the note to another, his loss can fairly be said to be “realized” because it is </w:t>
      </w:r>
      <w:r w:rsidR="00D011F6">
        <w:t>permanent and irretrievable. You learned in Chapter 1, Part A., that a “loss” in the tax sense is unrecovered basis and can be deducted under § 165(c)</w:t>
      </w:r>
      <w:r w:rsidR="005B5CC2">
        <w:t xml:space="preserve">(1) or </w:t>
      </w:r>
      <w:r w:rsidR="00D011F6">
        <w:t>(2) if th</w:t>
      </w:r>
      <w:r w:rsidR="005B5CC2">
        <w:t>e loss arises with respect to a business or</w:t>
      </w:r>
      <w:r w:rsidR="00D011F6">
        <w:t xml:space="preserve"> investment asset. I</w:t>
      </w:r>
      <w:r w:rsidR="005E4841">
        <w:t xml:space="preserve">n this context, </w:t>
      </w:r>
      <w:r w:rsidR="00D011F6">
        <w:t xml:space="preserve">however, </w:t>
      </w:r>
      <w:r w:rsidR="005E4841">
        <w:t>the realized loss</w:t>
      </w:r>
      <w:r w:rsidR="00F331F7">
        <w:t xml:space="preserve"> in the loan</w:t>
      </w:r>
      <w:r w:rsidR="005E4841">
        <w:t xml:space="preserve"> simply permits Larry to </w:t>
      </w:r>
      <w:r w:rsidR="00D011F6">
        <w:t>use the</w:t>
      </w:r>
      <w:r w:rsidR="00F0029E">
        <w:t xml:space="preserve"> basis represented by that</w:t>
      </w:r>
      <w:r w:rsidR="005E4841">
        <w:t xml:space="preserve"> “loss” in his investment to shelter part of the cash receipt from B</w:t>
      </w:r>
      <w:r w:rsidR="005B5CC2">
        <w:t xml:space="preserve">etty as tax-free basis recovery. </w:t>
      </w:r>
      <w:r w:rsidR="005E4841">
        <w:t xml:space="preserve">Stated another way, </w:t>
      </w:r>
      <w:r w:rsidR="005B5CC2">
        <w:t>Larry does not deduct that basis but rather can recover it tax f</w:t>
      </w:r>
      <w:r>
        <w:t>ree against the paym</w:t>
      </w:r>
      <w:r w:rsidR="00E443D0">
        <w:t xml:space="preserve">ent to the extent of the loss determined above </w:t>
      </w:r>
      <w:r w:rsidR="005B5CC2">
        <w:t>because Larry’s loss in his loan investment is realized</w:t>
      </w:r>
      <w:r w:rsidR="00F0029E">
        <w:t xml:space="preserve">. </w:t>
      </w:r>
      <w:r w:rsidR="00D46D8F">
        <w:t xml:space="preserve">(This idea is explored more fully in a few pages.) </w:t>
      </w:r>
      <w:r>
        <w:t xml:space="preserve">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$138.60 is interest. Here is a summary.</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78310B" w:rsidRPr="00F858FF"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78310B" w:rsidRPr="00F858FF"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loan (and who has deducted the “qualified residence interest” paid each year) is familiar with this relationship. In the early years, a large portion of each payment represents deductible interest, but as the years pass, the portion of each payment representing deductible interest decreases.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rsidR="0078310B" w:rsidRPr="00F858FF"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rsidR="0078310B" w:rsidRPr="00151F93" w:rsidRDefault="0078310B" w:rsidP="0078310B">
      <w:pPr>
        <w:pStyle w:val="Heading3"/>
        <w:spacing w:before="0" w:beforeAutospacing="0" w:after="120" w:afterAutospacing="0"/>
        <w:rPr>
          <w:i/>
        </w:rPr>
      </w:pPr>
      <w:bookmarkStart w:id="183" w:name="_Toc395790484"/>
      <w:r w:rsidRPr="00151F93">
        <w:rPr>
          <w:i/>
        </w:rPr>
        <w:t>Segue to a brief discussion of methods of accounting</w:t>
      </w:r>
      <w:bookmarkEnd w:id="183"/>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w:t>
      </w:r>
      <w:r w:rsidR="00ED4024">
        <w:t>required interest.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particular, now that we have identified how much of each payment is economically interest and how much is principal, we must consider whether the borrower’s and lender’s method of accounting affects the timing of the lender’s interest inclusion or the borrower’s interest deduction (if the interest is, in fact, deductible under § 163). To set the stage, I shall announce the results up front. Generally speaking, the taxpayer’s method of accounting will not affect the timing of interest inclusions and deductions! Regardless of the method of accounting used by Betty and Larry in Example 3, Betty would deduct (if the interest is, in fact, deductible under § 163) and Larry would include $400.01 of interest in Year 1, $271.86 in Year 2, and $138.60 in Year 3. Moreover, in Example 2, Betty and Larry would deduct and include, respectively, $400 in interest in each of Years 1, 2, and 3—regardless of their method of accounting.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 xml:space="preserve">the timing of (1) § 61 Gross Income inclusions and (2) </w:t>
      </w:r>
      <w:r w:rsidR="00B501CA">
        <w:rPr>
          <w:b/>
        </w:rPr>
        <w:t>“</w:t>
      </w:r>
      <w:r w:rsidRPr="004653C5">
        <w:rPr>
          <w:b/>
        </w:rPr>
        <w:t>expense</w:t>
      </w:r>
      <w:r w:rsidR="00B501CA">
        <w:rPr>
          <w:b/>
        </w:rPr>
        <w:t xml:space="preserve">” deductions (under </w:t>
      </w:r>
      <w:r w:rsidRPr="004653C5">
        <w:rPr>
          <w:b/>
        </w:rPr>
        <w:t>Code section</w:t>
      </w:r>
      <w:r w:rsidR="00B501CA">
        <w:rPr>
          <w:b/>
        </w:rPr>
        <w:t>s</w:t>
      </w:r>
      <w:r w:rsidRPr="004653C5">
        <w:rPr>
          <w:b/>
        </w:rPr>
        <w:t xml:space="preserve"> authorizing deduction of expenses, such as §§ 163 for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(if it is depreciable or amortizable). </w:t>
      </w:r>
    </w:p>
    <w:p w:rsidR="0078310B" w:rsidRPr="00786059"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86"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41"/>
      </w:r>
      <w:r w:rsidRPr="00E57097">
        <w:rPr>
          <w:b/>
        </w:rPr>
        <w:t xml:space="preserve"> and deduct expenses in the year actually paid.</w:t>
      </w:r>
      <w:r w:rsidRPr="00D00B15">
        <w:rPr>
          <w:rStyle w:val="FootnoteReference"/>
        </w:rPr>
        <w:footnoteReference w:id="342"/>
      </w:r>
      <w:r>
        <w:t xml:space="preserve"> Virtually all individual wage earners, for example, use the cash method of accounting. Thus, if Betty and Larry both use the cash method in Example 3, they deduct (Betty) or include (Larry) $400.01 in Year 1, $271.86 in Year 2, and $138.60 in Year 3 because those are the years in which these interest payments were actually paid and received.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43"/>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44"/>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w:t>
      </w:r>
      <w:r w:rsidR="007653A2">
        <w:t xml:space="preserve">an </w:t>
      </w:r>
      <w:r>
        <w:t>example</w:t>
      </w:r>
      <w:r w:rsidR="007653A2">
        <w:t xml:space="preserve"> unrelated to interest</w:t>
      </w:r>
      <w:r>
        <w: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w:t>
      </w:r>
      <w:r w:rsidR="007653A2">
        <w:t xml:space="preserve"> with respect to property (the property is called an “account receivable” here)</w:t>
      </w:r>
      <w:r>
        <w:t xml:space="preserve">. When Daniel includes $100 in his Year-1 Gross Income, he creates a $100 basis in the “account receivable” represented by the amount owed by the patient. When Daniel actually receives the $100 in Year 2, therefore, the payment is </w:t>
      </w:r>
      <w:r w:rsidRPr="007653A2">
        <w:rPr>
          <w:i/>
        </w:rPr>
        <w:t>tax-free recovery of basis in the receivable</w:t>
      </w:r>
      <w:r>
        <w:t xml:space="preserve">, rather than includable Gross Income.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liability to pay the $150 electricity bill by the end of Year 1, and the amount can be determined with precision.</w:t>
      </w:r>
      <w:r>
        <w:rPr>
          <w:rStyle w:val="FootnoteReference"/>
        </w:rPr>
        <w:footnoteReference w:id="345"/>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when does interest accrue for an accrual method lender (inclusion under § 61(a)(4)</w:t>
      </w:r>
      <w:r w:rsidR="007653A2">
        <w:t>)</w:t>
      </w:r>
      <w:r>
        <w:t xml:space="preserve"> and for an accrual method borrower (possible deduction under § 163)? The accrual method lender includes interest </w:t>
      </w:r>
      <w:r>
        <w:rPr>
          <w:i/>
        </w:rPr>
        <w:t xml:space="preserve">as the right to receive it is earned simply as time passes under the “economic accrual of interest” method </w:t>
      </w:r>
      <w:r>
        <w:t xml:space="preserve">and the accrual method borrower deducts interest (if it is deductible under § 163)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46"/>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w:t>
      </w:r>
      <w:r w:rsidR="00955EDC">
        <w:t xml:space="preserve">nder a different formula that </w:t>
      </w:r>
      <w:r>
        <w:t>would allocate more than $400.01 to Year 1.</w:t>
      </w:r>
      <w:r w:rsidR="00955EDC">
        <w:rPr>
          <w:rStyle w:val="FootnoteReference"/>
        </w:rPr>
        <w:footnoteReference w:id="347"/>
      </w:r>
      <w:r>
        <w:t xml:space="preserve"> Similarly, Larry accrues (includes) the interest payments in the same amount each year.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analysis shows 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of accounting, the interest is actually paid and received in those years. If they each use the accrual method of accounting, the interest economically accrues at $400 in each of the three years because the present value of Larry’s Year-3 receipt never falls below $10,000 during the three-year loan term, which means that the interest accruals reflect the actual $400 payments. Thus, it also does not matter if one uses the cash method and the other uses the accrual method. Each still includes or deducts, respectively, $400 in each of Years 1, 2, and 3 of Example 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rsidR="0078310B" w:rsidRPr="00151F93" w:rsidRDefault="0078310B" w:rsidP="0078310B">
      <w:pPr>
        <w:pStyle w:val="Heading3"/>
        <w:spacing w:before="0" w:beforeAutospacing="0" w:after="120" w:afterAutospacing="0"/>
        <w:rPr>
          <w:i/>
        </w:rPr>
      </w:pPr>
      <w:bookmarkStart w:id="184" w:name="_Toc395790485"/>
      <w:r w:rsidRPr="00151F93">
        <w:rPr>
          <w:i/>
        </w:rPr>
        <w:t>Original issue discount</w:t>
      </w:r>
      <w:bookmarkEnd w:id="184"/>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paying the going rate of 4% interest to the public as a means of borrowing money. While couched in the terms of “purchase” and “sale,” High Tech is simply borrowing money when it sells bonds. Candace, who uses the cash method of accounting, is an individual interested in purchasing a three-year bond from High Tech.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Assume that High Tech wishes to avoid annual interest payments so that it can invest its cash elsewhere in the interim. Thus, Candace is informed that the face amount or principal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 The </w:t>
      </w:r>
      <w:r w:rsidR="00A82DC8">
        <w:t xml:space="preserve">$1,248.64 </w:t>
      </w:r>
      <w:r>
        <w:t xml:space="preserve">difference between the bond’s $10,000 “issue price” and the $11,248.64 stated principal amount </w:t>
      </w:r>
      <w:r w:rsidR="00A82DC8">
        <w:t xml:space="preserve">at maturity </w:t>
      </w:r>
      <w:r>
        <w:t xml:space="preserve">is called “original issue discount” (OID), which obviously is economic interest.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3: $10,816 x. 04 = $432.64 interest. Added to $10,816, High Tech pays to Candace a total of $11,248.64, equal to the face amount of the bond, on December 31 of Year 3. We can summarize this result as follows:</w:t>
      </w:r>
    </w:p>
    <w:p w:rsidR="0078310B" w:rsidRPr="00AC66C1"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rsidR="0078310B" w:rsidRPr="00505A54"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were permitted such a deferral, notice the mismatch that would arise between the timing of High Tech’s deduction and Candace’s inclusion of the same amounts.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so long as 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deduct the interest a</w:t>
      </w:r>
      <w:r w:rsidR="004042F5">
        <w:t xml:space="preserve">s it accrues (even though </w:t>
      </w:r>
      <w:r>
        <w:t xml:space="preserve">not yet paid), Treasury loses the tax revenue that would otherwise be owed on the return earned by High Tech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w:t>
      </w:r>
      <w:r w:rsidR="004042F5">
        <w:t xml:space="preserve">effectively </w:t>
      </w:r>
      <w:r>
        <w:t>taxed at all.</w:t>
      </w:r>
      <w:r>
        <w:rPr>
          <w:rStyle w:val="FootnoteReference"/>
        </w:rPr>
        <w:footnoteReference w:id="348"/>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49"/>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50"/>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87" w:history="1">
        <w:r w:rsidRPr="00957226">
          <w:rPr>
            <w:rStyle w:val="Hyperlink"/>
          </w:rPr>
          <w:t>§ 1272</w:t>
        </w:r>
      </w:hyperlink>
      <w:r>
        <w:t xml:space="preserve"> and </w:t>
      </w:r>
      <w:hyperlink r:id="rId488" w:history="1">
        <w:r w:rsidRPr="00957226">
          <w:rPr>
            <w:rStyle w:val="Hyperlink"/>
          </w:rPr>
          <w:t>163(e)</w:t>
        </w:r>
      </w:hyperlink>
      <w:r>
        <w:t>, both of which essentially provide that Candace must include the OID as it accrues daily (even though she uses the cash method), which effectively prevents the mismatch that would otherwise occur between High Tech’s deductio</w:t>
      </w:r>
      <w:r w:rsidR="00957226">
        <w:t xml:space="preserve">n of the three interest amounts </w:t>
      </w:r>
      <w:r>
        <w:t>and Candace’s inclusion of the same interest.</w:t>
      </w:r>
      <w:r>
        <w:rPr>
          <w:rStyle w:val="FootnoteReference"/>
        </w:rPr>
        <w:footnoteReference w:id="351"/>
      </w:r>
      <w:r>
        <w:t xml:space="preserve"> Thus, Candace must include $400 in interest in Year 1 (and will increase her $10,000 basis in the bond to $10,400 to reflect the income inclusion), $416 in Year 2 (increasing her bond basis to $10,816), and $432.64 in Year 3 (increasing her bond basis to $11,248.64). When she actually receives the $11,248.64, the entire amount is tax-free recovery of basis. High Tech will send an information return to Candace so that she knows how much to include on each year’s return.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let’s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Thus, even if both Larry and Betty use the cash method of accounting, each would deduct and include, respectively, the interest as it economically accrues over the 10-year term of the loan.</w:t>
      </w:r>
      <w:r>
        <w:rPr>
          <w:rStyle w:val="FootnoteReference"/>
        </w:rPr>
        <w:footnoteReference w:id="352"/>
      </w:r>
      <w:r>
        <w:t xml:space="preserve"> </w:t>
      </w:r>
    </w:p>
    <w:p w:rsidR="0078310B" w:rsidRPr="00151F93" w:rsidRDefault="0078310B" w:rsidP="0078310B">
      <w:pPr>
        <w:pStyle w:val="Heading3"/>
        <w:spacing w:before="0" w:beforeAutospacing="0" w:after="120" w:afterAutospacing="0"/>
        <w:rPr>
          <w:i/>
        </w:rPr>
      </w:pPr>
      <w:bookmarkStart w:id="185" w:name="_Toc395790486"/>
      <w:r w:rsidRPr="00151F93">
        <w:rPr>
          <w:i/>
        </w:rPr>
        <w:t>OID pertains to realization rather than accounting methods</w:t>
      </w:r>
      <w:bookmarkEnd w:id="185"/>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however,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some value changes—or, more accurately stated, one strand of a property’s aggregate change in value—may be permanent and irreversible and, in this sense, realized in a real and substantial sense, even if other factors affecting a property’s value are not permanent (and thus value changes attributable to those other factors are not realized). </w:t>
      </w:r>
    </w:p>
    <w:p w:rsidR="0078310B" w:rsidRPr="00164591"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Such reasoning, for example, justifies deductions of property basis in the form of depreciation </w:t>
      </w:r>
      <w:r>
        <w:rPr>
          <w:i/>
        </w:rPr>
        <w:t>even before the property is disposed of (where the basis would otherwise be used as an offset against “amount realized” under § 1001)</w:t>
      </w:r>
      <w:r>
        <w:t xml:space="preserve">. Depreciation deductions can also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though the property has not yet been transferred to another. Even if the property’s </w:t>
      </w:r>
      <w:r>
        <w:rPr>
          <w:i/>
        </w:rPr>
        <w:t xml:space="preserve">aggregate </w:t>
      </w:r>
      <w:r>
        <w:t xml:space="preserve">fair market value is rising because of other (perhaps transient) factors in the marketplace, one strand of the property’s value is permanently and irretrievably lost each year as it gets one year closer to the end of its useful life. </w:t>
      </w:r>
      <w:r w:rsidR="00D46D8F">
        <w:t xml:space="preserve">Or so the argument goes. </w:t>
      </w:r>
      <w:r>
        <w:t>We shall return to this theme and explore it more fully in Chapter 14, devoted to examining depreciation and amortization more closely.</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reasoning underlying Candace’s treatment of OID is also similar (though on the flip side of the coin) to the Lender’s treatment in Example 3</w:t>
      </w:r>
      <w:r w:rsidR="00981E12">
        <w:t xml:space="preserve"> a few pages back</w:t>
      </w:r>
      <w:r>
        <w:t>, where Larry Lender is permitted to use a portion of the $10,000 basis in his loan to offset a portion of each $3,603.49 payment that he receives from Betty—</w:t>
      </w:r>
      <w:r>
        <w:rPr>
          <w:i/>
        </w:rPr>
        <w:t xml:space="preserve">before </w:t>
      </w:r>
      <w:r>
        <w:t>he disposes of his loan by, say, selling the debt instrument to a buyer in the market.</w:t>
      </w:r>
      <w:r w:rsidR="00A0408B">
        <w:t xml:space="preserve"> He is permitted (in effect) to “</w:t>
      </w:r>
      <w:r>
        <w:t>deduct</w:t>
      </w:r>
      <w:r w:rsidR="00A0408B">
        <w:t>”</w:t>
      </w:r>
      <w:r>
        <w:t xml:space="preserve"> </w:t>
      </w:r>
      <w:r w:rsidR="00A0408B">
        <w:t xml:space="preserve">portions of </w:t>
      </w:r>
      <w:r>
        <w:t xml:space="preserve">his loan basis while he still owns the loan because that portion of the loan is permanently and irretrievably lost as he receives payments and the loan maturity gets closer and closer. </w:t>
      </w:r>
      <w:r w:rsidR="00A0408B">
        <w:t xml:space="preserve">(Larry does not take an actual deduction, though. Rather, he uses that basis to prevent a portion of each cash payment received from Betty Years 1, 2, and 3 from being includable in Gross Income.) </w:t>
      </w:r>
      <w:r>
        <w:t xml:space="preserve">Even if the 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As described earlier, he could not, for example, successfully sell his debt instrument to Bob Buyer on January 1 of Year 2 for $10,000. Absent other market factors than can also affect the value of Larry’s loan instrument, Larry is in a position to demand no more than $6,796.52 (and Bob Buyer would be willing to pay no more than that) because that is the present value of the remaining payments to be received under the debt instrument as of January 1 of Year 2. In other words, Larry rightly is permitted to use $3,203.48 of his original $10,000 basis in the debt instrument to offset a portion of the $3,603.49 payment from Betty at the end of Year 1—even though he still owns the debt instrument—because his property (the debt instrument) has permanently and irretrievably lost $3,203.48 of its original market value when he receives that payment from Betty. That $3,603.49 is rightly viewed as a “realized loss” at the end of Year 1 so that he can, in effect, deduct this portion of his original property basis (by using this basis as an offset against his receipt), even though he continues to own the debt instrument and has not sold it.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Candace’s OID inclusions reflect the flip side of that same coin. Even though Candace 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t xml:space="preserve"> of increased value is “realized” in Year 1, even if other market factors that affect value mean that she can actually sell the bond on January 1 of Year 2 for, say, $10,500 (if market interest rates have dropped to less than 4% since she bought her High Tech bond, increasing the value of Candace’s bond)</w:t>
      </w:r>
      <w:r>
        <w:rPr>
          <w:rStyle w:val="FootnoteReference"/>
        </w:rPr>
        <w:footnoteReference w:id="353"/>
      </w:r>
      <w:r>
        <w:t xml:space="preserve"> or, say, $10,300 (if market interest rates have increased to more than 4%, decreasing the value of Candace’s bond).</w:t>
      </w:r>
      <w:r>
        <w:rPr>
          <w:rStyle w:val="FootnoteReference"/>
        </w:rPr>
        <w:footnoteReference w:id="354"/>
      </w:r>
      <w:r>
        <w:t xml:space="preserve"> The point is that the $400 of interest that economically accrues in Year 1 is a realized wealth accession in a substantial sense and thus should be included. Because Candace must include $400 in interest (which is ordinary income) for Year 1, she increases her bond basis to $10,400. Thus,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78310B" w:rsidRPr="00C17FE7" w:rsidRDefault="0078310B" w:rsidP="0078310B">
      <w:pPr>
        <w:pStyle w:val="Heading2"/>
        <w:spacing w:before="0"/>
        <w:rPr>
          <w:sz w:val="32"/>
          <w:szCs w:val="32"/>
          <w:u w:val="single"/>
        </w:rPr>
      </w:pPr>
      <w:bookmarkStart w:id="186" w:name="_Toc395790487"/>
      <w:r w:rsidRPr="00C17FE7">
        <w:rPr>
          <w:sz w:val="32"/>
          <w:szCs w:val="32"/>
          <w:u w:val="single"/>
        </w:rPr>
        <w:t>D. Recovery of annuity basis under § 72</w:t>
      </w:r>
      <w:bookmarkEnd w:id="186"/>
    </w:p>
    <w:p w:rsidR="0078310B" w:rsidRDefault="0078310B" w:rsidP="0078310B">
      <w:pPr>
        <w:widowControl w:val="0"/>
        <w:ind w:firstLine="288"/>
      </w:pPr>
    </w:p>
    <w:p w:rsidR="0078310B" w:rsidRDefault="0078310B" w:rsidP="0078310B">
      <w:pPr>
        <w:widowControl w:val="0"/>
        <w:spacing w:after="120"/>
        <w:ind w:firstLine="288"/>
        <w:jc w:val="both"/>
      </w:pPr>
      <w:r>
        <w:t xml:space="preserve">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w:t>
      </w:r>
      <w:r w:rsidR="00663CB5">
        <w:t xml:space="preserve">(undeducted) </w:t>
      </w:r>
      <w:r>
        <w:t>dollars. T</w:t>
      </w:r>
      <w:r w:rsidR="00663CB5">
        <w:t>hat is to say, t</w:t>
      </w:r>
      <w:r>
        <w:t>he premium payments are nondeductible capital expenditures, creating basis in the annuity contract.</w:t>
      </w:r>
    </w:p>
    <w:p w:rsidR="0078310B" w:rsidRDefault="0078310B" w:rsidP="0078310B">
      <w:pPr>
        <w:widowControl w:val="0"/>
        <w:spacing w:after="120"/>
        <w:ind w:firstLine="288"/>
        <w:jc w:val="both"/>
      </w:pPr>
      <w:r>
        <w:t>You can think of the annuitant (the person purchasing the annuity) as a lender to the company selling the annuity, who will repay the principal lent, plus interest, to the annuitant in the future. When must the annuitant</w:t>
      </w:r>
      <w:r w:rsidR="00D95B33">
        <w:t xml:space="preserve"> include the investment return, </w:t>
      </w:r>
      <w:r>
        <w:t>which represe</w:t>
      </w:r>
      <w:r w:rsidR="00D95B33">
        <w:t>nts interest</w:t>
      </w:r>
      <w:r>
        <w:t xml:space="preserve">? </w:t>
      </w:r>
    </w:p>
    <w:p w:rsidR="0078310B" w:rsidRDefault="0078310B" w:rsidP="0078310B">
      <w:pPr>
        <w:widowControl w:val="0"/>
        <w:spacing w:after="120"/>
        <w:ind w:firstLine="288"/>
        <w:jc w:val="both"/>
      </w:pPr>
      <w:r>
        <w:t>Annuities are treated quite favorably for tax purposes. First, annuities are not subject to the OID rules. Thus, if Candace purchases an annuity instead of the High Tech bond, she need not include the inside buildup (the increase in the value of her contract because of the accrued but unpaid interest) over time. Rather, she is permitted to exclude all interest until p</w:t>
      </w:r>
      <w:r w:rsidR="00D95B33">
        <w:t>ayments begin</w:t>
      </w:r>
      <w:r>
        <w:t xml:space="preserve">. </w:t>
      </w:r>
    </w:p>
    <w:p w:rsidR="0078310B" w:rsidRDefault="0078310B" w:rsidP="0078310B">
      <w:pPr>
        <w:widowControl w:val="0"/>
        <w:spacing w:after="120"/>
        <w:ind w:firstLine="288"/>
        <w:jc w:val="both"/>
      </w:pPr>
      <w:r>
        <w:t xml:space="preserve">As noted above, annuity contracts typically pay level payments once the payment period begins. At that time, 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 $400.01 in Year 1, $271.86 in Year 2, and $138.60 in Year 3 as interest.  </w:t>
      </w:r>
    </w:p>
    <w:p w:rsidR="0078310B" w:rsidRDefault="0078310B" w:rsidP="0078310B">
      <w:pPr>
        <w:widowControl w:val="0"/>
        <w:spacing w:after="120"/>
        <w:ind w:firstLine="288"/>
        <w:jc w:val="both"/>
      </w:pPr>
      <w:r>
        <w:t xml:space="preserve">Section 72, however, departs from these normative principles by allowing the annuitant to recover basis </w:t>
      </w:r>
      <w:r w:rsidRPr="00F049A2">
        <w:rPr>
          <w:i/>
        </w:rPr>
        <w:t>ratably</w:t>
      </w:r>
      <w:r>
        <w:t xml:space="preserve">, which generally means in equal amounts from each payment. Start with </w:t>
      </w:r>
      <w:hyperlink r:id="rId489"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rsidR="0078310B" w:rsidRDefault="00E8523C" w:rsidP="00E8523C">
      <w:pPr>
        <w:widowControl w:val="0"/>
      </w:pPr>
      <w:r>
        <w:t xml:space="preserve">Excluded portion   </w:t>
      </w:r>
      <w:r w:rsidR="0078310B">
        <w:t xml:space="preserve">= </w:t>
      </w:r>
      <w:r>
        <w:t xml:space="preserve">   </w:t>
      </w:r>
      <w:r w:rsidR="0078310B">
        <w:t>Payments Received in the Year</w:t>
      </w:r>
      <w:r>
        <w:t xml:space="preserve">    </w:t>
      </w:r>
      <w:r w:rsidR="0078310B">
        <w:t>x</w:t>
      </w:r>
      <w:r w:rsidR="0078310B" w:rsidRPr="009C00A7">
        <w:t xml:space="preserve"> </w:t>
      </w:r>
      <w:r>
        <w:t xml:space="preserve">      </w:t>
      </w:r>
      <w:r w:rsidR="0078310B" w:rsidRPr="009C00A7">
        <w:t xml:space="preserve"> </w:t>
      </w:r>
      <w:r w:rsidR="0078310B">
        <w:rPr>
          <w:u w:val="single"/>
        </w:rPr>
        <w:t>Investment in the Contract</w:t>
      </w:r>
    </w:p>
    <w:p w:rsidR="0078310B" w:rsidRPr="009C00A7" w:rsidRDefault="00E8523C" w:rsidP="0078310B">
      <w:pPr>
        <w:widowControl w:val="0"/>
        <w:spacing w:after="120"/>
        <w:jc w:val="both"/>
      </w:pPr>
      <w:r>
        <w:t xml:space="preserve"> of each payment</w:t>
      </w:r>
      <w:r w:rsidR="0078310B">
        <w:t xml:space="preserve">                                                    </w:t>
      </w:r>
      <w:r>
        <w:t xml:space="preserve">   </w:t>
      </w:r>
      <w:r w:rsidR="0078310B">
        <w:t xml:space="preserve">     </w:t>
      </w:r>
      <w:r>
        <w:t xml:space="preserve">    </w:t>
      </w:r>
      <w:r w:rsidR="0078310B">
        <w:t xml:space="preserve">   Expected Return under the Contract</w:t>
      </w:r>
    </w:p>
    <w:p w:rsidR="0078310B" w:rsidRDefault="0078310B" w:rsidP="0078310B">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rsidR="0078310B" w:rsidRDefault="0078310B" w:rsidP="0078310B">
      <w:pPr>
        <w:widowControl w:val="0"/>
        <w:spacing w:after="120"/>
        <w:ind w:firstLine="288"/>
        <w:jc w:val="both"/>
      </w:pPr>
      <w:r>
        <w:t>Assume, for example, that Dora pays $1 million from her past savings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rsidR="0078310B" w:rsidRDefault="0078310B" w:rsidP="0078310B">
      <w:pPr>
        <w:widowControl w:val="0"/>
        <w:spacing w:after="120"/>
        <w:ind w:firstLine="288"/>
        <w:jc w:val="both"/>
      </w:pPr>
      <w:r>
        <w:t xml:space="preserve">The numerator of Dora’s exclusion ratio is $1 million. Under </w:t>
      </w:r>
      <w:hyperlink r:id="rId490" w:history="1">
        <w:r w:rsidRPr="002623DC">
          <w:rPr>
            <w:rStyle w:val="Hyperlink"/>
          </w:rPr>
          <w:t>§ 72</w:t>
        </w:r>
      </w:hyperlink>
      <w:r>
        <w:t xml:space="preserve">(c)(3)(A), the denominator will be determined using actuarial tables issued by the Treasury Department, which can be found at </w:t>
      </w:r>
      <w:hyperlink r:id="rId491" w:history="1">
        <w:r w:rsidRPr="005B5CEB">
          <w:rPr>
            <w:rStyle w:val="Hyperlink"/>
          </w:rPr>
          <w:t>Treas. Reg. § 1.72-9</w:t>
        </w:r>
      </w:hyperlink>
      <w:r>
        <w:t xml:space="preserve">. Under Table V, Dora’s life expectancy as of the annuity starting date is 20 years. Thus,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Thus, she will exclude the same $9,960 from each $60,000 annual payment. </w:t>
      </w:r>
      <w:r w:rsidRPr="005B5CEB">
        <w:rPr>
          <w:i/>
        </w:rPr>
        <w:t>In short, she is permitted to recover her basis faster than could Larry Lender in Example 3, thus permitting the deferral of income.</w:t>
      </w:r>
      <w:r>
        <w:t xml:space="preserve"> Why is this deferral beneficial for Dora? All together now ….</w:t>
      </w:r>
    </w:p>
    <w:p w:rsidR="0078310B" w:rsidRDefault="0078310B" w:rsidP="0078310B">
      <w:pPr>
        <w:widowControl w:val="0"/>
        <w:spacing w:after="120"/>
        <w:ind w:firstLine="288"/>
        <w:jc w:val="both"/>
      </w:pPr>
      <w:r>
        <w:t xml:space="preserve">If Dora exceeds her 20-year life expectancy, she will have recovered 100% of her $1 million basis tax-free upon reaching age 85. Thus, any additional annuity payments that she receives will be fully includable under </w:t>
      </w:r>
      <w:r w:rsidRPr="00095588">
        <w:t>§ 72</w:t>
      </w:r>
      <w:r>
        <w:t xml:space="preserve">(b)(2)—often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If the deduction exceeds her Gross Income in that final year, her executor can carry the unused portion of the deduction back to her two previous tax years (thus obtaining a refund for those two earlier years for her estate) under </w:t>
      </w:r>
      <w:r w:rsidRPr="00095588">
        <w:t>§ 72</w:t>
      </w:r>
      <w:r>
        <w:t>(b)(3)(A) and (C), as though the deduction were incurred in business and created a “net operating loss” within the meaning of § 172.</w:t>
      </w:r>
      <w:r>
        <w:rPr>
          <w:rStyle w:val="FootnoteReference"/>
        </w:rPr>
        <w:footnoteReference w:id="355"/>
      </w:r>
      <w:r>
        <w:t xml:space="preserve"> </w:t>
      </w:r>
    </w:p>
    <w:p w:rsidR="0078310B" w:rsidRDefault="0078310B" w:rsidP="0078310B">
      <w:pPr>
        <w:widowControl w:val="0"/>
        <w:spacing w:after="120"/>
        <w:ind w:firstLine="288"/>
        <w:jc w:val="both"/>
      </w:pPr>
      <w:r>
        <w:t xml:space="preserve">Annuities are commonly measured by two lives in the case of a married couple,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rsidR="0078310B" w:rsidRDefault="0078310B" w:rsidP="0078310B">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thus, will be fully includable to the extent thereof.</w:t>
      </w:r>
      <w:r>
        <w:rPr>
          <w:rStyle w:val="FootnoteReference"/>
        </w:rPr>
        <w:footnoteReference w:id="356"/>
      </w:r>
      <w:r>
        <w:t xml:space="preserve"> Only after all accrued interest is distributed will further distributions prior to the annuity starting date be considered tax-free recovery of basis. Second, a loan under the annuity contract will usually be considered to be a distribution of inside buildup (and thus includable) rather than a true loan.</w:t>
      </w:r>
      <w:r>
        <w:rPr>
          <w:rStyle w:val="FootnoteReference"/>
        </w:rPr>
        <w:footnoteReference w:id="357"/>
      </w:r>
      <w:r>
        <w:t xml:space="preserve"> Third, with some hardship exceptions (such as in the case of disability), an additional 10% tax penalty will generally be imposed on withdrawals before the age of 59 and ½.</w:t>
      </w:r>
      <w:r>
        <w:rPr>
          <w:rStyle w:val="FootnoteReference"/>
        </w:rPr>
        <w:footnoteReference w:id="358"/>
      </w:r>
      <w:r>
        <w:t xml:space="preserve"> </w:t>
      </w:r>
    </w:p>
    <w:p w:rsidR="0078310B" w:rsidRDefault="0078310B" w:rsidP="0078310B">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w:t>
      </w:r>
      <w:r w:rsidR="00AB14F0">
        <w:t xml:space="preserve"> connection with § 103 interest and further explored in Chapter 3.</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187" w:name="_Toc395790488"/>
      <w:r w:rsidRPr="00DC317A">
        <w:rPr>
          <w:u w:val="single"/>
        </w:rPr>
        <w:t>Problem</w:t>
      </w:r>
      <w:bookmarkEnd w:id="187"/>
    </w:p>
    <w:p w:rsidR="0078310B" w:rsidRPr="00C17FE7"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Karen pays $150,000 to an insurance company for an annuity contract that will begin making annual $10,000 payments to her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rsidR="0078310B" w:rsidRPr="0012681D" w:rsidRDefault="0078310B" w:rsidP="0078310B">
      <w:pPr>
        <w:widowControl w:val="0"/>
        <w:ind w:firstLine="288"/>
        <w:jc w:val="both"/>
      </w:pPr>
    </w:p>
    <w:p w:rsidR="0078310B" w:rsidRPr="00C17FE7" w:rsidRDefault="0078310B" w:rsidP="0078310B">
      <w:pPr>
        <w:pStyle w:val="Heading2"/>
        <w:spacing w:before="0"/>
        <w:rPr>
          <w:sz w:val="32"/>
          <w:szCs w:val="32"/>
          <w:u w:val="single"/>
        </w:rPr>
      </w:pPr>
      <w:bookmarkStart w:id="188" w:name="_Toc395790489"/>
      <w:r w:rsidRPr="00C17FE7">
        <w:rPr>
          <w:sz w:val="32"/>
          <w:szCs w:val="32"/>
          <w:u w:val="single"/>
        </w:rPr>
        <w:t>E. Which receipts fall within the “borrowing exclusion”?</w:t>
      </w:r>
      <w:bookmarkEnd w:id="188"/>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8310B" w:rsidRPr="008263B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xml:space="preserve">. Not surprisingly, therefore,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xml:space="preserve">, making contorted distinctions between embezzlers </w:t>
      </w:r>
      <w:r w:rsidR="008E05EE">
        <w:t>(</w:t>
      </w:r>
      <w:r w:rsidR="008E05EE" w:rsidRPr="008E05EE">
        <w:rPr>
          <w:i/>
        </w:rPr>
        <w:t>Wilcox</w:t>
      </w:r>
      <w:r w:rsidR="008E05EE">
        <w:t xml:space="preserve">) </w:t>
      </w:r>
      <w:r w:rsidRPr="008E05EE">
        <w:t>and</w:t>
      </w:r>
      <w:r>
        <w:t xml:space="preserve"> extortionists</w:t>
      </w:r>
      <w:r w:rsidR="008E05EE">
        <w:t xml:space="preserve"> (</w:t>
      </w:r>
      <w:r w:rsidR="008E05EE" w:rsidRPr="008E05EE">
        <w:rPr>
          <w:i/>
        </w:rPr>
        <w:t>Rutkin</w:t>
      </w:r>
      <w:r w:rsidR="008E05EE">
        <w:t>)</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rsidR="0078310B" w:rsidRDefault="0078310B" w:rsidP="0078310B">
      <w:pPr>
        <w:widowControl w:val="0"/>
        <w:rPr>
          <w:b/>
        </w:rPr>
      </w:pPr>
    </w:p>
    <w:p w:rsidR="0078310B" w:rsidRDefault="0078310B" w:rsidP="0078310B">
      <w:pPr>
        <w:pStyle w:val="Heading3"/>
        <w:spacing w:before="0" w:beforeAutospacing="0" w:after="120" w:afterAutospacing="0"/>
        <w:jc w:val="center"/>
      </w:pPr>
      <w:bookmarkStart w:id="189" w:name="_Toc395790490"/>
      <w:r>
        <w:t>JAMES v. UNITED STATES</w:t>
      </w:r>
      <w:bookmarkEnd w:id="189"/>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92" w:history="1">
        <w:r>
          <w:t>§ 22</w:t>
        </w:r>
        <w:r w:rsidRPr="00277146">
          <w:t>(a) of the Internal Revenue Code of 1939</w:t>
        </w:r>
      </w:hyperlink>
      <w:r w:rsidRPr="00277146">
        <w:t xml:space="preserve"> and </w:t>
      </w:r>
      <w:hyperlink r:id="rId493" w:history="1">
        <w:r>
          <w:t>§ 61</w:t>
        </w:r>
        <w:r w:rsidRPr="00277146">
          <w:t>(a) of the Internal Revenue Code of 1954</w:t>
        </w:r>
      </w:hyperlink>
      <w:r w:rsidRPr="00277146">
        <w:t>.</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94" w:history="1">
        <w:r>
          <w:t>§ 145</w:t>
        </w:r>
        <w:r w:rsidRPr="00277146">
          <w:t xml:space="preserve">(b) of the Internal Revenue Code </w:t>
        </w:r>
      </w:hyperlink>
      <w:r w:rsidRPr="00277146">
        <w:t>of 1939</w:t>
      </w:r>
      <w:r>
        <w:t xml:space="preserve"> </w:t>
      </w:r>
      <w:r w:rsidRPr="00277146">
        <w:t xml:space="preserve">and </w:t>
      </w:r>
      <w:hyperlink r:id="rId495" w:history="1">
        <w:r w:rsidRPr="00277146">
          <w:t>§ 7201 of the Internal </w:t>
        </w:r>
      </w:hyperlink>
      <w:r w:rsidRPr="00277146">
        <w:t>Revenue Code of 1954. He was sentenced to a total of three years</w:t>
      </w:r>
      <w:r>
        <w:t>’</w:t>
      </w:r>
      <w:r w:rsidRPr="00277146">
        <w:t xml:space="preserve"> imprisonment. The Court of Appeals affirmed. Because of a conflict with this Court</w:t>
      </w:r>
      <w:r>
        <w:t>’</w:t>
      </w:r>
      <w:r w:rsidRPr="00277146">
        <w:t xml:space="preserve">s decision in </w:t>
      </w:r>
      <w:hyperlink r:id="rId496"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97" w:history="1">
        <w:r>
          <w:t>§ 22</w:t>
        </w:r>
        <w:r w:rsidRPr="00277146">
          <w:t>(a) of the Internal Revenue Code of 1939</w:t>
        </w:r>
      </w:hyperlink>
      <w:r w:rsidRPr="00277146">
        <w:t xml:space="preserve">. Six years later, this Court held, in </w:t>
      </w:r>
      <w:hyperlink r:id="rId498"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99"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500"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501" w:history="1">
        <w:r>
          <w:t>§ 22</w:t>
        </w:r>
        <w:r w:rsidRPr="00277146">
          <w:t>(a)</w:t>
        </w:r>
      </w:hyperlink>
      <w:r w:rsidRPr="00277146">
        <w:t>.</w:t>
      </w:r>
      <w:r>
        <w:t>”</w:t>
      </w:r>
      <w:r w:rsidRPr="00277146">
        <w:t xml:space="preserve"> </w:t>
      </w:r>
      <w:hyperlink r:id="rId502" w:history="1">
        <w:r w:rsidRPr="00D8401E">
          <w:rPr>
            <w:i/>
          </w:rPr>
          <w:t>Id.</w:t>
        </w:r>
        <w:r w:rsidRPr="00277146">
          <w:t>, at 138</w:t>
        </w:r>
      </w:hyperlink>
      <w:r w:rsidRPr="00277146">
        <w:t>.</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503"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59"/>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504"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505" w:history="1">
        <w:r>
          <w:rPr>
            <w:i/>
          </w:rPr>
          <w:t>Johnson v. U.S.</w:t>
        </w:r>
        <w:r w:rsidRPr="00277146">
          <w:t>, 318 U.S. 189</w:t>
        </w:r>
      </w:hyperlink>
      <w:r w:rsidRPr="00277146">
        <w:t xml:space="preserve">; </w:t>
      </w:r>
      <w:hyperlink r:id="rId506"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507"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508"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509" w:history="1">
        <w:r>
          <w:rPr>
            <w:i/>
          </w:rPr>
          <w:t>Comm’</w:t>
        </w:r>
        <w:r w:rsidRPr="00124CED">
          <w:rPr>
            <w:i/>
          </w:rPr>
          <w:t>r v. Jacobson</w:t>
        </w:r>
        <w:r w:rsidRPr="00277146">
          <w:t>, 336 U.S. 28, 49</w:t>
        </w:r>
      </w:hyperlink>
      <w:r w:rsidRPr="00277146">
        <w:t>.</w:t>
      </w:r>
      <w:bookmarkStart w:id="190" w:name="clsccl8"/>
      <w:bookmarkEnd w:id="190"/>
      <w:r>
        <w:t xml:space="preserve"> </w:t>
      </w:r>
      <w:r w:rsidRPr="00277146">
        <w:t xml:space="preserve">The language of </w:t>
      </w:r>
      <w:hyperlink r:id="rId510"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511"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512"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513"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514"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515"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16" w:history="1">
        <w:r>
          <w:rPr>
            <w:i/>
          </w:rPr>
          <w:t>U.S.</w:t>
        </w:r>
        <w:r w:rsidRPr="00124CED">
          <w:rPr>
            <w:i/>
          </w:rPr>
          <w:t xml:space="preserve"> v. Lewis</w:t>
        </w:r>
        <w:r w:rsidRPr="00277146">
          <w:t xml:space="preserve">, </w:t>
        </w:r>
        <w:r w:rsidRPr="00124CED">
          <w:rPr>
            <w:i/>
          </w:rPr>
          <w:t>supra</w:t>
        </w:r>
      </w:hyperlink>
      <w:r w:rsidRPr="00277146">
        <w:t xml:space="preserve">; </w:t>
      </w:r>
      <w:hyperlink r:id="rId517"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91" w:name="clsccl12"/>
      <w:bookmarkEnd w:id="191"/>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518" w:history="1">
        <w:r>
          <w:rPr>
            <w:i/>
          </w:rPr>
          <w:t>Girouard v. U.S.</w:t>
        </w:r>
        <w:r w:rsidRPr="00277146">
          <w:t>, 328 U.S. 61, 69-70</w:t>
        </w:r>
      </w:hyperlink>
      <w:r w:rsidRPr="00277146">
        <w:t xml:space="preserve">; </w:t>
      </w:r>
      <w:hyperlink r:id="rId519"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rsidR="0078310B" w:rsidRPr="0027714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520" w:history="1">
        <w:r>
          <w:rPr>
            <w:i/>
          </w:rPr>
          <w:t>Spies v. U.S.</w:t>
        </w:r>
        <w:r w:rsidRPr="00277146">
          <w:t>, 317 U.S. 492, 499</w:t>
        </w:r>
      </w:hyperlink>
      <w:r w:rsidRPr="00277146">
        <w:t xml:space="preserve">, the Court said that </w:t>
      </w:r>
      <w:hyperlink r:id="rId521" w:history="1">
        <w:r>
          <w:t>§ 145</w:t>
        </w:r>
        <w:r w:rsidRPr="00277146">
          <w:t>(b)</w:t>
        </w:r>
      </w:hyperlink>
      <w:r w:rsidRPr="00277146">
        <w:t xml:space="preserve"> of the 1939 Code</w:t>
      </w:r>
      <w:bookmarkStart w:id="192" w:name="clsccl14"/>
      <w:bookmarkEnd w:id="192"/>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522" w:history="1">
        <w:r>
          <w:rPr>
            <w:i/>
          </w:rPr>
          <w:t>Holland v. U.S.</w:t>
        </w:r>
        <w:r w:rsidRPr="00F36F7E">
          <w:t>, 348 U.S. 121, 139</w:t>
        </w:r>
      </w:hyperlink>
      <w:r w:rsidRPr="00F36F7E">
        <w:t>.</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93" w:name="clsccl15"/>
      <w:bookmarkEnd w:id="193"/>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 Black, Justice Clark, and Justice Whitaker, each concurring in part and dissenting in part, are omitted.]</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8310B" w:rsidRPr="00F36F7E" w:rsidRDefault="0078310B" w:rsidP="0078310B">
      <w:pPr>
        <w:pStyle w:val="Heading3"/>
        <w:spacing w:before="0" w:beforeAutospacing="0" w:after="120" w:afterAutospacing="0"/>
        <w:jc w:val="center"/>
      </w:pPr>
      <w:bookmarkStart w:id="194" w:name="_Toc395790491"/>
      <w:r w:rsidRPr="00F36F7E">
        <w:t>NORTH AMERICAN OIL CONSOLIDATED v. BURNET</w:t>
      </w:r>
      <w:bookmarkEnd w:id="194"/>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money was paid to the company under the following circumstances. Among many 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523"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524" w:history="1">
        <w:r w:rsidRPr="00850C3B">
          <w:rPr>
            <w:i/>
          </w:rPr>
          <w:t>Burnet v. Logan</w:t>
        </w:r>
        <w:r w:rsidRPr="00F36F7E">
          <w:t>, 283 U.S. 404, 413</w:t>
        </w:r>
      </w:hyperlink>
      <w:r w:rsidRPr="00F36F7E">
        <w:t xml:space="preserve">. </w:t>
      </w:r>
      <w:r w:rsidRPr="00850C3B">
        <w:rPr>
          <w:i/>
        </w:rPr>
        <w:t>Compare</w:t>
      </w:r>
      <w:r w:rsidRPr="00F36F7E">
        <w:t xml:space="preserve"> </w:t>
      </w:r>
      <w:hyperlink r:id="rId525" w:history="1">
        <w:r w:rsidRPr="00850C3B">
          <w:rPr>
            <w:i/>
          </w:rPr>
          <w:t>Lucas v. American Code Co.</w:t>
        </w:r>
        <w:r w:rsidRPr="00F36F7E">
          <w:t>, 280 U.S. 445, 452</w:t>
        </w:r>
      </w:hyperlink>
      <w:r w:rsidRPr="00F36F7E">
        <w:t xml:space="preserve">; </w:t>
      </w:r>
      <w:hyperlink r:id="rId526"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rsidR="0078310B" w:rsidRPr="00F36F7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527"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528" w:history="1">
        <w:r>
          <w:rPr>
            <w:i/>
          </w:rPr>
          <w:t>U.S.</w:t>
        </w:r>
        <w:r w:rsidRPr="00850C3B">
          <w:rPr>
            <w:i/>
          </w:rPr>
          <w:t xml:space="preserve"> v. S. S. White Dental Mfg. 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529" w:history="1">
        <w:r w:rsidRPr="00850C3B">
          <w:rPr>
            <w:i/>
          </w:rPr>
          <w:t>Lucas v. American Code Co.</w:t>
        </w:r>
        <w:r w:rsidRPr="00F36F7E">
          <w:t xml:space="preserve">, </w:t>
        </w:r>
        <w:r w:rsidRPr="00850C3B">
          <w:rPr>
            <w:i/>
          </w:rPr>
          <w:t>supra</w:t>
        </w:r>
        <w:r w:rsidRPr="00F36F7E">
          <w:t>.</w:t>
        </w:r>
      </w:hyperlink>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has to repay the funds in a future year? In </w:t>
      </w:r>
      <w:r>
        <w:rPr>
          <w:i/>
        </w:rPr>
        <w:t>James</w:t>
      </w:r>
      <w:r>
        <w:t xml:space="preserve">, the Court observed: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30" w:history="1">
        <w:r>
          <w:rPr>
            <w:i/>
          </w:rPr>
          <w:t>U.S.</w:t>
        </w:r>
        <w:r w:rsidRPr="006843F6">
          <w:rPr>
            <w:i/>
          </w:rPr>
          <w:t xml:space="preserve"> v. Lewis</w:t>
        </w:r>
        <w:r w:rsidRPr="00277146">
          <w:t xml:space="preserve">, </w:t>
        </w:r>
        <w:r w:rsidRPr="006843F6">
          <w:rPr>
            <w:i/>
          </w:rPr>
          <w:t>supra</w:t>
        </w:r>
      </w:hyperlink>
      <w:r w:rsidRPr="00277146">
        <w:t xml:space="preserve">; </w:t>
      </w:r>
      <w:hyperlink r:id="rId531"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rsidR="0078310B" w:rsidRPr="00DC317A" w:rsidRDefault="0078310B" w:rsidP="0078310B">
      <w:pPr>
        <w:pStyle w:val="Heading3"/>
        <w:spacing w:before="0" w:beforeAutospacing="0" w:after="120" w:afterAutospacing="0"/>
        <w:rPr>
          <w:i/>
        </w:rPr>
      </w:pPr>
      <w:bookmarkStart w:id="195" w:name="_Toc395790492"/>
      <w:r w:rsidRPr="00DC317A">
        <w:rPr>
          <w:i/>
        </w:rPr>
        <w:t>Lewis and the enactment of § 1341</w:t>
      </w:r>
      <w:bookmarkEnd w:id="195"/>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w:t>
      </w:r>
      <w:r w:rsidR="00203A5B">
        <w:t xml:space="preserve"> the</w:t>
      </w:r>
      <w:r>
        <w:t xml:space="preserve"> </w:t>
      </w:r>
      <w:r w:rsidRPr="00355AEB">
        <w:rPr>
          <w:i/>
        </w:rPr>
        <w:t>Lewis</w:t>
      </w:r>
      <w:r w:rsidR="00203A5B">
        <w:t xml:space="preserve"> case cited in the above quotation</w:t>
      </w:r>
      <w:r>
        <w:t>,</w:t>
      </w:r>
      <w:r>
        <w:rPr>
          <w:rStyle w:val="FootnoteReference"/>
        </w:rPr>
        <w:footnoteReference w:id="360"/>
      </w:r>
      <w:r>
        <w:t xml:space="preserve"> Mr. Lewis was lucky enough to receive a $22,000 bonus f</w:t>
      </w:r>
      <w:r w:rsidR="00F629F7">
        <w:t>rom his employer in 1944 (more than $300,000 in 2016</w:t>
      </w:r>
      <w:r>
        <w:t xml:space="preserve"> dollars), which he dutifully included in his Gross Income. In 1946, however, he received the bad news that his employer had made a mathematical error in computing the amount to which he was entitled as a bonus under their </w:t>
      </w:r>
      <w:r w:rsidR="00203A5B">
        <w:t xml:space="preserve">employment </w:t>
      </w:r>
      <w:r>
        <w:t xml:space="preserve">contract, and Mr. Lewis had to return $11,000 of the $22,000 to his employer. While Mr. Lewis clearly would have been entitled to deduct the repayment in 1946 (as the outlay clearly pertained to his trade or business as an employee), tax rates had been reduced somewhat at the end of WWII, and Mr. Lewis would not have saved as much in tax with a 1946 deduction of $11,000 as he had previously paid in tax in 1944 when that $11,000 was included in his Gross Income. Thus, Mr. Lewis sought to file an amended return for 1944, excluding the $11,000 from his 1944 Gross Income that he returned to his employer in 1946,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case is yet another 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do not allow hindsight to alter what actually happened in a prior year.</w:t>
      </w:r>
      <w:r>
        <w:rPr>
          <w:rStyle w:val="FootnoteReference"/>
        </w:rPr>
        <w:footnoteReference w:id="361"/>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however, by enacting </w:t>
      </w:r>
      <w:hyperlink r:id="rId532"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against his 1946 income tax owed (determined without a deduction for the repayment) equal to the amount of additional tax that he paid in 1944 by reason of including the $11,000. Notice, therefore, that a Mr. Lewis of tod</w:t>
      </w:r>
      <w:r w:rsidR="001C2BF1">
        <w:t>ay gets the best of both worlds!</w:t>
      </w:r>
      <w:r>
        <w:t xml:space="preserve">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rsidR="0078310B" w:rsidRDefault="002B3596"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33" w:history="1">
        <w:r w:rsidR="0078310B" w:rsidRPr="00677EBD">
          <w:rPr>
            <w:rStyle w:val="Hyperlink"/>
          </w:rPr>
          <w:t>Section 1341</w:t>
        </w:r>
      </w:hyperlink>
      <w:r w:rsidR="0078310B">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sidR="0078310B">
        <w:rPr>
          <w:i/>
        </w:rPr>
        <w:t xml:space="preserve">Lewis </w:t>
      </w:r>
      <w:r w:rsidR="0078310B">
        <w:t xml:space="preserve">case, itself. </w:t>
      </w:r>
    </w:p>
    <w:p w:rsidR="0078310B" w:rsidRPr="00DC317A" w:rsidRDefault="0078310B" w:rsidP="0078310B">
      <w:pPr>
        <w:pStyle w:val="Heading3"/>
        <w:spacing w:before="0" w:beforeAutospacing="0" w:after="120" w:afterAutospacing="0"/>
        <w:rPr>
          <w:i/>
        </w:rPr>
      </w:pPr>
      <w:bookmarkStart w:id="196" w:name="_Toc395790493"/>
      <w:r w:rsidRPr="00DC317A">
        <w:rPr>
          <w:i/>
        </w:rPr>
        <w:t>A workable tax definition of “loan”: absolute versus contingent obligation to repay</w:t>
      </w:r>
      <w:bookmarkEnd w:id="196"/>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sidRPr="004B173E">
        <w:rPr>
          <w:b/>
        </w:rPr>
        <w:t xml:space="preserve">a “loan”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rsidR="0078310B" w:rsidRPr="001E7747"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34"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 xml:space="preserve">treatment, however, by making an election under </w:t>
      </w:r>
      <w:r w:rsidRPr="00095588">
        <w:t>§ 83</w:t>
      </w:r>
      <w:r>
        <w:t xml:space="preserve">(b) and including the FMV of the stock in the year of receipt, but she would lose her ability to deduct the repayment if the contingency ripens and she must return the stock (for unknown reasons that I shall never understand).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Thus,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rsidRPr="00080637">
        <w:t xml:space="preserve"> together, we se</w:t>
      </w:r>
      <w:r>
        <w:t>e that we have different rules that turn on w</w:t>
      </w:r>
      <w:r w:rsidRPr="00080637">
        <w:t>hether the repayment obligation is “absolute”—loan and thus excludable—or “contingent”—</w:t>
      </w:r>
      <w:r w:rsidRPr="00080637">
        <w:rPr>
          <w:i/>
          <w:iCs/>
        </w:rPr>
        <w:t>not</w:t>
      </w:r>
      <w:r>
        <w:t xml:space="preserve"> a loan and thus includable (unless § 83(a) applies)</w:t>
      </w:r>
      <w:r w:rsidRPr="00080637">
        <w:t>, subject to a deduction if and when the contingency ripens and r</w:t>
      </w:r>
      <w:r>
        <w:t>epayment actually occurs. How do</w:t>
      </w:r>
      <w:r w:rsidRPr="00080637">
        <w:t xml:space="preserve"> these rules play out in</w:t>
      </w:r>
      <w:r>
        <w:t xml:space="preserve"> the next case?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8310B" w:rsidRDefault="0078310B" w:rsidP="0078310B">
      <w:pPr>
        <w:pStyle w:val="Heading3"/>
        <w:spacing w:before="0" w:beforeAutospacing="0" w:after="120" w:afterAutospacing="0"/>
        <w:jc w:val="center"/>
      </w:pPr>
      <w:bookmarkStart w:id="197" w:name="_Toc395790494"/>
      <w:r>
        <w:t>COMMISSIONER v. INDIANAPOLIS POWER &amp; LIGHT</w:t>
      </w:r>
      <w:bookmarkEnd w:id="197"/>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62"/>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35"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36"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37"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38"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39"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40" w:history="1">
        <w:r>
          <w:rPr>
            <w:i/>
          </w:rPr>
          <w:t>James v. U.S.</w:t>
        </w:r>
        <w:r w:rsidRPr="00944AEE">
          <w:t>, 366 U.S., at 219</w:t>
        </w:r>
      </w:hyperlink>
      <w:r w:rsidRPr="00944AEE">
        <w:t xml:space="preserve">, quoting </w:t>
      </w:r>
      <w:hyperlink r:id="rId541"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s other funds, and that IPL therefore enjoyed unrestricted use of the money. That 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42"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rsidR="0078310B" w:rsidRPr="00944AEE"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576"/>
        <w:jc w:val="both"/>
      </w:pPr>
      <w:r w:rsidRPr="00944AEE">
        <w:t>The problem with petitioner</w:t>
      </w:r>
      <w:r>
        <w:t>’</w:t>
      </w:r>
      <w:r w:rsidRPr="00944AEE">
        <w:t>s argument perhaps can best be understood if we imagine a loan between parties in</w:t>
      </w:r>
      <w:r>
        <w:t xml:space="preserve">volved in an ongoing commercial </w:t>
      </w:r>
      <w:r w:rsidRPr="00944AEE">
        <w:t>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the Court applies the substance over form doctrine (or its progeny, the step transaction doctrine) to </w:t>
      </w:r>
      <w:r>
        <w:rPr>
          <w:i/>
        </w:rPr>
        <w:t xml:space="preserve">deem </w:t>
      </w:r>
      <w:r>
        <w:t xml:space="preserve">a repayment to the customer in those cases in which the utility actually keeps the money (thus placing the receipt in the “absolute obligation to repay” box rather than the “contingent obligation to repay” box), followed by a </w:t>
      </w:r>
      <w:r>
        <w:rPr>
          <w:i/>
        </w:rPr>
        <w:t xml:space="preserve">deemed </w:t>
      </w:r>
      <w:r>
        <w:t xml:space="preserve">repayment right back to the utility by the customer. Thus, the Court was able to conclude that the utility had an absolute obligation to repay these deposits </w:t>
      </w:r>
      <w:r>
        <w:rPr>
          <w:i/>
        </w:rPr>
        <w:t>in every case</w:t>
      </w:r>
      <w:r>
        <w:t>, permitting it to exclude the deposits under the borrowing exclusion. If the deposit is actually repaid, the utility never includes it in Gross Income. If the utility keeps it (</w:t>
      </w:r>
      <w:r>
        <w:rPr>
          <w:i/>
        </w:rPr>
        <w:t>i.e.</w:t>
      </w:r>
      <w:r>
        <w:t xml:space="preserve">, applies it against the customer’s utility bill), the utility includes it in Gross Income </w:t>
      </w:r>
      <w:r>
        <w:rPr>
          <w:i/>
        </w:rPr>
        <w:t>at that later time</w:t>
      </w:r>
      <w:r>
        <w:t xml:space="preserve"> (because it is deemed to repay the deposit to the customer who then is deemed to repay it right back to the utility at that time).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 xml:space="preserve">that we deem it to be the true substance of what actually happened. </w:t>
      </w:r>
      <w:r>
        <w:rPr>
          <w:spacing w:val="-2"/>
        </w:rPr>
        <w:t xml:space="preserve">Thus, 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 xml:space="preserve">argue that it is not realistic to treat these </w:t>
      </w:r>
      <w:r>
        <w:rPr>
          <w:spacing w:val="-2"/>
        </w:rPr>
        <w:t>“</w:t>
      </w:r>
      <w:r w:rsidRPr="008578D1">
        <w:rPr>
          <w:spacing w:val="-2"/>
        </w:rPr>
        <w:t>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 xml:space="preserve">from the typical </w:t>
      </w:r>
      <w:r>
        <w:rPr>
          <w:spacing w:val="-2"/>
        </w:rPr>
        <w:t>“</w:t>
      </w:r>
      <w:r w:rsidRPr="008578D1">
        <w:rPr>
          <w:spacing w:val="-2"/>
        </w:rPr>
        <w:t>loan</w:t>
      </w:r>
      <w:r>
        <w:rPr>
          <w:spacing w:val="-2"/>
        </w:rPr>
        <w:t>”</w:t>
      </w:r>
      <w:r w:rsidRPr="008578D1">
        <w:rPr>
          <w:spacing w:val="-2"/>
        </w:rPr>
        <w:t xml:space="preserve"> situati</w:t>
      </w:r>
      <w:r>
        <w:rPr>
          <w:spacing w:val="-2"/>
        </w:rPr>
        <w:t>on that the analogy breaks down?</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43" w:history="1">
        <w:r w:rsidRPr="008034FB">
          <w:rPr>
            <w:rStyle w:val="Hyperlink"/>
          </w:rPr>
          <w:t>§ 7872</w:t>
        </w:r>
      </w:hyperlink>
      <w:r>
        <w:t xml:space="preserve"> apply?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78310B" w:rsidRDefault="0078310B" w:rsidP="0078310B">
      <w:pPr>
        <w:pStyle w:val="Heading3"/>
        <w:spacing w:before="0" w:beforeAutospacing="0" w:after="0" w:afterAutospacing="0"/>
        <w:jc w:val="center"/>
        <w:rPr>
          <w:b w:val="0"/>
        </w:rPr>
      </w:pPr>
      <w:bookmarkStart w:id="198" w:name="_Toc395790495"/>
      <w:r w:rsidRPr="00DC317A">
        <w:rPr>
          <w:u w:val="single"/>
        </w:rPr>
        <w:t>Problem</w:t>
      </w:r>
      <w:bookmarkEnd w:id="198"/>
    </w:p>
    <w:p w:rsidR="0078310B" w:rsidRPr="00C17FE7" w:rsidRDefault="0078310B" w:rsidP="0078310B">
      <w:pPr>
        <w:pStyle w:val="Heading3"/>
        <w:spacing w:before="0" w:beforeAutospacing="0" w:after="0" w:afterAutospacing="0"/>
        <w:jc w:val="center"/>
        <w:rPr>
          <w:b w:val="0"/>
        </w:rPr>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Joy, a landlord, demands a deposit equal to two months rent before she will rent an apartment to prospective tenant Joey. Under the lease agreement, the deposit will be returned to Joey at the end of the lease term so long as he has not damaged the property or defaulted on any lease 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rent before vacating the premises in good condition at the end of Year 3?</w:t>
      </w:r>
    </w:p>
    <w:p w:rsidR="0078310B" w:rsidRDefault="0078310B" w:rsidP="0078310B">
      <w:pPr>
        <w:widowControl w:val="0"/>
        <w:ind w:left="288"/>
        <w:jc w:val="both"/>
        <w:sectPr w:rsidR="0078310B" w:rsidSect="005337BA">
          <w:headerReference w:type="default" r:id="rId544"/>
          <w:footnotePr>
            <w:numRestart w:val="eachSect"/>
          </w:footnotePr>
          <w:type w:val="continuous"/>
          <w:pgSz w:w="12240" w:h="15840"/>
          <w:pgMar w:top="1440" w:right="1440" w:bottom="1440" w:left="1440" w:header="1008" w:footer="720"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rsidR="0078310B" w:rsidRPr="00260F48" w:rsidRDefault="0078310B" w:rsidP="0078310B">
      <w:pPr>
        <w:widowControl w:val="0"/>
        <w:rPr>
          <w:u w:val="single"/>
        </w:rPr>
        <w:sectPr w:rsidR="0078310B" w:rsidRPr="00260F48" w:rsidSect="005337BA">
          <w:headerReference w:type="default" r:id="rId545"/>
          <w:footnotePr>
            <w:numRestart w:val="eachSect"/>
          </w:footnotePr>
          <w:pgSz w:w="12240" w:h="15840"/>
          <w:pgMar w:top="1440" w:right="1440" w:bottom="1440" w:left="1440" w:header="1008" w:footer="720" w:gutter="0"/>
          <w:cols w:space="720"/>
          <w:titlePg/>
          <w:docGrid w:linePitch="360"/>
        </w:sectPr>
      </w:pPr>
    </w:p>
    <w:p w:rsidR="0078310B" w:rsidRPr="00C17FE7" w:rsidRDefault="0078310B" w:rsidP="0078310B">
      <w:pPr>
        <w:pStyle w:val="Heading2"/>
        <w:spacing w:before="0"/>
        <w:rPr>
          <w:sz w:val="36"/>
          <w:szCs w:val="36"/>
        </w:rPr>
      </w:pPr>
      <w:bookmarkStart w:id="199" w:name="_Toc395790496"/>
      <w:r w:rsidRPr="00C17FE7">
        <w:rPr>
          <w:sz w:val="36"/>
          <w:szCs w:val="36"/>
        </w:rPr>
        <w:t xml:space="preserve">Chapter 11: The </w:t>
      </w:r>
      <w:r>
        <w:rPr>
          <w:sz w:val="36"/>
          <w:szCs w:val="36"/>
        </w:rPr>
        <w:t>Bad-Debt</w:t>
      </w:r>
      <w:r w:rsidRPr="00C17FE7">
        <w:rPr>
          <w:sz w:val="36"/>
          <w:szCs w:val="36"/>
        </w:rPr>
        <w:t xml:space="preserve"> Deduction </w:t>
      </w:r>
    </w:p>
    <w:p w:rsidR="0078310B" w:rsidRPr="00C17FE7" w:rsidRDefault="0078310B" w:rsidP="0078310B">
      <w:pPr>
        <w:pStyle w:val="Heading2"/>
        <w:spacing w:before="0"/>
        <w:rPr>
          <w:sz w:val="36"/>
          <w:szCs w:val="36"/>
          <w:u w:val="single"/>
        </w:rPr>
      </w:pPr>
      <w:r w:rsidRPr="00C17FE7">
        <w:rPr>
          <w:sz w:val="36"/>
          <w:szCs w:val="36"/>
          <w:u w:val="single"/>
        </w:rPr>
        <w:t>(for Lenders) and Debt-Discharge Income (for Borrowers)</w:t>
      </w:r>
      <w:bookmarkEnd w:id="199"/>
    </w:p>
    <w:p w:rsidR="0078310B" w:rsidRDefault="0078310B" w:rsidP="0078310B">
      <w:pPr>
        <w:widowControl w:val="0"/>
        <w:spacing w:after="120"/>
      </w:pPr>
      <w:r>
        <w:t xml:space="preserve"> </w:t>
      </w:r>
    </w:p>
    <w:p w:rsidR="0078310B" w:rsidRDefault="0078310B" w:rsidP="0057123E">
      <w:pPr>
        <w:widowControl w:val="0"/>
        <w:ind w:firstLine="288"/>
        <w:jc w:val="both"/>
      </w:pPr>
      <w:r>
        <w:t>What tax consequences arise when a borrower fails to repay borrowed principal? In</w:t>
      </w:r>
      <w:r w:rsidR="006337D5">
        <w:t xml:space="preserve">terest? </w:t>
      </w:r>
      <w:r>
        <w:t xml:space="preserve">Part A. considers first the income tax consequences to the lender, and Part B. considers the income tax consequences to the borrower. </w:t>
      </w:r>
    </w:p>
    <w:p w:rsidR="0078310B" w:rsidRDefault="0078310B" w:rsidP="0078310B">
      <w:pPr>
        <w:widowControl w:val="0"/>
        <w:ind w:firstLine="288"/>
        <w:jc w:val="both"/>
      </w:pPr>
    </w:p>
    <w:p w:rsidR="0078310B" w:rsidRPr="00C17FE7" w:rsidRDefault="0078310B" w:rsidP="0078310B">
      <w:pPr>
        <w:pStyle w:val="Heading2"/>
        <w:spacing w:before="0"/>
        <w:rPr>
          <w:sz w:val="32"/>
          <w:szCs w:val="32"/>
          <w:u w:val="single"/>
        </w:rPr>
      </w:pPr>
      <w:bookmarkStart w:id="200"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200"/>
    </w:p>
    <w:p w:rsidR="0078310B" w:rsidRDefault="0078310B" w:rsidP="0078310B">
      <w:pPr>
        <w:widowControl w:val="0"/>
      </w:pPr>
    </w:p>
    <w:p w:rsidR="0078310B" w:rsidRDefault="0078310B" w:rsidP="0078310B">
      <w:pPr>
        <w:widowControl w:val="0"/>
        <w:spacing w:after="120"/>
        <w:ind w:firstLine="288"/>
        <w:jc w:val="both"/>
      </w:pPr>
      <w:r>
        <w:t xml:space="preserve">You learned in Chapter 10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thus represent tax-free recovery of basis (which reduces that basis, dollar for dollar, as principal repayments are received) rather than Gross Income. Interest, in contrast, represents new wealth to the lender and is includable in Gross Income under </w:t>
      </w:r>
      <w:hyperlink r:id="rId546" w:history="1">
        <w:r w:rsidRPr="00681CE9">
          <w:rPr>
            <w:rStyle w:val="Hyperlink"/>
          </w:rPr>
          <w:t>§ 61</w:t>
        </w:r>
      </w:hyperlink>
      <w:r>
        <w:t xml:space="preserve">(a)(4) (absent exclusion authority under </w:t>
      </w:r>
      <w:hyperlink r:id="rId547" w:history="1">
        <w:r w:rsidRPr="00681CE9">
          <w:rPr>
            <w:rStyle w:val="Hyperlink"/>
          </w:rPr>
          <w:t>§ 103</w:t>
        </w:r>
      </w:hyperlink>
      <w:r>
        <w:t xml:space="preserve">).  </w:t>
      </w:r>
    </w:p>
    <w:p w:rsidR="0078310B" w:rsidRDefault="0078310B" w:rsidP="0078310B">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rsidR="0078310B" w:rsidRDefault="0078310B" w:rsidP="0078310B">
      <w:pPr>
        <w:widowControl w:val="0"/>
        <w:spacing w:after="120"/>
        <w:ind w:firstLine="288"/>
        <w:jc w:val="both"/>
      </w:pPr>
      <w:r>
        <w:t>Notice that the activity of lending mone</w:t>
      </w:r>
      <w:r w:rsidR="00681CE9">
        <w:t xml:space="preserve">y to earn interest is </w:t>
      </w:r>
      <w:r>
        <w:t xml:space="preserve">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xml:space="preserve">. For example, if Candace were to purchase shares of stock in High Tech for $10,000, a nondeductible capital expenditure creating a $10,000 cost basis under § 1012, and later sold those shares for only $9,000, the $1,000 of unrecovered basis would produce a “loss” under </w:t>
      </w:r>
      <w:hyperlink r:id="rId548" w:history="1">
        <w:r w:rsidRPr="00681CE9">
          <w:rPr>
            <w:rStyle w:val="Hyperlink"/>
          </w:rPr>
          <w:t>§ 1001</w:t>
        </w:r>
      </w:hyperlink>
      <w:r>
        <w:t xml:space="preserve"> that would be deductible under </w:t>
      </w:r>
      <w:hyperlink r:id="rId549" w:history="1">
        <w:r w:rsidRPr="00681CE9">
          <w:rPr>
            <w:rStyle w:val="Hyperlink"/>
          </w:rPr>
          <w:t>§ 165</w:t>
        </w:r>
      </w:hyperlink>
      <w:r>
        <w:t xml:space="preserve">(c)(2) because the shares are investment property. Similarly, unrecovered basis of a lender should produce a “loss” deduction—a deduction of unrecovered basis—if the loan is bona fide and not, say, really a disguised gift to the supposed borrower (a nondeductible personal expense under </w:t>
      </w:r>
      <w:hyperlink r:id="rId550" w:history="1">
        <w:r w:rsidRPr="00681CE9">
          <w:rPr>
            <w:rStyle w:val="Hyperlink"/>
          </w:rPr>
          <w:t>§ 262</w:t>
        </w:r>
      </w:hyperlink>
      <w:r>
        <w:t>).</w:t>
      </w:r>
    </w:p>
    <w:p w:rsidR="0078310B" w:rsidRPr="00B61C2B" w:rsidRDefault="0078310B" w:rsidP="0078310B">
      <w:pPr>
        <w:pStyle w:val="Heading3"/>
        <w:spacing w:before="0" w:beforeAutospacing="0" w:after="120" w:afterAutospacing="0"/>
        <w:rPr>
          <w:i/>
        </w:rPr>
      </w:pPr>
      <w:bookmarkStart w:id="201" w:name="_Toc395790498"/>
      <w:r w:rsidRPr="00B61C2B">
        <w:rPr>
          <w:i/>
        </w:rPr>
        <w:t>§ 165(g) deduction for a worthless security</w:t>
      </w:r>
      <w:bookmarkEnd w:id="201"/>
    </w:p>
    <w:p w:rsidR="0078310B" w:rsidRPr="008C4BBA" w:rsidRDefault="0078310B" w:rsidP="0078310B">
      <w:pPr>
        <w:widowControl w:val="0"/>
        <w:spacing w:after="120"/>
        <w:ind w:firstLine="288"/>
        <w:jc w:val="both"/>
      </w:pPr>
      <w:r>
        <w:t xml:space="preserve">A loss deduction will arise under </w:t>
      </w:r>
      <w:hyperlink r:id="rId551" w:history="1">
        <w:r w:rsidRPr="00681CE9">
          <w:rPr>
            <w:rStyle w:val="Hyperlink"/>
          </w:rPr>
          <w:t>§ 165</w:t>
        </w:r>
      </w:hyperlink>
      <w:r>
        <w:t xml:space="preserve">(g) if a “security” within the meaning of § 165(g)(2) becomes “worthless” within the meaning of § 165(g)(1). Under </w:t>
      </w:r>
      <w:r w:rsidRPr="00960973">
        <w:t>§ 165</w:t>
      </w:r>
      <w:r>
        <w:t xml:space="preserve">(g)(2)(A), a share of stock in a corporation is a security. Thus, if Candace’s stock, which she purchased for $10,000, above, were to become entirely worthless, she could deduct her $10,000 of unrecovered stock basis under § 165(g). A High Tech bond also qualifies as a “security” under </w:t>
      </w:r>
      <w:r w:rsidRPr="00960973">
        <w:t>§ 165</w:t>
      </w:r>
      <w:r>
        <w:t>(g)(2)(C). Thus, if the High Tech bond that Candace purchases for $10,000 becomes worthless, she can deduct her $10,000 of unrecovered bond basis under § 165(g).</w:t>
      </w:r>
    </w:p>
    <w:p w:rsidR="0078310B" w:rsidRDefault="0078310B" w:rsidP="0078310B">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52" w:history="1">
        <w:r w:rsidRPr="00681CE9">
          <w:rPr>
            <w:rStyle w:val="Hyperlink"/>
          </w:rPr>
          <w:t>§ 1221</w:t>
        </w:r>
      </w:hyperlink>
      <w:r>
        <w:t xml:space="preserve">(a). But recall from Chapter 1 that </w:t>
      </w:r>
      <w:hyperlink r:id="rId553" w:history="1">
        <w:r w:rsidRPr="00681CE9">
          <w:rPr>
            <w:rStyle w:val="Hyperlink"/>
          </w:rPr>
          <w:t>§ 1222</w:t>
        </w:r>
      </w:hyperlink>
      <w:r>
        <w:t xml:space="preserve"> requires that the disposition of a capital asset be by “sale or exchange” for any resulting gain or loss to qualify as “capital” gain or loss (as opposed to ordinary gain or loss). When a share of stock or a corporate bond becomes worthless, the owner is not likely to find a buyer for it. Indeed, she still owns the stock or bond when she takes the deduction. The failure to satisfy the “sale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rsidR="0078310B" w:rsidRDefault="0078310B" w:rsidP="0078310B">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rsidR="0078310B" w:rsidRDefault="0078310B" w:rsidP="0078310B">
      <w:pPr>
        <w:widowControl w:val="0"/>
        <w:spacing w:after="120"/>
        <w:ind w:left="720" w:right="720"/>
        <w:jc w:val="both"/>
      </w:pPr>
      <w:r w:rsidRPr="008D78C7">
        <w:rPr>
          <w:u w:val="single"/>
        </w:rPr>
        <w:t>Situation 1</w:t>
      </w:r>
      <w:r>
        <w:t>: Candace sells High Tech stock (previously purchased for $10,000) for $10 just before it loses all value, deducting $9,990 under § 165.</w:t>
      </w:r>
    </w:p>
    <w:p w:rsidR="0078310B" w:rsidRDefault="0078310B" w:rsidP="0078310B">
      <w:pPr>
        <w:widowControl w:val="0"/>
        <w:spacing w:after="120"/>
        <w:ind w:left="720" w:right="720"/>
        <w:jc w:val="both"/>
      </w:pPr>
      <w:r w:rsidRPr="008D78C7">
        <w:rPr>
          <w:u w:val="single"/>
        </w:rPr>
        <w:t>Situation 2</w:t>
      </w:r>
      <w:r>
        <w:t>: Candace retains the High Tech stock for a few more days until it becomes entirely worthless, taking a worthless security deduction of $10,000 under § 165.</w:t>
      </w:r>
    </w:p>
    <w:p w:rsidR="0078310B" w:rsidRDefault="0078310B" w:rsidP="0078310B">
      <w:pPr>
        <w:widowControl w:val="0"/>
        <w:spacing w:after="120"/>
        <w:ind w:firstLine="288"/>
        <w:jc w:val="both"/>
      </w:pPr>
      <w:r>
        <w:t xml:space="preserve">In Situation 1, Candace’s $9,990 loss is clearly a capital loss under </w:t>
      </w:r>
      <w:r w:rsidRPr="00960973">
        <w:t>§ 1222</w:t>
      </w:r>
      <w:r>
        <w:t xml:space="preserve"> because she (1) sold or exchanged (2) a capital asset. Thus, her $9,990 capital loss, while deductible under § 165(c)(2), is limited by </w:t>
      </w:r>
      <w:hyperlink r:id="rId554" w:history="1">
        <w:r w:rsidR="00960973" w:rsidRPr="00960973">
          <w:rPr>
            <w:rStyle w:val="Hyperlink"/>
          </w:rPr>
          <w:t>§ 1211</w:t>
        </w:r>
      </w:hyperlink>
      <w:r w:rsidR="00960973">
        <w:t>(b)</w:t>
      </w:r>
      <w:r>
        <w:t xml:space="preserve">,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Candace’s § 165 loss deduction would be ordinary, even though the stock is a capital asset. Thus, Candace could conveniently avoid that pesky § 1211 capital loss limitation rule and fully deduct the loss against her high-taxed ordinary income. Section 165(g)(1) prevents this result because Candace’s worthless security deduction is “treated” as arising from a sale or exchange, even though she did not, in fact, sell or exchange the stock. </w:t>
      </w:r>
    </w:p>
    <w:p w:rsidR="0078310B" w:rsidRPr="00B61C2B" w:rsidRDefault="0078310B" w:rsidP="0078310B">
      <w:pPr>
        <w:pStyle w:val="Heading3"/>
        <w:spacing w:before="0" w:beforeAutospacing="0" w:after="120" w:afterAutospacing="0"/>
        <w:rPr>
          <w:i/>
        </w:rPr>
      </w:pPr>
      <w:bookmarkStart w:id="202" w:name="_Toc395790499"/>
      <w:r w:rsidRPr="00B61C2B">
        <w:rPr>
          <w:i/>
        </w:rPr>
        <w:t xml:space="preserve">§ </w:t>
      </w:r>
      <w:r>
        <w:rPr>
          <w:i/>
        </w:rPr>
        <w:t>166 bad-debt</w:t>
      </w:r>
      <w:r w:rsidRPr="00B61C2B">
        <w:rPr>
          <w:i/>
        </w:rPr>
        <w:t xml:space="preserve"> deduction</w:t>
      </w:r>
      <w:bookmarkEnd w:id="202"/>
    </w:p>
    <w:p w:rsidR="0078310B" w:rsidRDefault="0078310B" w:rsidP="0078310B">
      <w:pPr>
        <w:widowControl w:val="0"/>
        <w:spacing w:after="120"/>
        <w:ind w:firstLine="288"/>
        <w:jc w:val="both"/>
      </w:pPr>
      <w:r>
        <w:t>Suppose that Candace does not buy a bond from High Tech but rather lends $10,000 to Charles, a friend in need. Charles and Candace execute a loan agreement under which Charles will repay that loan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w:t>
      </w:r>
    </w:p>
    <w:p w:rsidR="0078310B" w:rsidRDefault="002B3596" w:rsidP="0078310B">
      <w:pPr>
        <w:widowControl w:val="0"/>
        <w:spacing w:after="120"/>
        <w:ind w:firstLine="288"/>
        <w:jc w:val="both"/>
      </w:pPr>
      <w:hyperlink r:id="rId555" w:history="1">
        <w:r w:rsidR="0078310B" w:rsidRPr="00681CE9">
          <w:rPr>
            <w:rStyle w:val="Hyperlink"/>
          </w:rPr>
          <w:t>Section 166</w:t>
        </w:r>
      </w:hyperlink>
      <w:r w:rsidR="0078310B">
        <w:t xml:space="preserve"> may (or may not) come to her rescue. Stop and read that Code section now. </w:t>
      </w:r>
    </w:p>
    <w:p w:rsidR="0078310B" w:rsidRDefault="0078310B" w:rsidP="0078310B">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rsidR="0078310B" w:rsidRDefault="0078310B" w:rsidP="0078310B">
      <w:pPr>
        <w:widowControl w:val="0"/>
        <w:spacing w:after="120"/>
        <w:ind w:firstLine="288"/>
        <w:jc w:val="both"/>
      </w:pPr>
      <w:r>
        <w:t xml:space="preserve">Let’s start with business bad debts. Notice that the sale or exchange requirement is not artificially satisfied in </w:t>
      </w:r>
      <w:r w:rsidRPr="00960973">
        <w:t>§ 166</w:t>
      </w:r>
      <w:r>
        <w:t>(a). Thus,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for future payments, with interest) can deduct as an ordinary loss any loan principal that becomes uncollectible. (Whether he can deduct uncollectible interest is considered shortly.)</w:t>
      </w:r>
    </w:p>
    <w:p w:rsidR="0078310B" w:rsidRDefault="0078310B" w:rsidP="0078310B">
      <w:pPr>
        <w:widowControl w:val="0"/>
        <w:spacing w:after="120"/>
        <w:ind w:firstLine="288"/>
        <w:jc w:val="both"/>
      </w:pPr>
      <w:r>
        <w:t xml:space="preserve">Notice also that businesses can deduct debts that are only partially worthless under </w:t>
      </w:r>
      <w:hyperlink r:id="rId556" w:history="1">
        <w:r w:rsidRPr="00681CE9">
          <w:rPr>
            <w:rStyle w:val="Hyperlink"/>
          </w:rPr>
          <w:t>§ 166</w:t>
        </w:r>
      </w:hyperlink>
      <w:r>
        <w:t xml:space="preserve">(a)(2),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say,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remaining loan balance becomes uncollectible. </w:t>
      </w:r>
    </w:p>
    <w:p w:rsidR="0078310B" w:rsidRPr="00BE0178" w:rsidRDefault="0078310B" w:rsidP="0078310B">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rsidR="0078310B" w:rsidRDefault="0078310B" w:rsidP="0078310B">
      <w:pPr>
        <w:widowControl w:val="0"/>
        <w:spacing w:after="120"/>
        <w:ind w:firstLine="288"/>
        <w:jc w:val="both"/>
      </w:pPr>
      <w:r>
        <w:t xml:space="preserve">Because </w:t>
      </w:r>
      <w:r w:rsidRPr="00960973">
        <w:t>§ 166</w:t>
      </w:r>
      <w:r>
        <w:t xml:space="preserve">(d)(1)(A) provides that subsection (a) does not apply in the case of a nonbusiness bad debts, the outstanding balance of any nonbusiness debt must be wholly worthless before any deduction is allowed. Return to the same facts above, for example,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w:t>
      </w:r>
      <w:r w:rsidR="00A96128">
        <w:t xml:space="preserve">($7,000) </w:t>
      </w:r>
      <w:r>
        <w:t>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63"/>
      </w:r>
    </w:p>
    <w:p w:rsidR="0078310B" w:rsidRDefault="0078310B" w:rsidP="0078310B">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15. Thus, the nonbusiness lender with a loan outstanding for more than a year before it becomes worthless is grateful that his loss is treated as short-term capital loss rather than long-term capital loss. Stay tuned. </w:t>
      </w:r>
    </w:p>
    <w:p w:rsidR="0078310B" w:rsidRPr="00B61C2B" w:rsidRDefault="0078310B" w:rsidP="0078310B">
      <w:pPr>
        <w:pStyle w:val="Heading3"/>
        <w:spacing w:before="0" w:beforeAutospacing="0" w:after="120" w:afterAutospacing="0"/>
        <w:rPr>
          <w:i/>
        </w:rPr>
      </w:pPr>
      <w:bookmarkStart w:id="203" w:name="_Toc395790500"/>
      <w:r w:rsidRPr="00B61C2B">
        <w:rPr>
          <w:i/>
        </w:rPr>
        <w:t>Bona fide debt</w:t>
      </w:r>
      <w:bookmarkEnd w:id="203"/>
    </w:p>
    <w:p w:rsidR="0078310B" w:rsidRPr="00704FF3" w:rsidRDefault="0078310B" w:rsidP="0078310B">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57"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w:t>
      </w:r>
      <w:hyperlink r:id="rId558" w:history="1">
        <w:r w:rsidRPr="00450C6D">
          <w:rPr>
            <w:rStyle w:val="Hyperlink"/>
          </w:rPr>
          <w:t>§ 7872</w:t>
        </w:r>
      </w:hyperlink>
      <w:r>
        <w:t xml:space="preserve"> (recall the no-interest loan made by High Tech to CEO Sam in the last chapter), but the addition of each of these facts, in turn, makes it less and less likely that the purported loan (and thus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w:t>
      </w:r>
      <w:hyperlink r:id="rId559" w:history="1">
        <w:r w:rsidRPr="00450C6D">
          <w:rPr>
            <w:rStyle w:val="Hyperlink"/>
          </w:rPr>
          <w:t>§ 262</w:t>
        </w:r>
      </w:hyperlink>
      <w:r>
        <w:t>(a).</w:t>
      </w:r>
    </w:p>
    <w:p w:rsidR="0078310B" w:rsidRDefault="0078310B" w:rsidP="0078310B">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rsidR="0078310B" w:rsidRDefault="0078310B" w:rsidP="0078310B">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money under § 166(d)(2). Thus, her resulting short-term capital loss would be subject to </w:t>
      </w:r>
      <w:r w:rsidRPr="00960973">
        <w:t>§ 1211</w:t>
      </w:r>
      <w:r w:rsidR="00960973">
        <w:t>(b)</w:t>
      </w:r>
      <w:r>
        <w:t xml:space="preserve">. If, on the other hand, she was a co-principal in the venture, along with Idea Guy—with the capital coming from her and the expertise coming from him—her investment loss deduction could be taken under </w:t>
      </w:r>
      <w:hyperlink r:id="rId560" w:history="1">
        <w:r w:rsidRPr="00450C6D">
          <w:rPr>
            <w:rStyle w:val="Hyperlink"/>
          </w:rPr>
          <w:t>§ 165</w:t>
        </w:r>
      </w:hyperlink>
      <w:r>
        <w:t xml:space="preserve">(c)(2) and would be an ordinary deduction, as she did not sell or exchange a capital asset. Money Gal would prefer that her deduction be taken under § 165(c)(2) rather than § 166(d) because the former would not be subject to the § 1211 capital loss limitation rule. </w:t>
      </w:r>
    </w:p>
    <w:p w:rsidR="0078310B" w:rsidRDefault="0078310B" w:rsidP="0078310B">
      <w:pPr>
        <w:widowControl w:val="0"/>
        <w:spacing w:after="120"/>
        <w:ind w:firstLine="288"/>
        <w:jc w:val="both"/>
      </w:pPr>
      <w:r>
        <w:t xml:space="preserve">In light of the definition of “bona fide debt” in the regulations, what facts would you need to 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rsidR="0078310B" w:rsidRPr="00B61C2B" w:rsidRDefault="0078310B" w:rsidP="0078310B">
      <w:pPr>
        <w:pStyle w:val="Heading3"/>
        <w:spacing w:before="0" w:beforeAutospacing="0" w:after="120" w:afterAutospacing="0"/>
        <w:rPr>
          <w:i/>
        </w:rPr>
      </w:pPr>
      <w:bookmarkStart w:id="204" w:name="_Toc395790501"/>
      <w:r w:rsidRPr="00B61C2B">
        <w:rPr>
          <w:i/>
        </w:rPr>
        <w:t>Worthlessness</w:t>
      </w:r>
      <w:bookmarkEnd w:id="204"/>
    </w:p>
    <w:p w:rsidR="0078310B" w:rsidRDefault="0078310B" w:rsidP="0078310B">
      <w:pPr>
        <w:widowControl w:val="0"/>
        <w:spacing w:after="120"/>
        <w:ind w:firstLine="288"/>
        <w:jc w:val="both"/>
      </w:pPr>
      <w:r>
        <w:t xml:space="preserve">In addition to being a “bona fide debt,” the debt must be wholly (nonbusiness) or partially (business) “worthless” to generate a deduction under § 166. </w:t>
      </w:r>
      <w:hyperlink r:id="rId561"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rsidR="0078310B" w:rsidRDefault="0078310B" w:rsidP="0078310B">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would thus save more in tax from a deduction in that year). For example, </w:t>
      </w:r>
      <w:r w:rsidRPr="00960973">
        <w:t>Treas. Reg. § 1.166-2</w:t>
      </w:r>
      <w:r>
        <w:t xml:space="preserve"> provides: </w:t>
      </w:r>
    </w:p>
    <w:p w:rsidR="0078310B" w:rsidRDefault="0078310B" w:rsidP="0078310B">
      <w:pPr>
        <w:widowControl w:val="0"/>
        <w:spacing w:after="120"/>
        <w:ind w:left="720" w:right="720"/>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rsidR="0078310B" w:rsidRDefault="0078310B" w:rsidP="0078310B">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64"/>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65"/>
      </w:r>
      <w:r>
        <w:t xml:space="preserve"> Thus, a taxpayer who believes that a debt becomes worthless in Year 6 and takes the bad-debt deduction in that year can file an amended return if it is later determined that the debt actually became worthless in Year 2, instead. The additional deduction for Year 2 on the amended return can then generate a tax refund for the lender.</w:t>
      </w:r>
    </w:p>
    <w:p w:rsidR="0078310B" w:rsidRPr="000B6CCF" w:rsidRDefault="0078310B" w:rsidP="0078310B">
      <w:pPr>
        <w:widowControl w:val="0"/>
        <w:spacing w:after="120"/>
        <w:jc w:val="both"/>
      </w:pPr>
      <w:r>
        <w:rPr>
          <w:b/>
          <w:i/>
        </w:rPr>
        <w:t>Deduction limited to basis</w:t>
      </w:r>
    </w:p>
    <w:p w:rsidR="0078310B" w:rsidRDefault="0078310B" w:rsidP="0078310B">
      <w:pPr>
        <w:widowControl w:val="0"/>
        <w:spacing w:after="120"/>
        <w:ind w:firstLine="288"/>
        <w:jc w:val="both"/>
      </w:pPr>
      <w:r>
        <w:t xml:space="preserve">What is the proper measure of a worthless security or bad-debt deduction under §§ 165(g) or 166? Suppose, for example, that Rachel purchases High Tech stock (a security under § 165(g)(2)(A)), which is publicly traded and thus easily valued, for $10,000 in Year 1. By the end of Year 1, Rachel is happy to find out that the stock has increased in value to $12,000 when she looks up the stock quotation in the newspaper on December 31. At the end of Year 2, she is even happier to learn that the stock is now worth $15,000. Even though Rachel gains economic wealth as the stock increases in value each year, you know from Chapter 1 that Rachel does not include these wealth accessions in Gross Income under the realization requirement because they are not final and irretrievable value changes. </w:t>
      </w:r>
    </w:p>
    <w:p w:rsidR="0078310B" w:rsidRDefault="0078310B" w:rsidP="0078310B">
      <w:pPr>
        <w:widowControl w:val="0"/>
        <w:spacing w:after="120"/>
        <w:ind w:firstLine="288"/>
        <w:jc w:val="both"/>
      </w:pPr>
      <w:r>
        <w:t xml:space="preserve">If, in Year 3, the stock becomes worthless because of some calamity at High Tech, and you asked a nontax observer how much Rachel “lost” on the bad news at High Tech, the observer would likely respond “$15,000,” as that was what the stock was worth immediately before the plunge. 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Rachel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Rachel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rsidR="0078310B" w:rsidRDefault="002B3596" w:rsidP="0078310B">
      <w:pPr>
        <w:widowControl w:val="0"/>
        <w:ind w:firstLine="288"/>
        <w:jc w:val="both"/>
      </w:pPr>
      <w:hyperlink r:id="rId562" w:history="1">
        <w:r w:rsidR="0078310B" w:rsidRPr="00450C6D">
          <w:rPr>
            <w:rStyle w:val="Hyperlink"/>
          </w:rPr>
          <w:t>Sections 165</w:t>
        </w:r>
      </w:hyperlink>
      <w:r w:rsidR="0078310B">
        <w:t xml:space="preserve">(b) and </w:t>
      </w:r>
      <w:hyperlink r:id="rId563" w:history="1">
        <w:r w:rsidR="0078310B" w:rsidRPr="00450C6D">
          <w:rPr>
            <w:rStyle w:val="Hyperlink"/>
          </w:rPr>
          <w:t>166</w:t>
        </w:r>
      </w:hyperlink>
      <w:r w:rsidR="0078310B">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0078310B" w:rsidRPr="00092208">
        <w:rPr>
          <w:i/>
        </w:rPr>
        <w:t>without a prior transfer of funds creating basis</w:t>
      </w:r>
      <w:r w:rsidR="0078310B">
        <w:t xml:space="preserve"> cannot generate a bad-debt deduction if that debt becomes uncollectible. </w:t>
      </w:r>
    </w:p>
    <w:p w:rsidR="0078310B" w:rsidRDefault="0078310B" w:rsidP="0078310B">
      <w:pPr>
        <w:widowControl w:val="0"/>
        <w:ind w:firstLine="288"/>
      </w:pPr>
    </w:p>
    <w:p w:rsidR="0078310B" w:rsidRDefault="0078310B" w:rsidP="0078310B">
      <w:pPr>
        <w:pStyle w:val="Heading3"/>
        <w:spacing w:before="0" w:beforeAutospacing="0" w:after="120" w:afterAutospacing="0"/>
        <w:jc w:val="center"/>
      </w:pPr>
      <w:bookmarkStart w:id="205" w:name="_Toc395790502"/>
      <w:r>
        <w:t>REVENUE RULING 93-27</w:t>
      </w:r>
      <w:bookmarkEnd w:id="205"/>
    </w:p>
    <w:p w:rsidR="0078310B" w:rsidRDefault="0078310B" w:rsidP="0078310B">
      <w:pPr>
        <w:widowControl w:val="0"/>
        <w:jc w:val="center"/>
      </w:pPr>
      <w:r>
        <w:t>1993-1 C.B. 32</w:t>
      </w:r>
    </w:p>
    <w:p w:rsidR="0078310B" w:rsidRDefault="0078310B" w:rsidP="0078310B">
      <w:pPr>
        <w:widowControl w:val="0"/>
      </w:pPr>
    </w:p>
    <w:p w:rsidR="0078310B" w:rsidRPr="002943A0" w:rsidRDefault="0078310B" w:rsidP="0078310B">
      <w:pPr>
        <w:widowControl w:val="0"/>
        <w:spacing w:after="120"/>
        <w:jc w:val="both"/>
      </w:pPr>
      <w:r>
        <w:t>I</w:t>
      </w:r>
      <w:r w:rsidRPr="002943A0">
        <w:t>SSUE</w:t>
      </w:r>
    </w:p>
    <w:p w:rsidR="0078310B" w:rsidRPr="002943A0" w:rsidRDefault="0078310B" w:rsidP="0078310B">
      <w:pPr>
        <w:widowControl w:val="0"/>
        <w:spacing w:after="120"/>
        <w:ind w:firstLine="288"/>
        <w:jc w:val="both"/>
      </w:pPr>
      <w:r w:rsidRPr="002943A0">
        <w:t xml:space="preserve">Is a taxpayer entitled to a nonbusiness </w:t>
      </w:r>
      <w:r>
        <w:t>bad-debt</w:t>
      </w:r>
      <w:r w:rsidRPr="002943A0">
        <w:t xml:space="preserve"> deduction under </w:t>
      </w:r>
      <w:hyperlink r:id="rId564"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rsidR="0078310B" w:rsidRPr="002943A0" w:rsidRDefault="0078310B" w:rsidP="0078310B">
      <w:pPr>
        <w:widowControl w:val="0"/>
        <w:spacing w:after="120"/>
        <w:jc w:val="both"/>
      </w:pPr>
      <w:r w:rsidRPr="002943A0">
        <w:t>FACTS</w:t>
      </w:r>
    </w:p>
    <w:p w:rsidR="0078310B" w:rsidRPr="002943A0" w:rsidRDefault="0078310B" w:rsidP="0078310B">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rsidR="0078310B" w:rsidRPr="002943A0" w:rsidRDefault="0078310B" w:rsidP="0078310B">
      <w:pPr>
        <w:widowControl w:val="0"/>
        <w:spacing w:after="120"/>
        <w:jc w:val="both"/>
      </w:pPr>
      <w:r w:rsidRPr="002943A0">
        <w:t>LAW AND ANALYSIS</w:t>
      </w:r>
    </w:p>
    <w:p w:rsidR="0078310B" w:rsidRPr="002943A0" w:rsidRDefault="002B3596" w:rsidP="0078310B">
      <w:pPr>
        <w:widowControl w:val="0"/>
        <w:spacing w:after="120"/>
        <w:ind w:firstLine="288"/>
        <w:jc w:val="both"/>
      </w:pPr>
      <w:hyperlink r:id="rId565" w:history="1">
        <w:r w:rsidR="0078310B" w:rsidRPr="002943A0">
          <w:t>Section 166(a)(1) of the Code</w:t>
        </w:r>
      </w:hyperlink>
      <w:r w:rsidR="0078310B" w:rsidRPr="002943A0">
        <w:t xml:space="preserve"> allows as a deduction any debt that becomes worthless within the taxable year.</w:t>
      </w:r>
    </w:p>
    <w:p w:rsidR="0078310B" w:rsidRPr="002943A0" w:rsidRDefault="002B3596" w:rsidP="0078310B">
      <w:pPr>
        <w:widowControl w:val="0"/>
        <w:spacing w:after="120"/>
        <w:ind w:firstLine="288"/>
        <w:jc w:val="both"/>
      </w:pPr>
      <w:hyperlink r:id="rId566" w:history="1">
        <w:r w:rsidR="0078310B" w:rsidRPr="002943A0">
          <w:t>Section 166(b) of the Code</w:t>
        </w:r>
      </w:hyperlink>
      <w:r w:rsidR="0078310B" w:rsidRPr="002943A0">
        <w:t xml:space="preserve"> provides that for purposes of </w:t>
      </w:r>
      <w:hyperlink r:id="rId567" w:history="1">
        <w:r w:rsidR="0078310B" w:rsidRPr="002943A0">
          <w:t>section 166(a)</w:t>
        </w:r>
      </w:hyperlink>
      <w:r w:rsidR="0078310B" w:rsidRPr="002943A0">
        <w:t xml:space="preserve">, the amount of the deduction for any </w:t>
      </w:r>
      <w:r w:rsidR="0078310B">
        <w:t xml:space="preserve">worthless debt is the adjusted </w:t>
      </w:r>
      <w:r w:rsidR="0078310B" w:rsidRPr="002943A0">
        <w:t xml:space="preserve">basis provided in </w:t>
      </w:r>
      <w:hyperlink r:id="rId568" w:history="1">
        <w:r w:rsidR="0078310B" w:rsidRPr="002943A0">
          <w:t>section 1011</w:t>
        </w:r>
      </w:hyperlink>
      <w:r w:rsidR="0078310B" w:rsidRPr="002943A0">
        <w:t xml:space="preserve"> for determining the loss from the sale or other disposition of property.</w:t>
      </w:r>
    </w:p>
    <w:p w:rsidR="0078310B" w:rsidRPr="002943A0" w:rsidRDefault="002B3596" w:rsidP="0078310B">
      <w:pPr>
        <w:widowControl w:val="0"/>
        <w:spacing w:after="120"/>
        <w:ind w:firstLine="288"/>
        <w:jc w:val="both"/>
      </w:pPr>
      <w:hyperlink r:id="rId569" w:history="1">
        <w:r w:rsidR="0078310B" w:rsidRPr="002943A0">
          <w:t>Section 1011 of the Code</w:t>
        </w:r>
      </w:hyperlink>
      <w:r w:rsidR="0078310B" w:rsidRPr="002943A0">
        <w:t xml:space="preserve"> generally provides that the adjusted basis for determining the gain or loss from the sale or other disposition of property, whenever acquired, is the basis as determined under </w:t>
      </w:r>
      <w:hyperlink r:id="rId570" w:history="1">
        <w:r w:rsidR="0078310B" w:rsidRPr="002943A0">
          <w:t>section 1012</w:t>
        </w:r>
      </w:hyperlink>
      <w:r w:rsidR="0078310B" w:rsidRPr="002943A0">
        <w:t>.</w:t>
      </w:r>
    </w:p>
    <w:p w:rsidR="0078310B" w:rsidRPr="002943A0" w:rsidRDefault="002B3596" w:rsidP="0078310B">
      <w:pPr>
        <w:widowControl w:val="0"/>
        <w:spacing w:after="120"/>
        <w:ind w:firstLine="288"/>
        <w:jc w:val="both"/>
      </w:pPr>
      <w:hyperlink r:id="rId571" w:history="1">
        <w:r w:rsidR="0078310B" w:rsidRPr="002943A0">
          <w:t>Section 1012 of the Code</w:t>
        </w:r>
      </w:hyperlink>
      <w:r w:rsidR="0078310B" w:rsidRPr="002943A0">
        <w:t xml:space="preserve"> provides that the basis of property is the cost of the property.</w:t>
      </w:r>
    </w:p>
    <w:p w:rsidR="0078310B" w:rsidRPr="002943A0" w:rsidRDefault="0078310B" w:rsidP="0078310B">
      <w:pPr>
        <w:widowControl w:val="0"/>
        <w:spacing w:after="120"/>
        <w:ind w:firstLine="288"/>
        <w:jc w:val="both"/>
      </w:pPr>
      <w:r w:rsidRPr="002943A0">
        <w:t xml:space="preserve">In </w:t>
      </w:r>
      <w:hyperlink r:id="rId572"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73"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74" w:history="1">
        <w:r w:rsidRPr="002943A0">
          <w:t>section 166(b)</w:t>
        </w:r>
      </w:hyperlink>
      <w:r w:rsidRPr="002943A0">
        <w:t xml:space="preserve"> precluded 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75" w:history="1">
        <w:r w:rsidRPr="00B705B1">
          <w:rPr>
            <w:i/>
          </w:rPr>
          <w:t>Swenson</w:t>
        </w:r>
        <w:r w:rsidRPr="002943A0">
          <w:t>, at 899</w:t>
        </w:r>
      </w:hyperlink>
      <w:r w:rsidRPr="002943A0">
        <w:t>.</w:t>
      </w:r>
    </w:p>
    <w:p w:rsidR="0078310B" w:rsidRPr="002943A0" w:rsidRDefault="0078310B" w:rsidP="0078310B">
      <w:pPr>
        <w:widowControl w:val="0"/>
        <w:spacing w:after="120"/>
        <w:ind w:firstLine="288"/>
        <w:jc w:val="both"/>
      </w:pPr>
      <w:r w:rsidRPr="002943A0">
        <w:t xml:space="preserve">The Tax Court has followed the decision in Swenson on similar facts in </w:t>
      </w:r>
      <w:hyperlink r:id="rId576" w:history="1">
        <w:r w:rsidRPr="00B705B1">
          <w:rPr>
            <w:i/>
          </w:rPr>
          <w:t>Perry v. Commissioner</w:t>
        </w:r>
        <w:r w:rsidRPr="002943A0">
          <w:t>, 92 T.C. 470 (1989)</w:t>
        </w:r>
      </w:hyperlink>
      <w:r w:rsidRPr="002943A0">
        <w:t xml:space="preserve">; </w:t>
      </w:r>
      <w:hyperlink r:id="rId577" w:history="1">
        <w:r w:rsidRPr="00B705B1">
          <w:rPr>
            <w:i/>
          </w:rPr>
          <w:t>Meyer v. Commissioner</w:t>
        </w:r>
        <w:r w:rsidRPr="002943A0">
          <w:t>, T.C. Memo 1984-487</w:t>
        </w:r>
      </w:hyperlink>
      <w:r w:rsidRPr="002943A0">
        <w:t xml:space="preserve">; </w:t>
      </w:r>
      <w:hyperlink r:id="rId578" w:history="1">
        <w:r w:rsidRPr="00B705B1">
          <w:rPr>
            <w:i/>
          </w:rPr>
          <w:t>Pierson v. Commissioner</w:t>
        </w:r>
        <w:r w:rsidRPr="002943A0">
          <w:t>, T.C. Memo 1984-452</w:t>
        </w:r>
      </w:hyperlink>
      <w:r w:rsidRPr="002943A0">
        <w:t xml:space="preserve">; and </w:t>
      </w:r>
      <w:hyperlink r:id="rId579" w:history="1">
        <w:r w:rsidRPr="00B705B1">
          <w:rPr>
            <w:i/>
          </w:rPr>
          <w:t>Diez-Arguelles v. Commissioner</w:t>
        </w:r>
        <w:r w:rsidRPr="002943A0">
          <w:t>, T.C. Memo 1984-356</w:t>
        </w:r>
      </w:hyperlink>
      <w:r w:rsidRPr="002943A0">
        <w:t>.</w:t>
      </w:r>
    </w:p>
    <w:p w:rsidR="0078310B" w:rsidRPr="002943A0" w:rsidRDefault="0078310B" w:rsidP="0078310B">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80" w:history="1">
        <w:r w:rsidRPr="002943A0">
          <w:t>section 166 (a)(1) of the Code</w:t>
        </w:r>
      </w:hyperlink>
      <w:r w:rsidRPr="002943A0">
        <w:t xml:space="preserve"> with regard to an arrearage in those payments.</w:t>
      </w:r>
    </w:p>
    <w:p w:rsidR="0078310B" w:rsidRPr="002943A0" w:rsidRDefault="0078310B" w:rsidP="0078310B">
      <w:pPr>
        <w:widowControl w:val="0"/>
        <w:spacing w:after="120"/>
        <w:ind w:firstLine="288"/>
        <w:jc w:val="both"/>
      </w:pPr>
      <w:r w:rsidRPr="002943A0">
        <w:t xml:space="preserve">The Service does not accept certain arguments relating to basis that were raised in </w:t>
      </w:r>
      <w:hyperlink r:id="rId581" w:history="1">
        <w:r w:rsidRPr="001D618F">
          <w:rPr>
            <w:i/>
          </w:rPr>
          <w:t>Imeson v. Commissioner</w:t>
        </w:r>
        <w:r w:rsidRPr="002943A0">
          <w:t>, 487 F.2d 319 (9th Cir. 1973)</w:t>
        </w:r>
      </w:hyperlink>
      <w:r w:rsidRPr="002943A0">
        <w:t xml:space="preserve">, cert. denied, </w:t>
      </w:r>
      <w:hyperlink r:id="rId582" w:history="1">
        <w:r w:rsidRPr="002943A0">
          <w:t>417 U.S. 917, 41 L. Ed. 2d. 222, 94 S. Ct. 2621 (1974)</w:t>
        </w:r>
      </w:hyperlink>
      <w:r w:rsidRPr="002943A0">
        <w:t xml:space="preserve">. The Ninth Circuit affirmed an opinion of the Tax Court, </w:t>
      </w:r>
      <w:hyperlink r:id="rId583"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84"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rsidR="0078310B" w:rsidRPr="002943A0" w:rsidRDefault="0078310B" w:rsidP="0078310B">
      <w:pPr>
        <w:widowControl w:val="0"/>
        <w:spacing w:after="120"/>
        <w:jc w:val="both"/>
      </w:pPr>
      <w:r w:rsidRPr="002943A0">
        <w:t>HOLDING</w:t>
      </w:r>
    </w:p>
    <w:p w:rsidR="0078310B" w:rsidRDefault="0078310B" w:rsidP="0078310B">
      <w:pPr>
        <w:widowControl w:val="0"/>
        <w:ind w:firstLine="288"/>
        <w:jc w:val="both"/>
      </w:pPr>
      <w:r w:rsidRPr="002943A0">
        <w:t xml:space="preserve">A taxpayer is not entitled to a </w:t>
      </w:r>
      <w:r>
        <w:t>bad-debt</w:t>
      </w:r>
      <w:r w:rsidRPr="002943A0">
        <w:t xml:space="preserve"> deduction under </w:t>
      </w:r>
      <w:hyperlink r:id="rId585"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rsidR="0078310B" w:rsidRDefault="0078310B" w:rsidP="0078310B">
      <w:pPr>
        <w:widowControl w:val="0"/>
        <w:jc w:val="center"/>
      </w:pPr>
      <w:r>
        <w:t>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rsidR="0078310B" w:rsidRDefault="0078310B" w:rsidP="0078310B">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under § 166 if the claim against the borrower (under his right of subrogation) becomes worthless.</w:t>
      </w:r>
      <w:r>
        <w:t xml:space="preserve"> </w:t>
      </w:r>
    </w:p>
    <w:p w:rsidR="0078310B" w:rsidRDefault="0078310B" w:rsidP="0078310B">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10. In either case, the income inclusion required as time passes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w:t>
      </w:r>
      <w:r w:rsidR="00450C6D">
        <w:t xml:space="preserve"> method of accounting, the lender would not include</w:t>
      </w:r>
      <w:r>
        <w:t xml:space="preserv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206" w:name="_Toc395790503"/>
      <w:r w:rsidRPr="00B61C2B">
        <w:rPr>
          <w:u w:val="single"/>
        </w:rPr>
        <w:t>Problems</w:t>
      </w:r>
      <w:bookmarkEnd w:id="206"/>
    </w:p>
    <w:p w:rsidR="0078310B" w:rsidRPr="00C17FE7"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rsidR="0078310B" w:rsidRDefault="0078310B" w:rsidP="0078310B">
      <w:pPr>
        <w:widowControl w:val="0"/>
        <w:ind w:firstLine="288"/>
        <w:jc w:val="both"/>
      </w:pPr>
    </w:p>
    <w:p w:rsidR="0078310B" w:rsidRDefault="0078310B" w:rsidP="0078310B">
      <w:pPr>
        <w:widowControl w:val="0"/>
        <w:ind w:firstLine="288"/>
        <w:jc w:val="both"/>
      </w:pPr>
      <w:r>
        <w:rPr>
          <w:b/>
        </w:rPr>
        <w:t>2.</w:t>
      </w:r>
      <w:r w:rsidRPr="000C615B">
        <w:t xml:space="preserve"> </w:t>
      </w:r>
      <w:r>
        <w:t xml:space="preserve">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under § 166 with respect to her “bad debt”? </w:t>
      </w:r>
    </w:p>
    <w:p w:rsidR="0078310B" w:rsidRPr="000C615B" w:rsidRDefault="0078310B" w:rsidP="0078310B">
      <w:pPr>
        <w:widowControl w:val="0"/>
        <w:ind w:firstLine="288"/>
        <w:jc w:val="both"/>
      </w:pPr>
    </w:p>
    <w:p w:rsidR="0078310B" w:rsidRDefault="0078310B" w:rsidP="0078310B">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rsidR="0078310B" w:rsidRDefault="0078310B" w:rsidP="0078310B">
      <w:pPr>
        <w:widowControl w:val="0"/>
        <w:spacing w:after="120"/>
        <w:ind w:left="288"/>
        <w:jc w:val="both"/>
      </w:pPr>
      <w:r>
        <w:rPr>
          <w:b/>
        </w:rPr>
        <w:t>a.</w:t>
      </w:r>
      <w:r>
        <w:t xml:space="preserve"> What can Lucy deduct—and when can she deduct it—if she uses the cash method of accounting?</w:t>
      </w:r>
    </w:p>
    <w:p w:rsidR="0078310B" w:rsidRDefault="0078310B" w:rsidP="0078310B">
      <w:pPr>
        <w:widowControl w:val="0"/>
        <w:spacing w:after="120"/>
        <w:ind w:firstLine="288"/>
        <w:jc w:val="both"/>
      </w:pPr>
      <w:r>
        <w:rPr>
          <w:b/>
        </w:rPr>
        <w:t>b.</w:t>
      </w:r>
      <w:r>
        <w:t xml:space="preserve"> Same as </w:t>
      </w:r>
      <w:r>
        <w:rPr>
          <w:b/>
        </w:rPr>
        <w:t>a.</w:t>
      </w:r>
      <w:r>
        <w:t>, except that Lucy uses the accrual method of accounting.</w:t>
      </w:r>
    </w:p>
    <w:p w:rsidR="0078310B" w:rsidRDefault="0078310B" w:rsidP="0078310B">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calm his conscience about the unpaid loan to Lucy, earns enough to pay to her both the $100,000 of unpaid principal and the $20,000 of unpaid interest that he owed to her under their original loan agreement? </w:t>
      </w:r>
    </w:p>
    <w:p w:rsidR="0078310B" w:rsidRPr="00367F7B" w:rsidRDefault="0078310B" w:rsidP="0078310B">
      <w:pPr>
        <w:widowControl w:val="0"/>
        <w:ind w:left="288"/>
        <w:jc w:val="both"/>
      </w:pPr>
    </w:p>
    <w:p w:rsidR="0078310B" w:rsidRPr="00887662" w:rsidRDefault="0078310B" w:rsidP="0078310B">
      <w:pPr>
        <w:pStyle w:val="Heading2"/>
        <w:spacing w:before="0"/>
        <w:rPr>
          <w:sz w:val="32"/>
          <w:szCs w:val="32"/>
          <w:u w:val="single"/>
        </w:rPr>
      </w:pPr>
      <w:bookmarkStart w:id="207" w:name="_Toc395790504"/>
      <w:r w:rsidRPr="00887662">
        <w:rPr>
          <w:sz w:val="32"/>
          <w:szCs w:val="32"/>
          <w:u w:val="single"/>
        </w:rPr>
        <w:t>B. § 61(a)(12) income from the discharge of indebtedness</w:t>
      </w:r>
      <w:bookmarkEnd w:id="207"/>
    </w:p>
    <w:p w:rsidR="0078310B" w:rsidRDefault="0078310B" w:rsidP="0078310B">
      <w:pPr>
        <w:widowControl w:val="0"/>
        <w:ind w:firstLine="288"/>
      </w:pPr>
    </w:p>
    <w:p w:rsidR="00A00B09" w:rsidRDefault="00907247" w:rsidP="00A00B09">
      <w:pPr>
        <w:widowControl w:val="0"/>
        <w:spacing w:after="120"/>
        <w:ind w:firstLine="288"/>
        <w:jc w:val="both"/>
      </w:pPr>
      <w:r>
        <w:t>You learned in Chapter 10 that, under the borrowing exclusion, Betty Borrowe</w:t>
      </w:r>
      <w:r w:rsidR="009A4C32">
        <w:t xml:space="preserve">r does not include the principal amount </w:t>
      </w:r>
      <w:r>
        <w:t xml:space="preserve">that she borrows from Larry Lender in her Gross Income in the year of receipt because (under the balance sheet analysis, at least) her future obligation to repay negates a wealth accession in that year. </w:t>
      </w:r>
      <w:r w:rsidR="00A00B09" w:rsidRPr="00C758D9">
        <w:t>You</w:t>
      </w:r>
      <w:r w:rsidR="005E7825">
        <w:t xml:space="preserve"> also learned in Chapter 10 </w:t>
      </w:r>
      <w:r w:rsidR="00A00B09">
        <w:t xml:space="preserve">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t>
      </w:r>
      <w:r w:rsidR="005E7825">
        <w:t xml:space="preserve">(which is not basis recovery) </w:t>
      </w:r>
      <w:r w:rsidR="00A00B09">
        <w:t xml:space="preserve">into a no-wealth-accession box in the year of receipt is by taking into account the </w:t>
      </w:r>
      <w:r w:rsidR="00A00B09">
        <w:rPr>
          <w:i/>
        </w:rPr>
        <w:t xml:space="preserve">future-year </w:t>
      </w:r>
      <w:r w:rsidR="00A00B09">
        <w:t>obligation to repay.</w:t>
      </w:r>
      <w:r w:rsidR="00A00B09">
        <w:rPr>
          <w:rStyle w:val="FootnoteReference"/>
        </w:rPr>
        <w:footnoteReference w:id="366"/>
      </w:r>
      <w:r w:rsidR="00A00B09">
        <w:t xml:space="preserve"> </w:t>
      </w:r>
    </w:p>
    <w:p w:rsidR="00907247" w:rsidRDefault="00A00B09" w:rsidP="00A00B09">
      <w:pPr>
        <w:widowControl w:val="0"/>
        <w:spacing w:after="120"/>
        <w:ind w:firstLine="288"/>
        <w:jc w:val="both"/>
      </w:pPr>
      <w:r>
        <w:t>Suppose that—</w:t>
      </w:r>
      <w:r w:rsidRPr="00C758D9">
        <w:rPr>
          <w:i/>
        </w:rPr>
        <w:t>contrary to current law</w:t>
      </w:r>
      <w:r>
        <w:t xml:space="preserve">—Congress adopted a cash-flow approach to the </w:t>
      </w:r>
      <w:r w:rsidR="009A4C32">
        <w:t>receipt and repayment o</w:t>
      </w:r>
      <w:r>
        <w:t xml:space="preserve">f loan principal, under </w:t>
      </w:r>
      <w:r w:rsidR="005E7825">
        <w:t xml:space="preserve">which </w:t>
      </w:r>
      <w:r w:rsidRPr="00C758D9">
        <w:t>borrowed principal is included</w:t>
      </w:r>
      <w:r>
        <w:t xml:space="preserve"> in Gross Income </w:t>
      </w:r>
      <w:r w:rsidRPr="00C758D9">
        <w:t>by the borrower on receipt and deducted when repaid</w:t>
      </w:r>
      <w:r w:rsidR="005E7825">
        <w:t>.</w:t>
      </w:r>
      <w:r w:rsidRPr="00C758D9">
        <w:t xml:space="preserve"> </w:t>
      </w:r>
      <w:r w:rsidR="00ED27F0">
        <w:t>In that pretend world</w:t>
      </w:r>
      <w:r>
        <w:t xml:space="preserve">, we would need no special tax rules </w:t>
      </w:r>
      <w:r w:rsidR="005E7825">
        <w:t xml:space="preserve">for the borrower </w:t>
      </w:r>
      <w:r>
        <w:t>on the failure to repay loan principal (and thus we would not need</w:t>
      </w:r>
      <w:r w:rsidR="005E7825">
        <w:t xml:space="preserve"> Part B. of</w:t>
      </w:r>
      <w:r>
        <w:t xml:space="preserve"> this chapter). The borrower who fails to repay would simply lose the tax deductions that would arise on such repayment</w:t>
      </w:r>
      <w:r w:rsidR="005E7825">
        <w:t>.</w:t>
      </w:r>
      <w:r>
        <w:t xml:space="preserve"> Because this pretend world does not exist, however, we must generally create an offsetting income inclusion for the borrower on failure to repay lo</w:t>
      </w:r>
      <w:r w:rsidR="00ED27F0">
        <w:t>an principal</w:t>
      </w:r>
      <w:r w:rsidR="00632D0D">
        <w:t xml:space="preserve"> under </w:t>
      </w:r>
      <w:hyperlink r:id="rId586" w:history="1">
        <w:r w:rsidR="00632D0D" w:rsidRPr="007E7117">
          <w:rPr>
            <w:rStyle w:val="Hyperlink"/>
          </w:rPr>
          <w:t>§ 61</w:t>
        </w:r>
      </w:hyperlink>
      <w:r w:rsidR="00632D0D" w:rsidRPr="007E7117">
        <w:t>(a)(12)</w:t>
      </w:r>
      <w:r w:rsidR="00632D0D">
        <w:t>.</w:t>
      </w:r>
    </w:p>
    <w:p w:rsidR="005E7825" w:rsidRDefault="005E7825" w:rsidP="005E7825">
      <w:pPr>
        <w:widowControl w:val="0"/>
        <w:spacing w:after="120"/>
        <w:ind w:firstLine="288"/>
        <w:jc w:val="both"/>
      </w:pPr>
      <w:r>
        <w:t xml:space="preserve">Another way of understanding the role of § 61(a)(12)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rsidR="0078310B" w:rsidRPr="008B715B" w:rsidRDefault="0078310B" w:rsidP="0078310B">
      <w:pPr>
        <w:widowControl w:val="0"/>
        <w:ind w:firstLine="288"/>
        <w:jc w:val="both"/>
      </w:pPr>
      <w:r>
        <w:t>We start with</w:t>
      </w:r>
      <w:r>
        <w:rPr>
          <w:i/>
        </w:rPr>
        <w:t xml:space="preserve"> Kirby Lumber</w:t>
      </w:r>
      <w:r>
        <w:t>.</w:t>
      </w:r>
    </w:p>
    <w:p w:rsidR="0078310B" w:rsidRDefault="0078310B" w:rsidP="0078310B">
      <w:pPr>
        <w:widowControl w:val="0"/>
        <w:ind w:firstLine="288"/>
      </w:pPr>
    </w:p>
    <w:p w:rsidR="0078310B" w:rsidRDefault="0078310B" w:rsidP="0078310B">
      <w:pPr>
        <w:pStyle w:val="Heading3"/>
        <w:spacing w:before="0" w:beforeAutospacing="0" w:after="120" w:afterAutospacing="0"/>
        <w:jc w:val="center"/>
      </w:pPr>
      <w:bookmarkStart w:id="208" w:name="_Toc395790505"/>
      <w:r>
        <w:t>UNITED STATES v. KIRBY LUMBER</w:t>
      </w:r>
      <w:bookmarkEnd w:id="208"/>
    </w:p>
    <w:p w:rsidR="0078310B" w:rsidRDefault="0078310B" w:rsidP="0078310B">
      <w:pPr>
        <w:widowControl w:val="0"/>
        <w:jc w:val="center"/>
      </w:pPr>
      <w:r>
        <w:t>284 U.S. 1 (1931)</w:t>
      </w:r>
    </w:p>
    <w:p w:rsidR="0078310B" w:rsidRDefault="0078310B" w:rsidP="0078310B">
      <w:pPr>
        <w:widowControl w:val="0"/>
      </w:pPr>
    </w:p>
    <w:p w:rsidR="0078310B" w:rsidRDefault="0078310B" w:rsidP="0078310B">
      <w:pPr>
        <w:widowControl w:val="0"/>
        <w:spacing w:after="120"/>
        <w:ind w:firstLine="288"/>
        <w:jc w:val="both"/>
      </w:pPr>
      <w:r>
        <w:rPr>
          <w:smallCaps/>
        </w:rPr>
        <w:t>Mr. Justice Holmes</w:t>
      </w:r>
      <w:r>
        <w:t xml:space="preserve"> delivered the opinion of the Court.</w:t>
      </w:r>
    </w:p>
    <w:p w:rsidR="0078310B" w:rsidRPr="008B715B" w:rsidRDefault="0078310B" w:rsidP="0078310B">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(c) of Regulations 74, under Revenue Act of 1928. We see no reason why the Regulations should not be accepted as a correct statement of the law.</w:t>
      </w:r>
    </w:p>
    <w:p w:rsidR="0078310B" w:rsidRPr="008B715B" w:rsidRDefault="0078310B" w:rsidP="0078310B">
      <w:pPr>
        <w:widowControl w:val="0"/>
        <w:ind w:firstLine="288"/>
        <w:jc w:val="both"/>
      </w:pPr>
      <w:r>
        <w:t>I</w:t>
      </w:r>
      <w:r w:rsidRPr="008B715B">
        <w:t xml:space="preserve">n </w:t>
      </w:r>
      <w:hyperlink r:id="rId587"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88" w:history="1">
        <w:r w:rsidRPr="00A5338F">
          <w:rPr>
            <w:i/>
          </w:rPr>
          <w:t>Burnet v. Sanford &amp; Brooks Co.</w:t>
        </w:r>
        <w:r w:rsidRPr="008B715B">
          <w:t>, 282 U.S. 359, 364</w:t>
        </w:r>
      </w:hyperlink>
      <w:r w:rsidRPr="008B715B">
        <w:t>.</w:t>
      </w:r>
    </w:p>
    <w:p w:rsidR="0078310B" w:rsidRDefault="0078310B" w:rsidP="0078310B">
      <w:pPr>
        <w:widowControl w:val="0"/>
        <w:jc w:val="center"/>
      </w:pPr>
      <w:r>
        <w:t>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Another terse Holmes opinion!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Rather,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“freed” from these offsetting liabilities when it eliminated $138,000 of its outstanding debt at no cost. This “freeing of assets” or “balance sheet improvement” that arose on the debt discharge was thought to be the reason justifying the Gross Income inclusion.  </w:t>
      </w:r>
    </w:p>
    <w:p w:rsidR="0078310B" w:rsidRPr="00E5589A" w:rsidRDefault="0078310B" w:rsidP="0078310B">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rsidR="0078310B" w:rsidRPr="00A94163" w:rsidRDefault="0078310B" w:rsidP="0078310B">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rsidR="0078310B" w:rsidRDefault="0078310B" w:rsidP="0078310B">
      <w:pPr>
        <w:pStyle w:val="FootnoteText"/>
        <w:widowControl w:val="0"/>
        <w:spacing w:after="120"/>
        <w:rPr>
          <w:b/>
          <w:sz w:val="24"/>
          <w:szCs w:val="24"/>
        </w:rPr>
      </w:pPr>
      <w:r>
        <w:rPr>
          <w:b/>
          <w:sz w:val="24"/>
          <w:szCs w:val="24"/>
        </w:rPr>
        <w:t xml:space="preserve">                                 $12,126,800  </w:t>
      </w:r>
      <w:r>
        <w:rPr>
          <w:b/>
          <w:sz w:val="24"/>
          <w:szCs w:val="24"/>
        </w:rPr>
        <w:tab/>
        <w:t xml:space="preserve">                           $12,126,800</w:t>
      </w:r>
    </w:p>
    <w:p w:rsidR="0078310B" w:rsidRDefault="0078310B" w:rsidP="0078310B">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rsidR="0078310B" w:rsidRPr="00D354B6" w:rsidRDefault="0078310B" w:rsidP="0078310B">
      <w:pPr>
        <w:pStyle w:val="FootnoteText"/>
        <w:widowControl w:val="0"/>
        <w:spacing w:after="120"/>
        <w:ind w:firstLine="288"/>
        <w:jc w:val="both"/>
        <w:rPr>
          <w:sz w:val="24"/>
          <w:szCs w:val="24"/>
        </w:rPr>
      </w:pPr>
      <w:r>
        <w:rPr>
          <w:sz w:val="24"/>
          <w:szCs w:val="24"/>
        </w:rPr>
        <w:t xml:space="preserve">After Kirby Lumber is able to repurchase some of the bonds for $138,000 less than it had received on the bond sale, however, $138,000 of its assets (on the left side) are freed from offsetting liabilities (on the right), increasing Kirby Lumber’s net worth by $138,000. Let’s assume, for example, that Kirby Lumber is able to repurchase bonds issued for $2,000,000 for only $1,862,000. (This can occur, for example, if interest rates rise generally in the economy, depressing the value of Kirby Lumber’s outstanding bonds that pay a lower interest rate than potential borrowers can obtain today.) While only $1,862,000 is spent from its $12,126,800 of assets, its liabilities are reduced by the full $2,000,000, thus increasing its net worth by $138,000. </w:t>
      </w:r>
    </w:p>
    <w:p w:rsidR="0078310B" w:rsidRPr="00A94163" w:rsidRDefault="0078310B" w:rsidP="0078310B">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78310B" w:rsidRPr="00A94163" w:rsidRDefault="0078310B" w:rsidP="0078310B">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rsidR="0078310B" w:rsidRDefault="0078310B" w:rsidP="0078310B">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rsidR="0078310B" w:rsidRDefault="0078310B" w:rsidP="0078310B">
      <w:pPr>
        <w:spacing w:after="120"/>
      </w:pPr>
      <w:r>
        <w:t>Justice Holmes implied that it was this asset freeing or balance sheet improvement that creates the Gross Income.</w:t>
      </w:r>
    </w:p>
    <w:p w:rsidR="0078310B" w:rsidRDefault="0078310B" w:rsidP="0078310B">
      <w:pPr>
        <w:pStyle w:val="FootnoteText"/>
        <w:widowControl w:val="0"/>
        <w:spacing w:after="120"/>
        <w:ind w:firstLine="288"/>
        <w:jc w:val="both"/>
        <w:rPr>
          <w:sz w:val="24"/>
          <w:szCs w:val="24"/>
        </w:rPr>
      </w:pPr>
      <w:r>
        <w:rPr>
          <w:sz w:val="24"/>
          <w:szCs w:val="24"/>
        </w:rPr>
        <w:t xml:space="preserve">If that analysis is correct, however,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seriously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insolvent after the discharge and thus 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rsidR="0078310B" w:rsidRPr="00A94163" w:rsidRDefault="0078310B" w:rsidP="0078310B">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78310B" w:rsidRPr="00A94163" w:rsidRDefault="0078310B" w:rsidP="0078310B">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rsidR="0078310B" w:rsidRDefault="0078310B" w:rsidP="0078310B">
      <w:pPr>
        <w:pStyle w:val="FootnoteText"/>
        <w:widowControl w:val="0"/>
        <w:spacing w:after="120"/>
        <w:jc w:val="center"/>
        <w:rPr>
          <w:b/>
          <w:sz w:val="24"/>
          <w:szCs w:val="24"/>
        </w:rPr>
      </w:pPr>
      <w:r>
        <w:rPr>
          <w:b/>
          <w:sz w:val="24"/>
          <w:szCs w:val="24"/>
        </w:rPr>
        <w:t>Martha is insolvent, with a negative net worth (liabilities exceed assets).</w:t>
      </w:r>
    </w:p>
    <w:p w:rsidR="0078310B" w:rsidRDefault="0078310B" w:rsidP="0078310B">
      <w:pPr>
        <w:pStyle w:val="FootnoteText"/>
        <w:widowControl w:val="0"/>
        <w:spacing w:after="120"/>
        <w:jc w:val="center"/>
        <w:rPr>
          <w:b/>
          <w:sz w:val="24"/>
          <w:szCs w:val="24"/>
        </w:rPr>
      </w:pPr>
      <w:r>
        <w:rPr>
          <w:b/>
          <w:sz w:val="24"/>
          <w:szCs w:val="24"/>
        </w:rPr>
        <w:t>Now a $20,000 debt is discharged.</w:t>
      </w:r>
    </w:p>
    <w:p w:rsidR="0078310B" w:rsidRDefault="0078310B" w:rsidP="0078310B">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78310B" w:rsidRDefault="0078310B" w:rsidP="0078310B">
      <w:pPr>
        <w:pStyle w:val="FootnoteText"/>
        <w:widowControl w:val="0"/>
        <w:spacing w:after="120"/>
        <w:rPr>
          <w:b/>
          <w:sz w:val="24"/>
          <w:szCs w:val="24"/>
        </w:rPr>
      </w:pPr>
      <w:r>
        <w:rPr>
          <w:b/>
          <w:sz w:val="24"/>
          <w:szCs w:val="24"/>
        </w:rPr>
        <w:t xml:space="preserve">                                 $100,000                                          $110,000</w:t>
      </w:r>
    </w:p>
    <w:p w:rsidR="0078310B" w:rsidRDefault="0078310B" w:rsidP="0078310B">
      <w:pPr>
        <w:pStyle w:val="FootnoteText"/>
        <w:widowControl w:val="0"/>
        <w:spacing w:after="120"/>
        <w:jc w:val="center"/>
        <w:rPr>
          <w:sz w:val="24"/>
          <w:szCs w:val="24"/>
        </w:rPr>
      </w:pPr>
      <w:r>
        <w:rPr>
          <w:b/>
          <w:sz w:val="24"/>
          <w:szCs w:val="24"/>
        </w:rPr>
        <w:t>Martha remains insolvent. No assets are “freed” of offsetting liabilities</w:t>
      </w:r>
    </w:p>
    <w:p w:rsidR="0078310B" w:rsidRPr="00600D78" w:rsidRDefault="0078310B" w:rsidP="0078310B">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creates positive net worth, thus freeing some assets from debt. If, for example, Martha’s creditor discharged a total of $50,000 in debt (instead of $20,000), Martha would realize $20,000 of Gross Income (because, to that extent, her assets were freed from offsetting liabilities) under the asset-freeing rationale but would </w:t>
      </w:r>
      <w:r>
        <w:rPr>
          <w:i/>
          <w:sz w:val="24"/>
          <w:szCs w:val="24"/>
        </w:rPr>
        <w:t>not realize</w:t>
      </w:r>
      <w:r>
        <w:rPr>
          <w:sz w:val="24"/>
          <w:szCs w:val="24"/>
        </w:rPr>
        <w:t xml:space="preserve"> $30,000 of Gross Income. </w:t>
      </w:r>
    </w:p>
    <w:p w:rsidR="0078310B" w:rsidRDefault="0078310B" w:rsidP="0078310B">
      <w:pPr>
        <w:pStyle w:val="FootnoteText"/>
        <w:widowControl w:val="0"/>
        <w:spacing w:after="120"/>
        <w:jc w:val="center"/>
        <w:rPr>
          <w:b/>
          <w:sz w:val="24"/>
          <w:szCs w:val="24"/>
        </w:rPr>
      </w:pPr>
      <w:r>
        <w:rPr>
          <w:b/>
          <w:sz w:val="24"/>
          <w:szCs w:val="24"/>
        </w:rPr>
        <w:t>A total of $50,000 (instead of $20,000) of her $130,000 debt discharged.</w:t>
      </w:r>
    </w:p>
    <w:p w:rsidR="0078310B" w:rsidRDefault="0078310B" w:rsidP="0078310B">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78310B" w:rsidRDefault="0078310B" w:rsidP="0078310B">
      <w:pPr>
        <w:pStyle w:val="FootnoteText"/>
        <w:widowControl w:val="0"/>
        <w:spacing w:after="120"/>
        <w:rPr>
          <w:b/>
          <w:sz w:val="24"/>
          <w:szCs w:val="24"/>
        </w:rPr>
      </w:pPr>
      <w:r>
        <w:rPr>
          <w:b/>
          <w:sz w:val="24"/>
          <w:szCs w:val="24"/>
        </w:rPr>
        <w:t xml:space="preserve">                                 $100,000                                          $80,000</w:t>
      </w:r>
    </w:p>
    <w:p w:rsidR="0078310B" w:rsidRDefault="0078310B" w:rsidP="0078310B">
      <w:pPr>
        <w:pStyle w:val="FootnoteText"/>
        <w:widowControl w:val="0"/>
        <w:spacing w:after="120"/>
        <w:jc w:val="center"/>
        <w:rPr>
          <w:sz w:val="24"/>
          <w:szCs w:val="24"/>
        </w:rPr>
      </w:pPr>
      <w:r>
        <w:rPr>
          <w:b/>
          <w:sz w:val="24"/>
          <w:szCs w:val="24"/>
        </w:rPr>
        <w:t>Martha is solvent by $20,000 because the discharge created a $20,000 positive net worth.</w:t>
      </w:r>
    </w:p>
    <w:p w:rsidR="0078310B" w:rsidRPr="00600D78" w:rsidRDefault="0078310B" w:rsidP="0078310B">
      <w:pPr>
        <w:pStyle w:val="FootnoteText"/>
        <w:widowControl w:val="0"/>
        <w:spacing w:after="120"/>
        <w:ind w:firstLine="288"/>
        <w:jc w:val="both"/>
      </w:pPr>
      <w:r>
        <w:rPr>
          <w:sz w:val="24"/>
          <w:szCs w:val="24"/>
        </w:rPr>
        <w:t xml:space="preserve">Is such a result correct as a normative matter? No. The conclusion that Martha does not realize $30,000 of Gross Income on our facts means that $30,000 </w:t>
      </w:r>
      <w:r>
        <w:rPr>
          <w:i/>
          <w:sz w:val="24"/>
          <w:szCs w:val="24"/>
        </w:rPr>
        <w:t>previously received in the borrowing year becomes permanently tax-free</w:t>
      </w:r>
      <w:r>
        <w:rPr>
          <w:sz w:val="24"/>
          <w:szCs w:val="24"/>
        </w:rPr>
        <w:t xml:space="preserve">, when the borrowing exclusion, properly understood, is merely a </w:t>
      </w:r>
      <w:r>
        <w:rPr>
          <w:i/>
          <w:sz w:val="24"/>
          <w:szCs w:val="24"/>
        </w:rPr>
        <w:t xml:space="preserve">deferral </w:t>
      </w:r>
      <w:r>
        <w:rPr>
          <w:sz w:val="24"/>
          <w:szCs w:val="24"/>
        </w:rPr>
        <w:t xml:space="preserve">provision, not a complete forgiveness provision. This error arises because of the “original sin” of using the balance sheet </w:t>
      </w:r>
      <w:r w:rsidR="00B562E4">
        <w:rPr>
          <w:sz w:val="24"/>
          <w:szCs w:val="24"/>
        </w:rPr>
        <w:t xml:space="preserve">to analyze the consequences of </w:t>
      </w:r>
      <w:r>
        <w:rPr>
          <w:sz w:val="24"/>
          <w:szCs w:val="24"/>
        </w:rPr>
        <w:t xml:space="preserve">nonpayment rather than consulting tax values. </w:t>
      </w:r>
    </w:p>
    <w:p w:rsidR="0078310B" w:rsidRDefault="0078310B" w:rsidP="0078310B">
      <w:pPr>
        <w:spacing w:after="120"/>
        <w:ind w:firstLine="288"/>
        <w:jc w:val="both"/>
      </w:pPr>
      <w:r>
        <w:t xml:space="preserve">Today, </w:t>
      </w:r>
      <w:hyperlink r:id="rId589" w:history="1">
        <w:r w:rsidRPr="00877918">
          <w:rPr>
            <w:rStyle w:val="Hyperlink"/>
          </w:rPr>
          <w:t>§ 61</w:t>
        </w:r>
      </w:hyperlink>
      <w:r>
        <w:t>(a)(12) confirms that “income from discharge of indebtedness” is Gross Income. (Some refer to such income as COD income, an acronym for “cancellation of debt.”) Justice Holmes’s asset-freeing or balance sheet improvement rationale, however, is no longer considered by most to be the modern justification underlying the realization of debt-discharge income, though (unfortunately</w:t>
      </w:r>
      <w:r w:rsidR="00A66AFD">
        <w:t xml:space="preserve">) you will all too often still </w:t>
      </w:r>
      <w:r>
        <w:t xml:space="preserve">see such language in court opinions, as in </w:t>
      </w:r>
      <w:r>
        <w:rPr>
          <w:i/>
        </w:rPr>
        <w:t xml:space="preserve">Payne </w:t>
      </w:r>
      <w:r>
        <w:t xml:space="preserve">and </w:t>
      </w:r>
      <w:r>
        <w:rPr>
          <w:i/>
        </w:rPr>
        <w:t>Zarin</w:t>
      </w:r>
      <w:r>
        <w:t xml:space="preserve">, below. </w:t>
      </w:r>
    </w:p>
    <w:p w:rsidR="0078310B" w:rsidRPr="009C118F" w:rsidRDefault="0078310B" w:rsidP="0078310B">
      <w:pPr>
        <w:pStyle w:val="Heading3"/>
        <w:spacing w:before="0" w:beforeAutospacing="0" w:after="120" w:afterAutospacing="0"/>
        <w:rPr>
          <w:i/>
        </w:rPr>
      </w:pPr>
      <w:bookmarkStart w:id="209" w:name="_Toc395790506"/>
      <w:r w:rsidRPr="009C118F">
        <w:rPr>
          <w:i/>
        </w:rPr>
        <w:t>The modern rationale</w:t>
      </w:r>
      <w:r>
        <w:rPr>
          <w:i/>
        </w:rPr>
        <w:t xml:space="preserve"> underlying § 61(a)(12): the borrowing exc</w:t>
      </w:r>
      <w:bookmarkEnd w:id="209"/>
      <w:r>
        <w:rPr>
          <w:i/>
        </w:rPr>
        <w:t>lusion</w:t>
      </w:r>
    </w:p>
    <w:p w:rsidR="0078310B" w:rsidRPr="00181EF9" w:rsidRDefault="0078310B" w:rsidP="0078310B">
      <w:pPr>
        <w:spacing w:after="120"/>
        <w:ind w:firstLine="288"/>
        <w:jc w:val="both"/>
      </w:pPr>
      <w:r w:rsidRPr="00D872AB">
        <w:rPr>
          <w:i/>
        </w:rPr>
        <w:t>The modern rationale underlying the realization of debt-discharge income is premised on the borrowing exclusion—all by itself—and the permanently untaxed dollars that would result if those 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rsidRPr="00181EF9">
        <w:t xml:space="preserve"> were it not for the promise to repay with after-tax dollars in the future, regardless of the solvency or insolvency of the borrower both before and after the receipt and repayment</w:t>
      </w:r>
      <w:r>
        <w:t xml:space="preserve">. </w:t>
      </w:r>
      <w:r w:rsidRPr="00181EF9">
        <w:t>If that promise proves to be unfounded because the repayment obligation in fact 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rsidR="0078310B" w:rsidRPr="00936A0F"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rsidR="0078310B" w:rsidRPr="0027506B" w:rsidRDefault="0078310B" w:rsidP="0078310B">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The economic value received in Year 1 i</w:t>
      </w:r>
      <w:r w:rsidRPr="0027506B">
        <w:rPr>
          <w:b/>
          <w:spacing w:val="-2"/>
        </w:rPr>
        <w:t xml:space="preserve">s not an </w:t>
      </w:r>
      <w:r>
        <w:rPr>
          <w:b/>
          <w:spacing w:val="-2"/>
        </w:rPr>
        <w:t>“</w:t>
      </w:r>
      <w:r w:rsidRPr="0027506B">
        <w:rPr>
          <w:b/>
          <w:spacing w:val="-2"/>
        </w:rPr>
        <w:t>accession to wealth</w:t>
      </w:r>
      <w:r>
        <w:rPr>
          <w:b/>
          <w:spacing w:val="-2"/>
        </w:rPr>
        <w:t>”</w:t>
      </w:r>
      <w:r w:rsidRPr="0027506B">
        <w:rPr>
          <w:b/>
          <w:spacing w:val="-2"/>
        </w:rPr>
        <w:t xml:space="preserve"> 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rsidR="0078310B" w:rsidRPr="0027506B" w:rsidRDefault="0078310B" w:rsidP="0078310B">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rsidR="0078310B" w:rsidRPr="0027506B" w:rsidRDefault="0078310B" w:rsidP="0078310B">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an </w:t>
      </w:r>
      <w:r w:rsidRPr="0027506B">
        <w:rPr>
          <w:b/>
          <w:spacing w:val="-2"/>
        </w:rPr>
        <w:t xml:space="preserve">accession </w:t>
      </w:r>
      <w:r>
        <w:rPr>
          <w:b/>
          <w:spacing w:val="-2"/>
        </w:rPr>
        <w:t>to wealth</w:t>
      </w:r>
      <w:r w:rsidRPr="0027506B">
        <w:rPr>
          <w:b/>
          <w:spacing w:val="-2"/>
        </w:rPr>
        <w:t xml:space="preserve"> (in the year the repayment obligation disappears) under § 61(a)(12).</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w:t>
      </w:r>
      <w:r w:rsidR="00D872AB">
        <w:rPr>
          <w:spacing w:val="-2"/>
        </w:rPr>
        <w:t xml:space="preserve">(if the statute of limitations has not yet passed) </w:t>
      </w:r>
      <w:r>
        <w:rPr>
          <w:spacing w:val="-2"/>
        </w:rPr>
        <w:t xml:space="preserve">and include the amount in Gross Income in that year, now that we know (with the benefit of hindsight only) that it will not, in fact, be repaid with after-tax dollars? No. The reason why the borrower must include Gross Income in the year in which the repayment obligation disappears (rather than file an amended return for the year of receipt)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sidR="00D872AB">
        <w:rPr>
          <w:spacing w:val="-2"/>
        </w:rPr>
        <w:t>Thus, 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this way, § 61(a)(12) income is yet another example of the annual accounting principle, the idea that we take each year as it comes. If our expectations turn out to be wrong about what would happen in the future, we deal with the issue in the year in which those prior expectations prove to be unfounded, just as Mr. Lewis in Chapter 10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67"/>
      </w:r>
      <w:r>
        <w:rPr>
          <w:spacing w:val="-2"/>
        </w:rPr>
        <w:t xml:space="preserve"> </w:t>
      </w:r>
    </w:p>
    <w:p w:rsidR="0078310B" w:rsidRPr="009C118F" w:rsidRDefault="0078310B" w:rsidP="0078310B">
      <w:pPr>
        <w:pStyle w:val="Heading3"/>
        <w:spacing w:before="0" w:beforeAutospacing="0" w:after="120" w:afterAutospacing="0"/>
        <w:rPr>
          <w:i/>
        </w:rPr>
      </w:pPr>
      <w:bookmarkStart w:id="210" w:name="_Toc395790507"/>
      <w:r w:rsidRPr="009C118F">
        <w:rPr>
          <w:i/>
        </w:rPr>
        <w:t>Deferral of § 61(a)(12) debt-discharge income under § 108</w:t>
      </w:r>
      <w:bookmarkEnd w:id="210"/>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w:t>
      </w:r>
      <w:hyperlink r:id="rId590" w:history="1">
        <w:r w:rsidRPr="00877918">
          <w:rPr>
            <w:rStyle w:val="Hyperlink"/>
            <w:spacing w:val="-2"/>
          </w:rPr>
          <w:t>§ 108</w:t>
        </w:r>
      </w:hyperlink>
      <w:r>
        <w:rPr>
          <w:spacing w:val="-2"/>
        </w:rPr>
        <w:t xml:space="preserve">(a)(1)(A).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61(a)(12)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from Gross Income of § 61(a)(12) income if it “occurs in a title 11 case.” As confirmed by </w:t>
      </w:r>
      <w:r w:rsidRPr="00960973">
        <w:rPr>
          <w:spacing w:val="-2"/>
        </w:rPr>
        <w:t>§ 108</w:t>
      </w:r>
      <w:r>
        <w:rPr>
          <w:spacing w:val="-2"/>
        </w:rPr>
        <w:t xml:space="preserve">(d)(2),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reference in § 108(a)(1)(A) is to </w:t>
      </w:r>
      <w:r w:rsidRPr="009A6E74">
        <w:rPr>
          <w:i/>
          <w:spacing w:val="-2"/>
        </w:rPr>
        <w:t>all</w:t>
      </w:r>
      <w:r>
        <w:rPr>
          <w:spacing w:val="-2"/>
        </w:rPr>
        <w:t xml:space="preserve"> of Title 11, so it makes no difference which type of bankruptcy proceeding results in the debt discharge.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68"/>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under which Martha has assets of $100,000 and debts of $130,000 when a $50,000 debt is discharged. If this discharge occurs in bankruptcy court, Martha excludes from her Gross Income the entire $50,000 of § 61(a)(12) income under the authority of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91" w:history="1">
        <w:r w:rsidRPr="009B6249">
          <w:rPr>
            <w:rStyle w:val="Hyperlink"/>
            <w:spacing w:val="-2"/>
          </w:rPr>
          <w:t>§ 108</w:t>
        </w:r>
      </w:hyperlink>
      <w:r>
        <w:rPr>
          <w:spacing w:val="-2"/>
        </w:rPr>
        <w:t>(b)(2)(D), Martha must reduce her $90,000 capital loss carryover by the $50,000 that she excludes under § 108(a)(1)(A) (</w:t>
      </w:r>
      <w:r>
        <w:rPr>
          <w:i/>
          <w:spacing w:val="-2"/>
        </w:rPr>
        <w:t>i.e.</w:t>
      </w:r>
      <w:r>
        <w:t xml:space="preserve">, </w:t>
      </w:r>
      <w:r w:rsidR="007E7117">
        <w:rPr>
          <w:spacing w:val="-2"/>
        </w:rPr>
        <w:t xml:space="preserve">to $40,000), which should </w:t>
      </w:r>
      <w:r>
        <w:rPr>
          <w:spacing w:val="-2"/>
        </w:rPr>
        <w:t xml:space="preserve">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to reduce, but she owns property, she must generally reduce her property basis by $50,000 under </w:t>
      </w:r>
      <w:r w:rsidRPr="00960973">
        <w:rPr>
          <w:spacing w:val="-2"/>
        </w:rPr>
        <w:t>§§ 108</w:t>
      </w:r>
      <w:r>
        <w:rPr>
          <w:spacing w:val="-2"/>
        </w:rPr>
        <w:t xml:space="preserve">(b)(2)(E) and </w:t>
      </w:r>
      <w:hyperlink r:id="rId592" w:history="1">
        <w:r w:rsidRPr="007E7117">
          <w:rPr>
            <w:rStyle w:val="Hyperlink"/>
            <w:spacing w:val="-2"/>
          </w:rPr>
          <w:t>1017</w:t>
        </w:r>
      </w:hyperlink>
      <w:r>
        <w:rPr>
          <w:spacing w:val="-2"/>
        </w:rPr>
        <w:t xml:space="preserve">. If the property is depreciable property, for example,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however, no interest is charged by the government for the deferral privilege, which means that Martha is still better off under § 108 (because of the time value of money) than she would be if she had to include the $50,000 of § 61(a)(12) income immediately in the year of discharge.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61(a)(12)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Thus, for example, if a taxpayer owes back taxes at the time of a bankruptcy filing, the IRS’s debt may get first priority (ahead of other </w:t>
      </w:r>
      <w:r w:rsidR="009B6249">
        <w:rPr>
          <w:spacing w:val="-2"/>
        </w:rPr>
        <w:t xml:space="preserve">unsecured </w:t>
      </w:r>
      <w:r>
        <w:rPr>
          <w:spacing w:val="-2"/>
        </w:rPr>
        <w:t xml:space="preserve">creditors) when assets of the bankruptcy estate are used to settle outstanding debts. Absent § 108(a)(1)(A), a taxpayer who owed no back taxes to the Treasury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61(a)(12) income that was excluded under § 108(a)(1)(A)—all because of the § 108(b) attribute reduction.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61(a)(12) debt-discharge income—unlike in the </w:t>
      </w:r>
      <w:r>
        <w:rPr>
          <w:i/>
        </w:rPr>
        <w:t xml:space="preserve">Kirby Lumber </w:t>
      </w:r>
      <w:r>
        <w:t xml:space="preserve">era—but </w:t>
      </w:r>
      <w:hyperlink r:id="rId593" w:history="1">
        <w:r w:rsidRPr="007E7117">
          <w:rPr>
            <w:rStyle w:val="Hyperlink"/>
          </w:rPr>
          <w:t>§§ 108</w:t>
        </w:r>
      </w:hyperlink>
      <w:r>
        <w:t xml:space="preserve">(a)(1)(A), (a)(3), and (d)(3) nevertheless authorizes an exclusion to the extent that the discharge does not create a positive net worth for Martha, with § 108(b) tax attribute reduction for the excluded income, resulting in effective deferral (rather than forgiveness). Thus, Martha </w:t>
      </w:r>
      <w:r>
        <w:rPr>
          <w:i/>
        </w:rPr>
        <w:t xml:space="preserve">immediately </w:t>
      </w:r>
      <w:r>
        <w:t xml:space="preserve">includes $20,000 of her $50,000 of § 61(a)(12) income (to the extent that the discharge creates positive net worth), excludes the remaining $30,000 of § 61(a)(12) income (to the extent that it does not), and reduces the tax attributes listed in § 108(b) by the $30,000 that she excludes.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(to the extent that the discharged debt does make the debtor solvent)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61(a)(12) income—even to the extent that it doe</w:t>
      </w:r>
      <w:r w:rsidR="00E8136B">
        <w:t>s</w:t>
      </w:r>
      <w:r>
        <w:t xml:space="preserve"> not make her solvent. She can only </w:t>
      </w:r>
      <w:r>
        <w:rPr>
          <w:i/>
        </w:rPr>
        <w:t xml:space="preserve">defer </w:t>
      </w:r>
      <w:r>
        <w:t xml:space="preserve">the realized income (through attribute reduction) to a future year. Indeed, </w:t>
      </w:r>
      <w:r w:rsidRPr="00960973">
        <w:t>§ 108</w:t>
      </w:r>
      <w:r>
        <w:t xml:space="preserve">(e)(1) confirms that the </w:t>
      </w:r>
      <w:r>
        <w:rPr>
          <w:i/>
        </w:rPr>
        <w:t>Kirby Lumber</w:t>
      </w:r>
      <w:r>
        <w:t>-era, common law insolvency exception to “realization” of debt-discharge income is defunct.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What justifies the insolvency exclusion in § 108 today? By definition, the taxpayer is not in bankruptcy</w:t>
      </w:r>
      <w:r w:rsidR="007E7117">
        <w:t xml:space="preserve"> court, where Congress had to balance Federal bankruptcy policy with Federal tax policy</w:t>
      </w:r>
      <w:r>
        <w:t>. Surely, insolvent workers cannot avoid includi</w:t>
      </w:r>
      <w:r w:rsidR="007E7117">
        <w:t xml:space="preserve">ng, say, their compensation </w:t>
      </w:r>
      <w:r>
        <w:t xml:space="preserve">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61(a)(12) income that can be excluded under § 108 pertain to discharged “qualified real property business indebtedness” under §§ 108(a)(1)(D) and (c) and certain “purchase money debt reductions” under § 108(e)(5), both of which we shall examine in the next chapter. We shall examine the discharge of “qualified principal residence indebtedness” under §§ 108(a)(1)(E) and (h) in Chapter 18, which considers the tax consequences of home ownership. Certain student loans that are discharged pursuant to the loan’s original terms providing for such discharge upon working in certain professions for a set period of time and for a certain set of employers and populations can be excluded under § 108(f). </w:t>
      </w:r>
    </w:p>
    <w:p w:rsidR="0078310B" w:rsidRPr="009C118F" w:rsidRDefault="0078310B" w:rsidP="0078310B">
      <w:pPr>
        <w:pStyle w:val="Heading3"/>
        <w:spacing w:before="0" w:beforeAutospacing="0" w:after="120" w:afterAutospacing="0"/>
        <w:rPr>
          <w:i/>
        </w:rPr>
      </w:pPr>
      <w:bookmarkStart w:id="211" w:name="_Toc395790508"/>
      <w:r w:rsidRPr="009C118F">
        <w:rPr>
          <w:i/>
        </w:rPr>
        <w:t>Failure to grasp the modern rationale by some courts</w:t>
      </w:r>
      <w:bookmarkEnd w:id="211"/>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61(a)(12),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Thus, the Second Circuit held in </w:t>
      </w:r>
      <w:r>
        <w:rPr>
          <w:i/>
        </w:rPr>
        <w:t>Commissioner v. Rail Joint Company</w:t>
      </w:r>
      <w:r w:rsidRPr="009A2AB6">
        <w:rPr>
          <w:rStyle w:val="FootnoteReference"/>
        </w:rPr>
        <w:footnoteReference w:id="369"/>
      </w:r>
      <w:r>
        <w:t xml:space="preserve"> that no § 61(a)(12) debt-discharge income arises when a corporation repurchases corporate bonds at a discount when the bonds were previously issued as a dividend to its shareholders. That is to say,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61(a)(12) debt-discharge income—</w:t>
      </w:r>
      <w:r w:rsidRPr="009015A5">
        <w:rPr>
          <w:i/>
        </w:rPr>
        <w:t>even though its balance sheet clearly improved as a result and even though some of its assets were “freed”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61(a)(12) debt-discharge income. </w:t>
      </w:r>
    </w:p>
    <w:p w:rsidR="0078310B" w:rsidRDefault="0078310B" w:rsidP="0078310B">
      <w:pPr>
        <w:widowControl w:val="0"/>
        <w:spacing w:after="120"/>
        <w:ind w:firstLine="288"/>
        <w:jc w:val="both"/>
      </w:pPr>
      <w:r>
        <w:t xml:space="preserve">Similarly, no debt-discharge income is realized if a legal liability unconnected to any prior receipt disappears. </w:t>
      </w:r>
      <w:r>
        <w:rPr>
          <w:b/>
        </w:rPr>
        <w:t xml:space="preserve">Merely avoiding an </w:t>
      </w:r>
      <w:r w:rsidRPr="00EC541E">
        <w:rPr>
          <w:b/>
        </w:rPr>
        <w:t>“expense” does not represent a wealth accession representing ability to pay and thus 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61(a)(12) income (or any other kind of Gross Income) just because his legal obligation to pay money to his ex-wife (in the form of child support) is reduced—even though his balance sheet clearly improves as a result. </w:t>
      </w:r>
    </w:p>
    <w:p w:rsidR="0078310B" w:rsidRPr="00801932" w:rsidRDefault="0078310B" w:rsidP="0078310B">
      <w:pPr>
        <w:widowControl w:val="0"/>
        <w:spacing w:after="120"/>
        <w:ind w:firstLine="288"/>
        <w:jc w:val="both"/>
      </w:pPr>
      <w:r>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70"/>
      </w:r>
      <w:r>
        <w:t xml:space="preserve"> to forgive the debt and tells Maurice that he need not pay the $500,000 that he owes to her? Does Maurice realize § 61(a)(12) debt-discharge income? Even though his balance sheet has improved (with assets on the left side freed of offsetting liabilities on the right side), Maurice does not realize § 61(a)(12)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rsidRPr="00801932">
        <w:t xml:space="preserve"> if he had not promised to repay the amount received with after-tax dollars. </w:t>
      </w:r>
    </w:p>
    <w:p w:rsidR="0078310B" w:rsidRPr="00D10E09"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78310B" w:rsidRDefault="0078310B" w:rsidP="0078310B">
      <w:pPr>
        <w:pStyle w:val="Heading3"/>
        <w:spacing w:before="0" w:beforeAutospacing="0" w:after="120" w:afterAutospacing="0"/>
        <w:jc w:val="center"/>
      </w:pPr>
      <w:bookmarkStart w:id="212" w:name="_Toc395790509"/>
      <w:r>
        <w:t>PAYNE v. COMMISSIONER</w:t>
      </w:r>
      <w:bookmarkEnd w:id="212"/>
    </w:p>
    <w:p w:rsidR="0078310B" w:rsidRPr="008B0979"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 xml:space="preserve">2010-1 U.S.T.C. (CCH) </w:t>
      </w:r>
      <w:r>
        <w:rPr>
          <w:rFonts w:cs="Times New Roman"/>
        </w:rPr>
        <w:t>¶</w:t>
      </w:r>
      <w:r>
        <w:t xml:space="preserve"> 50,132 (8</w:t>
      </w:r>
      <w:r w:rsidRPr="008B0979">
        <w:rPr>
          <w:vertAlign w:val="superscript"/>
        </w:rPr>
        <w:t>th</w:t>
      </w:r>
      <w:r>
        <w:t xml:space="preserve"> Cir.) </w:t>
      </w:r>
      <w:r w:rsidRPr="008B0979">
        <w:t>(per curiam)</w:t>
      </w:r>
    </w:p>
    <w:p w:rsidR="0078310B" w:rsidRPr="008B0979"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94"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95"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rsidR="0078310B" w:rsidRPr="00B42FFD" w:rsidRDefault="002B3596"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96" w:history="1">
        <w:r w:rsidR="0078310B" w:rsidRPr="00B42FFD">
          <w:t>Section 61</w:t>
        </w:r>
      </w:hyperlink>
      <w:r w:rsidR="0078310B" w:rsidRPr="00B42FFD">
        <w:t xml:space="preserve"> generally defines </w:t>
      </w:r>
      <w:r w:rsidR="0078310B">
        <w:t>Gross Income</w:t>
      </w:r>
      <w:r w:rsidR="0078310B" w:rsidRPr="00B42FFD">
        <w:t xml:space="preserve"> as </w:t>
      </w:r>
      <w:r w:rsidR="0078310B">
        <w:t>“</w:t>
      </w:r>
      <w:r w:rsidR="0078310B" w:rsidRPr="00B42FFD">
        <w:t>all income from whatever source derived</w:t>
      </w:r>
      <w:r w:rsidR="0078310B">
        <w:t>”</w:t>
      </w:r>
      <w:r w:rsidR="0078310B" w:rsidRPr="00B42FFD">
        <w:t xml:space="preserve">. </w:t>
      </w:r>
      <w:hyperlink r:id="rId597" w:history="1">
        <w:r w:rsidR="0078310B" w:rsidRPr="00B42FFD">
          <w:t>Section 61(a)(12)</w:t>
        </w:r>
      </w:hyperlink>
      <w:r w:rsidR="0078310B" w:rsidRPr="00B42FFD">
        <w:t xml:space="preserve"> specifically provides that </w:t>
      </w:r>
      <w:r w:rsidR="0078310B">
        <w:t>Gross Income</w:t>
      </w:r>
      <w:r w:rsidR="0078310B" w:rsidRPr="00B42FFD">
        <w:t xml:space="preserve"> includes income from the discharge of indebtedness. </w:t>
      </w:r>
      <w:r w:rsidR="0078310B" w:rsidRPr="00E42264">
        <w:rPr>
          <w:i/>
        </w:rPr>
        <w:t>See</w:t>
      </w:r>
      <w:r w:rsidR="0078310B" w:rsidRPr="00B42FFD">
        <w:t xml:space="preserve"> also </w:t>
      </w:r>
      <w:hyperlink r:id="rId598" w:history="1">
        <w:r w:rsidR="0078310B" w:rsidRPr="00E537E7">
          <w:rPr>
            <w:i/>
          </w:rPr>
          <w:t>Gitlitz v. Comm’r</w:t>
        </w:r>
        <w:r w:rsidR="0078310B">
          <w:t>, 531 U.S. 206</w:t>
        </w:r>
        <w:r w:rsidR="0078310B" w:rsidRPr="00B42FFD">
          <w:t xml:space="preserve"> (2001)</w:t>
        </w:r>
      </w:hyperlink>
      <w:r w:rsidR="0078310B" w:rsidRPr="00B42FFD">
        <w:t xml:space="preserve">; </w:t>
      </w:r>
      <w:hyperlink r:id="rId599" w:history="1">
        <w:r w:rsidR="0078310B" w:rsidRPr="00E537E7">
          <w:rPr>
            <w:i/>
          </w:rPr>
          <w:t>U.S. v. Kirby Lumber Co.</w:t>
        </w:r>
        <w:r w:rsidR="0078310B" w:rsidRPr="00B42FFD">
          <w:t>, 284 U.S. 1 (1931)</w:t>
        </w:r>
      </w:hyperlink>
      <w:r w:rsidR="0078310B" w:rsidRPr="00B42FFD">
        <w:t xml:space="preserve">. Respondent determined that </w:t>
      </w:r>
      <w:r w:rsidR="0078310B">
        <w:t xml:space="preserve">MBNA’s </w:t>
      </w:r>
      <w:r w:rsidR="0078310B" w:rsidRPr="00B42FFD">
        <w:t>agree</w:t>
      </w:r>
      <w:r w:rsidR="0078310B">
        <w:t>ment with Mr. Payne to accept $</w:t>
      </w:r>
      <w:r w:rsidR="0078310B" w:rsidRPr="00B42FFD">
        <w:t xml:space="preserve">4,592 in full settlement of the </w:t>
      </w:r>
      <w:r w:rsidR="0078310B">
        <w:t>undisputed account balance of $</w:t>
      </w:r>
      <w:r w:rsidR="0078310B" w:rsidRPr="00B42FFD">
        <w:t xml:space="preserve">21,270 resulted in </w:t>
      </w:r>
      <w:r w:rsidR="0078310B">
        <w:t>$</w:t>
      </w:r>
      <w:r w:rsidR="0078310B" w:rsidRPr="00B42FFD">
        <w:t>16,678 of discharge of indebtedness income to petitioners. Petitioners bear the burden of proving respondent</w:t>
      </w:r>
      <w:r w:rsidR="0078310B">
        <w:t>’</w:t>
      </w:r>
      <w:r w:rsidR="0078310B" w:rsidRPr="00B42FFD">
        <w:t>s determination incorrect</w:t>
      </w:r>
      <w:r w:rsidR="0078310B">
        <w: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600" w:history="1">
        <w:r w:rsidRPr="00B42FFD">
          <w:t>section 108(e)(5)</w:t>
        </w:r>
      </w:hyperlink>
      <w:r w:rsidRPr="00B42FFD">
        <w:t xml:space="preserve">. Although the record does not indicate that </w:t>
      </w:r>
      <w:hyperlink r:id="rId601"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rsidR="0078310B" w:rsidRPr="00B42FFD" w:rsidRDefault="002B3596"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602" w:history="1">
        <w:r w:rsidR="0078310B" w:rsidRPr="00B42FFD">
          <w:t>Section 108(e)(5)</w:t>
        </w:r>
      </w:hyperlink>
      <w:r w:rsidR="0078310B" w:rsidRPr="00B42FFD">
        <w:t xml:space="preserve"> provides an exception to </w:t>
      </w:r>
      <w:hyperlink r:id="rId603" w:history="1">
        <w:r w:rsidR="0078310B" w:rsidRPr="00B42FFD">
          <w:t>section 61(a)(12)</w:t>
        </w:r>
      </w:hyperlink>
      <w:r w:rsidR="0078310B"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78310B">
        <w:t xml:space="preserve">ect as a retroactive reduction </w:t>
      </w:r>
      <w:r w:rsidR="0078310B" w:rsidRPr="00B42FFD">
        <w:t xml:space="preserve">of the purchase price. Where, however, the only relationship between the parties is that of debtor and creditor, </w:t>
      </w:r>
      <w:r w:rsidR="0078310B">
        <w:t>“</w:t>
      </w:r>
      <w:r w:rsidR="0078310B" w:rsidRPr="00B42FFD">
        <w:t xml:space="preserve">The rule of </w:t>
      </w:r>
      <w:hyperlink r:id="rId604" w:history="1">
        <w:r w:rsidR="0078310B" w:rsidRPr="00B42FFD">
          <w:t>Kirby Lumber</w:t>
        </w:r>
      </w:hyperlink>
      <w:r w:rsidR="0078310B" w:rsidRPr="00B42FFD">
        <w:t xml:space="preserve"> is clearly applicable</w:t>
      </w:r>
      <w:r w:rsidR="0078310B">
        <w:t>”</w:t>
      </w:r>
      <w:r w:rsidR="0078310B" w:rsidRPr="00B42FFD">
        <w:t xml:space="preserve">. </w:t>
      </w:r>
      <w:hyperlink r:id="rId605" w:history="1">
        <w:r w:rsidR="0078310B" w:rsidRPr="00E537E7">
          <w:rPr>
            <w:i/>
          </w:rPr>
          <w:t>OKC Corp. &amp; Subs. v. Comm’r</w:t>
        </w:r>
        <w:r w:rsidR="0078310B" w:rsidRPr="00B42FFD">
          <w:t>, 82 T.C. 638, 647 (1984)</w:t>
        </w:r>
      </w:hyperlink>
      <w:r w:rsidR="0078310B" w:rsidRPr="00B42FFD">
        <w:t>.</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606" w:history="1">
        <w:r w:rsidRPr="00B42FFD">
          <w:t>section 108(e)(5)</w:t>
        </w:r>
      </w:hyperlink>
      <w:r w:rsidRPr="00B42FFD">
        <w:t xml:space="preserve">. Petitioners are mistaken. </w:t>
      </w:r>
      <w:hyperlink r:id="rId607"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71"/>
        <w:t>[5]</w:t>
      </w:r>
      <w:r>
        <w:t xml:space="preserve"> The only </w:t>
      </w:r>
      <w:r w:rsidRPr="00B42FFD">
        <w:t xml:space="preserve">relationship between the parties was that of debtor and creditor, and thus </w:t>
      </w:r>
      <w:hyperlink r:id="rId608" w:history="1">
        <w:r w:rsidRPr="00B42FFD">
          <w:t>section 108(e)(5)</w:t>
        </w:r>
      </w:hyperlink>
      <w:r w:rsidRPr="00B42FFD">
        <w:t xml:space="preserve"> does not apply. </w:t>
      </w:r>
      <w:r w:rsidRPr="00E42264">
        <w:rPr>
          <w:i/>
        </w:rPr>
        <w:t>See</w:t>
      </w:r>
      <w:r w:rsidRPr="00B42FFD">
        <w:t xml:space="preserve"> </w:t>
      </w:r>
      <w:hyperlink r:id="rId609" w:history="1">
        <w:r w:rsidRPr="00E537E7">
          <w:rPr>
            <w:i/>
          </w:rPr>
          <w:t>OKC Corp. &amp; Subs. v. Comm’r</w:t>
        </w:r>
        <w:r w:rsidRPr="00B42FFD">
          <w:t xml:space="preserve">, </w:t>
        </w:r>
        <w:r w:rsidRPr="00A438BA">
          <w:rPr>
            <w:i/>
          </w:rPr>
          <w:t>supra</w:t>
        </w:r>
        <w:r w:rsidRPr="00B42FFD">
          <w:t xml:space="preserve"> at 647</w:t>
        </w:r>
      </w:hyperlink>
      <w:r w:rsidRPr="00B42FFD">
        <w:t>.</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610" w:history="1">
        <w:r w:rsidRPr="00A438BA">
          <w:rPr>
            <w:i/>
          </w:rPr>
          <w:t>Earnshaw v. Comm’r</w:t>
        </w:r>
        <w:r w:rsidRPr="00B42FFD">
          <w:t>, T.C. Memo 2002-191</w:t>
        </w:r>
      </w:hyperlink>
      <w:r w:rsidRPr="00B42FFD">
        <w:t>.</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611" w:history="1">
        <w:r w:rsidRPr="00B42FFD">
          <w:t>Sec. 61(a)(12)</w:t>
        </w:r>
      </w:hyperlink>
      <w:r w:rsidRPr="00B42FFD">
        <w:t xml:space="preserve">; </w:t>
      </w:r>
      <w:hyperlink r:id="rId612" w:history="1">
        <w:r w:rsidRPr="00E537E7">
          <w:rPr>
            <w:i/>
          </w:rPr>
          <w:t>U.S. v. Kirby Lumber Co.</w:t>
        </w:r>
        <w:r w:rsidRPr="00B42FFD">
          <w:t xml:space="preserve">, </w:t>
        </w:r>
        <w:r w:rsidRPr="00E537E7">
          <w:rPr>
            <w:i/>
          </w:rPr>
          <w:t>supra</w:t>
        </w:r>
        <w:r w:rsidRPr="00B42FFD">
          <w:t>.</w:t>
        </w:r>
      </w:hyperlink>
      <w:r w:rsidRPr="00B42FFD">
        <w:t xml:space="preserve"> In </w:t>
      </w:r>
      <w:hyperlink r:id="rId613"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614" w:history="1">
        <w:r w:rsidRPr="00A438BA">
          <w:rPr>
            <w:i/>
          </w:rPr>
          <w:t>Earnshaw</w:t>
        </w:r>
      </w:hyperlink>
      <w:r w:rsidRPr="00B42FFD">
        <w:t xml:space="preserve"> does not stand for the principle that discharge of indebtedness income does not include the cancellation of debt attributable to interest payments.</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rsidR="0078310B" w:rsidRDefault="0078310B" w:rsidP="0078310B">
      <w:pPr>
        <w:widowControl w:val="0"/>
        <w:ind w:firstLine="288"/>
        <w:jc w:val="both"/>
        <w:rPr>
          <w:rFonts w:eastAsia="Times New Roman" w:cs="Times New Roman"/>
        </w:rPr>
      </w:pPr>
      <w:r w:rsidRPr="00B42FFD">
        <w:rPr>
          <w:rFonts w:eastAsia="Times New Roman" w:cs="Times New Roman"/>
          <w:i/>
          <w:iCs/>
        </w:rPr>
        <w:t>Decision will be entered for respondent</w:t>
      </w:r>
      <w:r w:rsidRPr="00B42FFD">
        <w:rPr>
          <w:rFonts w:eastAsia="Times New Roman" w:cs="Times New Roman"/>
        </w:rPr>
        <w:t xml:space="preserve">. </w:t>
      </w:r>
    </w:p>
    <w:p w:rsidR="0078310B" w:rsidRDefault="0078310B" w:rsidP="0078310B">
      <w:pPr>
        <w:widowControl w:val="0"/>
        <w:jc w:val="center"/>
        <w:rPr>
          <w:rFonts w:eastAsia="Times New Roman" w:cs="Times New Roman"/>
        </w:rPr>
      </w:pPr>
      <w:r>
        <w:rPr>
          <w:rFonts w:eastAsia="Times New Roman" w:cs="Times New Roman"/>
        </w:rPr>
        <w:t>__________________________________</w:t>
      </w:r>
    </w:p>
    <w:p w:rsidR="0078310B" w:rsidRDefault="0078310B" w:rsidP="0078310B">
      <w:pPr>
        <w:widowControl w:val="0"/>
        <w:ind w:firstLine="288"/>
        <w:rPr>
          <w:rFonts w:eastAsia="Times New Roman" w:cs="Times New Roman"/>
        </w:rPr>
      </w:pPr>
    </w:p>
    <w:p w:rsidR="0078310B" w:rsidRDefault="0078310B" w:rsidP="0078310B">
      <w:pPr>
        <w:widowControl w:val="0"/>
        <w:spacing w:after="120"/>
        <w:ind w:firstLine="288"/>
        <w:jc w:val="both"/>
        <w:rPr>
          <w:rFonts w:eastAsia="Times New Roman" w:cs="Times New Roman"/>
        </w:rPr>
      </w:pPr>
      <w:r>
        <w:rPr>
          <w:rFonts w:eastAsia="Times New Roman" w:cs="Times New Roman"/>
        </w:rPr>
        <w:t xml:space="preserve">The Tax Court did not dispute the taxpayers’ contention that the $16,678 discharged by MBNA represented entirely </w:t>
      </w:r>
      <w:r w:rsidRPr="002771A3">
        <w:rPr>
          <w:rFonts w:eastAsia="Times New Roman" w:cs="Times New Roman"/>
          <w:i/>
        </w:rPr>
        <w:t>interest</w:t>
      </w:r>
      <w:r>
        <w:rPr>
          <w:rFonts w:eastAsia="Times New Roman" w:cs="Times New Roman"/>
          <w:i/>
        </w:rPr>
        <w:t xml:space="preserve"> and fees</w:t>
      </w:r>
      <w:r>
        <w:rPr>
          <w:rFonts w:eastAsia="Times New Roman" w:cs="Times New Roman"/>
        </w:rPr>
        <w:t xml:space="preserve"> that had accrued from a substantial period of nonpayment on an originally modest principal amount of $4,592, which was entirely repaid. </w:t>
      </w:r>
      <w:r w:rsidRPr="00265F06">
        <w:rPr>
          <w:rFonts w:eastAsia="Times New Roman" w:cs="Times New Roman"/>
        </w:rPr>
        <w:t xml:space="preserve">If the facts had been different, and the discharged amount reflected unpaid </w:t>
      </w:r>
      <w:r w:rsidRPr="00D4658C">
        <w:rPr>
          <w:rFonts w:eastAsia="Times New Roman" w:cs="Times New Roman"/>
          <w:i/>
        </w:rPr>
        <w:t>principal</w:t>
      </w:r>
      <w:r w:rsidRPr="00265F06">
        <w:rPr>
          <w:rFonts w:eastAsia="Times New Roman" w:cs="Times New Roman"/>
        </w:rPr>
        <w:t>,</w:t>
      </w:r>
      <w:r>
        <w:rPr>
          <w:rFonts w:eastAsia="Times New Roman" w:cs="Times New Roman"/>
        </w:rPr>
        <w:t xml:space="preserve"> which was used to buy property or services, § 61(a)(12)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cs="Times New Roman"/>
          <w:i/>
        </w:rPr>
        <w:t>solely</w:t>
      </w:r>
      <w:r>
        <w:t xml:space="preserve"> </w:t>
      </w:r>
      <w:r>
        <w:rPr>
          <w:rFonts w:eastAsia="Times New Roman" w:cs="Times New Roman"/>
        </w:rPr>
        <w:t xml:space="preserve">because of the promise to repay with after-tax dollars under the § 61(a)(12) syllogism. If the borrowers had failed to repay unpaid </w:t>
      </w:r>
      <w:r w:rsidRPr="002771A3">
        <w:t>principal</w:t>
      </w:r>
      <w:r>
        <w:t xml:space="preserve">, </w:t>
      </w:r>
      <w:r w:rsidRPr="002771A3">
        <w:t>the</w:t>
      </w:r>
      <w:r>
        <w:rPr>
          <w:rFonts w:eastAsia="Times New Roman" w:cs="Times New Roman"/>
        </w:rPr>
        <w:t xml:space="preserve"> taxpayers would have enjoyed a permanently tax-free wealth accession in that prior year (equal to the value of the goods and services purchased on credit) unless we create § 61(a)(12) income in the discharge year. But the Paynes </w:t>
      </w:r>
      <w:r w:rsidR="00E52599">
        <w:rPr>
          <w:rFonts w:eastAsia="Times New Roman" w:cs="Times New Roman"/>
        </w:rPr>
        <w:t xml:space="preserve">apparently </w:t>
      </w:r>
      <w:r>
        <w:rPr>
          <w:rFonts w:eastAsia="Times New Roman" w:cs="Times New Roman"/>
        </w:rPr>
        <w:t>repaid 100% of the originally borrowed principal.</w:t>
      </w:r>
    </w:p>
    <w:p w:rsidR="0078310B" w:rsidRDefault="0078310B" w:rsidP="0078310B">
      <w:pPr>
        <w:widowControl w:val="0"/>
        <w:spacing w:after="120"/>
        <w:ind w:firstLine="288"/>
        <w:jc w:val="both"/>
      </w:pPr>
      <w:r>
        <w:rPr>
          <w:rFonts w:eastAsia="Times New Roman" w:cs="Times New Roman"/>
        </w:rPr>
        <w:t xml:space="preserve">In other words, the Paynes did not receive the amount represented by the unpaid </w:t>
      </w:r>
      <w:r w:rsidRPr="00A753B2">
        <w:rPr>
          <w:rFonts w:eastAsia="Times New Roman" w:cs="Times New Roman"/>
          <w:i/>
        </w:rPr>
        <w:t>interest</w:t>
      </w:r>
      <w:r>
        <w:rPr>
          <w:rFonts w:eastAsia="Times New Roman" w:cs="Times New Roman"/>
          <w:i/>
        </w:rPr>
        <w:t xml:space="preserve"> and fees</w:t>
      </w:r>
      <w:r>
        <w:rPr>
          <w:rFonts w:eastAsia="Times New Roman" w:cs="Times New Roman"/>
        </w:rPr>
        <w:t xml:space="preserve"> in a previous year, a receipt that would have represented a wealth accession in that earlier year absent the promise to repay. Rather, they merely avoided an </w:t>
      </w:r>
      <w:r w:rsidRPr="00CF674A">
        <w:rPr>
          <w:rFonts w:eastAsia="Times New Roman" w:cs="Times New Roman"/>
        </w:rPr>
        <w:t>“expense”—as that word is used as a tax term of art—</w:t>
      </w:r>
      <w:r w:rsidRPr="00CF674A">
        <w:rPr>
          <w:rFonts w:eastAsia="Times New Roman" w:cs="Times New Roman"/>
          <w:i/>
        </w:rPr>
        <w:t>i.e.</w:t>
      </w:r>
      <w:r w:rsidRPr="00CF674A">
        <w:rPr>
          <w:rFonts w:eastAsia="Times New Roman" w:cs="Times New Roman"/>
        </w:rPr>
        <w:t xml:space="preserve">, an outlay that would represent a current wealth </w:t>
      </w:r>
      <w:r>
        <w:rPr>
          <w:rFonts w:eastAsia="Times New Roman" w:cs="Times New Roman"/>
        </w:rPr>
        <w:t>decrease when made</w:t>
      </w:r>
      <w:r>
        <w:t xml:space="preserve">. Do avoided “expense” create Gross Income? Recall the child support example a few pages back. </w:t>
      </w:r>
    </w:p>
    <w:p w:rsidR="0078310B" w:rsidRDefault="0078310B" w:rsidP="0078310B">
      <w:pPr>
        <w:widowControl w:val="0"/>
        <w:spacing w:after="120"/>
        <w:ind w:firstLine="288"/>
        <w:jc w:val="both"/>
      </w:pPr>
      <w:r>
        <w:t xml:space="preserve">The </w:t>
      </w:r>
      <w:r>
        <w:rPr>
          <w:i/>
        </w:rPr>
        <w:t xml:space="preserve">Payne </w:t>
      </w:r>
      <w:r>
        <w:t xml:space="preserve">court did not cite or apply </w:t>
      </w:r>
      <w:hyperlink r:id="rId615" w:history="1">
        <w:r w:rsidRPr="005C3D67">
          <w:rPr>
            <w:rStyle w:val="Hyperlink"/>
          </w:rPr>
          <w:t>§ 108</w:t>
        </w:r>
      </w:hyperlink>
      <w:r>
        <w:t xml:space="preserve">(e)(2), but read it now. Does the presence of a statutory rule providing that no § 61(a)(12) income arises if the discharged liability would have given rise to a deduction carry with it the negative inference that if the discharged liability would </w:t>
      </w:r>
      <w:r>
        <w:rPr>
          <w:i/>
        </w:rPr>
        <w:t>not</w:t>
      </w:r>
      <w:r>
        <w:t xml:space="preserve"> have given rise to a deduction (such as with payment of child support or credit card interest) § 61(a)(12) income </w:t>
      </w:r>
      <w:r>
        <w:rPr>
          <w:i/>
        </w:rPr>
        <w:t xml:space="preserve">is </w:t>
      </w:r>
      <w:r>
        <w:t xml:space="preserve">created on the discharge? The problem of the negative inference is a common one in statutory interpretation. </w:t>
      </w:r>
    </w:p>
    <w:p w:rsidR="0078310B" w:rsidRDefault="0078310B" w:rsidP="0078310B">
      <w:pPr>
        <w:widowControl w:val="0"/>
        <w:ind w:firstLine="288"/>
        <w:jc w:val="both"/>
      </w:pPr>
      <w:r>
        <w:t xml:space="preserve">If the cancellation of the interest obligation is not § 61(a)(12)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w:t>
      </w:r>
      <w:hyperlink r:id="rId616" w:history="1">
        <w:r w:rsidRPr="005C3D67">
          <w:rPr>
            <w:rStyle w:val="Hyperlink"/>
          </w:rPr>
          <w:t>§ 7872</w:t>
        </w:r>
      </w:hyperlink>
      <w:r>
        <w:t xml:space="preserve">, studied in Chapter 10. There, you learned that </w:t>
      </w:r>
      <w:r w:rsidR="00E52599">
        <w:t xml:space="preserve">generally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t>
      </w:r>
      <w:r w:rsidR="005C3D67">
        <w:t>While only a proposed regulation that has not been made final, is not its logic persuasive?</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213" w:name="_Toc395790510"/>
      <w:r w:rsidRPr="009C118F">
        <w:rPr>
          <w:u w:val="single"/>
        </w:rPr>
        <w:t>Problems</w:t>
      </w:r>
      <w:bookmarkEnd w:id="213"/>
    </w:p>
    <w:p w:rsidR="0078310B" w:rsidRPr="00887662" w:rsidRDefault="0078310B" w:rsidP="0078310B">
      <w:pPr>
        <w:pStyle w:val="Heading3"/>
        <w:spacing w:before="0" w:beforeAutospacing="0" w:after="0" w:afterAutospacing="0"/>
        <w:jc w:val="center"/>
        <w:rPr>
          <w:b w:val="0"/>
        </w:rPr>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Sandra makes a bona fide loan of $100,000 to Sebastian on January 1 of Year 1 at 4% annual interest. Under the loan terms, Sebastian is required to pay $4,000 annual interest on December 31 of each year for 5 years, as well as repay the $100,000 principal on D</w:t>
      </w:r>
      <w:r w:rsidR="00D91946">
        <w:t xml:space="preserve">ecember 31 of Year 5. Sebastian’s business </w:t>
      </w:r>
      <w:r w:rsidR="00BA4DD0">
        <w:t xml:space="preserve">begins to falter </w:t>
      </w:r>
      <w:r w:rsidR="00D91946">
        <w:t xml:space="preserve">in Year 3, but Sebastian manages to make each annual $4,000 interest payment. When the $100,000 principal repayment becomes due at the end of Year 5, however, Sebastian does not make the payment. </w:t>
      </w:r>
      <w:r>
        <w:t xml:space="preserve">What tax consequences arise </w:t>
      </w:r>
      <w:r w:rsidRPr="00B672B8">
        <w:rPr>
          <w:i/>
        </w:rPr>
        <w:t>for Sebastian</w:t>
      </w:r>
      <w:r>
        <w:t xml:space="preserve"> (we already considered Sandra’s consequences in Part A.) if:</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rsidR="00D91946">
        <w:t xml:space="preserve"> Sandra and Sebastian execute </w:t>
      </w:r>
      <w:r>
        <w:t>an agr</w:t>
      </w:r>
      <w:r w:rsidR="00D91946">
        <w:t xml:space="preserve">eement under which he will </w:t>
      </w:r>
      <w:r>
        <w:t>repay only $70,000 of the outstanding $100,000 loan principal over the next three years</w:t>
      </w:r>
      <w:r w:rsidR="00D91946">
        <w:t xml:space="preserve"> at 4% interest</w:t>
      </w:r>
      <w:r>
        <w:t xml:space="preserve">. Sandra cancels the remaining $30,000 of principal owed. Before the new agreement was negotiated, Sebastian’s balance sheet showed that he owned only one piece of property with a value of $120,000 (and a basis of $80,000). His $100,000 debt to Sandra was his </w:t>
      </w:r>
      <w:r w:rsidR="00BA4DD0">
        <w:t>only debt. Sebastian makes the required payments</w:t>
      </w:r>
      <w:r>
        <w:t xml:space="preserve"> under their new agreement.</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balance sheet before they negotiate the repayment agreement showed that Sebastian owned only one property with a value of $80,000 (and basis of $50,000). His $100,000 debt to Sandra was his only debt.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xml:space="preserve">, except that </w:t>
      </w:r>
      <w:r w:rsidR="001E3C6C">
        <w:t xml:space="preserve">Sebastian stopped making interest payments after Year 2 when his business began to falter. Sandra and Sebastian execute an agreement that </w:t>
      </w:r>
      <w:r>
        <w:t>provides that Sebastian must repay the entire $100,000 principal owed over the next three years, but Sandra cancels the $12,000 in interest owed. Sebastian repays the entire $100,000 in principal under their new agreement. Do you need to know how Sebastian spent the loan proceeds? What if he used the loan proceeds for personal purposes, such as to take a year-long world tour in Year 1? What if he used the loan proceeds in his business?</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rsidR="0078310B" w:rsidRDefault="0078310B" w:rsidP="0078310B">
      <w:pPr>
        <w:pStyle w:val="Heading3"/>
        <w:spacing w:before="0" w:beforeAutospacing="0" w:after="0" w:afterAutospacing="0"/>
        <w:ind w:firstLine="288"/>
        <w:rPr>
          <w:b w:val="0"/>
        </w:rPr>
      </w:pPr>
      <w:bookmarkStart w:id="214" w:name="_Toc395790511"/>
    </w:p>
    <w:p w:rsidR="0078310B" w:rsidRPr="009C118F" w:rsidRDefault="0078310B" w:rsidP="0078310B">
      <w:pPr>
        <w:pStyle w:val="Heading3"/>
        <w:spacing w:before="0" w:beforeAutospacing="0" w:after="120" w:afterAutospacing="0"/>
        <w:rPr>
          <w:i/>
        </w:rPr>
      </w:pPr>
      <w:r w:rsidRPr="009C118F">
        <w:rPr>
          <w:i/>
        </w:rPr>
        <w:t>Measuring the economic value received in the borrowing year with two-party debt</w:t>
      </w:r>
      <w:bookmarkEnd w:id="214"/>
    </w:p>
    <w:p w:rsidR="0078310B" w:rsidRDefault="0078310B" w:rsidP="0078310B">
      <w:pPr>
        <w:widowControl w:val="0"/>
        <w:spacing w:after="120"/>
        <w:ind w:firstLine="288"/>
        <w:jc w:val="both"/>
      </w:pPr>
      <w:r>
        <w:t xml:space="preserve">When </w:t>
      </w:r>
      <w:r w:rsidRPr="00EC2CB9">
        <w:rPr>
          <w:i/>
        </w:rPr>
        <w:t>cash</w:t>
      </w:r>
      <w:r>
        <w:t xml:space="preserve"> is borrowed in Year 1 (the usual case), the measure of § 61(a)(12) income upon the later failure to repay with after-tax dollars is clear: the amount of cash pr</w:t>
      </w:r>
      <w:r w:rsidR="00F56956">
        <w:t xml:space="preserve">eviously received in Year 1 and excluded. </w:t>
      </w:r>
      <w:r>
        <w:t>Moreover, whether the debt is enforceable under state law should be irrelevant to the question of whether a wealth accession is realized when that cash previously received is not repaid with after-tax dollars. For example, assume that Debby borrows $10,000—cold, hard cash—from a loan shark, Dastardly Dan, promising to repay with 50% interest. Debby excludes the $10,000 receipt from her Gross Income under the borrowing exclusion, using the cash to take a trip to Venice. (Lucky Debby!) Debby then learns that under her state’s usury law Dastardly Dan would be unable to sue her for repayment in state court. She thus never repays the $10,000 that she borrowed. Does Debby realize § 61(a)(12) income? Or can she argue that § 61(a)(12) should be read in the literal sense to mean that she cannot be “discharged” from a debt within the meaning of § 61(a)(12)’s language if she cannot be forced to repay it in any event?</w:t>
      </w:r>
    </w:p>
    <w:p w:rsidR="0078310B" w:rsidRDefault="0078310B" w:rsidP="0078310B">
      <w:pPr>
        <w:widowControl w:val="0"/>
        <w:spacing w:after="120"/>
        <w:ind w:firstLine="288"/>
        <w:jc w:val="both"/>
      </w:pPr>
      <w:r>
        <w:t xml:space="preserve">Would such a literal interpretation of the word “discharge” in § 61(a)(12)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18. Unlucky Debby!) </w:t>
      </w:r>
    </w:p>
    <w:p w:rsidR="0078310B" w:rsidRDefault="0078310B" w:rsidP="0078310B">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61(a)(12)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61(a)(12) income. </w:t>
      </w:r>
    </w:p>
    <w:p w:rsidR="0078310B" w:rsidRPr="005E714F" w:rsidRDefault="0078310B" w:rsidP="0078310B">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 xml:space="preserve">Zarin </w:t>
      </w:r>
      <w:r>
        <w:t>is the fact that the seller of services on credit (gambling entertainment) was also the lender</w:t>
      </w:r>
      <w:r w:rsidR="007E20D6">
        <w:t xml:space="preserve"> (two-party debt)</w:t>
      </w:r>
      <w:r>
        <w:t xml:space="preserve">.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16, pertaining to tax shelters. </w:t>
      </w:r>
    </w:p>
    <w:p w:rsidR="0078310B" w:rsidRDefault="0078310B" w:rsidP="0078310B">
      <w:pPr>
        <w:widowControl w:val="0"/>
        <w:spacing w:after="120"/>
        <w:ind w:firstLine="288"/>
        <w:jc w:val="both"/>
      </w:pPr>
      <w:r>
        <w:t xml:space="preserve">Tax Court cases are usually heard and decided by a single judge. If a case involves a unique or difficult issue or involves facts that may cause the court to overrule its own prior precedent, the Chief Judge can designate the case to be heard by the entire 15-judge court. The decision in that case is called a “reviewed” decision and, by its nature, can involve a majority opinion coupled with dissenting and concurring opinions. After excerpts from the Tax Court opinions, you will read the Third Circuit decision on appeal. </w:t>
      </w:r>
    </w:p>
    <w:p w:rsidR="0078310B" w:rsidRDefault="0078310B" w:rsidP="0078310B">
      <w:pPr>
        <w:widowControl w:val="0"/>
        <w:ind w:firstLine="288"/>
        <w:jc w:val="both"/>
      </w:pPr>
      <w:r>
        <w:rPr>
          <w:i/>
        </w:rPr>
        <w:t xml:space="preserve">Zarin </w:t>
      </w:r>
      <w:r>
        <w:t>has been called a “case without a right answer.”</w:t>
      </w:r>
      <w:r>
        <w:rPr>
          <w:rStyle w:val="FootnoteReference"/>
        </w:rPr>
        <w:footnoteReference w:id="372"/>
      </w:r>
      <w:r>
        <w:t xml:space="preserve"> I think that the case is useful, however, because it causes us to revisit several issues that we have considered in the past, as well as causes us to think hard (again) about § 61(a)(12)’s underlying rationale, which is so easy to lose sight of if we think in shorthand terms that a cancelled liability equals § 61(a)(12) debt-discharge income. </w:t>
      </w:r>
    </w:p>
    <w:p w:rsidR="0078310B" w:rsidRDefault="0078310B" w:rsidP="0078310B">
      <w:pPr>
        <w:widowControl w:val="0"/>
      </w:pPr>
    </w:p>
    <w:p w:rsidR="0078310B" w:rsidRDefault="0078310B" w:rsidP="0078310B">
      <w:pPr>
        <w:pStyle w:val="Heading3"/>
        <w:spacing w:before="0" w:beforeAutospacing="0" w:after="120" w:afterAutospacing="0"/>
        <w:jc w:val="center"/>
      </w:pPr>
      <w:bookmarkStart w:id="215" w:name="_Toc395790512"/>
      <w:r>
        <w:t>ZARIN v. COMMISSIONER</w:t>
      </w:r>
      <w:bookmarkEnd w:id="215"/>
    </w:p>
    <w:p w:rsidR="0078310B" w:rsidRDefault="0078310B" w:rsidP="0078310B">
      <w:pPr>
        <w:widowControl w:val="0"/>
        <w:jc w:val="center"/>
      </w:pPr>
      <w:r>
        <w:t>92 T.C. 1084 (1989) (reviewed)</w:t>
      </w:r>
    </w:p>
    <w:p w:rsidR="0078310B" w:rsidRDefault="0078310B" w:rsidP="0078310B">
      <w:pPr>
        <w:widowControl w:val="0"/>
      </w:pPr>
    </w:p>
    <w:p w:rsidR="0078310B" w:rsidRPr="0059553D" w:rsidRDefault="0078310B" w:rsidP="0078310B">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rsidR="0078310B" w:rsidRPr="0059553D" w:rsidRDefault="0078310B" w:rsidP="0078310B">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rsidR="0078310B" w:rsidRPr="0059553D" w:rsidRDefault="0078310B" w:rsidP="0078310B">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617" w:history="1">
        <w:r w:rsidRPr="0059553D">
          <w:t>N.J. Stat. Ann. sec. 5:12-101 et seq.</w:t>
        </w:r>
      </w:hyperlink>
      <w:r>
        <w:t xml:space="preserve"> (West 1988), </w:t>
      </w:r>
      <w:r w:rsidRPr="0059553D">
        <w:t>legalizing casino gambling in Atlantic City, petitioner began developing various housing projects in Atlantic City, New Jersey.</w:t>
      </w:r>
    </w:p>
    <w:p w:rsidR="0078310B" w:rsidRPr="0059553D" w:rsidRDefault="0078310B" w:rsidP="0078310B">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78310B" w:rsidRPr="0059553D" w:rsidRDefault="0078310B" w:rsidP="0078310B">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78310B" w:rsidRPr="0059553D" w:rsidRDefault="0078310B" w:rsidP="0078310B">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78310B" w:rsidRPr="0059553D" w:rsidRDefault="0078310B" w:rsidP="0078310B">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78310B" w:rsidRPr="0059553D" w:rsidRDefault="0078310B" w:rsidP="0078310B">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rsidR="0078310B" w:rsidRPr="0059553D" w:rsidRDefault="0078310B" w:rsidP="0078310B">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rsidR="0078310B" w:rsidRPr="0059553D" w:rsidRDefault="0078310B" w:rsidP="0078310B">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78310B" w:rsidRPr="0059553D" w:rsidRDefault="0078310B" w:rsidP="0078310B">
      <w:pPr>
        <w:widowControl w:val="0"/>
        <w:spacing w:after="120"/>
        <w:ind w:left="720" w:right="720"/>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78310B" w:rsidRPr="0059553D" w:rsidRDefault="0078310B" w:rsidP="0078310B">
      <w:pPr>
        <w:widowControl w:val="0"/>
        <w:spacing w:after="120"/>
        <w:ind w:firstLine="288"/>
        <w:jc w:val="both"/>
      </w:pPr>
      <w:r w:rsidRPr="0059553D">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78310B" w:rsidRPr="0059553D" w:rsidRDefault="0078310B" w:rsidP="0078310B">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rsidR="0078310B" w:rsidRPr="0059553D" w:rsidRDefault="0078310B" w:rsidP="0078310B">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rsidR="0078310B" w:rsidRDefault="0078310B" w:rsidP="0078310B">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rsidR="0078310B" w:rsidRPr="0059553D" w:rsidRDefault="0078310B" w:rsidP="0078310B">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rsidR="0078310B" w:rsidRPr="0059553D" w:rsidRDefault="0078310B" w:rsidP="0078310B">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rsidR="0078310B" w:rsidRDefault="0078310B" w:rsidP="0078310B">
      <w:pPr>
        <w:widowControl w:val="0"/>
        <w:spacing w:after="120"/>
        <w:ind w:firstLine="288"/>
        <w:jc w:val="both"/>
        <w:rPr>
          <w:iCs/>
        </w:rPr>
      </w:pPr>
      <w:r>
        <w:rPr>
          <w:i/>
          <w:iCs/>
        </w:rPr>
        <w:t>Income From the Discharge of Indebtedness</w:t>
      </w:r>
    </w:p>
    <w:p w:rsidR="0078310B" w:rsidRPr="0059553D" w:rsidRDefault="0078310B" w:rsidP="0078310B">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618" w:history="1">
        <w:r w:rsidRPr="0059553D">
          <w:t>Sec. 61(a)(12)</w:t>
        </w:r>
      </w:hyperlink>
      <w:r w:rsidRPr="0059553D">
        <w:t xml:space="preserve">. Not all discharges of indebtedness, however, result in income. </w:t>
      </w:r>
      <w:r w:rsidRPr="00E42264">
        <w:rPr>
          <w:i/>
        </w:rPr>
        <w:t>See</w:t>
      </w:r>
      <w:r w:rsidRPr="0059553D">
        <w:t xml:space="preserve"> </w:t>
      </w:r>
      <w:hyperlink r:id="rId619"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620" w:history="1">
        <w:r w:rsidRPr="00E537E7">
          <w:rPr>
            <w:i/>
          </w:rPr>
          <w:t>U.S. v. Kirby Lumber Co.</w:t>
        </w:r>
        <w:r w:rsidRPr="0059553D">
          <w:t>, 284 U.S. 1 (1931)</w:t>
        </w:r>
      </w:hyperlink>
      <w:r w:rsidRPr="0059553D">
        <w:t>.</w:t>
      </w:r>
    </w:p>
    <w:p w:rsidR="0078310B" w:rsidRPr="0059553D" w:rsidRDefault="0078310B" w:rsidP="00E57580">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rsidR="0078310B" w:rsidRPr="0059553D" w:rsidRDefault="00E57580" w:rsidP="0078310B">
      <w:pPr>
        <w:widowControl w:val="0"/>
        <w:spacing w:after="120"/>
        <w:ind w:firstLine="288"/>
        <w:jc w:val="both"/>
      </w:pPr>
      <w:r>
        <w:t xml:space="preserve">… </w:t>
      </w:r>
      <w:r w:rsidR="0078310B"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621" w:history="1">
        <w:r w:rsidR="0078310B" w:rsidRPr="0059553D">
          <w:t>N.J. Stat. Ann. sec. 5:12-101(f)</w:t>
        </w:r>
      </w:hyperlink>
      <w:r w:rsidR="0078310B" w:rsidRPr="0059553D">
        <w:t xml:space="preserve"> (West 1988), and </w:t>
      </w:r>
      <w:hyperlink r:id="rId622" w:history="1">
        <w:r w:rsidR="0078310B" w:rsidRPr="00D6302B">
          <w:rPr>
            <w:i/>
          </w:rPr>
          <w:t>Resorts International Hotel, Inc. v. Salomone</w:t>
        </w:r>
        <w:r w:rsidR="0078310B" w:rsidRPr="0059553D">
          <w:t>, 178 N.J. Super. 598, 429 A.2d 1078 (App. Div. 1981)</w:t>
        </w:r>
      </w:hyperlink>
      <w:r w:rsidR="0078310B">
        <w:t xml:space="preserve">, in </w:t>
      </w:r>
      <w:r w:rsidR="0078310B" w:rsidRPr="0059553D">
        <w:t>arguing that the gambling debts were unenforceable.</w:t>
      </w:r>
    </w:p>
    <w:p w:rsidR="0078310B" w:rsidRPr="0059553D" w:rsidRDefault="004C0E79" w:rsidP="0078310B">
      <w:pPr>
        <w:widowControl w:val="0"/>
        <w:spacing w:after="120"/>
        <w:ind w:firstLine="288"/>
        <w:jc w:val="both"/>
      </w:pPr>
      <w:r>
        <w:t xml:space="preserve">… </w:t>
      </w:r>
      <w:r w:rsidR="0078310B" w:rsidRPr="0059553D">
        <w:t>Respondent has not proven facts from which we can conclude that the debts were legally enforceable. We must decide, therefore, whether legal enforceability is a prerequisite to recognition of income in this case.</w:t>
      </w:r>
    </w:p>
    <w:p w:rsidR="0078310B" w:rsidRDefault="0078310B" w:rsidP="0078310B">
      <w:pPr>
        <w:widowControl w:val="0"/>
        <w:spacing w:after="120"/>
        <w:ind w:firstLine="288"/>
        <w:jc w:val="both"/>
        <w:rPr>
          <w:iCs/>
        </w:rPr>
      </w:pPr>
      <w:r>
        <w:rPr>
          <w:i/>
          <w:iCs/>
        </w:rPr>
        <w:t>Enforceability</w:t>
      </w:r>
    </w:p>
    <w:p w:rsidR="0078310B" w:rsidRPr="0059553D" w:rsidRDefault="0078310B" w:rsidP="0078310B">
      <w:pPr>
        <w:widowControl w:val="0"/>
        <w:spacing w:after="120"/>
        <w:ind w:firstLine="288"/>
        <w:jc w:val="both"/>
      </w:pPr>
      <w:r w:rsidRPr="0059553D">
        <w:t xml:space="preserve">In </w:t>
      </w:r>
      <w:hyperlink r:id="rId623"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624" w:history="1">
        <w:r w:rsidRPr="0059553D">
          <w:t>307 F.2d at 241</w:t>
        </w:r>
      </w:hyperlink>
      <w:r w:rsidRPr="0059553D">
        <w:t xml:space="preserve">. The Court of Appeals relied on the so-called “diminution of loss theory” developed by the Supreme Court in </w:t>
      </w:r>
      <w:hyperlink r:id="rId625"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78310B" w:rsidRPr="0059553D" w:rsidRDefault="0078310B" w:rsidP="0078310B">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626"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627" w:history="1">
        <w:r w:rsidRPr="00D6302B">
          <w:rPr>
            <w:i/>
          </w:rPr>
          <w:t>United States v. Kirby Lumber Co.</w:t>
        </w:r>
        <w:r w:rsidRPr="0059553D">
          <w:t>, 284 U.S. 1 (1931)</w:t>
        </w:r>
      </w:hyperlink>
      <w:r w:rsidRPr="0059553D">
        <w:t xml:space="preserve">, and </w:t>
      </w:r>
      <w:hyperlink r:id="rId628"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629"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rsidR="0078310B" w:rsidRPr="0059553D" w:rsidRDefault="0078310B" w:rsidP="0078310B">
      <w:pPr>
        <w:widowControl w:val="0"/>
        <w:spacing w:after="120"/>
        <w:ind w:firstLine="288"/>
        <w:jc w:val="both"/>
      </w:pPr>
      <w:r w:rsidRPr="0059553D">
        <w:t xml:space="preserve">In </w:t>
      </w:r>
      <w:hyperlink r:id="rId630"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rsidR="0078310B" w:rsidRPr="0059553D" w:rsidRDefault="0078310B" w:rsidP="0078310B">
      <w:pPr>
        <w:widowControl w:val="0"/>
        <w:spacing w:after="120"/>
        <w:ind w:left="720" w:right="720"/>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631" w:history="1">
        <w:r w:rsidRPr="0059553D">
          <w:t>461 U.S. at 309-310</w:t>
        </w:r>
      </w:hyperlink>
      <w:r>
        <w:t>.</w:t>
      </w:r>
    </w:p>
    <w:p w:rsidR="0078310B" w:rsidRPr="0059553D" w:rsidRDefault="0078310B" w:rsidP="0078310B">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632" w:history="1">
        <w:r>
          <w:rPr>
            <w:i/>
          </w:rPr>
          <w:t>U.S.</w:t>
        </w:r>
        <w:r w:rsidRPr="00D6302B">
          <w:rPr>
            <w:i/>
          </w:rPr>
          <w:t xml:space="preserve"> v. Rosenthal</w:t>
        </w:r>
        <w:r w:rsidRPr="0059553D">
          <w:t>, 470 F.2d 837 (2d Cir. 1972)</w:t>
        </w:r>
      </w:hyperlink>
      <w:r w:rsidRPr="0059553D">
        <w:t xml:space="preserve">, and </w:t>
      </w:r>
      <w:hyperlink r:id="rId633"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78310B" w:rsidRPr="0059553D" w:rsidRDefault="0078310B" w:rsidP="0078310B">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rsidR="0078310B" w:rsidRPr="0059553D" w:rsidRDefault="0078310B" w:rsidP="0078310B">
      <w:pPr>
        <w:widowControl w:val="0"/>
        <w:spacing w:after="120"/>
        <w:ind w:firstLine="288"/>
        <w:jc w:val="both"/>
      </w:pPr>
      <w:r w:rsidRPr="0059553D">
        <w:t xml:space="preserve">In </w:t>
      </w:r>
      <w:hyperlink r:id="rId634"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35" w:history="1">
        <w:r w:rsidRPr="0059553D">
          <w:t>790 F.2d at 1415-1416</w:t>
        </w:r>
      </w:hyperlink>
      <w:r w:rsidRPr="0059553D">
        <w:t>. Because we find the reasoning of the Court of Appeals for the Ninth Circuit persuasive, we quote it at length as follows:</w:t>
      </w:r>
    </w:p>
    <w:p w:rsidR="0078310B" w:rsidRPr="0059553D" w:rsidRDefault="0078310B" w:rsidP="0078310B">
      <w:pPr>
        <w:widowControl w:val="0"/>
        <w:spacing w:after="120"/>
        <w:ind w:left="720" w:right="720"/>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636" w:history="1">
        <w:r w:rsidRPr="00D6302B">
          <w:rPr>
            <w:i/>
          </w:rPr>
          <w:t>United States v. Kirby Lumber Co.</w:t>
        </w:r>
        <w:r>
          <w:t xml:space="preserve">, 284 U.S. 1 </w:t>
        </w:r>
        <w:r w:rsidRPr="0059553D">
          <w:t xml:space="preserve"> (1931)</w:t>
        </w:r>
      </w:hyperlink>
      <w:r w:rsidRPr="0059553D">
        <w:t xml:space="preserve">; </w:t>
      </w:r>
      <w:hyperlink r:id="rId637" w:history="1">
        <w:r w:rsidRPr="00D6302B">
          <w:rPr>
            <w:i/>
          </w:rPr>
          <w:t>Burnet v. Sanford &amp; Brooks Co.</w:t>
        </w:r>
        <w:r w:rsidRPr="0059553D">
          <w:t>, 282 U.S.</w:t>
        </w:r>
        <w:r>
          <w:t xml:space="preserve"> 359</w:t>
        </w:r>
        <w:r w:rsidRPr="0059553D">
          <w:t xml:space="preserve"> (1931)</w:t>
        </w:r>
      </w:hyperlink>
      <w:r w:rsidRPr="0059553D">
        <w:t xml:space="preserve">; </w:t>
      </w:r>
      <w:hyperlink r:id="rId638" w:history="1">
        <w:r w:rsidRPr="00D6302B">
          <w:rPr>
            <w:i/>
          </w:rPr>
          <w:t>Commissioner v. Glenshaw Glass Co.</w:t>
        </w:r>
        <w:r w:rsidRPr="0059553D">
          <w:t>, 348 U.S.</w:t>
        </w:r>
        <w:r>
          <w:t xml:space="preserve"> 426 </w:t>
        </w:r>
        <w:r w:rsidRPr="0059553D">
          <w:t>(1955)</w:t>
        </w:r>
      </w:hyperlink>
      <w:r w:rsidRPr="0059553D">
        <w:t>; </w:t>
      </w:r>
      <w:bookmarkStart w:id="216" w:name="2250-19"/>
      <w:r w:rsidRPr="0059553D">
        <w:t>[**19]</w:t>
      </w:r>
      <w:bookmarkEnd w:id="216"/>
      <w:r w:rsidRPr="0059553D">
        <w:t xml:space="preserve">  and </w:t>
      </w:r>
      <w:hyperlink r:id="rId639" w:history="1">
        <w:r w:rsidRPr="00D6302B">
          <w:rPr>
            <w:i/>
          </w:rPr>
          <w:t>Commissioner v. Tufts</w:t>
        </w:r>
        <w:r w:rsidRPr="0059553D">
          <w:t>, 461 U</w:t>
        </w:r>
        <w:r>
          <w:t xml:space="preserve">.S. 300 </w:t>
        </w:r>
        <w:r w:rsidRPr="0059553D">
          <w:t>(1983)</w:t>
        </w:r>
      </w:hyperlink>
      <w:r w:rsidRPr="0059553D">
        <w:t>, to show that these premises are no longer accepted.</w:t>
      </w:r>
    </w:p>
    <w:p w:rsidR="0078310B" w:rsidRPr="0059553D" w:rsidRDefault="0078310B" w:rsidP="0078310B">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40" w:history="1">
        <w:r w:rsidRPr="00D6302B">
          <w:rPr>
            <w:i/>
          </w:rPr>
          <w:t>Eisner v. Macomber</w:t>
        </w:r>
        <w:r>
          <w:t xml:space="preserve">, 252 U.S. 189, 207 </w:t>
        </w:r>
        <w:r w:rsidRPr="0059553D">
          <w:t>(1920)</w:t>
        </w:r>
      </w:hyperlink>
      <w:r w:rsidRPr="0059553D">
        <w:t xml:space="preserve"> (quoting </w:t>
      </w:r>
      <w:hyperlink r:id="rId641" w:history="1">
        <w:r w:rsidRPr="00D6302B">
          <w:rPr>
            <w:i/>
          </w:rPr>
          <w:t>Doyle v. Mitchell Brothers Co.</w:t>
        </w:r>
        <w:r w:rsidRPr="0059553D">
          <w:t>, 247 U.S. 179 (1918))</w:t>
        </w:r>
      </w:hyperlink>
      <w:r w:rsidRPr="0059553D">
        <w:t xml:space="preserve">, which defined income for the purposes of the </w:t>
      </w:r>
      <w:hyperlink r:id="rId642"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43"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644" w:history="1">
        <w:r>
          <w:t>348 U.S. at 431</w:t>
        </w:r>
      </w:hyperlink>
      <w:r>
        <w:t xml:space="preserve">. </w:t>
      </w:r>
    </w:p>
    <w:p w:rsidR="0078310B" w:rsidRPr="0059553D" w:rsidRDefault="0078310B" w:rsidP="0078310B">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rsidR="0078310B" w:rsidRPr="0059553D" w:rsidRDefault="0078310B" w:rsidP="0078310B">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rsidR="0078310B" w:rsidRPr="0059553D" w:rsidRDefault="0078310B" w:rsidP="0078310B">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45" w:history="1">
        <w:r w:rsidRPr="0059553D">
          <w:t>461 U.S. at 31</w:t>
        </w:r>
        <w:r>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rsidR="0078310B" w:rsidRPr="0059553D" w:rsidRDefault="0078310B" w:rsidP="0078310B">
      <w:pPr>
        <w:widowControl w:val="0"/>
        <w:spacing w:after="120"/>
        <w:ind w:firstLine="288"/>
        <w:jc w:val="both"/>
      </w:pPr>
      <w:r w:rsidRPr="0059553D">
        <w:t xml:space="preserve">However, requiring some benefit to the taxpayer from the transaction creating the indebtedness explains such cases as </w:t>
      </w:r>
      <w:hyperlink r:id="rId646"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47"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rsidR="0078310B" w:rsidRPr="0059553D" w:rsidRDefault="0078310B" w:rsidP="0078310B">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648" w:history="1">
        <w:r w:rsidRPr="0059553D">
          <w:t>790 F.2d at 1414-1415</w:t>
        </w:r>
      </w:hyperlink>
      <w:r>
        <w:t>.</w:t>
      </w:r>
    </w:p>
    <w:p w:rsidR="0078310B" w:rsidRPr="0059553D" w:rsidRDefault="0078310B" w:rsidP="0078310B">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rsidR="0078310B" w:rsidRPr="0059553D" w:rsidRDefault="0078310B" w:rsidP="0078310B">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49"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50"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casino. </w:t>
      </w:r>
      <w:hyperlink r:id="rId651"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rsidR="0078310B" w:rsidRPr="0059553D" w:rsidRDefault="0078310B" w:rsidP="0078310B">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52" w:history="1">
        <w:r w:rsidRPr="0059553D">
          <w:t>307 F.2d at 242</w:t>
        </w:r>
      </w:hyperlink>
      <w:r w:rsidRPr="0059553D">
        <w:t>.</w:t>
      </w:r>
    </w:p>
    <w:p w:rsidR="0078310B" w:rsidRDefault="0078310B" w:rsidP="0078310B">
      <w:pPr>
        <w:widowControl w:val="0"/>
        <w:spacing w:after="120"/>
        <w:ind w:firstLine="288"/>
        <w:jc w:val="both"/>
        <w:rPr>
          <w:iCs/>
        </w:rPr>
      </w:pPr>
      <w:r>
        <w:rPr>
          <w:i/>
          <w:iCs/>
        </w:rPr>
        <w:t>Disputed Debt</w:t>
      </w:r>
    </w:p>
    <w:p w:rsidR="0078310B" w:rsidRPr="0059553D" w:rsidRDefault="0078310B" w:rsidP="0078310B">
      <w:pPr>
        <w:widowControl w:val="0"/>
        <w:spacing w:after="120"/>
        <w:ind w:firstLine="288"/>
        <w:jc w:val="both"/>
      </w:pPr>
      <w:r w:rsidRPr="0059553D">
        <w:t xml:space="preserve">Petitioner also relies on the principle that settlement of disputed debts does not give rise to income. </w:t>
      </w:r>
      <w:hyperlink r:id="rId653" w:history="1">
        <w:r>
          <w:rPr>
            <w:i/>
          </w:rPr>
          <w:t>N. Sobel, Inc. v. Comm’</w:t>
        </w:r>
        <w:r w:rsidRPr="00D5032D">
          <w:rPr>
            <w:i/>
          </w:rPr>
          <w:t>r</w:t>
        </w:r>
        <w:r w:rsidRPr="0059553D">
          <w:t>, 40 B.T.A. 1263 (1939)</w:t>
        </w:r>
      </w:hyperlink>
      <w:r w:rsidRPr="0059553D">
        <w:t xml:space="preserve">, cited with approval in </w:t>
      </w:r>
      <w:hyperlink r:id="rId654"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55"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56" w:history="1">
        <w:r w:rsidRPr="00D5032D">
          <w:rPr>
            <w:i/>
          </w:rPr>
          <w:t>Colonial Sa</w:t>
        </w:r>
        <w:r>
          <w:rPr>
            <w:i/>
          </w:rPr>
          <w:t>vings Association v. Comm’</w:t>
        </w:r>
        <w:r w:rsidRPr="00D5032D">
          <w:rPr>
            <w:i/>
          </w:rPr>
          <w:t>r</w:t>
        </w:r>
        <w:r w:rsidRPr="0059553D">
          <w:t>, 85 T.C. at 863</w:t>
        </w:r>
      </w:hyperlink>
      <w:r w:rsidRPr="0059553D">
        <w:t xml:space="preserve">; </w:t>
      </w:r>
      <w:hyperlink r:id="rId657"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rsidR="0078310B" w:rsidRPr="0059553D" w:rsidRDefault="0078310B" w:rsidP="0078310B">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rsidR="0078310B" w:rsidRPr="0059553D" w:rsidRDefault="0078310B" w:rsidP="0078310B">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58" w:history="1">
        <w:r w:rsidRPr="00D5032D">
          <w:rPr>
            <w:i/>
          </w:rPr>
          <w:t>Bowers v. Kerbaugh-Empire Co.</w:t>
        </w:r>
        <w:r w:rsidRPr="0059553D">
          <w:t>, 271 U.S. 170 (1926)</w:t>
        </w:r>
      </w:hyperlink>
      <w:r w:rsidRPr="0059553D">
        <w:t>.</w:t>
      </w:r>
    </w:p>
    <w:p w:rsidR="0078310B" w:rsidRPr="0059553D" w:rsidRDefault="0078310B" w:rsidP="0078310B">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59"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60" w:history="1">
        <w:r w:rsidRPr="00D5032D">
          <w:rPr>
            <w:i/>
          </w:rPr>
          <w:t>United States v. Kirby Lumber Co.</w:t>
        </w:r>
        <w:r w:rsidRPr="0059553D">
          <w:t>, 284 U.S. 1 (1931)</w:t>
        </w:r>
      </w:hyperlink>
      <w:r w:rsidRPr="0059553D">
        <w:t xml:space="preserve">, or </w:t>
      </w:r>
      <w:hyperlink r:id="rId661"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62"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63" w:history="1">
        <w:r w:rsidRPr="0059553D">
          <w:t>854 F.2d 1001 (7th Cir. 1988)</w:t>
        </w:r>
      </w:hyperlink>
      <w:r w:rsidRPr="0059553D">
        <w:t>.</w:t>
      </w:r>
    </w:p>
    <w:p w:rsidR="0078310B" w:rsidRPr="0059553D" w:rsidRDefault="0078310B" w:rsidP="0078310B">
      <w:pPr>
        <w:widowControl w:val="0"/>
        <w:spacing w:after="120"/>
        <w:ind w:firstLine="288"/>
        <w:jc w:val="both"/>
      </w:pPr>
      <w:r w:rsidRPr="0059553D">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78310B" w:rsidRPr="0059553D" w:rsidRDefault="0078310B" w:rsidP="00E57580">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64"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65" w:history="1">
        <w:r w:rsidRPr="0059553D">
          <w:t>N.J. Stat. Ann. sec. 5:12-101(f)</w:t>
        </w:r>
      </w:hyperlink>
      <w:r w:rsidRPr="0059553D">
        <w:t xml:space="preserve"> (West 1988). Furthermore, strict compliance with those requirements is mandatory for a check to be enforceable. </w:t>
      </w:r>
      <w:hyperlink r:id="rId666" w:history="1">
        <w:r w:rsidRPr="003B4AF3">
          <w:rPr>
            <w:i/>
          </w:rPr>
          <w:t>GNOC, Corp. v. Endico</w:t>
        </w:r>
        <w:r w:rsidRPr="0059553D">
          <w:t>, 692 F. Supp. 1515 (S.D.N.Y. 1988)</w:t>
        </w:r>
      </w:hyperlink>
      <w:r w:rsidRPr="0059553D">
        <w:t xml:space="preserve">; </w:t>
      </w:r>
      <w:hyperlink r:id="rId667"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rsidR="0078310B" w:rsidRPr="0059553D" w:rsidRDefault="0078310B" w:rsidP="0078310B">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68"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69"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670"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71"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72" w:history="1">
        <w:r w:rsidRPr="003B4AF3">
          <w:rPr>
            <w:i/>
          </w:rPr>
          <w:t>F</w:t>
        </w:r>
        <w:r>
          <w:rPr>
            <w:i/>
          </w:rPr>
          <w:t>ashion Park, Inc. v. Comm’</w:t>
        </w:r>
        <w:r w:rsidRPr="003B4AF3">
          <w:rPr>
            <w:i/>
          </w:rPr>
          <w:t>r</w:t>
        </w:r>
        <w:r w:rsidRPr="0059553D">
          <w:t>, 21 T.C. 600 (1954)</w:t>
        </w:r>
      </w:hyperlink>
      <w:r w:rsidRPr="0059553D">
        <w:t xml:space="preserve"> (same holding)</w:t>
      </w:r>
      <w:r>
        <w:t>….</w:t>
      </w:r>
    </w:p>
    <w:p w:rsidR="0078310B" w:rsidRDefault="0078310B" w:rsidP="0078310B">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73" w:history="1">
        <w:r>
          <w:rPr>
            <w:i/>
          </w:rPr>
          <w:t>N. Sobel, Inc. v. Comm’</w:t>
        </w:r>
        <w:r w:rsidRPr="003B4AF3">
          <w:rPr>
            <w:i/>
          </w:rPr>
          <w:t>r</w:t>
        </w:r>
        <w:r w:rsidRPr="0059553D">
          <w:t>, 40 B.T.A. 1263 (1939)</w:t>
        </w:r>
      </w:hyperlink>
      <w:r w:rsidRPr="0059553D">
        <w:t xml:space="preserve">, cited with approval in </w:t>
      </w:r>
      <w:hyperlink r:id="rId674"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75"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76"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rsidR="0078310B" w:rsidRPr="0059553D" w:rsidRDefault="0078310B" w:rsidP="0078310B">
      <w:pPr>
        <w:widowControl w:val="0"/>
        <w:ind w:firstLine="288"/>
        <w:jc w:val="both"/>
      </w:pPr>
      <w:r>
        <w:t>[The separate opinions of Jacobs, J., dissenting, and Ruwe, J., dissenting, are omitted.]</w:t>
      </w:r>
    </w:p>
    <w:p w:rsidR="0078310B" w:rsidRDefault="0078310B" w:rsidP="0078310B">
      <w:pPr>
        <w:widowControl w:val="0"/>
        <w:jc w:val="center"/>
      </w:pPr>
      <w:r>
        <w:t>_________________________________</w:t>
      </w:r>
    </w:p>
    <w:p w:rsidR="0078310B" w:rsidRDefault="0078310B" w:rsidP="0078310B">
      <w:pPr>
        <w:pStyle w:val="Heading3"/>
        <w:spacing w:before="0" w:beforeAutospacing="0" w:after="0" w:afterAutospacing="0"/>
        <w:jc w:val="center"/>
      </w:pPr>
      <w:bookmarkStart w:id="217" w:name="_Toc395790513"/>
    </w:p>
    <w:p w:rsidR="0078310B" w:rsidRDefault="0078310B" w:rsidP="0078310B">
      <w:pPr>
        <w:pStyle w:val="Heading3"/>
        <w:spacing w:before="0" w:beforeAutospacing="0" w:after="120" w:afterAutospacing="0"/>
        <w:jc w:val="center"/>
      </w:pPr>
      <w:r>
        <w:t>ZARIN v. COMMISSIONER</w:t>
      </w:r>
      <w:bookmarkEnd w:id="217"/>
    </w:p>
    <w:p w:rsidR="0078310B" w:rsidRDefault="0078310B" w:rsidP="0078310B">
      <w:pPr>
        <w:widowControl w:val="0"/>
        <w:jc w:val="center"/>
      </w:pPr>
      <w:r>
        <w:t>916 F.2d 110 (3d Cir. 1990)</w:t>
      </w:r>
    </w:p>
    <w:p w:rsidR="0078310B" w:rsidRDefault="0078310B" w:rsidP="0078310B">
      <w:pPr>
        <w:widowControl w:val="0"/>
        <w:jc w:val="center"/>
      </w:pPr>
    </w:p>
    <w:p w:rsidR="0078310B" w:rsidRPr="00FF6941" w:rsidRDefault="0078310B" w:rsidP="0078310B">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rsidR="0078310B" w:rsidRPr="0059553D" w:rsidRDefault="0078310B" w:rsidP="0078310B">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77" w:history="1">
        <w:r w:rsidRPr="0059553D">
          <w:t>Section 108</w:t>
        </w:r>
      </w:hyperlink>
      <w:r w:rsidRPr="0059553D">
        <w:t xml:space="preserve"> and </w:t>
      </w:r>
      <w:hyperlink r:id="rId678"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79" w:history="1">
        <w:r w:rsidRPr="0059553D">
          <w:t>I.R.C. § 108(e)(1)</w:t>
        </w:r>
      </w:hyperlink>
      <w:r w:rsidRPr="0059553D">
        <w:t>. The Commissioner argues, and the Tax Court agreed, that pursuant to the Code, Zarin did indeed recognize income from discharge of gambling indebtedness.</w:t>
      </w:r>
    </w:p>
    <w:p w:rsidR="0078310B" w:rsidRPr="0059553D" w:rsidRDefault="0078310B" w:rsidP="0078310B">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80" w:history="1">
        <w:r w:rsidRPr="0059553D">
          <w:t>I.R.C. §§ 61(a)(12)</w:t>
        </w:r>
      </w:hyperlink>
      <w:r w:rsidRPr="0059553D">
        <w:t xml:space="preserve">, </w:t>
      </w:r>
      <w:hyperlink r:id="rId681"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rsidR="0078310B" w:rsidRPr="0059553D" w:rsidRDefault="0078310B" w:rsidP="0078310B">
      <w:pPr>
        <w:widowControl w:val="0"/>
        <w:spacing w:after="120"/>
        <w:ind w:firstLine="288"/>
        <w:jc w:val="both"/>
      </w:pPr>
      <w:r w:rsidRPr="0059553D">
        <w:t xml:space="preserve">Initially, we find that </w:t>
      </w:r>
      <w:hyperlink r:id="rId682" w:history="1">
        <w:r w:rsidRPr="0059553D">
          <w:t>sections 108</w:t>
        </w:r>
      </w:hyperlink>
      <w:r w:rsidRPr="0059553D">
        <w:t xml:space="preserve"> and </w:t>
      </w:r>
      <w:hyperlink r:id="rId683" w:history="1">
        <w:r w:rsidRPr="0059553D">
          <w:t>61(a)(12)</w:t>
        </w:r>
      </w:hyperlink>
      <w:r w:rsidRPr="0059553D">
        <w:t xml:space="preserve"> are inapplicable to the Zarin/Resorts transaction. </w:t>
      </w:r>
      <w:hyperlink r:id="rId684" w:history="1">
        <w:r w:rsidRPr="0059553D">
          <w:t>Section 61</w:t>
        </w:r>
      </w:hyperlink>
      <w:r>
        <w:t xml:space="preserve"> </w:t>
      </w:r>
      <w:r w:rsidRPr="0059553D">
        <w:t xml:space="preserve">does not define indebtedness. On the other hand, </w:t>
      </w:r>
      <w:hyperlink r:id="rId685" w:history="1">
        <w:r w:rsidRPr="0059553D">
          <w:t>section 108(d)(1)</w:t>
        </w:r>
      </w:hyperlink>
      <w:r w:rsidRPr="0059553D">
        <w:t xml:space="preserve">, which repeats and further elaborates on the rule in </w:t>
      </w:r>
      <w:hyperlink r:id="rId686"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87" w:history="1">
        <w:r w:rsidRPr="0059553D">
          <w:t>I.R.C. § 108(d)(1)</w:t>
        </w:r>
      </w:hyperlink>
      <w:r w:rsidRPr="0059553D">
        <w:t xml:space="preserve">. In order to come within the sweep of the discharge of indebtedness rules, then, the taxpayer must satisfy one of the two prongs in the </w:t>
      </w:r>
      <w:hyperlink r:id="rId688" w:history="1">
        <w:r w:rsidRPr="0059553D">
          <w:t>section 108(d)(1)</w:t>
        </w:r>
      </w:hyperlink>
      <w:r w:rsidRPr="0059553D">
        <w:t xml:space="preserve"> test. Zarin satisfies neither.</w:t>
      </w:r>
    </w:p>
    <w:p w:rsidR="0078310B" w:rsidRPr="0059553D" w:rsidRDefault="0078310B" w:rsidP="0078310B">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689" w:history="1">
        <w:r w:rsidRPr="0059553D">
          <w:t>I.R.C. § 108(d)(1)(A)</w:t>
        </w:r>
      </w:hyperlink>
      <w:r w:rsidRPr="0059553D">
        <w:t>. Liability implies a legally enforceable obligation to repay, and under New Jersey law, Zarin would have no such obligation.</w:t>
      </w:r>
    </w:p>
    <w:p w:rsidR="0078310B" w:rsidRPr="0059553D" w:rsidRDefault="0078310B" w:rsidP="0078310B">
      <w:pPr>
        <w:widowControl w:val="0"/>
        <w:spacing w:after="120"/>
        <w:ind w:firstLine="288"/>
        <w:jc w:val="both"/>
      </w:pPr>
      <w:r w:rsidRPr="0059553D">
        <w:t xml:space="preserve">Moreover, Zarin did not have a debt subject to which he held property as required by </w:t>
      </w:r>
      <w:hyperlink r:id="rId690"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91" w:history="1">
        <w:r w:rsidRPr="00212E7D">
          <w:rPr>
            <w:i/>
          </w:rPr>
          <w:t>Zarin</w:t>
        </w:r>
        <w:r w:rsidRPr="0059553D">
          <w:t>, 92 T.C. at 1099</w:t>
        </w:r>
      </w:hyperlink>
      <w:r w:rsidRPr="0059553D">
        <w:t>. We agree with the gist of these characterizations, and hold that gambling chips are merely an accounting mechanism to evidence debt.</w:t>
      </w:r>
    </w:p>
    <w:p w:rsidR="0078310B" w:rsidRPr="0059553D" w:rsidRDefault="0078310B" w:rsidP="0078310B">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rsidR="0078310B" w:rsidRPr="0059553D" w:rsidRDefault="0078310B" w:rsidP="0078310B">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rsidR="0078310B" w:rsidRPr="0059553D" w:rsidRDefault="0078310B" w:rsidP="0078310B">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92"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rsidR="0078310B" w:rsidRPr="0059553D" w:rsidRDefault="0078310B" w:rsidP="0078310B">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93" w:history="1">
        <w:r w:rsidRPr="0059553D">
          <w:t>§ 108(d)(1)(B)</w:t>
        </w:r>
      </w:hyperlink>
      <w:r w:rsidRPr="0059553D">
        <w:t>.</w:t>
      </w:r>
    </w:p>
    <w:p w:rsidR="0078310B" w:rsidRPr="0059553D" w:rsidRDefault="0078310B" w:rsidP="0078310B">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78310B" w:rsidRPr="0059553D" w:rsidRDefault="0078310B" w:rsidP="0078310B">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rsidR="0078310B" w:rsidRPr="0059553D" w:rsidRDefault="0078310B" w:rsidP="0078310B">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94"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95" w:history="1">
        <w:r w:rsidRPr="0059553D">
          <w:t>854 F.2d 1001 (7th Cir. 1988)</w:t>
        </w:r>
      </w:hyperlink>
      <w:r w:rsidRPr="0059553D">
        <w:t xml:space="preserve">. </w:t>
      </w:r>
      <w:r w:rsidRPr="007E0E47">
        <w:rPr>
          <w:i/>
        </w:rPr>
        <w:t>See also</w:t>
      </w:r>
      <w:r w:rsidRPr="0059553D">
        <w:t xml:space="preserve"> </w:t>
      </w:r>
      <w:hyperlink r:id="rId696"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697" w:history="1">
        <w:r w:rsidRPr="007E0E47">
          <w:rPr>
            <w:i/>
          </w:rPr>
          <w:t>Zarin,</w:t>
        </w:r>
        <w:r w:rsidRPr="0059553D">
          <w:t xml:space="preserve"> 92 T.C. at 1095</w:t>
        </w:r>
      </w:hyperlink>
      <w:r w:rsidRPr="0059553D">
        <w:t xml:space="preserve"> (Zarin’s debt “was a liquidated amount” and “there is no dispute about the amount [received].”).</w:t>
      </w:r>
    </w:p>
    <w:p w:rsidR="0078310B" w:rsidRPr="0059553D" w:rsidRDefault="0078310B" w:rsidP="0078310B">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698"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rsidR="0078310B" w:rsidRPr="0059553D" w:rsidRDefault="0078310B" w:rsidP="0078310B">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rsidR="0078310B" w:rsidRDefault="0078310B" w:rsidP="0078310B">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rsidR="0078310B" w:rsidRDefault="0078310B" w:rsidP="0078310B">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699"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rsidR="0078310B" w:rsidRDefault="0078310B" w:rsidP="0078310B">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rsidR="0078310B" w:rsidRPr="0059553D" w:rsidRDefault="0078310B" w:rsidP="0078310B">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rsidR="0078310B" w:rsidRPr="0059553D" w:rsidRDefault="0078310B" w:rsidP="0078310B">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700" w:history="1">
        <w:r>
          <w:rPr>
            <w:i/>
          </w:rPr>
          <w:t>Vukasovich, Inc. v. Comm’</w:t>
        </w:r>
        <w:r w:rsidRPr="007E0E47">
          <w:rPr>
            <w:i/>
          </w:rPr>
          <w:t>r</w:t>
        </w:r>
        <w:r w:rsidRPr="0059553D">
          <w:t>, 790 F.2d 1409 (9th Cir. 1986)</w:t>
        </w:r>
      </w:hyperlink>
      <w:r w:rsidRPr="0059553D">
        <w:t xml:space="preserve">; </w:t>
      </w:r>
      <w:hyperlink r:id="rId701"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702"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703" w:history="1">
        <w:r>
          <w:rPr>
            <w:i/>
          </w:rPr>
          <w:t>Comm’</w:t>
        </w:r>
        <w:r w:rsidRPr="007E0E47">
          <w:rPr>
            <w:i/>
          </w:rPr>
          <w:t>r v. Tufts</w:t>
        </w:r>
        <w:r>
          <w:t>, 461 U.S. 300</w:t>
        </w:r>
        <w:r w:rsidRPr="0059553D">
          <w:t xml:space="preserve"> (1983)</w:t>
        </w:r>
      </w:hyperlink>
      <w:r w:rsidRPr="0059553D">
        <w:t xml:space="preserve">; </w:t>
      </w:r>
      <w:hyperlink r:id="rId704"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705" w:history="1">
        <w:r>
          <w:rPr>
            <w:i/>
          </w:rPr>
          <w:t>Vukasovich, Inc. v. Comm’</w:t>
        </w:r>
        <w:r w:rsidRPr="007E0E47">
          <w:rPr>
            <w:i/>
          </w:rPr>
          <w:t>r</w:t>
        </w:r>
        <w:r w:rsidRPr="0059553D">
          <w:t>, 790 F.2d 1409 (9th Cir. 1986)</w:t>
        </w:r>
      </w:hyperlink>
      <w:r w:rsidRPr="0059553D">
        <w:t>. </w:t>
      </w:r>
      <w:r w:rsidRPr="007E0E47">
        <w:rPr>
          <w:i/>
        </w:rPr>
        <w:t xml:space="preserve">But see </w:t>
      </w:r>
      <w:hyperlink r:id="rId706" w:history="1">
        <w:r>
          <w:rPr>
            <w:i/>
          </w:rPr>
          <w:t>U.S.</w:t>
        </w:r>
        <w:r w:rsidRPr="0059553D">
          <w:t xml:space="preserve"> </w:t>
        </w:r>
        <w:r w:rsidRPr="007E0E47">
          <w:rPr>
            <w:i/>
          </w:rPr>
          <w:t>v. Hall</w:t>
        </w:r>
        <w:r w:rsidRPr="0059553D">
          <w:t>, 307 F.2d 238 (10th Cir. 1962)</w:t>
        </w:r>
      </w:hyperlink>
      <w:r w:rsidRPr="0059553D">
        <w:t>.</w:t>
      </w:r>
    </w:p>
    <w:p w:rsidR="0078310B" w:rsidRPr="0059553D" w:rsidRDefault="0078310B" w:rsidP="0078310B">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707" w:history="1">
        <w:r>
          <w:rPr>
            <w:i/>
          </w:rPr>
          <w:t>Comm’</w:t>
        </w:r>
        <w:r w:rsidRPr="007E0E47">
          <w:rPr>
            <w:i/>
          </w:rPr>
          <w:t>r v. Glenshaw Glass Co.</w:t>
        </w:r>
        <w:r w:rsidRPr="0059553D">
          <w:t>, 34</w:t>
        </w:r>
        <w:r>
          <w:t>8 U.S. 426</w:t>
        </w:r>
        <w:r w:rsidRPr="0059553D">
          <w:t xml:space="preserve"> (1955)</w:t>
        </w:r>
      </w:hyperlink>
      <w:r w:rsidRPr="0059553D">
        <w:t xml:space="preserve">; </w:t>
      </w:r>
      <w:hyperlink r:id="rId708"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rsidR="0078310B" w:rsidRPr="00590CE4" w:rsidRDefault="0078310B" w:rsidP="0078310B">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73"/>
        <w:t>[5]</w:t>
      </w:r>
    </w:p>
    <w:p w:rsidR="0078310B" w:rsidRPr="0059553D" w:rsidRDefault="0078310B" w:rsidP="0078310B">
      <w:pPr>
        <w:widowControl w:val="0"/>
        <w:ind w:firstLine="288"/>
        <w:jc w:val="both"/>
      </w:pPr>
      <w:r w:rsidRPr="0059553D">
        <w:t>I would affirm the judgment of the Tax Court.</w:t>
      </w:r>
    </w:p>
    <w:p w:rsidR="0078310B" w:rsidRDefault="0078310B" w:rsidP="0078310B">
      <w:pPr>
        <w:widowControl w:val="0"/>
        <w:jc w:val="center"/>
      </w:pPr>
      <w:r>
        <w:t>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Part of the difficulty in thinking about </w:t>
      </w:r>
      <w:r>
        <w:rPr>
          <w:i/>
        </w:rPr>
        <w:t xml:space="preserve">Zarin </w:t>
      </w:r>
      <w:r>
        <w:t>is that there a</w:t>
      </w:r>
      <w:r w:rsidR="006B51E9">
        <w:t xml:space="preserve">re multiple ways to characterize </w:t>
      </w:r>
      <w:r>
        <w:t>the substance of the underlying facts.</w:t>
      </w:r>
    </w:p>
    <w:p w:rsidR="0078310B" w:rsidRDefault="0078310B" w:rsidP="0078310B">
      <w:pPr>
        <w:widowControl w:val="0"/>
        <w:spacing w:after="120"/>
        <w:ind w:firstLine="288"/>
        <w:jc w:val="both"/>
      </w:pPr>
      <w:r>
        <w:t xml:space="preserve">If we analyze the facts solely under the rubric of debt-discharge income, what did Mr. Zarin receive in the prior year under the borrowing exclusion, which should measure any § 61(a)(12)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clearly realized $2.9 million of § 61(a)(12)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rsidR="0078310B" w:rsidRDefault="0078310B" w:rsidP="0078310B">
      <w:pPr>
        <w:widowControl w:val="0"/>
        <w:spacing w:after="120"/>
        <w:ind w:firstLine="288"/>
        <w:jc w:val="both"/>
      </w:pPr>
      <w:r>
        <w:t xml:space="preserve">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w:t>
      </w:r>
      <w:r w:rsidR="00C85651">
        <w:t xml:space="preserve">that you read in a prior chapter </w:t>
      </w:r>
      <w:r>
        <w:t>might such a crafting of the facts raise?</w:t>
      </w:r>
    </w:p>
    <w:p w:rsidR="0078310B" w:rsidRDefault="0078310B" w:rsidP="0078310B">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709" w:history="1">
        <w:r w:rsidRPr="00365C36">
          <w:rPr>
            <w:rStyle w:val="Hyperlink"/>
          </w:rPr>
          <w:t>§ 262</w:t>
        </w:r>
      </w:hyperlink>
      <w:r>
        <w:t xml:space="preserve">(a) denies the deduction of personal expenses, </w:t>
      </w:r>
      <w:hyperlink r:id="rId710" w:history="1">
        <w:r w:rsidRPr="00365C36">
          <w:rPr>
            <w:rStyle w:val="Hyperlink"/>
          </w:rPr>
          <w:t>§ 167</w:t>
        </w:r>
      </w:hyperlink>
      <w:r>
        <w:t xml:space="preserve">(a) denies depreciation deductions for personal-use assets, and </w:t>
      </w:r>
      <w:hyperlink r:id="rId711"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rsidR="0078310B" w:rsidRDefault="0078310B" w:rsidP="0078310B">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w:t>
      </w:r>
      <w:r w:rsidR="00D56C37">
        <w:t xml:space="preserve">disguised </w:t>
      </w:r>
      <w:r>
        <w:t xml:space="preserve">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rsidR="0078310B" w:rsidRPr="00496981" w:rsidRDefault="0078310B" w:rsidP="0078310B">
      <w:pPr>
        <w:widowControl w:val="0"/>
        <w:spacing w:after="120"/>
        <w:ind w:firstLine="288"/>
        <w:jc w:val="both"/>
      </w:pPr>
      <w:r>
        <w:t xml:space="preserve">In holding for Mr. Zarin, the Third Circuit relied, first, on the definition of a “debt” in </w:t>
      </w:r>
      <w:hyperlink r:id="rId712" w:history="1">
        <w:r w:rsidRPr="00365C36">
          <w:rPr>
            <w:rStyle w:val="Hyperlink"/>
          </w:rPr>
          <w:t>§ 108</w:t>
        </w:r>
      </w:hyperlink>
      <w:r>
        <w:t xml:space="preserve">(d)(1) and, second, on the “disputed debt” doctrine. With respect to the former, was </w:t>
      </w:r>
      <w:r>
        <w:rPr>
          <w:i/>
        </w:rPr>
        <w:t>Zarin</w:t>
      </w:r>
      <w:r>
        <w:t xml:space="preserve"> a § 108 case? Did he argue that, though he realized debt-discharge income within the meaning of § 61(a)(12), the income was excludable under one of the provisions in § 108, which covers only a subset of the universe of all § 61(a)(12) income? Read the first five words of </w:t>
      </w:r>
      <w:hyperlink r:id="rId713" w:history="1">
        <w:r w:rsidRPr="00365C36">
          <w:rPr>
            <w:rStyle w:val="Hyperlink"/>
          </w:rPr>
          <w:t>§ 108</w:t>
        </w:r>
      </w:hyperlink>
      <w:r>
        <w:t xml:space="preserve">(d)(1),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61(a)(12)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rsidR="0078310B" w:rsidRDefault="0078310B" w:rsidP="0078310B">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actually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rsidR="0078310B" w:rsidRPr="00847C14" w:rsidRDefault="0078310B" w:rsidP="0078310B">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 xml:space="preserve">into the disputed-debt doctrine by arguing that there was actually a dispute </w:t>
      </w:r>
      <w:r>
        <w:t xml:space="preserve">regarding how much was borrowed: </w:t>
      </w:r>
      <w:r w:rsidRPr="00847C14">
        <w:t>either zero (because the debt was unenforceable) or the entire $3.4 mi</w:t>
      </w:r>
      <w:r w:rsidR="00E62DA3">
        <w:t>llion</w:t>
      </w:r>
      <w:r w:rsidRPr="00847C14">
        <w:t xml:space="preserve">? </w:t>
      </w:r>
    </w:p>
    <w:p w:rsidR="0078310B" w:rsidRPr="00632E0D" w:rsidRDefault="0078310B" w:rsidP="0078310B">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74"/>
      </w:r>
      <w:r>
        <w:t xml:space="preserve"> were essentially 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61(a)(12)</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Thus, </w:t>
      </w:r>
      <w:r w:rsidRPr="00847C14">
        <w:t>there was no disputed deb</w:t>
      </w:r>
      <w:r>
        <w:t xml:space="preserve">t that could fall under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rsidR="0078310B" w:rsidRDefault="0078310B" w:rsidP="0078310B">
      <w:pPr>
        <w:widowControl w:val="0"/>
        <w:spacing w:after="120"/>
        <w:jc w:val="both"/>
        <w:rPr>
          <w:rFonts w:eastAsia="Times New Roman" w:cs="Times New Roman"/>
        </w:rPr>
        <w:sectPr w:rsidR="0078310B" w:rsidSect="005337BA">
          <w:headerReference w:type="default" r:id="rId714"/>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jc w:val="both"/>
        <w:rPr>
          <w:rFonts w:eastAsia="Times New Roman" w:cs="Times New Roman"/>
        </w:rPr>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887662" w:rsidRDefault="0078310B" w:rsidP="0078310B">
      <w:pPr>
        <w:pStyle w:val="Heading2"/>
        <w:spacing w:before="0"/>
        <w:rPr>
          <w:sz w:val="36"/>
          <w:szCs w:val="36"/>
          <w:u w:val="single"/>
        </w:rPr>
      </w:pPr>
      <w:bookmarkStart w:id="218" w:name="_Toc395790514"/>
      <w:r w:rsidRPr="00887662">
        <w:rPr>
          <w:sz w:val="36"/>
          <w:szCs w:val="36"/>
          <w:u w:val="single"/>
        </w:rPr>
        <w:t>Chapter 12: Debt and Property</w:t>
      </w:r>
      <w:bookmarkEnd w:id="218"/>
    </w:p>
    <w:p w:rsidR="0078310B" w:rsidRDefault="0078310B" w:rsidP="0078310B">
      <w:pPr>
        <w:widowControl w:val="0"/>
        <w:spacing w:after="120"/>
      </w:pPr>
    </w:p>
    <w:p w:rsidR="0078310B" w:rsidRDefault="0078310B" w:rsidP="0078310B">
      <w:pPr>
        <w:widowControl w:val="0"/>
        <w:spacing w:after="120"/>
        <w:ind w:firstLine="288"/>
        <w:jc w:val="both"/>
      </w:pPr>
      <w:r>
        <w:t>The primary focus of this chapter is to explore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rsidR="0078310B" w:rsidRDefault="0078310B" w:rsidP="0078310B">
      <w:pPr>
        <w:widowControl w:val="0"/>
        <w:spacing w:after="120"/>
        <w:ind w:firstLine="288"/>
        <w:jc w:val="both"/>
      </w:pPr>
      <w:r>
        <w:t xml:space="preserve">Suppose that Kent borrows $10,000 in cash from Kathy for five years at market-rate interest and that this debt is a bona fide debt. When the $10,000 principal repayment is due, Kathy agrees to accept Blackacre with a fair market value (FMV) of $10,000 from Kent rather than $10,000 in cash. Blackacre is not encumbered by any debt. Rather,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rsidR="0078310B" w:rsidRDefault="0078310B" w:rsidP="0078310B">
      <w:pPr>
        <w:widowControl w:val="0"/>
        <w:spacing w:after="120"/>
        <w:ind w:firstLine="288"/>
        <w:jc w:val="both"/>
      </w:pPr>
      <w:r>
        <w:t xml:space="preserve">You learned in Chapter 9 in connection with </w:t>
      </w:r>
      <w:r>
        <w:rPr>
          <w:i/>
        </w:rPr>
        <w:t>Davis v. Commissioner</w:t>
      </w:r>
      <w:r>
        <w:rPr>
          <w:rStyle w:val="FootnoteReference"/>
        </w:rPr>
        <w:footnoteReference w:id="375"/>
      </w:r>
      <w:r>
        <w:t xml:space="preserve"> that the transfer of property in satisfaction of a debt is a realization event under </w:t>
      </w:r>
      <w:hyperlink r:id="rId715" w:history="1">
        <w:r w:rsidRPr="00205A6A">
          <w:rPr>
            <w:rStyle w:val="Hyperlink"/>
          </w:rPr>
          <w:t>§ 1001</w:t>
        </w:r>
      </w:hyperlink>
      <w:r>
        <w:t xml:space="preserve">.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716" w:history="1">
        <w:r w:rsidRPr="00205A6A">
          <w:rPr>
            <w:rStyle w:val="Hyperlink"/>
          </w:rPr>
          <w:t>§ 1222</w:t>
        </w:r>
      </w:hyperlink>
      <w:r>
        <w:t>.</w:t>
      </w:r>
    </w:p>
    <w:p w:rsidR="0078310B" w:rsidRDefault="0078310B" w:rsidP="0078310B">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provides that the “amount realized” on the transfer of property </w:t>
      </w:r>
      <w:r w:rsidR="00EA68C2">
        <w:t xml:space="preserve">(from which adjusted basis is subtracted to reach either “gain” or “loss”) </w:t>
      </w:r>
      <w:r w:rsidRPr="00D0145E">
        <w:t>is equal to the “sum of money received plus the fair market value of the property (other than money) received.”</w:t>
      </w:r>
      <w:r>
        <w:t xml:space="preserve"> In </w:t>
      </w:r>
      <w:r w:rsidRPr="00DB3AD8">
        <w:rPr>
          <w:i/>
        </w:rPr>
        <w:t>form</w:t>
      </w:r>
      <w:r w:rsidR="00EA68C2">
        <w:t xml:space="preserve">, Kent does not </w:t>
      </w:r>
      <w:r>
        <w:t xml:space="preserve">receive “money” or “property” </w:t>
      </w:r>
      <w:r w:rsidR="00EA68C2">
        <w:t xml:space="preserve">from Kathy </w:t>
      </w:r>
      <w:r>
        <w:t xml:space="preserve">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w:t>
      </w:r>
      <w:r w:rsidR="00205A6A">
        <w:t>arty on the debt repayment). T</w:t>
      </w:r>
      <w:r w:rsidR="00EA68C2">
        <w:t xml:space="preserve">he transfer of </w:t>
      </w:r>
      <w:r>
        <w:t>property in sa</w:t>
      </w:r>
      <w:r w:rsidR="00EA68C2">
        <w:t xml:space="preserve">tisfaction of a </w:t>
      </w:r>
      <w:r>
        <w:t>debt is recast as a sale for ca</w:t>
      </w:r>
      <w:r w:rsidR="00205A6A">
        <w:t xml:space="preserve">sh for purposes of § 1001(b) </w:t>
      </w:r>
      <w:r>
        <w:t>because of the “economic benefit” that Kent enjoys by having his $10,000 debt retired with Blackacre’s $10,000 FMV (unlike a transfer by gift, which is not a realization event).</w:t>
      </w:r>
    </w:p>
    <w:p w:rsidR="0078310B" w:rsidRDefault="0078310B" w:rsidP="0078310B">
      <w:pPr>
        <w:widowControl w:val="0"/>
        <w:spacing w:after="120"/>
        <w:ind w:firstLine="288"/>
        <w:jc w:val="both"/>
      </w:pPr>
      <w:r>
        <w:t xml:space="preserve">This construct also governs the analysis of Kathy’s cost basis in Blackacre under </w:t>
      </w:r>
      <w:hyperlink r:id="rId717"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p>
    <w:p w:rsidR="0078310B" w:rsidRDefault="0078310B" w:rsidP="0078310B">
      <w:pPr>
        <w:widowControl w:val="0"/>
        <w:spacing w:after="120"/>
        <w:ind w:firstLine="288"/>
        <w:jc w:val="both"/>
      </w:pPr>
      <w:r>
        <w:t>Now suppose that Blackacre is worth only $8,000, which means that Kent must transfer $2,000 of cash, in addition to Blackacre, to repay his $10,000 debt. The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$8,000 of the $10,000 in actual and deemed cash received from Kent and using it to purchase Blackacre for its $8,000 FMV. (Kathy also has $2,000 in cash, which always has a basis equal to face amount.)</w:t>
      </w:r>
    </w:p>
    <w:p w:rsidR="0078310B" w:rsidRDefault="0078310B" w:rsidP="0078310B">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718" w:history="1">
        <w:r w:rsidRPr="00205A6A">
          <w:rPr>
            <w:rStyle w:val="Hyperlink"/>
          </w:rPr>
          <w:t>§ 165</w:t>
        </w:r>
      </w:hyperlink>
      <w:r>
        <w:t xml:space="preserve">(c)(1) or (2). If the loss is deductible and Blackacre is a capital asset in Kent’s hands, Kent’s loss is a capital loss, subject to the </w:t>
      </w:r>
      <w:hyperlink r:id="rId719" w:history="1">
        <w:r w:rsidRPr="00205A6A">
          <w:rPr>
            <w:rStyle w:val="Hyperlink"/>
          </w:rPr>
          <w:t>§ 1211</w:t>
        </w:r>
      </w:hyperlink>
      <w:r>
        <w:t>(b) capital loss limitation rule applicable to otherwise deductible capital losses. Kathy, as before, takes a $10,000 cost basis in Blackacre under § 1012.</w:t>
      </w:r>
    </w:p>
    <w:p w:rsidR="0078310B" w:rsidRDefault="0078310B" w:rsidP="0078310B">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The deemed sale for $8,000 in cash again produces a $1,000 realized gain under § 1001, which is capital gain if Blackacre is a capital asset in Kent’s hands. In addition, Kent also realizes $2,000 of </w:t>
      </w:r>
      <w:hyperlink r:id="rId720" w:history="1">
        <w:r w:rsidRPr="00205A6A">
          <w:rPr>
            <w:rStyle w:val="Hyperlink"/>
          </w:rPr>
          <w:t>§ 61</w:t>
        </w:r>
      </w:hyperlink>
      <w:r>
        <w:t xml:space="preserve">(a)(12) debt-discharge income, as you learned in Chapter 11, which is ordinary income because it does not arise on the sale or exchange of a capital asset. Generally, Kent could exclude this § 61(a)(12) income only if he is either insolvent or in bankruptcy court, with tax attribute reduction equal to $2,000 under </w:t>
      </w:r>
      <w:hyperlink r:id="rId721" w:history="1">
        <w:r w:rsidRPr="00411F6A">
          <w:rPr>
            <w:rStyle w:val="Hyperlink"/>
          </w:rPr>
          <w:t>§ 108</w:t>
        </w:r>
      </w:hyperlink>
      <w:r>
        <w:t>(b) resulting in e</w:t>
      </w:r>
      <w:r w:rsidR="00411F6A">
        <w:t>ffective deferral only. I</w:t>
      </w:r>
      <w:r>
        <w:t xml:space="preserve">f the debt satisfies the “worthlessness” standard, </w:t>
      </w:r>
      <w:r w:rsidR="00411F6A">
        <w:t xml:space="preserve">Kathy </w:t>
      </w:r>
      <w:r>
        <w:t>is entitled to a $2,000 bad-debt deduction under</w:t>
      </w:r>
      <w:hyperlink r:id="rId722" w:history="1">
        <w:r w:rsidRPr="00411F6A">
          <w:rPr>
            <w:rStyle w:val="Hyperlink"/>
          </w:rPr>
          <w:t xml:space="preserve"> § 166</w:t>
        </w:r>
      </w:hyperlink>
      <w:r>
        <w:t>.</w:t>
      </w:r>
    </w:p>
    <w:p w:rsidR="0078310B" w:rsidRPr="00246436" w:rsidRDefault="0078310B" w:rsidP="0078310B">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rsidR="0078310B" w:rsidRPr="001414DB" w:rsidRDefault="0078310B" w:rsidP="0078310B">
      <w:pPr>
        <w:widowControl w:val="0"/>
        <w:ind w:firstLine="288"/>
      </w:pPr>
    </w:p>
    <w:p w:rsidR="0078310B" w:rsidRPr="00887662" w:rsidRDefault="0078310B" w:rsidP="0078310B">
      <w:pPr>
        <w:pStyle w:val="Heading2"/>
        <w:spacing w:before="0"/>
        <w:rPr>
          <w:sz w:val="32"/>
          <w:szCs w:val="32"/>
        </w:rPr>
      </w:pPr>
      <w:bookmarkStart w:id="219" w:name="_Toc395790515"/>
      <w:r w:rsidRPr="00887662">
        <w:rPr>
          <w:sz w:val="32"/>
          <w:szCs w:val="32"/>
        </w:rPr>
        <w:t xml:space="preserve">A. The purchase of property with </w:t>
      </w:r>
    </w:p>
    <w:p w:rsidR="0078310B" w:rsidRPr="00887662" w:rsidRDefault="0078310B" w:rsidP="0078310B">
      <w:pPr>
        <w:pStyle w:val="Heading2"/>
        <w:spacing w:before="0"/>
        <w:rPr>
          <w:sz w:val="32"/>
          <w:szCs w:val="32"/>
          <w:u w:val="single"/>
        </w:rPr>
      </w:pPr>
      <w:r w:rsidRPr="00887662">
        <w:rPr>
          <w:sz w:val="32"/>
          <w:szCs w:val="32"/>
          <w:u w:val="single"/>
        </w:rPr>
        <w:t xml:space="preserve">borrowed money—the front-end rule in </w:t>
      </w:r>
      <w:r w:rsidRPr="00887662">
        <w:rPr>
          <w:i/>
          <w:sz w:val="32"/>
          <w:szCs w:val="32"/>
          <w:u w:val="single"/>
        </w:rPr>
        <w:t>Crane</w:t>
      </w:r>
      <w:bookmarkEnd w:id="219"/>
    </w:p>
    <w:p w:rsidR="0078310B" w:rsidRDefault="0078310B" w:rsidP="0078310B">
      <w:pPr>
        <w:widowControl w:val="0"/>
      </w:pPr>
    </w:p>
    <w:p w:rsidR="0078310B" w:rsidRDefault="0078310B" w:rsidP="0078310B">
      <w:pPr>
        <w:widowControl w:val="0"/>
        <w:spacing w:after="120"/>
        <w:ind w:firstLine="288"/>
        <w:jc w:val="both"/>
      </w:pPr>
      <w:r>
        <w:t>Suppose that Cain, who owns Blackacre, lists it for sale for $100,000. Connie, who wishes to purchase Blackacre, borrows $80,000 from National Bank and, together with $20,000 of her own previously saved (after-tax) cash, purchases Blackacre for its $100,000 purchase price in Year 1. What is Connie’s basis in Blackacre in Year 1? We know for certain that it should be at least $20,000, as Connie spent $20,000 of her own cash—a nondeductible capital expenditure. The denial of a deduction for her $20,000 outlay (because it is a capital expenditure) clearly creates basis to that extent. We also know, however, that Connie is entitled to exclude from her Gross Income the $80,000 of borrowed cash under the borrowing exclusion. Thus, $80,000 of the purchase price represents pre-tax dollars, instead of after-tax dollars. Should that $80,000 of untaxed dollars create basis?</w:t>
      </w:r>
    </w:p>
    <w:p w:rsidR="0078310B" w:rsidRDefault="0078310B" w:rsidP="0078310B">
      <w:pPr>
        <w:widowControl w:val="0"/>
        <w:spacing w:after="120"/>
        <w:ind w:firstLine="288"/>
        <w:jc w:val="both"/>
      </w:pPr>
      <w:r>
        <w:t xml:space="preserve">In Chapter 1, you learned that basis generally is a running record of previously or concurrently taxed dollars. In Chapter 7, you learned of the first major exception to that rule when you studied § 1014, which allows the basis of property received on death to be stepped up to FMV without the recognition of gain by the decedent. The first rule pronounced in </w:t>
      </w:r>
      <w:r>
        <w:rPr>
          <w:i/>
        </w:rPr>
        <w:t>Crane v. Commissione</w:t>
      </w:r>
      <w:r w:rsidRPr="00272F8E">
        <w:rPr>
          <w:i/>
        </w:rPr>
        <w:t>r</w:t>
      </w:r>
      <w:r>
        <w:t>,</w:t>
      </w:r>
      <w:r>
        <w:rPr>
          <w:rStyle w:val="FootnoteReference"/>
        </w:rPr>
        <w:footnoteReference w:id="376"/>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Thus, Connie’s Blackacre basis is $100,000 right from the moment of purchase in Year 1, notwithstanding the fact that only $20,000 of her purchase price represents after-tax dollars. </w:t>
      </w:r>
    </w:p>
    <w:p w:rsidR="0078310B" w:rsidRDefault="0078310B" w:rsidP="0078310B">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(so long as the note represents bona fide indebtedness, a more difficult issue in the two-party note situation). Her Year-1 basis reflects the entire $100,000, equal to the $20,000 that she transfers to Cain in Year 1 and the $80,000 that she will pay to him in the future. </w:t>
      </w:r>
    </w:p>
    <w:p w:rsidR="0078310B" w:rsidRDefault="0078310B" w:rsidP="0078310B">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rsidR="0078310B" w:rsidRDefault="0078310B" w:rsidP="0078310B">
      <w:pPr>
        <w:widowControl w:val="0"/>
        <w:spacing w:after="120"/>
        <w:ind w:firstLine="288"/>
        <w:jc w:val="both"/>
      </w:pPr>
      <w:r>
        <w:t>The abilit</w:t>
      </w:r>
      <w:r w:rsidR="007F60CC">
        <w:t xml:space="preserve">y to include </w:t>
      </w:r>
      <w:r>
        <w:t xml:space="preserve">borrowed money (pre-tax dollars) in basis in Year 1 is an extraordinary privilege when combined with the ability to </w:t>
      </w:r>
      <w:r w:rsidR="007F60CC">
        <w:t xml:space="preserve">depreciate the basis of certain business and investment property and to </w:t>
      </w:r>
      <w:r>
        <w:t xml:space="preserve">deduct business and investment </w:t>
      </w:r>
      <w:r w:rsidR="007F60CC">
        <w:t>interest on the loan</w:t>
      </w:r>
      <w:r>
        <w:t>.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rsidR="0078310B" w:rsidRDefault="0078310B" w:rsidP="0078310B">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rsidR="0078310B" w:rsidRDefault="0078310B" w:rsidP="0078310B">
      <w:pPr>
        <w:widowControl w:val="0"/>
        <w:spacing w:after="120"/>
        <w:ind w:firstLine="288"/>
        <w:jc w:val="both"/>
      </w:pPr>
      <w:r>
        <w:t xml:space="preserve">Finally, you learned that interest should not be deductible under either a cash-flow consumption tax or wage tax. </w:t>
      </w:r>
    </w:p>
    <w:p w:rsidR="0078310B" w:rsidRDefault="006F338D" w:rsidP="0078310B">
      <w:pPr>
        <w:widowControl w:val="0"/>
        <w:spacing w:after="120"/>
        <w:ind w:firstLine="288"/>
        <w:jc w:val="both"/>
      </w:pPr>
      <w:r>
        <w:t xml:space="preserve">Because </w:t>
      </w:r>
      <w:r w:rsidR="0078310B">
        <w:rPr>
          <w:i/>
        </w:rPr>
        <w:t xml:space="preserve">Crane </w:t>
      </w:r>
      <w:r w:rsidR="0078310B">
        <w:t>basis consi</w:t>
      </w:r>
      <w:r>
        <w:t xml:space="preserve">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w:t>
      </w:r>
      <w:r w:rsidR="0078310B">
        <w:t>the business or investment interest paid on the loan is never</w:t>
      </w:r>
      <w:r w:rsidR="000450C5">
        <w:t xml:space="preserve">theless deductible under </w:t>
      </w:r>
      <w:hyperlink r:id="rId723" w:history="1">
        <w:r w:rsidR="000450C5" w:rsidRPr="007F60CC">
          <w:rPr>
            <w:rStyle w:val="Hyperlink"/>
          </w:rPr>
          <w:t>§ 163</w:t>
        </w:r>
      </w:hyperlink>
      <w:r w:rsidR="000450C5">
        <w:t xml:space="preserve">, and </w:t>
      </w:r>
      <w:r>
        <w:rPr>
          <w:i/>
        </w:rPr>
        <w:t xml:space="preserve">Crane </w:t>
      </w:r>
      <w:r w:rsidR="000450C5">
        <w:t xml:space="preserve">basis may be depreciated (deducted) beginning immediately, so long as the property satisfies the requirements in </w:t>
      </w:r>
      <w:r w:rsidR="000450C5" w:rsidRPr="007F60CC">
        <w:t>§ 167</w:t>
      </w:r>
      <w:r w:rsidR="000450C5">
        <w:t xml:space="preserve">(a), explored in Chapter 14. </w:t>
      </w:r>
      <w:r>
        <w:rPr>
          <w:i/>
        </w:rPr>
        <w:t>See</w:t>
      </w:r>
      <w:r>
        <w:t xml:space="preserve"> </w:t>
      </w:r>
      <w:hyperlink r:id="rId724" w:history="1">
        <w:r w:rsidRPr="007F60CC">
          <w:rPr>
            <w:rStyle w:val="Hyperlink"/>
          </w:rPr>
          <w:t>§ 167</w:t>
        </w:r>
      </w:hyperlink>
      <w:r>
        <w:t>(c)(1) (providing that depreciation is calculated by using the proper</w:t>
      </w:r>
      <w:r w:rsidR="007F60CC">
        <w:t xml:space="preserve">ty’s basis). If </w:t>
      </w:r>
      <w:r w:rsidR="007F60CC">
        <w:rPr>
          <w:i/>
        </w:rPr>
        <w:t xml:space="preserve">Crane </w:t>
      </w:r>
      <w:r>
        <w:t>basis is depreciated before the loan principal is repaid</w:t>
      </w:r>
      <w:r w:rsidR="007F60CC">
        <w:t xml:space="preserve"> with after-tax dollars</w:t>
      </w:r>
      <w:r>
        <w:t xml:space="preserve">, the taxpayer is enjoying a double tax benefit for the same dollars (exclusion of the loan proceeds and deduction of the </w:t>
      </w:r>
      <w:r w:rsidRPr="006F338D">
        <w:rPr>
          <w:i/>
        </w:rPr>
        <w:t>Crane</w:t>
      </w:r>
      <w:r>
        <w:t xml:space="preserve"> basis generated by those excluded collars)</w:t>
      </w:r>
      <w:r w:rsidR="007F60CC">
        <w:t xml:space="preserve"> during that period</w:t>
      </w:r>
      <w:r>
        <w:t xml:space="preserve">. </w:t>
      </w:r>
      <w:r w:rsidR="0078310B">
        <w:t xml:space="preserve">We have </w:t>
      </w:r>
      <w:r>
        <w:t xml:space="preserve">previously </w:t>
      </w:r>
      <w:r w:rsidR="0078310B">
        <w:t xml:space="preserve">seen that, under normative income tax theory, deductions must be supported by basis (in the usual sense of </w:t>
      </w:r>
      <w:r w:rsidR="0078310B" w:rsidRPr="00BC131C">
        <w:rPr>
          <w:i/>
        </w:rPr>
        <w:t>after-tax</w:t>
      </w:r>
      <w:r w:rsidR="0078310B">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sidR="0078310B">
        <w:rPr>
          <w:i/>
        </w:rPr>
        <w:t>Crane</w:t>
      </w:r>
      <w:r w:rsidR="0078310B">
        <w:t xml:space="preserve"> violates these principles—allowing deductions to be created with pre-tax dollars—much business or investment property is purchased with debt, even if the ta</w:t>
      </w:r>
      <w:r w:rsidR="007F60CC">
        <w:t xml:space="preserve">xpayer has sufficient cash </w:t>
      </w:r>
      <w:r w:rsidR="0078310B">
        <w:t>to avoid debt. The tax treatment is just too favorable to pass up!</w:t>
      </w:r>
    </w:p>
    <w:p w:rsidR="0078310B" w:rsidRDefault="0078310B" w:rsidP="0078310B">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rsidR="0078310B" w:rsidRDefault="0078310B" w:rsidP="0078310B">
      <w:pPr>
        <w:widowControl w:val="0"/>
        <w:spacing w:after="120"/>
        <w:ind w:firstLine="288"/>
        <w:jc w:val="both"/>
      </w:pPr>
      <w:r>
        <w:t xml:space="preserve">Moreover, consider what would happen if Connie were to sell the property to Connor for $100,000 in cold, hard cash before its value changed, using $80,000 of the $100,000 in cash </w:t>
      </w:r>
      <w:r w:rsidR="0011291B">
        <w:t>received from Connor</w:t>
      </w:r>
      <w:r>
        <w:t xml:space="preserve"> to repay her loan to National Bank. While the debt repayment has no tax consequences for Connie (as you learned in Chapter 10), her </w:t>
      </w:r>
      <w:hyperlink r:id="rId725" w:history="1">
        <w:r w:rsidRPr="0011291B">
          <w:rPr>
            <w:rStyle w:val="Hyperlink"/>
          </w:rPr>
          <w:t>§ 1001</w:t>
        </w:r>
      </w:hyperlink>
      <w:r>
        <w:t xml:space="preserve"> gain would be $80,000, equal to the difference between the $100,000 in cold, hard cash that she obtained from Connor on the sale (the amount realized under § 1001(b)) and her $20,000 basis if we did not permit her to include the borrowed funds in her basis. Such a result would be absurd, however, as the property did not increase in value at all between her purchase of it from Cain and her sale to Connor. </w:t>
      </w:r>
    </w:p>
    <w:p w:rsidR="0078310B" w:rsidRDefault="0078310B" w:rsidP="0078310B">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w:t>
      </w:r>
    </w:p>
    <w:p w:rsidR="0078310B" w:rsidRDefault="0078310B" w:rsidP="0078310B">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rsidR="0078310B" w:rsidRDefault="0078310B" w:rsidP="0078310B">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Depending on the contours of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rsidR="0078310B" w:rsidRDefault="0078310B" w:rsidP="0078310B">
      <w:pPr>
        <w:widowControl w:val="0"/>
        <w:spacing w:after="120"/>
        <w:ind w:firstLine="288"/>
        <w:jc w:val="both"/>
      </w:pPr>
      <w:r>
        <w:rPr>
          <w:b/>
        </w:rPr>
        <w:t xml:space="preserve">A </w:t>
      </w:r>
      <w:r>
        <w:rPr>
          <w:b/>
          <w:i/>
        </w:rPr>
        <w:t>nonrecourse loan</w:t>
      </w:r>
      <w:r>
        <w:rPr>
          <w:b/>
        </w:rPr>
        <w:t xml:space="preserve"> is one for which the borrower is not personally liable for repayment</w:t>
      </w:r>
      <w:r w:rsidR="00E176DE">
        <w:rPr>
          <w:b/>
        </w:rPr>
        <w:t xml:space="preserve">. The lender’s only remedy on nonpayment is to seize the property security. </w:t>
      </w:r>
      <w:r w:rsidR="00E176DE" w:rsidRPr="00E176DE">
        <w:t xml:space="preserve">If the securing property is worth less than the outstanding balance, </w:t>
      </w:r>
      <w:r w:rsidR="00E176DE">
        <w:t>the lender is out of luck. For example, i</w:t>
      </w:r>
      <w:r w:rsidRPr="00E176DE">
        <w:t>f the $80,000 loan described above is nonreco</w:t>
      </w:r>
      <w:r>
        <w:t>urse instead of recourse and Connie fails to repay it, Natio</w:t>
      </w:r>
      <w:r w:rsidR="009D5591">
        <w:t>nal Bank has no further remedy</w:t>
      </w:r>
      <w:r>
        <w:t xml:space="preserve">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rsidR="0078310B" w:rsidRDefault="0078310B" w:rsidP="0078310B">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 xml:space="preserve">increase by the $90,000 in new debt because that debt was not used to purchase Redacre. Because that $90,000 is not used to purchase Redacre, that $90,000 is accounted for elsewhere in the tax system and, thus, should not also create Redacre basis. If, for example, Ronnie uses that $90,000 to pay salary to his employees, he deducts the $90,000 under </w:t>
      </w:r>
      <w:hyperlink r:id="rId726" w:history="1">
        <w:r w:rsidRPr="00EA65A8">
          <w:rPr>
            <w:rStyle w:val="Hyperlink"/>
          </w:rPr>
          <w:t>§ 162</w:t>
        </w:r>
      </w:hyperlink>
      <w:r>
        <w:t xml:space="preserve">. If he uses that $90,000 to pay his child’s summer camp costs, the outlay is a nondeductible personal expense under </w:t>
      </w:r>
      <w:hyperlink r:id="rId727"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rsidR="0078310B" w:rsidRPr="00E8178E" w:rsidRDefault="0078310B" w:rsidP="0078310B">
      <w:pPr>
        <w:widowControl w:val="0"/>
        <w:ind w:firstLine="288"/>
      </w:pPr>
    </w:p>
    <w:p w:rsidR="0078310B" w:rsidRPr="00887662" w:rsidRDefault="0078310B" w:rsidP="0078310B">
      <w:pPr>
        <w:pStyle w:val="Heading2"/>
        <w:spacing w:before="0"/>
        <w:rPr>
          <w:sz w:val="32"/>
          <w:szCs w:val="32"/>
        </w:rPr>
      </w:pPr>
      <w:bookmarkStart w:id="220" w:name="_Toc395790516"/>
      <w:r w:rsidRPr="00887662">
        <w:rPr>
          <w:sz w:val="32"/>
          <w:szCs w:val="32"/>
        </w:rPr>
        <w:t>B. The transfer of property subject to debt—</w:t>
      </w:r>
    </w:p>
    <w:p w:rsidR="0078310B" w:rsidRPr="00887662" w:rsidRDefault="0078310B" w:rsidP="0078310B">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20"/>
    </w:p>
    <w:p w:rsidR="0078310B" w:rsidRDefault="0078310B" w:rsidP="0078310B">
      <w:pPr>
        <w:widowControl w:val="0"/>
      </w:pPr>
    </w:p>
    <w:p w:rsidR="0078310B" w:rsidRDefault="0078310B" w:rsidP="0078310B">
      <w:pPr>
        <w:widowControl w:val="0"/>
        <w:spacing w:after="120"/>
        <w:ind w:firstLine="288"/>
        <w:jc w:val="both"/>
      </w:pPr>
      <w:r>
        <w:t>In determining the tax consequences of debt relief on the transfer of property subject to debt, we need to distinguish among several different contexts.</w:t>
      </w:r>
    </w:p>
    <w:p w:rsidR="0078310B" w:rsidRPr="00006683" w:rsidRDefault="0078310B" w:rsidP="0078310B">
      <w:pPr>
        <w:pStyle w:val="Heading3"/>
        <w:spacing w:before="0" w:beforeAutospacing="0" w:after="120" w:afterAutospacing="0"/>
        <w:rPr>
          <w:i/>
        </w:rPr>
      </w:pPr>
      <w:bookmarkStart w:id="221" w:name="_Toc395790517"/>
      <w:r w:rsidRPr="00006683">
        <w:rPr>
          <w:i/>
        </w:rPr>
        <w:t>Relief from recourse debt not in excess of property FMV</w:t>
      </w:r>
      <w:bookmarkEnd w:id="221"/>
    </w:p>
    <w:p w:rsidR="0078310B" w:rsidRDefault="0078310B" w:rsidP="0078310B">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$100,000 under </w:t>
      </w:r>
      <w:r>
        <w:rPr>
          <w:i/>
        </w:rPr>
        <w:t>Crane</w:t>
      </w:r>
      <w:r>
        <w:t>, but what is her “amount realized” within the meaning of § 1001(b) for purposes of computing her § 1001(a) realized gain or loss on the sale to Richard?</w:t>
      </w:r>
    </w:p>
    <w:p w:rsidR="0078310B" w:rsidRDefault="0078310B" w:rsidP="0078310B">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rsidR="0078310B" w:rsidRDefault="0078310B" w:rsidP="0078310B">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rsidR="0078310B" w:rsidRDefault="0078310B" w:rsidP="0078310B">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 xml:space="preserve">increase his Redacre basis by the after-acquired debt because that debt is not used to acquire Redacre. Thus, Redacre’s basis remains $100,000. Perhaps Ronnie uses that $90,000 loan to pay $90,000 in wages to his employees. Before Ronnie repays any of the $90,000 loan principal, Ronnie sells Redacre to Ryan for $30,000 in cash, with Ryan assuming the $90,000 recourse loan encumbering Redacre. </w:t>
      </w:r>
    </w:p>
    <w:p w:rsidR="0078310B" w:rsidRPr="00A017DA" w:rsidRDefault="0078310B" w:rsidP="0078310B">
      <w:pPr>
        <w:widowControl w:val="0"/>
        <w:spacing w:after="120"/>
        <w:ind w:firstLine="288"/>
        <w:jc w:val="both"/>
      </w:pPr>
      <w:r>
        <w:t xml:space="preserve">Even though the $90,000 debt encumbering Redacre was not earlier included in Redacre’s basis, Ronnie’s relief from that debt on the sale adds $90,000 of amount realized to the $30,000 cash, producing a total amount realized of $120,000 </w:t>
      </w:r>
      <w:r w:rsidR="00CE043D">
        <w:t xml:space="preserve">under § 1001(b) </w:t>
      </w:r>
      <w:r>
        <w:t>and, thus, a $20,000 realized gain under § 1001</w:t>
      </w:r>
      <w:r w:rsidR="00CE043D">
        <w:t>(a)</w:t>
      </w:r>
      <w:r>
        <w:t xml:space="preserve"> ($120,000 A/R </w:t>
      </w:r>
      <w:r>
        <w:rPr>
          <w:i/>
        </w:rPr>
        <w:t>less</w:t>
      </w:r>
      <w:r>
        <w:t xml:space="preserve"> $100,000 A/B). If Ronnie were not required to include the debt relief in amount realized, he would never be made to account for the $90,000 of borrowed money that he did not include in his Gross Income on receipt. Regardless of whether Ronnie deducted the $90,000 as salary or did not deduct the amount because spent on personal consumption, the important point is that he </w:t>
      </w:r>
      <w:r>
        <w:rPr>
          <w:i/>
        </w:rPr>
        <w:t xml:space="preserve">excluded </w:t>
      </w:r>
      <w:r>
        <w:t>that $90,000 on initial receipt under the borrowing exclusion. If he were not made to account for the debt relief by adding the $90,000 to his amount realized in computing his § 1001 gain, he would enjoy a double tax benefit for the same dollars (exclusion fr</w:t>
      </w:r>
      <w:r w:rsidR="00637A6B">
        <w:t>om Gross Income and no addition to</w:t>
      </w:r>
      <w:r>
        <w:t xml:space="preserve"> § 1001</w:t>
      </w:r>
      <w:r w:rsidR="00637A6B">
        <w:t>(b)</w:t>
      </w:r>
      <w:r>
        <w:t xml:space="preserve"> amount realized, reducing his gain or creating or increasing a loss). Thus, the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61(a)(12) income, we cannot, on these facts, create § 61(a)(12) debt-discharge income for Ronnie because the value of the property exceeds the outstanding debt encumbering it. The only way to account for the debt relief, therefore, is to include it in § 1001(b) amount realized. </w:t>
      </w:r>
    </w:p>
    <w:p w:rsidR="0078310B" w:rsidRPr="002F252F" w:rsidRDefault="0078310B" w:rsidP="0078310B">
      <w:pPr>
        <w:pStyle w:val="Heading3"/>
        <w:spacing w:before="0" w:beforeAutospacing="0" w:after="120" w:afterAutospacing="0"/>
        <w:rPr>
          <w:i/>
        </w:rPr>
      </w:pPr>
      <w:bookmarkStart w:id="222" w:name="_Toc395790518"/>
      <w:r w:rsidRPr="002F252F">
        <w:rPr>
          <w:i/>
        </w:rPr>
        <w:t>Relief from nonrecourse debt—whether or not in excess of property FMV</w:t>
      </w:r>
      <w:bookmarkEnd w:id="222"/>
    </w:p>
    <w:p w:rsidR="0078310B" w:rsidRPr="008057AE" w:rsidRDefault="0078310B" w:rsidP="0078310B">
      <w:pPr>
        <w:widowControl w:val="0"/>
        <w:spacing w:after="120"/>
        <w:ind w:firstLine="288"/>
        <w:jc w:val="both"/>
      </w:pPr>
      <w:r>
        <w:t>Should the same rule (including the debt relief in amount realized when calculating § 1001 gain or loss) apply if the debt is nonrecourse rather than recourse?</w:t>
      </w:r>
    </w:p>
    <w:p w:rsidR="0078310B" w:rsidRPr="00B110C7" w:rsidRDefault="0078310B" w:rsidP="0078310B">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for example, to Connie’s purchase of Blackacre with $20,000 in cash and $80,000 of debt, but let’s change the nature of the debt from recourse to nonrecourse. Connie’s initial basis in Blackacre is $100,000 under the front-end rule in </w:t>
      </w:r>
      <w:r>
        <w:rPr>
          <w:i/>
        </w:rPr>
        <w:t>Crane</w:t>
      </w:r>
      <w:r>
        <w:t xml:space="preserve">. She sells Blackacre to Richard when it is worth $120,000 for $40,000 in cash, “subject to” the $80,000 nonrecourse debt. Because Connie is not personally liable for the nonrecourse debt, National Bank may not be involved when Connie transfers the property “subject to” the nonrecourse debt to Richard, who may not have to formally “assume” the debt. But Richard knows that he owns it “subject to” the debt so that, if he stops making payments, National Bank could foreclose and take possession of Blackacre. </w:t>
      </w:r>
    </w:p>
    <w:p w:rsidR="0078310B" w:rsidRDefault="0078310B" w:rsidP="0078310B">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less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nonrecourse debt encumbering it). Thus, the </w:t>
      </w:r>
      <w:r>
        <w:rPr>
          <w:i/>
        </w:rPr>
        <w:t xml:space="preserve">Crane </w:t>
      </w:r>
      <w:r>
        <w:t xml:space="preserve">Court concluded that Connie enjoys an “economic benefit” within the meaning of § 1001(b) equal to the full $80,000 when she transfers the property subject to the nonrecourse debt, even though she is not personally liable for it because of its nature as nonrecourse debt. </w:t>
      </w:r>
    </w:p>
    <w:p w:rsidR="0078310B" w:rsidRDefault="0078310B" w:rsidP="0078310B">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Thus, we must include the $80,000 nonrecourse debt relief in her amount realized in the economically equivalent transaction in which sells the property to Richard for $40,000 in cash, subject to the $80,000 debt. </w:t>
      </w:r>
    </w:p>
    <w:p w:rsidR="0078310B" w:rsidRPr="000C3A07" w:rsidRDefault="0078310B" w:rsidP="0078310B">
      <w:pPr>
        <w:widowControl w:val="0"/>
        <w:spacing w:after="120"/>
        <w:ind w:firstLine="288"/>
        <w:jc w:val="both"/>
      </w:pPr>
      <w:r>
        <w:t xml:space="preserve">Considering those two economically equivalent ways for Connie to structure this sale also illustrates that the </w:t>
      </w:r>
      <w:r>
        <w:rPr>
          <w:i/>
        </w:rPr>
        <w:t xml:space="preserve">only </w:t>
      </w:r>
      <w:r>
        <w:t>way for Connie to account for her $80,000 debt relief in this situation (in which the nonrecourse debt is less than the FMV of the securing property) is to include it in § 1001(b) amount realized. The debt relief could not create § 61(a)(12) income, instead, because a sale entirely for cash coupled with repayment of the debt would not create § 61(a)(12) debt-discharge income on these facts. The two economically equivalent ways to structure this sale should pr</w:t>
      </w:r>
      <w:r w:rsidR="0014408D">
        <w:t>oduce the same tax consequences under both the neutrality norm and horizontal equity, both studied in Chapter 3.</w:t>
      </w:r>
    </w:p>
    <w:p w:rsidR="0078310B" w:rsidRPr="00272F8E" w:rsidRDefault="0078310B" w:rsidP="0078310B">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rsidR="0078310B" w:rsidRDefault="0078310B" w:rsidP="0078310B">
      <w:pPr>
        <w:widowControl w:val="0"/>
        <w:ind w:left="720" w:right="720"/>
        <w:jc w:val="both"/>
      </w:pPr>
      <w:r w:rsidRPr="00272F8E">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77"/>
      </w:r>
      <w:r w:rsidRPr="00272F8E">
        <w:t xml:space="preserve"> That is not this case.</w:t>
      </w:r>
    </w:p>
    <w:p w:rsidR="0078310B" w:rsidRDefault="0078310B" w:rsidP="0078310B">
      <w:pPr>
        <w:widowControl w:val="0"/>
        <w:ind w:left="720" w:right="720"/>
      </w:pPr>
    </w:p>
    <w:p w:rsidR="0078310B" w:rsidRDefault="0078310B" w:rsidP="0078310B">
      <w:pPr>
        <w:pStyle w:val="Heading3"/>
        <w:spacing w:before="0" w:beforeAutospacing="0" w:after="120" w:afterAutospacing="0"/>
        <w:jc w:val="center"/>
      </w:pPr>
      <w:bookmarkStart w:id="223" w:name="_Toc395790519"/>
      <w:r>
        <w:t>COMMISSIONER v. TUFTS</w:t>
      </w:r>
      <w:bookmarkEnd w:id="223"/>
    </w:p>
    <w:p w:rsidR="0078310B" w:rsidRDefault="0078310B" w:rsidP="0078310B">
      <w:pPr>
        <w:widowControl w:val="0"/>
        <w:jc w:val="center"/>
      </w:pPr>
      <w:r>
        <w:t>461 U.S. 300 (1983)</w:t>
      </w:r>
    </w:p>
    <w:p w:rsidR="0078310B" w:rsidRDefault="0078310B" w:rsidP="0078310B">
      <w:pPr>
        <w:widowControl w:val="0"/>
        <w:ind w:firstLine="288"/>
      </w:pPr>
    </w:p>
    <w:p w:rsidR="0078310B" w:rsidRDefault="0078310B" w:rsidP="0078310B">
      <w:pPr>
        <w:widowControl w:val="0"/>
        <w:spacing w:after="120"/>
        <w:ind w:firstLine="288"/>
        <w:jc w:val="both"/>
      </w:pPr>
      <w:r>
        <w:rPr>
          <w:smallCaps/>
        </w:rPr>
        <w:t>Justice Blackmun</w:t>
      </w:r>
      <w:r>
        <w:t xml:space="preserve"> delivered the opinion of the Court.</w:t>
      </w:r>
    </w:p>
    <w:p w:rsidR="0078310B" w:rsidRDefault="0078310B" w:rsidP="0078310B">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78310B" w:rsidRDefault="0078310B" w:rsidP="0078310B">
      <w:pPr>
        <w:widowControl w:val="0"/>
        <w:spacing w:after="120"/>
        <w:jc w:val="center"/>
      </w:pPr>
      <w:r>
        <w:t>I</w:t>
      </w:r>
    </w:p>
    <w:p w:rsidR="0078310B" w:rsidRDefault="0078310B" w:rsidP="0078310B">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rsidR="0078310B" w:rsidRDefault="0078310B" w:rsidP="0078310B">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rsidR="0078310B" w:rsidRDefault="0078310B" w:rsidP="0078310B">
      <w:pPr>
        <w:widowControl w:val="0"/>
        <w:spacing w:after="120"/>
        <w:ind w:firstLine="288"/>
        <w:jc w:val="both"/>
      </w:pPr>
      <w:r>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rsidR="0078310B" w:rsidRDefault="0078310B" w:rsidP="0078310B">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rsidR="0078310B" w:rsidRDefault="0078310B" w:rsidP="0078310B">
      <w:pPr>
        <w:widowControl w:val="0"/>
        <w:spacing w:after="120"/>
        <w:jc w:val="center"/>
      </w:pPr>
      <w:r>
        <w:t>II</w:t>
      </w:r>
    </w:p>
    <w:p w:rsidR="0078310B" w:rsidRDefault="0078310B" w:rsidP="0078310B">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rsidR="0078310B" w:rsidRDefault="0078310B" w:rsidP="0078310B">
      <w:pPr>
        <w:widowControl w:val="0"/>
        <w:spacing w:after="120"/>
        <w:ind w:firstLine="288"/>
        <w:jc w:val="both"/>
      </w:pPr>
      <w:r>
        <w:t>In a footnote, pertinent to the present case, the Court observed [here the Court quoted footnote 37, reprinted above].</w:t>
      </w:r>
    </w:p>
    <w:p w:rsidR="0078310B" w:rsidRDefault="0078310B" w:rsidP="0078310B">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rsidR="0078310B" w:rsidRDefault="0078310B" w:rsidP="0078310B">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78310B" w:rsidRDefault="0078310B" w:rsidP="0078310B">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78"/>
        <w:t>[5]</w:t>
      </w:r>
      <w:r>
        <w:t xml:space="preserve"> The Court approved that choice in </w:t>
      </w:r>
      <w:r>
        <w:rPr>
          <w:i/>
          <w:iCs/>
        </w:rPr>
        <w:t>Crane</w:t>
      </w:r>
      <w:r>
        <w:t>, and the respondents do not challenge it here. The choice and its resultant benefits to the taxpayer are predicated on the assumption that the mortgage will be repaid in full.</w:t>
      </w:r>
    </w:p>
    <w:p w:rsidR="0078310B" w:rsidRDefault="0078310B" w:rsidP="0078310B">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79"/>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80"/>
        <w:t>[8]</w:t>
      </w:r>
      <w:r>
        <w:t xml:space="preserve"> The Commissioner’s interpretation of </w:t>
      </w:r>
      <w:r w:rsidRPr="004047F4">
        <w:t>§ 1001(b)</w:t>
      </w:r>
      <w:r>
        <w:t xml:space="preserve"> in this fashion cannot be said to be unreasonable.</w:t>
      </w:r>
    </w:p>
    <w:p w:rsidR="0078310B" w:rsidRDefault="0078310B" w:rsidP="0078310B">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81"/>
        <w:t>[11]</w:t>
      </w:r>
      <w:r>
        <w:t xml:space="preserve"> </w:t>
      </w:r>
    </w:p>
    <w:p w:rsidR="0078310B" w:rsidRDefault="0078310B" w:rsidP="0078310B">
      <w:pPr>
        <w:widowControl w:val="0"/>
        <w:spacing w:after="120"/>
        <w:ind w:firstLine="288"/>
        <w:jc w:val="both"/>
      </w:pPr>
      <w:r>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rsidR="0078310B" w:rsidRDefault="0078310B" w:rsidP="0078310B">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rsidR="0078310B" w:rsidRDefault="0078310B" w:rsidP="0078310B">
      <w:pPr>
        <w:widowControl w:val="0"/>
        <w:spacing w:after="120"/>
        <w:ind w:firstLine="288"/>
        <w:jc w:val="both"/>
      </w:pPr>
      <w:r>
        <w:t>[Parts III and IV omitted]</w:t>
      </w:r>
    </w:p>
    <w:p w:rsidR="0078310B" w:rsidRDefault="0078310B" w:rsidP="0078310B">
      <w:pPr>
        <w:widowControl w:val="0"/>
        <w:spacing w:after="120"/>
        <w:ind w:firstLine="288"/>
        <w:jc w:val="both"/>
      </w:pPr>
      <w:r>
        <w:t>The judgment of the Court of Appeals is therefore reversed.</w:t>
      </w:r>
    </w:p>
    <w:p w:rsidR="0078310B" w:rsidRDefault="0078310B" w:rsidP="0078310B">
      <w:pPr>
        <w:widowControl w:val="0"/>
        <w:spacing w:after="120"/>
        <w:ind w:firstLine="288"/>
        <w:jc w:val="both"/>
      </w:pPr>
      <w:r>
        <w:rPr>
          <w:smallCaps/>
        </w:rPr>
        <w:t>Justice O’Connor</w:t>
      </w:r>
      <w:r>
        <w:t>, concurring.</w:t>
      </w:r>
    </w:p>
    <w:p w:rsidR="0078310B" w:rsidRDefault="0078310B" w:rsidP="0078310B">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upon us by Professor Barnett as </w:t>
      </w:r>
      <w:r>
        <w:rPr>
          <w:i/>
          <w:iCs/>
        </w:rPr>
        <w:t>amicus</w:t>
      </w:r>
      <w:r>
        <w:t xml:space="preserve"> [Ed. note: see footnote 7 of the majority opinion.]</w:t>
      </w:r>
    </w:p>
    <w:p w:rsidR="0078310B" w:rsidRDefault="0078310B" w:rsidP="0078310B">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78310B" w:rsidRDefault="0078310B" w:rsidP="0078310B">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rsidR="0078310B" w:rsidRDefault="0078310B" w:rsidP="0078310B">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rsidR="0078310B" w:rsidRPr="001127A9" w:rsidRDefault="0078310B" w:rsidP="0078310B">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78310B" w:rsidRPr="001127A9" w:rsidRDefault="0078310B" w:rsidP="0078310B">
      <w:pPr>
        <w:widowControl w:val="0"/>
        <w:ind w:firstLine="288"/>
        <w:jc w:val="both"/>
      </w:pPr>
      <w:r w:rsidRPr="001127A9">
        <w:t xml:space="preserve">Persuaded though I am by the logical coherence and internal consistency of this approach, I 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rsidR="0078310B" w:rsidRPr="001127A9" w:rsidRDefault="0078310B" w:rsidP="0078310B">
      <w:pPr>
        <w:widowControl w:val="0"/>
        <w:jc w:val="center"/>
      </w:pPr>
      <w:r w:rsidRPr="001127A9">
        <w:t>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We can restate the </w:t>
      </w:r>
      <w:r>
        <w:rPr>
          <w:i/>
        </w:rPr>
        <w:t xml:space="preserve">Tufts </w:t>
      </w:r>
      <w:r>
        <w:t>holding as follows.</w:t>
      </w:r>
    </w:p>
    <w:p w:rsidR="0078310B" w:rsidRDefault="0078310B" w:rsidP="0078310B">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rsidR="0078310B" w:rsidRPr="001127A9" w:rsidRDefault="0078310B" w:rsidP="0078310B">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Gross Income</w:t>
      </w:r>
      <w:r w:rsidRPr="001127A9">
        <w:t xml:space="preserve"> for tax purposes</w:t>
      </w:r>
      <w:r>
        <w:t xml:space="preserv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rsidR="0078310B" w:rsidRPr="001127A9" w:rsidRDefault="0078310B" w:rsidP="0078310B">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 xml:space="preserve">s the “collapsed” approach. Under the majority’s </w:t>
      </w:r>
      <w:r w:rsidR="000C3604">
        <w:t xml:space="preserve">collapsed </w:t>
      </w:r>
      <w:r>
        <w:t>approach,</w:t>
      </w:r>
      <w:r w:rsidRPr="001127A9">
        <w:t xml:space="preserve"> </w:t>
      </w:r>
      <w:r w:rsidR="000C3604">
        <w:rPr>
          <w:i/>
        </w:rPr>
        <w:t xml:space="preserve">only </w:t>
      </w:r>
      <w:r w:rsidR="000C3604">
        <w:t xml:space="preserve">§ 1001 is triggered for Mr. Tufts. The majority concluded that he realized </w:t>
      </w:r>
      <w:r w:rsidRPr="001127A9">
        <w:t xml:space="preserve">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rsidR="000C3604">
        <w:t xml:space="preserve"> $1.45 million A/B). Under the majority’s collapsed approach, h</w:t>
      </w:r>
      <w:r>
        <w:t>e realized no § 61(a)(12) debt-discharge income.</w:t>
      </w:r>
    </w:p>
    <w:p w:rsidR="0078310B" w:rsidRPr="001127A9" w:rsidRDefault="0078310B" w:rsidP="0078310B">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producing $450,000 of § 61(a)(12) debt-discharge income. </w:t>
      </w:r>
    </w:p>
    <w:p w:rsidR="0078310B" w:rsidRDefault="0078310B" w:rsidP="0078310B">
      <w:pPr>
        <w:widowControl w:val="0"/>
        <w:spacing w:after="120"/>
        <w:ind w:firstLine="288"/>
        <w:jc w:val="both"/>
      </w:pPr>
      <w:r w:rsidRPr="001127A9">
        <w:t xml:space="preserve">What difference does it make, you might ask, between realizing a $400,000 gain under § 1001 (the majority’s </w:t>
      </w:r>
      <w:r w:rsidR="000C3604">
        <w:t xml:space="preserve">collapsed </w:t>
      </w:r>
      <w:r w:rsidRPr="001127A9">
        <w:t xml:space="preserve">approach) or realizing a $50,000 loss under § 1001 </w:t>
      </w:r>
      <w:r w:rsidRPr="001127A9">
        <w:rPr>
          <w:i/>
        </w:rPr>
        <w:t xml:space="preserve">coupled with </w:t>
      </w:r>
      <w:r w:rsidRPr="001127A9">
        <w:t>$450,000 of § 61</w:t>
      </w:r>
      <w:r w:rsidR="000C3604">
        <w:t xml:space="preserve">(a)(12)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rsidR="0078310B" w:rsidRDefault="0078310B" w:rsidP="0078310B">
      <w:pPr>
        <w:pStyle w:val="ListParagraph"/>
        <w:widowControl w:val="0"/>
        <w:numPr>
          <w:ilvl w:val="0"/>
          <w:numId w:val="11"/>
        </w:numPr>
        <w:spacing w:after="120"/>
        <w:ind w:left="648"/>
        <w:contextualSpacing w:val="0"/>
        <w:jc w:val="both"/>
      </w:pPr>
      <w:r w:rsidRPr="001127A9">
        <w:t>Proper</w:t>
      </w:r>
      <w:r>
        <w:t>ty gain or loss can be capital</w:t>
      </w:r>
      <w:r w:rsidRPr="001127A9">
        <w:t xml:space="preserve"> wh</w:t>
      </w:r>
      <w:r>
        <w:t>ereas debt-discharge income is ordinary.</w:t>
      </w:r>
    </w:p>
    <w:p w:rsidR="0078310B" w:rsidRDefault="0078310B" w:rsidP="0078310B">
      <w:pPr>
        <w:pStyle w:val="ListParagraph"/>
        <w:widowControl w:val="0"/>
        <w:numPr>
          <w:ilvl w:val="0"/>
          <w:numId w:val="11"/>
        </w:numPr>
        <w:spacing w:after="120"/>
        <w:ind w:left="648"/>
        <w:contextualSpacing w:val="0"/>
        <w:jc w:val="both"/>
      </w:pPr>
      <w:r>
        <w:t>Section 1001 gain</w:t>
      </w:r>
      <w:r w:rsidRPr="001127A9">
        <w:t xml:space="preserve"> cannot be deferred under § 108, whereas </w:t>
      </w:r>
      <w:r>
        <w:t xml:space="preserve">§ 61(a)(12) </w:t>
      </w:r>
      <w:r w:rsidRPr="001127A9">
        <w:t>debt-dis</w:t>
      </w:r>
      <w:r w:rsidRPr="001127A9">
        <w:softHyphen/>
        <w:t xml:space="preserve">charge income may be deferred by certain taxpayers. </w:t>
      </w:r>
    </w:p>
    <w:p w:rsidR="0078310B" w:rsidRDefault="0078310B" w:rsidP="0078310B">
      <w:pPr>
        <w:pStyle w:val="ListParagraph"/>
        <w:widowControl w:val="0"/>
        <w:numPr>
          <w:ilvl w:val="0"/>
          <w:numId w:val="11"/>
        </w:numPr>
        <w:spacing w:after="120"/>
        <w:ind w:left="64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rsidR="00E53141">
        <w:t xml:space="preserve"> (under the </w:t>
      </w:r>
      <w:r>
        <w:t>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rsidR="0078310B" w:rsidRDefault="0078310B" w:rsidP="0078310B">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61(a)(12) debt-discharge income, as he would settle a $1.85 million debt with only $1.4 million in deemed cash received in step 1. In other words, the </w:t>
      </w:r>
      <w:r w:rsidRPr="00A05393">
        <w:rPr>
          <w:i/>
        </w:rPr>
        <w:t xml:space="preserve">Tufts </w:t>
      </w:r>
      <w:r>
        <w:t>majori</w:t>
      </w:r>
      <w:r w:rsidR="00E53141">
        <w:t>ty approach</w:t>
      </w:r>
      <w:r>
        <w:t xml:space="preserve"> inappropriately allow</w:t>
      </w:r>
      <w:r w:rsidR="00E53141">
        <w:t>s our yacht owner</w:t>
      </w:r>
      <w:r>
        <w:t xml:space="preserve">, in effect, to deduct his personal consumption loss through the back door. </w:t>
      </w:r>
    </w:p>
    <w:p w:rsidR="0078310B" w:rsidRDefault="0078310B" w:rsidP="0078310B">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rsidR="0078310B" w:rsidRDefault="0078310B" w:rsidP="0078310B">
      <w:pPr>
        <w:widowControl w:val="0"/>
        <w:spacing w:after="120"/>
        <w:ind w:firstLine="288"/>
        <w:jc w:val="both"/>
      </w:pPr>
      <w:r>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82"/>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w:t>
      </w:r>
      <w:r w:rsidR="00E53141">
        <w:t xml:space="preserve">he difference between the FMV </w:t>
      </w:r>
      <w:r>
        <w:t>of the Deutschmarks when received and when repaid did not create Gross Income because “the whole transaction was a loss” and “the mere diminution of loss is not gain, profit, or income.”</w:t>
      </w:r>
      <w:r>
        <w:rPr>
          <w:rStyle w:val="FootnoteReference"/>
        </w:rPr>
        <w:footnoteReference w:id="383"/>
      </w:r>
      <w:r>
        <w:t xml:space="preserve"> </w:t>
      </w:r>
    </w:p>
    <w:p w:rsidR="0078310B" w:rsidRPr="00144452" w:rsidRDefault="0078310B" w:rsidP="0078310B">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rsidR="0078310B" w:rsidRDefault="0078310B" w:rsidP="0078310B">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61(a)(12)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84"/>
      </w:r>
      <w:r>
        <w:t xml:space="preserve"> In addition to that practical consideration, there is a fundamental conceptual criticism to the </w:t>
      </w:r>
      <w:r>
        <w:rPr>
          <w:i/>
        </w:rPr>
        <w:t>Kerbaugh-Empire</w:t>
      </w:r>
      <w:r>
        <w:t xml:space="preserve"> Court’s approach. The business transaction in which the procee</w:t>
      </w:r>
      <w:r w:rsidR="00E53141">
        <w:t xml:space="preserve">ds were lost may also produce </w:t>
      </w:r>
      <w:r>
        <w:t>deduction</w:t>
      </w:r>
      <w:r w:rsidR="00E53141">
        <w:t>s (</w:t>
      </w:r>
      <w:r w:rsidR="00E53141">
        <w:rPr>
          <w:i/>
        </w:rPr>
        <w:t>e.g.</w:t>
      </w:r>
      <w:r w:rsidR="00E53141">
        <w:t xml:space="preserve">, under §§ 162, 167, 165, </w:t>
      </w:r>
      <w:r w:rsidR="00E53141">
        <w:rPr>
          <w:i/>
        </w:rPr>
        <w:t>etc.</w:t>
      </w:r>
      <w:r w:rsidR="00E53141">
        <w:t>)</w:t>
      </w:r>
      <w:r>
        <w:t>, thus producing the effect of a double deduction if the related § 61(a)(12) incom</w:t>
      </w:r>
      <w:r w:rsidR="00E53141">
        <w:t xml:space="preserve">e is not taken into account. The </w:t>
      </w:r>
      <w:r>
        <w:rPr>
          <w:i/>
        </w:rPr>
        <w:t>Kerbaugh-Empire</w:t>
      </w:r>
      <w:r>
        <w:t xml:space="preserve"> approach requires vigilance in assuring that, if § 61(a)(12) income is not taken into account, the functionally related loss that is thought to prevent realization of § 61(a)(12) income is not also separately deductible, wh</w:t>
      </w:r>
      <w:r w:rsidR="00E53141">
        <w:t xml:space="preserve">ich (depending on the facts) would </w:t>
      </w:r>
      <w:r>
        <w:t xml:space="preserve">be difficult to police. </w:t>
      </w:r>
    </w:p>
    <w:p w:rsidR="0078310B" w:rsidRDefault="0078310B" w:rsidP="0078310B">
      <w:pPr>
        <w:widowControl w:val="0"/>
        <w:spacing w:after="120"/>
        <w:ind w:firstLine="288"/>
        <w:jc w:val="both"/>
      </w:pPr>
      <w:r>
        <w:t xml:space="preserve">Unfortunately, the </w:t>
      </w:r>
      <w:r>
        <w:rPr>
          <w:i/>
        </w:rPr>
        <w:t>Kirby Lumber</w:t>
      </w:r>
      <w:r>
        <w:t xml:space="preserve"> Court did not </w:t>
      </w:r>
      <w:r w:rsidR="00E53141">
        <w:t xml:space="preserve">expressly </w:t>
      </w:r>
      <w:r>
        <w:t xml:space="preserve">overrule </w:t>
      </w:r>
      <w:r>
        <w:rPr>
          <w:i/>
        </w:rPr>
        <w:t>Kerbaugh-Empire</w:t>
      </w:r>
      <w:r>
        <w:t xml:space="preserve">, but it did distinguish it, and </w:t>
      </w:r>
      <w:r>
        <w:rPr>
          <w:i/>
        </w:rPr>
        <w:t>Tufts</w:t>
      </w:r>
      <w:r>
        <w:t xml:space="preserve"> did not cite it, even though the majority’s </w:t>
      </w:r>
      <w:r w:rsidR="00380D82">
        <w:t xml:space="preserve">collapsed </w:t>
      </w:r>
      <w:r>
        <w:t xml:space="preserve">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85"/>
      </w:r>
      <w:r>
        <w:t xml:space="preserve"> Even though, as 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86"/>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87"/>
      </w:r>
    </w:p>
    <w:p w:rsidR="0078310B" w:rsidRPr="002F252F" w:rsidRDefault="0078310B" w:rsidP="0078310B">
      <w:pPr>
        <w:pStyle w:val="Heading3"/>
        <w:spacing w:before="0" w:beforeAutospacing="0" w:after="120" w:afterAutospacing="0"/>
        <w:rPr>
          <w:i/>
        </w:rPr>
      </w:pPr>
      <w:bookmarkStart w:id="224" w:name="_Toc395790520"/>
      <w:r w:rsidRPr="002F252F">
        <w:rPr>
          <w:i/>
        </w:rPr>
        <w:t>Relief from recourse debt in excess of property FMV</w:t>
      </w:r>
      <w:bookmarkEnd w:id="224"/>
    </w:p>
    <w:p w:rsidR="0078310B" w:rsidRDefault="0078310B" w:rsidP="0078310B">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225" w:name="_Toc395790521"/>
      <w:r>
        <w:t>REVENUE RULING 90-16</w:t>
      </w:r>
      <w:bookmarkEnd w:id="225"/>
    </w:p>
    <w:p w:rsidR="0078310B" w:rsidRDefault="0078310B" w:rsidP="0078310B">
      <w:pPr>
        <w:widowControl w:val="0"/>
        <w:jc w:val="center"/>
      </w:pPr>
      <w:r w:rsidRPr="00B52BE5">
        <w:t>1990-1 C.B. 12</w:t>
      </w:r>
    </w:p>
    <w:p w:rsidR="0078310B" w:rsidRDefault="0078310B" w:rsidP="0078310B">
      <w:pPr>
        <w:widowControl w:val="0"/>
        <w:jc w:val="center"/>
      </w:pPr>
    </w:p>
    <w:p w:rsidR="0078310B" w:rsidRDefault="0078310B" w:rsidP="0078310B">
      <w:pPr>
        <w:widowControl w:val="0"/>
        <w:spacing w:after="120"/>
        <w:jc w:val="both"/>
      </w:pPr>
      <w:r>
        <w:t>ISSUE</w:t>
      </w:r>
    </w:p>
    <w:p w:rsidR="0078310B" w:rsidRDefault="0078310B" w:rsidP="0078310B">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rsidR="0078310B" w:rsidRDefault="0078310B" w:rsidP="0078310B">
      <w:pPr>
        <w:widowControl w:val="0"/>
        <w:spacing w:after="120"/>
        <w:jc w:val="both"/>
      </w:pPr>
      <w:r>
        <w:t>FACTS</w:t>
      </w:r>
    </w:p>
    <w:p w:rsidR="0078310B" w:rsidRDefault="0078310B" w:rsidP="0078310B">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rsidR="0078310B" w:rsidRDefault="0078310B" w:rsidP="0078310B">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rsidR="0078310B" w:rsidRDefault="0078310B" w:rsidP="0078310B">
      <w:pPr>
        <w:widowControl w:val="0"/>
        <w:spacing w:after="120"/>
        <w:jc w:val="both"/>
      </w:pPr>
      <w:r>
        <w:t>LAW AND ANALYSIS</w:t>
      </w:r>
    </w:p>
    <w:p w:rsidR="0078310B" w:rsidRDefault="0078310B" w:rsidP="0078310B">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rsidR="0078310B" w:rsidRDefault="0078310B" w:rsidP="0078310B">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rsidR="0078310B" w:rsidRDefault="0078310B" w:rsidP="0078310B">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section 1001</w:t>
      </w:r>
      <w:r>
        <w:t xml:space="preserve"> and the regulations thereunder.</w:t>
      </w:r>
    </w:p>
    <w:p w:rsidR="0078310B" w:rsidRDefault="0078310B" w:rsidP="0078310B">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rsidR="0078310B" w:rsidRDefault="0078310B" w:rsidP="0078310B">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rsidR="0078310B" w:rsidRDefault="0078310B" w:rsidP="0078310B">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rsidR="0078310B" w:rsidRDefault="0078310B" w:rsidP="0078310B">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rsidR="0078310B" w:rsidRDefault="0078310B" w:rsidP="0078310B">
      <w:pPr>
        <w:widowControl w:val="0"/>
        <w:spacing w:after="120"/>
        <w:ind w:firstLine="288"/>
        <w:jc w:val="both"/>
      </w:pPr>
      <w:r>
        <w:rPr>
          <w:i/>
          <w:iCs/>
        </w:rPr>
        <w:t>Example (8)</w:t>
      </w:r>
      <w:r>
        <w:t xml:space="preserve"> under section 1.1001-2</w:t>
      </w:r>
      <w:r w:rsidRPr="000276F7">
        <w:t>(c)</w:t>
      </w:r>
      <w:r>
        <w:t xml:space="preserve"> illustrates these rules as follows:</w:t>
      </w:r>
    </w:p>
    <w:p w:rsidR="0078310B" w:rsidRDefault="0078310B" w:rsidP="0078310B">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78310B" w:rsidRDefault="0078310B" w:rsidP="0078310B">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rsidR="0078310B" w:rsidRDefault="0078310B" w:rsidP="0078310B">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rsidR="0078310B" w:rsidRDefault="0078310B" w:rsidP="0078310B">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rsidR="0078310B" w:rsidRDefault="0078310B" w:rsidP="0078310B">
      <w:pPr>
        <w:widowControl w:val="0"/>
        <w:spacing w:after="120"/>
        <w:jc w:val="both"/>
      </w:pPr>
      <w:r>
        <w:t>HOLDING</w:t>
      </w:r>
    </w:p>
    <w:p w:rsidR="0078310B" w:rsidRDefault="0078310B" w:rsidP="0078310B">
      <w:pPr>
        <w:widowControl w:val="0"/>
        <w:ind w:firstLine="288"/>
        <w:jc w:val="both"/>
      </w:pPr>
      <w:r>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rsidR="0078310B" w:rsidRDefault="0078310B" w:rsidP="0078310B">
      <w:pPr>
        <w:pStyle w:val="z-TopofForm"/>
        <w:widowControl w:val="0"/>
      </w:pPr>
      <w:r>
        <w:t>Top of Form</w:t>
      </w:r>
    </w:p>
    <w:p w:rsidR="0078310B" w:rsidRDefault="0078310B" w:rsidP="0078310B">
      <w:pPr>
        <w:pStyle w:val="z-BottomofForm"/>
        <w:widowControl w:val="0"/>
        <w:pBdr>
          <w:bottom w:val="single" w:sz="12" w:space="1" w:color="auto"/>
        </w:pBdr>
      </w:pPr>
      <w:r>
        <w:t>Bottom of Form</w:t>
      </w:r>
    </w:p>
    <w:p w:rsidR="0078310B" w:rsidRDefault="0078310B" w:rsidP="0078310B">
      <w:pPr>
        <w:widowControl w:val="0"/>
        <w:jc w:val="center"/>
      </w:pPr>
      <w:r>
        <w:t>______________________________________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In other words, </w:t>
      </w:r>
      <w:hyperlink r:id="rId728"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the transferred property. Thus, the taxpayer in Rev. Rul. 90-16 is considered to (1) sell the property for its $10,000 FMV (producing a $2,000 § 1001 gain because the property’s basis is $8,000) and (2) use the $10,000 of cash deemed obtained on </w:t>
      </w:r>
      <w:r w:rsidRPr="00055E11">
        <w:t xml:space="preserve">the transfer to settle the $12,000 debt (producing $2,000 of § 61(a)(12)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61(a)(12) debt-discharge income</w:t>
      </w:r>
      <w:r w:rsidRPr="00055E11">
        <w:t>. Because § 1001 “gain” is not § 61(a)(12) debt-discharge income, § 1</w:t>
      </w:r>
      <w:r>
        <w:t>08 and the taxpayer’s insolvency</w:t>
      </w:r>
      <w:r w:rsidRPr="00055E11">
        <w:t xml:space="preserve"> would </w:t>
      </w:r>
      <w:r>
        <w:t xml:space="preserve">have been </w:t>
      </w:r>
      <w:r w:rsidRPr="00055E11">
        <w:t xml:space="preserve">irrelevant. </w:t>
      </w:r>
    </w:p>
    <w:p w:rsidR="0078310B" w:rsidRDefault="0078310B" w:rsidP="0078310B">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88"/>
      </w:r>
      <w:r>
        <w:rPr>
          <w:i/>
        </w:rPr>
        <w:t xml:space="preserve"> </w:t>
      </w:r>
      <w:r>
        <w:t xml:space="preserve">that only the first part of the bifurcated approach would apply at the time of the property transfer. </w:t>
      </w:r>
      <w:r w:rsidRPr="00E43EAE">
        <w:t>Thus</w:t>
      </w:r>
      <w:r>
        <w:t xml:space="preserve">,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61(a)(12) income. At some point (when the statute of limitations runs?), however, </w:t>
      </w:r>
      <w:r>
        <w:rPr>
          <w:i/>
        </w:rPr>
        <w:t>A</w:t>
      </w:r>
      <w:r>
        <w:t xml:space="preserve"> could be charged with $2,000 of § 61(a)(12) income if she fails to pay the remaining $2,000. In other words, </w:t>
      </w:r>
      <w:r>
        <w:rPr>
          <w:i/>
        </w:rPr>
        <w:t xml:space="preserve">Aizawa </w:t>
      </w:r>
      <w:r>
        <w:t xml:space="preserve">takes a “wait and see” approach with respect to excess recourse debt that is not formally cancelled by the creditor. </w:t>
      </w:r>
    </w:p>
    <w:p w:rsidR="0078310B" w:rsidRPr="00EF6928" w:rsidRDefault="0078310B" w:rsidP="0078310B">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61(a)(12) debt-discharge income. If the excess debt is not cancelled, step 2 is avoided at the time of transfer, but § 61(a)(12) income may be realized later.</w:t>
      </w:r>
    </w:p>
    <w:p w:rsidR="0078310B" w:rsidRDefault="0078310B" w:rsidP="0078310B">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rsidR="0078310B" w:rsidRDefault="0078310B" w:rsidP="0078310B">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61(a)(12) debt-discharge income (with a concomitant reduction in tax attributes under § 108(b)) if the Court had adopted the bifurcated approach recommended by Justice O’Connor (and which would, in fact, have applied if the debt had been recourse and the excess debt cancelled).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included in “amount realized,” it would escape taxation alt</w:t>
      </w:r>
      <w:r>
        <w:t>ogether,</w:t>
      </w:r>
      <w:r w:rsidRPr="00E06159">
        <w:rPr>
          <w:rStyle w:val="FootnoteReference"/>
        </w:rPr>
        <w:t xml:space="preserve"> </w:t>
      </w:r>
      <w:r w:rsidRPr="00055E11">
        <w:rPr>
          <w:rStyle w:val="FootnoteReference"/>
        </w:rPr>
        <w:footnoteReference w:id="389"/>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rsidR="0078310B" w:rsidRDefault="0078310B" w:rsidP="0078310B">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w:t>
      </w:r>
      <w:r w:rsidRPr="00765F32">
        <w:rPr>
          <w:i/>
        </w:rPr>
        <w:t>by creating § 61(a)(12) 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rsidR="0078310B" w:rsidRPr="00E721BA" w:rsidRDefault="0078310B" w:rsidP="0078310B">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 xml:space="preserve">than the FMV of the securing property) </w:t>
      </w:r>
      <w:r w:rsidRPr="00055E11">
        <w:t xml:space="preserve">between § 61(a)(12)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w:t>
      </w:r>
      <w:r w:rsidRPr="00055E11">
        <w:t>That is</w:t>
      </w:r>
      <w:r>
        <w:t xml:space="preserve"> to say</w:t>
      </w:r>
      <w:r w:rsidRPr="00055E11">
        <w:t>, § 61(a)(</w:t>
      </w:r>
      <w:r>
        <w:t xml:space="preserve">12) could not, in fact, have applied. That is not true in the </w:t>
      </w:r>
      <w:r>
        <w:rPr>
          <w:i/>
        </w:rPr>
        <w:t>Tufts</w:t>
      </w:r>
      <w:r>
        <w:t xml:space="preserve"> situation, where the two ways of structuring the transaction produce very different results: a $400,000 § 1001 realized gain, on the one hand, versus a $50,000 § 1001 realized loss coupled with $450,000 § 61(a)(12) debt-discharge income, on the other. The </w:t>
      </w:r>
      <w:r w:rsidRPr="00055E11">
        <w:t xml:space="preserve">tension </w:t>
      </w:r>
      <w:r>
        <w:t xml:space="preserve">between § 1001(b) amount realized and § 61(a)(12)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61(a)(12)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sidR="00A211D5">
        <w:rPr>
          <w:i/>
        </w:rPr>
        <w:t xml:space="preserve">Tufts </w:t>
      </w:r>
      <w:r>
        <w:t xml:space="preserve">majority’s decision to adopt the former was not dictated by </w:t>
      </w:r>
      <w:r>
        <w:rPr>
          <w:i/>
        </w:rPr>
        <w:t>Crane</w:t>
      </w:r>
      <w:r>
        <w:t xml:space="preserve">. </w:t>
      </w:r>
    </w:p>
    <w:p w:rsidR="0078310B" w:rsidRDefault="0078310B" w:rsidP="0078310B">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concluded that Kent would clearly realize a $1,000 gain under § 1001 ($8,000 A/R </w:t>
      </w:r>
      <w:r>
        <w:rPr>
          <w:i/>
        </w:rPr>
        <w:t>less</w:t>
      </w:r>
      <w:r>
        <w:t xml:space="preserve"> $7,000 A/B) coupled with $2,000 of § 61(a)(12)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from $10,000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gain under § 1001 ($10,000 debt relief A/R </w:t>
      </w:r>
      <w:r>
        <w:rPr>
          <w:i/>
        </w:rPr>
        <w:t>less</w:t>
      </w:r>
      <w:r>
        <w:t xml:space="preserve"> $7,000 A/B), instead of a $1,000 gain under § 1001 coupled with $2,000 of § 61(a)(12) debt-discharge income. Why should these two fact patterns be treated so differently? </w:t>
      </w:r>
    </w:p>
    <w:p w:rsidR="0078310B" w:rsidRDefault="0078310B" w:rsidP="0078310B">
      <w:pPr>
        <w:widowControl w:val="0"/>
        <w:ind w:firstLine="288"/>
        <w:jc w:val="both"/>
      </w:pPr>
      <w:r>
        <w:t xml:space="preserve">One response may be that nonrecourse debt, unlike recourse debt, is </w:t>
      </w:r>
      <w:r w:rsidRPr="009D3458">
        <w:rPr>
          <w:i/>
        </w:rPr>
        <w:t>so closely intertwined with the ownership of the property securing the debt</w:t>
      </w:r>
      <w:r>
        <w:t xml:space="preserve"> (because the taxpayer is not personally liable for the debt, with the lender’s remedy limited to taking the property security) that relief from nonrecourse debt should be collapsed into the Code’s </w:t>
      </w:r>
      <w:r w:rsidRPr="00CA1AA7">
        <w:rPr>
          <w:i/>
        </w:rPr>
        <w:t>property rules</w:t>
      </w:r>
      <w:r>
        <w:t xml:space="preserve"> rather than analyzed separately under the bifurcated approach. If you find that argument convincing, what should happen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61(a)(12) income by analyzing the nonrecourse debt relief </w:t>
      </w:r>
      <w:r w:rsidRPr="001B5A66">
        <w:rPr>
          <w:i/>
        </w:rPr>
        <w:t>separately</w:t>
      </w:r>
      <w:r>
        <w:t xml:space="preserve"> from the underlying property ownership? Through the looking glass we go, as we consider that question in Part C. </w:t>
      </w:r>
    </w:p>
    <w:p w:rsidR="0078310B" w:rsidRDefault="0078310B" w:rsidP="0078310B">
      <w:pPr>
        <w:widowControl w:val="0"/>
      </w:pPr>
    </w:p>
    <w:p w:rsidR="0078310B" w:rsidRPr="00947283" w:rsidRDefault="0078310B" w:rsidP="0078310B">
      <w:pPr>
        <w:pStyle w:val="Heading2"/>
        <w:spacing w:before="0"/>
        <w:rPr>
          <w:sz w:val="32"/>
          <w:szCs w:val="32"/>
          <w:u w:val="single"/>
        </w:rPr>
      </w:pPr>
      <w:bookmarkStart w:id="226" w:name="_Toc395790522"/>
      <w:r w:rsidRPr="00947283">
        <w:rPr>
          <w:sz w:val="32"/>
          <w:szCs w:val="32"/>
          <w:u w:val="single"/>
        </w:rPr>
        <w:t>C. Reduction of property debt without a property transfer</w:t>
      </w:r>
      <w:bookmarkEnd w:id="226"/>
    </w:p>
    <w:p w:rsidR="0078310B" w:rsidRPr="00F30144" w:rsidRDefault="0078310B" w:rsidP="0078310B">
      <w:pPr>
        <w:widowControl w:val="0"/>
      </w:pPr>
    </w:p>
    <w:p w:rsidR="0078310B" w:rsidRDefault="0078310B" w:rsidP="0078310B">
      <w:pPr>
        <w:widowControl w:val="0"/>
        <w:ind w:firstLine="288"/>
      </w:pPr>
      <w:r>
        <w:t>We begin with Revenue Ruling 91-31.</w:t>
      </w:r>
    </w:p>
    <w:p w:rsidR="0078310B" w:rsidRDefault="0078310B" w:rsidP="0078310B">
      <w:pPr>
        <w:widowControl w:val="0"/>
        <w:ind w:firstLine="288"/>
      </w:pPr>
    </w:p>
    <w:p w:rsidR="0078310B" w:rsidRDefault="0078310B" w:rsidP="0078310B">
      <w:pPr>
        <w:pStyle w:val="Heading3"/>
        <w:spacing w:before="0" w:beforeAutospacing="0" w:after="120" w:afterAutospacing="0"/>
        <w:jc w:val="center"/>
      </w:pPr>
      <w:bookmarkStart w:id="227" w:name="_Toc395790523"/>
      <w:r>
        <w:t>REVENUE RULING 91-31</w:t>
      </w:r>
      <w:bookmarkEnd w:id="227"/>
    </w:p>
    <w:p w:rsidR="0078310B" w:rsidRDefault="0078310B" w:rsidP="0078310B">
      <w:pPr>
        <w:widowControl w:val="0"/>
        <w:jc w:val="center"/>
      </w:pPr>
      <w:r>
        <w:t>1991-1 C.B. 19</w:t>
      </w:r>
    </w:p>
    <w:p w:rsidR="0078310B" w:rsidRDefault="0078310B" w:rsidP="0078310B">
      <w:pPr>
        <w:widowControl w:val="0"/>
        <w:jc w:val="center"/>
      </w:pPr>
    </w:p>
    <w:p w:rsidR="0078310B" w:rsidRDefault="0078310B" w:rsidP="0078310B">
      <w:pPr>
        <w:widowControl w:val="0"/>
        <w:spacing w:after="120"/>
        <w:jc w:val="both"/>
      </w:pPr>
      <w:r>
        <w:t>ISSUE</w:t>
      </w:r>
    </w:p>
    <w:p w:rsidR="0078310B" w:rsidRDefault="0078310B" w:rsidP="0078310B">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rsidR="0078310B" w:rsidRDefault="0078310B" w:rsidP="0078310B">
      <w:pPr>
        <w:widowControl w:val="0"/>
        <w:spacing w:after="120"/>
        <w:jc w:val="both"/>
      </w:pPr>
      <w:r>
        <w:t>FACTS</w:t>
      </w:r>
    </w:p>
    <w:p w:rsidR="0078310B" w:rsidRDefault="0078310B" w:rsidP="0078310B">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rsidR="0078310B" w:rsidRDefault="0078310B" w:rsidP="0078310B">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rsidR="0078310B" w:rsidRDefault="0078310B" w:rsidP="0078310B">
      <w:pPr>
        <w:widowControl w:val="0"/>
        <w:spacing w:after="120"/>
        <w:jc w:val="both"/>
      </w:pPr>
      <w:r>
        <w:t>LAW AND ANALYSIS</w:t>
      </w:r>
    </w:p>
    <w:p w:rsidR="0078310B" w:rsidRDefault="0078310B" w:rsidP="0078310B">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rsidR="0078310B" w:rsidRDefault="0078310B" w:rsidP="0078310B">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rsidR="0078310B" w:rsidRDefault="0078310B" w:rsidP="0078310B">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rsidR="0078310B" w:rsidRDefault="0078310B" w:rsidP="0078310B">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78310B" w:rsidRDefault="0078310B" w:rsidP="0078310B">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rsidR="0078310B" w:rsidRDefault="0078310B" w:rsidP="0078310B">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78310B" w:rsidRDefault="0078310B" w:rsidP="0078310B">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rsidR="0078310B" w:rsidRDefault="0078310B" w:rsidP="0078310B">
      <w:pPr>
        <w:widowControl w:val="0"/>
        <w:spacing w:after="120"/>
        <w:jc w:val="both"/>
      </w:pPr>
      <w:r>
        <w:t>HOLDING</w:t>
      </w:r>
    </w:p>
    <w:p w:rsidR="0078310B" w:rsidRDefault="0078310B" w:rsidP="0078310B">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rsidR="0078310B" w:rsidRDefault="0078310B" w:rsidP="0078310B">
      <w:pPr>
        <w:widowControl w:val="0"/>
        <w:jc w:val="center"/>
      </w:pPr>
      <w:r>
        <w:t>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61(a)(12) debt-discharge income), the r</w:t>
      </w:r>
      <w:r>
        <w:rPr>
          <w:rFonts w:cs="Times New Roman"/>
        </w:rPr>
        <w:t>uling effectively rejects</w:t>
      </w:r>
      <w:r w:rsidRPr="0024137A">
        <w:rPr>
          <w:rFonts w:cs="Times New Roman"/>
        </w:rPr>
        <w:t xml:space="preserve"> the collapsed approach in </w:t>
      </w:r>
      <w:r w:rsidRPr="0024137A">
        <w:rPr>
          <w:rFonts w:cs="Times New Roman"/>
          <w:i/>
        </w:rPr>
        <w:t>Tufts</w:t>
      </w:r>
      <w:r w:rsidRPr="0024137A">
        <w:rPr>
          <w:rFonts w:cs="Times New Roman"/>
        </w:rPr>
        <w:t>. But wait</w:t>
      </w:r>
      <w:r>
        <w:rPr>
          <w:rFonts w:cs="Times New Roman"/>
        </w:rPr>
        <w:t>, you say</w:t>
      </w:r>
      <w:r w:rsidRPr="0024137A">
        <w:rPr>
          <w:rFonts w:cs="Times New Roman"/>
        </w:rPr>
        <w:t xml:space="preserve">! The ruling </w:t>
      </w:r>
      <w:r>
        <w:rPr>
          <w:rFonts w:cs="Times New Roman"/>
          <w:i/>
        </w:rPr>
        <w:t>cites</w:t>
      </w:r>
      <w:r w:rsidRPr="0024137A">
        <w:rPr>
          <w:rFonts w:cs="Times New Roman"/>
        </w:rPr>
        <w:t xml:space="preserve"> </w:t>
      </w:r>
      <w:r>
        <w:rPr>
          <w:rFonts w:cs="Times New Roman"/>
        </w:rPr>
        <w:t xml:space="preserve">the </w:t>
      </w:r>
      <w:r w:rsidRPr="0024137A">
        <w:rPr>
          <w:rFonts w:cs="Times New Roman"/>
          <w:i/>
        </w:rPr>
        <w:t>Tufts</w:t>
      </w:r>
      <w:r w:rsidRPr="0024137A">
        <w:rPr>
          <w:rFonts w:cs="Times New Roman"/>
        </w:rPr>
        <w:t xml:space="preserve"> </w:t>
      </w:r>
      <w:r>
        <w:rPr>
          <w:rFonts w:cs="Times New Roman"/>
        </w:rPr>
        <w:t xml:space="preserve">decision </w:t>
      </w:r>
      <w:r w:rsidRPr="0024137A">
        <w:rPr>
          <w:rFonts w:cs="Times New Roman"/>
        </w:rPr>
        <w:t>as supporti</w:t>
      </w:r>
      <w:r w:rsidR="00A211D5">
        <w:rPr>
          <w:rFonts w:cs="Times New Roman"/>
        </w:rPr>
        <w:t>ng its approach! “’</w:t>
      </w:r>
      <w:r w:rsidR="00A211D5">
        <w:t>Curiouser and curiouser!’</w:t>
      </w:r>
      <w:r>
        <w:t xml:space="preserve"> cried Alice (she was so much surprised, that for the moment she quite forgot how to speak good English).”</w:t>
      </w:r>
      <w:r>
        <w:rPr>
          <w:rStyle w:val="FootnoteReference"/>
        </w:rPr>
        <w:footnoteReference w:id="390"/>
      </w:r>
    </w:p>
    <w:p w:rsidR="0078310B" w:rsidRDefault="0078310B" w:rsidP="0078310B">
      <w:pPr>
        <w:widowControl w:val="0"/>
        <w:spacing w:after="120"/>
        <w:ind w:firstLine="288"/>
        <w:jc w:val="both"/>
        <w:rPr>
          <w:b/>
        </w:rPr>
      </w:pPr>
      <w:r>
        <w:rPr>
          <w:b/>
        </w:rPr>
        <w:t>A debt discharge without the transfer of property creates § 6</w:t>
      </w:r>
      <w:r w:rsidR="00A211D5">
        <w:rPr>
          <w:b/>
        </w:rPr>
        <w:t>1(a)(12) debt-discharge income—</w:t>
      </w:r>
      <w:r>
        <w:rPr>
          <w:b/>
        </w:rPr>
        <w:t>e</w:t>
      </w:r>
      <w:r w:rsidR="00A211D5">
        <w:rPr>
          <w:b/>
        </w:rPr>
        <w:t>ven if the debt is nonrecourse—</w:t>
      </w:r>
      <w:r>
        <w:rPr>
          <w:b/>
        </w:rPr>
        <w:t>unless §§ 108(a)(1)(D) or (e)(5) applies.</w:t>
      </w:r>
    </w:p>
    <w:p w:rsidR="0078310B" w:rsidRPr="002F252F" w:rsidRDefault="0078310B" w:rsidP="0078310B">
      <w:pPr>
        <w:pStyle w:val="Heading3"/>
        <w:spacing w:before="0" w:beforeAutospacing="0" w:after="120" w:afterAutospacing="0"/>
        <w:rPr>
          <w:i/>
        </w:rPr>
      </w:pPr>
      <w:r>
        <w:t xml:space="preserve"> </w:t>
      </w:r>
      <w:bookmarkStart w:id="228" w:name="_Toc395790524"/>
      <w:r w:rsidRPr="002F252F">
        <w:rPr>
          <w:i/>
        </w:rPr>
        <w:t>§§ 108(a)(1)(D) and (e)(5)</w:t>
      </w:r>
      <w:bookmarkEnd w:id="228"/>
    </w:p>
    <w:p w:rsidR="0078310B" w:rsidRDefault="0078310B" w:rsidP="0078310B">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rsidR="0078310B" w:rsidRDefault="0078310B" w:rsidP="0078310B">
      <w:pPr>
        <w:widowControl w:val="0"/>
        <w:spacing w:after="120"/>
        <w:ind w:firstLine="288"/>
        <w:jc w:val="both"/>
      </w:pPr>
      <w:r w:rsidRPr="00B24FAF">
        <w:rPr>
          <w:b/>
        </w:rPr>
        <w:t>Under §</w:t>
      </w:r>
      <w:hyperlink r:id="rId729"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 to reduce basis (instead of including the cancelled debt</w:t>
      </w:r>
      <w:r>
        <w:rPr>
          <w:b/>
        </w:rPr>
        <w:t xml:space="preserve"> immediately under § 61(a)(12)</w:t>
      </w:r>
      <w:r w:rsidRPr="00B24FAF">
        <w:rPr>
          <w:b/>
        </w:rPr>
        <w:t xml:space="preserve">) to the extent </w:t>
      </w:r>
      <w:r>
        <w:rPr>
          <w:b/>
        </w:rPr>
        <w:t>that the cancelled debt exceeds</w:t>
      </w:r>
      <w:r w:rsidRPr="00B24FAF">
        <w:rPr>
          <w:b/>
        </w:rPr>
        <w:t xml:space="preserve"> the fair market value of the securing property. </w:t>
      </w:r>
    </w:p>
    <w:p w:rsidR="0078310B" w:rsidRDefault="0078310B" w:rsidP="0078310B">
      <w:pPr>
        <w:widowControl w:val="0"/>
        <w:spacing w:after="120"/>
        <w:ind w:firstLine="288"/>
        <w:jc w:val="both"/>
      </w:pPr>
      <w:r>
        <w:t xml:space="preserve">Owners of personal property (such as machines) instead of real property cannot take advantage of § 108(a)(1)(D). They may nevertheless be able to reduce basis (instead of immediately including the cancelled debt under § 61(a)(12)) if the more stringent requirements of § 108(e)(5) are met, which can apply regardless of the nature of the property. </w:t>
      </w:r>
    </w:p>
    <w:p w:rsidR="0078310B" w:rsidRDefault="0078310B" w:rsidP="0078310B">
      <w:pPr>
        <w:widowControl w:val="0"/>
        <w:spacing w:after="120"/>
        <w:ind w:firstLine="288"/>
        <w:jc w:val="both"/>
      </w:pPr>
      <w:r>
        <w:rPr>
          <w:b/>
        </w:rPr>
        <w:t xml:space="preserve">Under </w:t>
      </w:r>
      <w:hyperlink r:id="rId730" w:history="1">
        <w:r w:rsidRPr="002370D0">
          <w:rPr>
            <w:rStyle w:val="Hyperlink"/>
            <w:b/>
          </w:rPr>
          <w:t>§ 108</w:t>
        </w:r>
      </w:hyperlink>
      <w:r>
        <w:rPr>
          <w:b/>
        </w:rPr>
        <w:t xml:space="preserve">(e)(5), a debt reduction (whether recourse or nonrecourse) is “treated” like a purchase price adjustment (reducing basis) if (1) the lender and the seller of the property to the taxpayer are the same party </w:t>
      </w:r>
      <w:r w:rsidR="002370D0">
        <w:rPr>
          <w:b/>
        </w:rPr>
        <w:t xml:space="preserve">(2-party debt) </w:t>
      </w:r>
      <w:r>
        <w:rPr>
          <w:b/>
        </w:rPr>
        <w:t>and (2) the debt reduction occurs outside bankruptcy court and while the debtor is solvent.</w:t>
      </w:r>
      <w:r>
        <w:t xml:space="preserve"> </w:t>
      </w:r>
    </w:p>
    <w:p w:rsidR="0078310B" w:rsidRDefault="0078310B" w:rsidP="0078310B">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rsidR="0078310B" w:rsidRDefault="0078310B" w:rsidP="0078310B">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which lowers her remaining two annual installment payments by a significant amount, allowing her business to survive (and making it more likely that George will see those last two payments). </w:t>
      </w:r>
    </w:p>
    <w:p w:rsidR="0078310B" w:rsidRDefault="0078310B" w:rsidP="0078310B">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61(a)(12) income in the second. The courts were clogged with such cases, where the trier of fact had to determine whether George had his seller’s hat on or his lender’s hat on when he cancelled the $10,000 debt. Thus,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91"/>
      </w:r>
      <w:r>
        <w:t xml:space="preserve"> Section 108(e)(5) avoids the necessity of examining the underlying facts. In </w:t>
      </w:r>
      <w:r>
        <w:rPr>
          <w:i/>
        </w:rPr>
        <w:t>both</w:t>
      </w:r>
      <w:r>
        <w:t xml:space="preserve"> cases above, the parties are able to “treat” the cancelled debt as a purchase price adjustment. Thus, the cancelled debt results in a reduction in basis (reflecting the new purchase price) rather than includable § 61(a)(12) income. </w:t>
      </w:r>
    </w:p>
    <w:p w:rsidR="0078310B" w:rsidRPr="00983DBE" w:rsidRDefault="0078310B" w:rsidP="0078310B">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61(a)(12)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rsidR="0078310B" w:rsidRDefault="0078310B" w:rsidP="0078310B">
      <w:pPr>
        <w:widowControl w:val="0"/>
        <w:spacing w:after="120"/>
        <w:ind w:firstLine="288"/>
        <w:jc w:val="both"/>
      </w:pPr>
      <w:r>
        <w:t xml:space="preserve">One of the arguments made by Mr. Zarin, our gambler from the last chapter, was that his cancelled debt was excludable under </w:t>
      </w:r>
      <w:hyperlink r:id="rId731"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rsidR="0078310B" w:rsidRDefault="0078310B" w:rsidP="0078310B">
      <w:pPr>
        <w:widowControl w:val="0"/>
        <w:spacing w:after="120"/>
        <w:ind w:left="720" w:right="720"/>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rsidR="0078310B" w:rsidRDefault="0078310B" w:rsidP="0078310B">
      <w:pPr>
        <w:widowControl w:val="0"/>
        <w:jc w:val="both"/>
      </w:pPr>
      <w:r>
        <w:t xml:space="preserve">Did Mr. Zarin really spend $3.4 million to purchase little pieces of plastic? Of course not. He purchased the opportunity to gamble, with the chips serving merely as an accounting mechanism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 </w:t>
      </w:r>
    </w:p>
    <w:p w:rsidR="0078310B" w:rsidRDefault="0078310B" w:rsidP="0078310B">
      <w:pPr>
        <w:widowControl w:val="0"/>
        <w:jc w:val="center"/>
      </w:pPr>
      <w:r>
        <w:t>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92"/>
      </w:r>
      <w:r w:rsidRPr="00CB093B">
        <w:t xml:space="preserve"> </w:t>
      </w:r>
      <w:r>
        <w:t xml:space="preserve">which was mentioned in Revenue Ruling 91-31. The simplified facts involved the purchase of computer software for $250,000 for use in a business with nonrecourse debt borrowed from a third party (not the software seller), establishing a $250,000 basis under </w:t>
      </w:r>
      <w:r>
        <w:rPr>
          <w:i/>
        </w:rPr>
        <w:t>Crane</w:t>
      </w:r>
      <w:r>
        <w:t xml:space="preserve">. The software was depreciated over time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rsidR="0078310B" w:rsidRDefault="0078310B" w:rsidP="0078310B">
      <w:pPr>
        <w:widowControl w:val="0"/>
        <w:spacing w:after="120"/>
        <w:ind w:firstLine="288"/>
        <w:jc w:val="both"/>
      </w:pPr>
      <w:r>
        <w:t xml:space="preserve">If a transfer in foreclosure occurred, the </w:t>
      </w:r>
      <w:r>
        <w:rPr>
          <w:i/>
        </w:rPr>
        <w:t>Tufts</w:t>
      </w:r>
      <w:r>
        <w:t xml:space="preserve"> collapsed approach would apply, resulting in a $200,000 gain under § 1001 ($250,000 debt relief A/R </w:t>
      </w:r>
      <w:r>
        <w:rPr>
          <w:i/>
        </w:rPr>
        <w:t>less</w:t>
      </w:r>
      <w:r>
        <w:t xml:space="preserve"> $50,000 A/B). The $200,000 gain would not be excludable under § 108, notwithstanding the taxpayer’s insolvency, because § 1001 gain is § 61(a)(3) Gross Income, not § 61(a)(12) Gross Income, and § 108 can potentially apply only to the latter. Obtaining good tax advice, the taxpayer negotiated with the lender to accept a $40,000 cash payment to cancel the $250,000 debt in lieu of foreclosing and taking the property worth only $2,500. (What lender would refuse such an offer on similar facts?) Thus, the taxpayer realized $210,000 of § 61(a)(12) income instead, which the taxpayer could exclude under § 108(a)(1)(B), with a concomitant $210,000 reduction in tax attributes under § 108(b) (to the extent that the taxpayer had any § 108(b) items to reduce). </w:t>
      </w:r>
    </w:p>
    <w:p w:rsidR="0078310B" w:rsidRDefault="0078310B" w:rsidP="0078310B">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recommended by Justice O’Connor, as (1) selling the property for its $2,500 FMV and (2) using the $2,500 deemed sales proceeds to settle the $250,000 debt. Step (1) would producing a $47,500 loss under § 1001 ($2,500 A/R </w:t>
      </w:r>
      <w:r>
        <w:rPr>
          <w:i/>
        </w:rPr>
        <w:t>less</w:t>
      </w:r>
      <w:r>
        <w:t xml:space="preserve"> $50,000 A/B), which would have been deductible under § 165(c)(1) as a loss incurred in business. Step (2) would produce $247,500 of § 61(a)(12) income, excludable under § 108(a)(1)(B) because of his insolvency but reducing his tax attributes under § 108(b). </w:t>
      </w:r>
    </w:p>
    <w:p w:rsidR="0078310B" w:rsidRDefault="0078310B" w:rsidP="0078310B">
      <w:pPr>
        <w:widowControl w:val="0"/>
        <w:ind w:firstLine="288"/>
        <w:jc w:val="both"/>
      </w:pPr>
      <w:r>
        <w:t xml:space="preserve">Alas, however, </w:t>
      </w:r>
      <w:r>
        <w:rPr>
          <w:i/>
        </w:rPr>
        <w:t>Tufts</w:t>
      </w:r>
      <w:r>
        <w:t xml:space="preserve"> is here to stay. Some academics may think that these rules are internally incoherent, but there is no constituency for change, as many in the business world like the “planning opportunities” presented by them. Thus, you need to understand how they operate in order to be in a position to advise your clients well.</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229" w:name="_Toc395790525"/>
      <w:r w:rsidRPr="004C7CCD">
        <w:rPr>
          <w:u w:val="single"/>
        </w:rPr>
        <w:t>Problems</w:t>
      </w:r>
      <w:bookmarkEnd w:id="229"/>
    </w:p>
    <w:p w:rsidR="0078310B" w:rsidRPr="008949DC"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 xml:space="preserve">Describe the tax consequences for Brian in each of the following problems. </w:t>
      </w:r>
    </w:p>
    <w:p w:rsidR="0078310B" w:rsidRDefault="0078310B" w:rsidP="0078310B">
      <w:pPr>
        <w:widowControl w:val="0"/>
        <w:ind w:firstLine="288"/>
        <w:jc w:val="both"/>
      </w:pPr>
    </w:p>
    <w:p w:rsidR="0078310B" w:rsidRDefault="0078310B" w:rsidP="0078310B">
      <w:pPr>
        <w:widowControl w:val="0"/>
        <w:ind w:firstLine="288"/>
        <w:jc w:val="both"/>
      </w:pPr>
      <w:r>
        <w:rPr>
          <w:b/>
        </w:rPr>
        <w:t>1.</w:t>
      </w:r>
      <w:r>
        <w:t xml:space="preserve"> Brian borrows $20,000 in cash from Barbara in Year 1, unsecured by any property. The debt terms require Brian to pay market-rate interest each year and to repay the $20,000 principal amount in Year 5. In Year 5, Barbara agrees to repayment in kind rather than in cash, with Brian transferring Greenacre, FMV $20,000, to her, which Brian bought for $25,000 years earlier and has held for investment. </w:t>
      </w:r>
    </w:p>
    <w:p w:rsidR="0078310B" w:rsidRDefault="0078310B" w:rsidP="0078310B">
      <w:pPr>
        <w:widowControl w:val="0"/>
        <w:ind w:firstLine="288"/>
        <w:jc w:val="both"/>
      </w:pPr>
    </w:p>
    <w:p w:rsidR="0078310B" w:rsidRPr="00643457" w:rsidRDefault="0078310B" w:rsidP="0078310B">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rsidR="0078310B" w:rsidRDefault="0078310B" w:rsidP="0078310B">
      <w:pPr>
        <w:widowControl w:val="0"/>
        <w:jc w:val="both"/>
      </w:pPr>
    </w:p>
    <w:p w:rsidR="0078310B" w:rsidRDefault="0078310B" w:rsidP="0078310B">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period, Brian pays market-rate interest on the loan but makes no principal payments. After properly deducting $10,000 in depreciation under §§ 167 and 168—do not forget § 1016(a)(2)—Brian sells the property to Barbara for $2,000 in cash, subject to the $20,000 nonrecourse debt. </w:t>
      </w:r>
    </w:p>
    <w:p w:rsidR="0078310B" w:rsidRDefault="0078310B" w:rsidP="0078310B">
      <w:pPr>
        <w:widowControl w:val="0"/>
        <w:ind w:firstLine="288"/>
        <w:jc w:val="both"/>
      </w:pPr>
    </w:p>
    <w:p w:rsidR="0078310B" w:rsidRPr="00AB0AFE" w:rsidRDefault="0078310B" w:rsidP="0078310B">
      <w:pPr>
        <w:widowControl w:val="0"/>
        <w:ind w:firstLine="288"/>
        <w:jc w:val="both"/>
      </w:pPr>
      <w:r>
        <w:rPr>
          <w:b/>
        </w:rPr>
        <w:t>4.</w:t>
      </w:r>
      <w:r>
        <w:t xml:space="preserve"> Same as </w:t>
      </w:r>
      <w:r>
        <w:rPr>
          <w:b/>
        </w:rPr>
        <w:t>3.</w:t>
      </w:r>
      <w:r>
        <w:t xml:space="preserve">, except that Brian did not use debt to purchase the widget machine. Rather, he paid $25,000 in cash for the machine. The following year, he used the machine as security to borrow $20,000 in nonrecourse debt, which he used to pay employee salary. The remaining facts are the same. </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rsidR="0078310B" w:rsidRDefault="0078310B" w:rsidP="0078310B">
      <w:pPr>
        <w:widowControl w:val="0"/>
        <w:ind w:firstLine="288"/>
        <w:jc w:val="both"/>
      </w:pPr>
    </w:p>
    <w:p w:rsidR="0078310B" w:rsidRDefault="0078310B" w:rsidP="0078310B">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rsidR="0078310B" w:rsidRDefault="0078310B" w:rsidP="0078310B">
      <w:pPr>
        <w:widowControl w:val="0"/>
        <w:ind w:firstLine="288"/>
        <w:jc w:val="both"/>
        <w:rPr>
          <w:b/>
        </w:rPr>
      </w:pPr>
    </w:p>
    <w:p w:rsidR="0078310B" w:rsidRDefault="0078310B" w:rsidP="0078310B">
      <w:pPr>
        <w:widowControl w:val="0"/>
        <w:ind w:firstLine="288"/>
        <w:jc w:val="both"/>
      </w:pPr>
      <w:r>
        <w:rPr>
          <w:b/>
        </w:rPr>
        <w:t>8.</w:t>
      </w:r>
      <w:r>
        <w:t xml:space="preserve"> Same as </w:t>
      </w:r>
      <w:r>
        <w:rPr>
          <w:b/>
        </w:rPr>
        <w:t>7.</w:t>
      </w:r>
      <w:r>
        <w:t xml:space="preserve">, except that the property is real estate instead of a widget machine. </w:t>
      </w:r>
    </w:p>
    <w:p w:rsidR="0078310B" w:rsidRDefault="0078310B" w:rsidP="0078310B">
      <w:pPr>
        <w:widowControl w:val="0"/>
        <w:ind w:firstLine="288"/>
        <w:jc w:val="both"/>
      </w:pPr>
    </w:p>
    <w:p w:rsidR="0078310B" w:rsidRDefault="0078310B" w:rsidP="0078310B">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rsidR="0078310B" w:rsidRDefault="0078310B" w:rsidP="0078310B">
      <w:pPr>
        <w:widowControl w:val="0"/>
        <w:ind w:firstLine="288"/>
        <w:jc w:val="both"/>
      </w:pPr>
    </w:p>
    <w:p w:rsidR="0078310B" w:rsidRPr="00851839" w:rsidRDefault="0078310B" w:rsidP="0078310B">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rsidR="0078310B" w:rsidRPr="00B24FAF" w:rsidRDefault="0078310B" w:rsidP="0078310B">
      <w:pPr>
        <w:widowControl w:val="0"/>
        <w:spacing w:after="120"/>
        <w:ind w:firstLine="288"/>
      </w:pPr>
    </w:p>
    <w:p w:rsidR="0078310B" w:rsidRDefault="0078310B" w:rsidP="0078310B">
      <w:pPr>
        <w:widowControl w:val="0"/>
        <w:spacing w:after="120"/>
        <w:jc w:val="both"/>
        <w:rPr>
          <w:rFonts w:eastAsia="Times New Roman" w:cs="Times New Roman"/>
        </w:rPr>
      </w:pPr>
    </w:p>
    <w:p w:rsidR="0078310B" w:rsidRDefault="0078310B" w:rsidP="0078310B">
      <w:pPr>
        <w:widowControl w:val="0"/>
        <w:ind w:firstLine="288"/>
        <w:rPr>
          <w:rFonts w:eastAsia="Times New Roman" w:cs="Times New Roman"/>
        </w:rPr>
        <w:sectPr w:rsidR="0078310B" w:rsidSect="005337BA">
          <w:headerReference w:type="default" r:id="rId732"/>
          <w:footnotePr>
            <w:numRestart w:val="eachSect"/>
          </w:footnotePr>
          <w:type w:val="continuous"/>
          <w:pgSz w:w="12240" w:h="15840" w:code="1"/>
          <w:pgMar w:top="1440" w:right="1440" w:bottom="1440" w:left="1440" w:header="1008" w:footer="720" w:gutter="0"/>
          <w:cols w:space="720"/>
          <w:titlePg/>
          <w:docGrid w:linePitch="360"/>
        </w:sectPr>
      </w:pPr>
    </w:p>
    <w:p w:rsidR="0078310B" w:rsidRPr="008949DC" w:rsidRDefault="0078310B" w:rsidP="0078310B">
      <w:pPr>
        <w:widowControl w:val="0"/>
        <w:ind w:firstLine="288"/>
        <w:rPr>
          <w:rFonts w:eastAsia="Times New Roman" w:cs="Times New Roman"/>
        </w:rPr>
        <w:sectPr w:rsidR="0078310B" w:rsidRPr="008949DC" w:rsidSect="005337BA">
          <w:headerReference w:type="default" r:id="rId733"/>
          <w:footnotePr>
            <w:numRestart w:val="eachSect"/>
          </w:footnotePr>
          <w:pgSz w:w="12240" w:h="15840" w:code="1"/>
          <w:pgMar w:top="1440" w:right="1440" w:bottom="1440" w:left="1440" w:header="1008" w:footer="720" w:gutter="0"/>
          <w:cols w:space="720"/>
          <w:docGrid w:linePitch="360"/>
        </w:sectPr>
      </w:pPr>
    </w:p>
    <w:p w:rsidR="0078310B" w:rsidRDefault="0078310B" w:rsidP="0078310B">
      <w:pPr>
        <w:pStyle w:val="Heading1"/>
        <w:spacing w:before="0"/>
        <w:rPr>
          <w:b w:val="0"/>
          <w:sz w:val="40"/>
          <w:szCs w:val="40"/>
          <w:u w:val="none"/>
        </w:rPr>
      </w:pPr>
      <w:bookmarkStart w:id="230" w:name="_Toc395790526"/>
      <w:r w:rsidRPr="008949DC">
        <w:rPr>
          <w:sz w:val="40"/>
          <w:szCs w:val="40"/>
          <w:u w:val="none"/>
        </w:rPr>
        <w:t>Unit V</w:t>
      </w:r>
      <w:r>
        <w:rPr>
          <w:sz w:val="40"/>
          <w:szCs w:val="40"/>
          <w:u w:val="none"/>
        </w:rPr>
        <w:t>:</w:t>
      </w:r>
    </w:p>
    <w:p w:rsidR="0078310B" w:rsidRPr="008949DC" w:rsidRDefault="0078310B" w:rsidP="0078310B">
      <w:pPr>
        <w:rPr>
          <w:sz w:val="36"/>
          <w:szCs w:val="36"/>
        </w:rPr>
      </w:pPr>
    </w:p>
    <w:p w:rsidR="0078310B" w:rsidRPr="008949DC" w:rsidRDefault="0078310B" w:rsidP="0078310B">
      <w:pPr>
        <w:pStyle w:val="Heading1"/>
        <w:spacing w:before="0"/>
        <w:rPr>
          <w:sz w:val="36"/>
          <w:szCs w:val="36"/>
        </w:rPr>
      </w:pPr>
      <w:r w:rsidRPr="008949DC">
        <w:rPr>
          <w:sz w:val="36"/>
          <w:szCs w:val="36"/>
        </w:rPr>
        <w:t>The Ownership and Disposition of Property</w:t>
      </w:r>
      <w:bookmarkEnd w:id="230"/>
    </w:p>
    <w:p w:rsidR="0078310B" w:rsidRDefault="0078310B" w:rsidP="0078310B">
      <w:pPr>
        <w:widowControl w:val="0"/>
        <w:spacing w:after="120"/>
        <w:rPr>
          <w:b/>
          <w:u w:val="single"/>
        </w:rPr>
      </w:pPr>
    </w:p>
    <w:p w:rsidR="0078310B" w:rsidRDefault="0078310B" w:rsidP="0078310B">
      <w:pPr>
        <w:widowControl w:val="0"/>
        <w:jc w:val="both"/>
        <w:rPr>
          <w:sz w:val="28"/>
          <w:szCs w:val="28"/>
        </w:rPr>
      </w:pPr>
      <w:r w:rsidRPr="00D25FB1">
        <w:rPr>
          <w:b/>
          <w:sz w:val="28"/>
          <w:szCs w:val="28"/>
          <w:u w:val="single"/>
        </w:rPr>
        <w:t>In</w:t>
      </w:r>
      <w:r>
        <w:rPr>
          <w:b/>
          <w:sz w:val="28"/>
          <w:szCs w:val="28"/>
          <w:u w:val="single"/>
        </w:rPr>
        <w:t>troduction to Chapters 13 through 16</w:t>
      </w:r>
    </w:p>
    <w:p w:rsidR="0078310B" w:rsidRPr="00594157" w:rsidRDefault="0078310B" w:rsidP="0078310B">
      <w:pPr>
        <w:widowControl w:val="0"/>
        <w:jc w:val="both"/>
        <w:rPr>
          <w:sz w:val="28"/>
          <w:szCs w:val="28"/>
        </w:rPr>
      </w:pPr>
    </w:p>
    <w:p w:rsidR="0078310B" w:rsidRDefault="0078310B" w:rsidP="0078310B">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rsidR="0078310B" w:rsidRDefault="0078310B" w:rsidP="0078310B">
      <w:pPr>
        <w:widowControl w:val="0"/>
        <w:spacing w:after="120"/>
        <w:ind w:firstLine="288"/>
        <w:jc w:val="both"/>
      </w:pPr>
      <w:r>
        <w:t xml:space="preserve">Chapter 13 will first consider the proper accounting for § 1001 gain or loss, including a discussion of accounting for inventory sales and installment sales. The bulk of the chapter, however, will be spent exploring several nonrecognition or deferral provisions. </w:t>
      </w:r>
    </w:p>
    <w:p w:rsidR="0078310B" w:rsidRDefault="0078310B" w:rsidP="0078310B">
      <w:pPr>
        <w:widowControl w:val="0"/>
        <w:spacing w:after="120"/>
        <w:ind w:firstLine="288"/>
        <w:jc w:val="both"/>
      </w:pPr>
      <w:r>
        <w:t xml:space="preserve">Chapter 14 will review the rate of basis recovery in the case of debt instruments and compare it to the rate of basis recovery under the depreciation and related provisions. </w:t>
      </w:r>
    </w:p>
    <w:p w:rsidR="0078310B" w:rsidRDefault="0078310B" w:rsidP="0078310B">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15!</w:t>
      </w:r>
    </w:p>
    <w:p w:rsidR="0078310B" w:rsidRDefault="0078310B" w:rsidP="0078310B">
      <w:pPr>
        <w:widowControl w:val="0"/>
        <w:spacing w:after="120"/>
        <w:ind w:firstLine="288"/>
        <w:jc w:val="both"/>
      </w:pPr>
      <w:r>
        <w:t xml:space="preserve">Finally, Chapter 16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rsidR="0078310B" w:rsidRDefault="0078310B" w:rsidP="0078310B">
      <w:pPr>
        <w:widowControl w:val="0"/>
        <w:spacing w:after="120"/>
        <w:ind w:firstLine="288"/>
        <w:jc w:val="both"/>
      </w:pPr>
    </w:p>
    <w:p w:rsidR="0078310B" w:rsidRDefault="0078310B" w:rsidP="0078310B">
      <w:pPr>
        <w:widowControl w:val="0"/>
        <w:spacing w:after="120"/>
        <w:ind w:firstLine="288"/>
        <w:jc w:val="both"/>
        <w:sectPr w:rsidR="0078310B" w:rsidSect="005337BA">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jc w:val="both"/>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A74446" w:rsidRDefault="0078310B" w:rsidP="0078310B">
      <w:pPr>
        <w:pStyle w:val="Heading2"/>
        <w:spacing w:before="0"/>
        <w:rPr>
          <w:sz w:val="36"/>
          <w:szCs w:val="36"/>
          <w:u w:val="single"/>
        </w:rPr>
      </w:pPr>
      <w:bookmarkStart w:id="231" w:name="_Toc395790527"/>
      <w:r w:rsidRPr="00A74446">
        <w:rPr>
          <w:sz w:val="36"/>
          <w:szCs w:val="36"/>
        </w:rPr>
        <w:t>Chapter 13: Properly Accounting for, and the</w:t>
      </w:r>
      <w:r w:rsidRPr="00A74446">
        <w:rPr>
          <w:sz w:val="36"/>
          <w:szCs w:val="36"/>
          <w:u w:val="single"/>
        </w:rPr>
        <w:t xml:space="preserve"> Nonrecognition of, § 1001 Realized Gain or Loss</w:t>
      </w:r>
      <w:bookmarkEnd w:id="231"/>
    </w:p>
    <w:p w:rsidR="0078310B" w:rsidRDefault="0078310B" w:rsidP="0078310B">
      <w:pPr>
        <w:widowControl w:val="0"/>
        <w:spacing w:after="120"/>
      </w:pPr>
    </w:p>
    <w:p w:rsidR="0078310B" w:rsidRDefault="007722EB" w:rsidP="0078310B">
      <w:pPr>
        <w:widowControl w:val="0"/>
        <w:spacing w:after="120"/>
        <w:ind w:firstLine="288"/>
        <w:jc w:val="both"/>
      </w:pPr>
      <w:r>
        <w:t xml:space="preserve">There is a logical order in the steps to take when analyzing the tax consequences of a realization event, </w:t>
      </w:r>
      <w:r>
        <w:rPr>
          <w:i/>
        </w:rPr>
        <w:t>i.e.</w:t>
      </w:r>
      <w:r>
        <w:t xml:space="preserve">, when </w:t>
      </w:r>
      <w:r w:rsidR="0078310B">
        <w:t xml:space="preserve">property is sold (for cash), exchanged (for other property), destroyed, stolen, </w:t>
      </w:r>
      <w:r>
        <w:rPr>
          <w:i/>
        </w:rPr>
        <w:t>etc.</w:t>
      </w:r>
    </w:p>
    <w:p w:rsidR="0078310B" w:rsidRPr="00D25FB1" w:rsidRDefault="0078310B" w:rsidP="0078310B">
      <w:pPr>
        <w:pStyle w:val="Heading3"/>
        <w:spacing w:before="0" w:beforeAutospacing="0" w:after="120" w:afterAutospacing="0"/>
        <w:rPr>
          <w:i/>
        </w:rPr>
      </w:pPr>
      <w:bookmarkStart w:id="232" w:name="_Toc395790528"/>
      <w:r w:rsidRPr="00D25FB1">
        <w:rPr>
          <w:i/>
        </w:rPr>
        <w:t>On the disposition of property</w:t>
      </w:r>
      <w:bookmarkEnd w:id="232"/>
    </w:p>
    <w:p w:rsidR="0078310B" w:rsidRPr="008A1517" w:rsidRDefault="0078310B" w:rsidP="0078310B">
      <w:pPr>
        <w:widowControl w:val="0"/>
        <w:spacing w:after="120"/>
        <w:ind w:firstLine="288"/>
        <w:jc w:val="both"/>
      </w:pPr>
      <w:r w:rsidRPr="002C54C6">
        <w:rPr>
          <w:b/>
          <w:u w:val="single"/>
        </w:rPr>
        <w:t>Step 1</w:t>
      </w:r>
      <w:r>
        <w:rPr>
          <w:b/>
        </w:rPr>
        <w:t xml:space="preserve">: What is the </w:t>
      </w:r>
      <w:hyperlink r:id="rId734" w:history="1">
        <w:r w:rsidRPr="0033762C">
          <w:rPr>
            <w:rStyle w:val="Hyperlink"/>
            <w:b/>
          </w:rPr>
          <w:t>§ 1001</w:t>
        </w:r>
      </w:hyperlink>
      <w:r>
        <w:rPr>
          <w:b/>
        </w:rPr>
        <w:t xml:space="preserve"> realized gain or loss? </w:t>
      </w:r>
      <w:r>
        <w:t xml:space="preserve">This </w:t>
      </w:r>
      <w:r w:rsidR="00A4267C">
        <w:t xml:space="preserve">step </w:t>
      </w:r>
      <w:r>
        <w:t xml:space="preserve">must </w:t>
      </w:r>
      <w:r w:rsidRPr="0025714D">
        <w:rPr>
          <w:i/>
        </w:rPr>
        <w:t>always</w:t>
      </w:r>
      <w:r w:rsidR="00A4267C">
        <w:t xml:space="preserve"> come first </w:t>
      </w:r>
      <w:r>
        <w:t>in the analysis, as this amount is what may possibly be included in § 61</w:t>
      </w:r>
      <w:r w:rsidR="00A4267C">
        <w:t>(a)(3)</w:t>
      </w:r>
      <w:r>
        <w:t xml:space="preserve">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12. </w:t>
      </w:r>
    </w:p>
    <w:p w:rsidR="0078310B" w:rsidRDefault="0078310B" w:rsidP="0078310B">
      <w:pPr>
        <w:widowControl w:val="0"/>
        <w:spacing w:after="120"/>
        <w:ind w:firstLine="288"/>
        <w:jc w:val="both"/>
      </w:pPr>
      <w:r>
        <w:rPr>
          <w:b/>
          <w:u w:val="single"/>
        </w:rPr>
        <w:t>Step 2</w:t>
      </w:r>
      <w:r>
        <w:rPr>
          <w:b/>
        </w:rPr>
        <w:t xml:space="preserve">: If a gain, is it includable? </w:t>
      </w:r>
      <w:r>
        <w:rPr>
          <w:b/>
          <w:i/>
        </w:rPr>
        <w:t>See, e.g.</w:t>
      </w:r>
      <w:r>
        <w:rPr>
          <w:b/>
        </w:rPr>
        <w:t xml:space="preserve">, §§ 61(a)(3), 1041(a), 1033, 1031, 121. If a loss, is it deductible? </w:t>
      </w:r>
      <w:r>
        <w:rPr>
          <w:b/>
          <w:i/>
        </w:rPr>
        <w:t>See, e.g.</w:t>
      </w:r>
      <w:r>
        <w:rPr>
          <w:b/>
        </w:rPr>
        <w:t xml:space="preserve">, §§ 165(c), 1041(a), 1031, 267(a)(1), 1091. </w:t>
      </w:r>
      <w:r>
        <w:t xml:space="preserve">Section </w:t>
      </w:r>
      <w:hyperlink r:id="rId735"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9 when you studied </w:t>
      </w:r>
      <w:hyperlink r:id="rId736"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93"/>
      </w:r>
      <w:r>
        <w:t xml:space="preserve"> it goes unrecognized under the authority of § 1041(a). In this chapter, you will study §§ 1033 and 1031, which also permit realized gain to go unrecognized. </w:t>
      </w:r>
    </w:p>
    <w:p w:rsidR="0078310B" w:rsidRDefault="0078310B" w:rsidP="0078310B">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xml:space="preserve">. Recall from Chapter 1 that, for a wealth reduction to be deductible, a taxpayer must find a Code section saying “there shall be allowed as a deduction” and satisfy its terms. For a “loss,” the Code section providing that authority is </w:t>
      </w:r>
      <w:hyperlink r:id="rId737"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 which we shall examine in Chapter 18.</w:t>
      </w:r>
      <w:r>
        <w:rPr>
          <w:rStyle w:val="FootnoteReference"/>
        </w:rPr>
        <w:footnoteReference w:id="394"/>
      </w:r>
      <w:r>
        <w:t xml:space="preserve"> </w:t>
      </w:r>
    </w:p>
    <w:p w:rsidR="0078310B" w:rsidRDefault="0078310B" w:rsidP="0078310B">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w:t>
      </w:r>
      <w:r w:rsidR="00CD3E89">
        <w:rPr>
          <w:b/>
        </w:rPr>
        <w:t xml:space="preserve">character </w:t>
      </w:r>
      <w:r>
        <w:rPr>
          <w:b/>
        </w:rPr>
        <w:t xml:space="preserve">matter? </w:t>
      </w:r>
      <w:r>
        <w:rPr>
          <w:b/>
          <w:i/>
        </w:rPr>
        <w:t>See</w:t>
      </w:r>
      <w:r>
        <w:rPr>
          <w:b/>
        </w:rPr>
        <w:t xml:space="preserve"> §§ 1221, 1222, 1211, 1212, 1245, 1250, 1231, 1(h). </w:t>
      </w:r>
      <w:r>
        <w:t xml:space="preserve">Only if a realized gain is includable or a realized loss is deductible does it matter whether it is capital, ordinary, or § 1231 gain or loss. If the realized gain is not includable or realized loss is not deductible, its character is irrelevant. We shall explore characterization issues in Chapter 15. </w:t>
      </w:r>
    </w:p>
    <w:p w:rsidR="0078310B" w:rsidRDefault="0078310B" w:rsidP="0078310B">
      <w:pPr>
        <w:widowControl w:val="0"/>
        <w:spacing w:after="120"/>
        <w:ind w:firstLine="288"/>
        <w:jc w:val="both"/>
      </w:pPr>
      <w:r>
        <w:rPr>
          <w:b/>
          <w:u w:val="single"/>
        </w:rPr>
        <w:t>Step 4</w:t>
      </w:r>
      <w:r>
        <w:rPr>
          <w:b/>
        </w:rPr>
        <w:t xml:space="preserve">: If new property is obtained, what is the basis of the new property? </w:t>
      </w:r>
      <w:r>
        <w:rPr>
          <w:b/>
          <w:i/>
        </w:rPr>
        <w:t>See</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rsidR="00867A02" w:rsidRDefault="0078310B" w:rsidP="0078310B">
      <w:pPr>
        <w:widowControl w:val="0"/>
        <w:spacing w:after="120"/>
        <w:ind w:firstLine="288"/>
        <w:jc w:val="both"/>
      </w:pPr>
      <w:r w:rsidRPr="00CE1380">
        <w:t>You learned</w:t>
      </w:r>
      <w:r>
        <w:t xml:space="preserve"> in Chapter 9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38" w:history="1">
        <w:r w:rsidRPr="0033762C">
          <w:rPr>
            <w:rStyle w:val="Hyperlink"/>
          </w:rPr>
          <w:t>§ 1041</w:t>
        </w:r>
      </w:hyperlink>
      <w:r w:rsidRPr="00CE1380">
        <w:t xml:space="preserve">(b)(2). </w:t>
      </w:r>
      <w:r w:rsidR="00D00AF5">
        <w:t xml:space="preserve">Similarly, you also learned in Chapter 7 that gifts </w:t>
      </w:r>
      <w:r w:rsidR="00867A02">
        <w:t>are not realization events and that the donee generally takes the</w:t>
      </w:r>
      <w:r w:rsidR="00D00AF5">
        <w:t xml:space="preserve"> same basis that the donor had in the property</w:t>
      </w:r>
      <w:r w:rsidR="00867A02">
        <w:t xml:space="preserve"> under </w:t>
      </w:r>
      <w:hyperlink r:id="rId739" w:history="1">
        <w:r w:rsidR="00867A02" w:rsidRPr="0033762C">
          <w:rPr>
            <w:rStyle w:val="Hyperlink"/>
          </w:rPr>
          <w:t>§ 1015</w:t>
        </w:r>
      </w:hyperlink>
      <w:r w:rsidR="00867A02">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40" w:history="1">
        <w:r w:rsidRPr="0033762C">
          <w:rPr>
            <w:rStyle w:val="Hyperlink"/>
          </w:rPr>
          <w:t>§ 7701</w:t>
        </w:r>
      </w:hyperlink>
      <w:r w:rsidRPr="00CE1380">
        <w:t xml:space="preserve">(a)(43). </w:t>
      </w:r>
    </w:p>
    <w:p w:rsidR="0078310B" w:rsidRDefault="0078310B" w:rsidP="0078310B">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sidR="0033762C">
        <w:rPr>
          <w:rStyle w:val="FootnoteReference"/>
        </w:rPr>
        <w:footnoteReference w:id="395"/>
      </w:r>
      <w:r w:rsidRPr="00CE1380">
        <w:t xml:space="preserve"> </w:t>
      </w:r>
    </w:p>
    <w:p w:rsidR="0078310B" w:rsidRDefault="0078310B" w:rsidP="0078310B">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rsidR="0078310B" w:rsidRDefault="0078310B" w:rsidP="0078310B">
      <w:pPr>
        <w:widowControl w:val="0"/>
        <w:ind w:firstLine="288"/>
        <w:jc w:val="both"/>
      </w:pPr>
    </w:p>
    <w:p w:rsidR="0078310B" w:rsidRPr="00A74446" w:rsidRDefault="0078310B" w:rsidP="0078310B">
      <w:pPr>
        <w:pStyle w:val="Heading2"/>
        <w:spacing w:before="0"/>
        <w:rPr>
          <w:sz w:val="32"/>
          <w:szCs w:val="32"/>
          <w:u w:val="single"/>
        </w:rPr>
      </w:pPr>
      <w:bookmarkStart w:id="233" w:name="_Toc395790529"/>
      <w:r w:rsidRPr="00A74446">
        <w:rPr>
          <w:sz w:val="32"/>
          <w:szCs w:val="32"/>
          <w:u w:val="single"/>
        </w:rPr>
        <w:t>A. Properly accounting for realized and recognized gain and loss</w:t>
      </w:r>
      <w:bookmarkEnd w:id="233"/>
    </w:p>
    <w:p w:rsidR="0078310B" w:rsidRDefault="0078310B" w:rsidP="0078310B">
      <w:pPr>
        <w:widowControl w:val="0"/>
        <w:rPr>
          <w:b/>
        </w:rPr>
      </w:pPr>
    </w:p>
    <w:p w:rsidR="0078310B" w:rsidRDefault="0078310B" w:rsidP="0078310B">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rsidR="0078310B" w:rsidRPr="00870F72" w:rsidRDefault="0078310B" w:rsidP="0078310B">
      <w:pPr>
        <w:widowControl w:val="0"/>
        <w:spacing w:after="120"/>
        <w:ind w:firstLine="288"/>
        <w:jc w:val="both"/>
      </w:pPr>
      <w:r>
        <w:t xml:space="preserve">Assume, for example, that Barbara owns (1) a diamond ring that she purchased many years ago for $5,000, which she wears for personal purposes,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Assume, for example, the personal-use car is today worth $10,000. Thus, $10,000 of the $30,000 sales proceeds is allocated to the car sale, and the remaining $20,000 of the sales proceeds is allocated to the ring sale. The car sale produces a $10,000 realized </w:t>
      </w:r>
      <w:r w:rsidRPr="004A048B">
        <w:rPr>
          <w:i/>
        </w:rPr>
        <w:t>loss</w:t>
      </w:r>
      <w:r>
        <w:t xml:space="preserve"> under </w:t>
      </w:r>
      <w:hyperlink r:id="rId741" w:history="1">
        <w:r w:rsidRPr="00545646">
          <w:rPr>
            <w:rStyle w:val="Hyperlink"/>
          </w:rPr>
          <w:t>§ 1001</w:t>
        </w:r>
      </w:hyperlink>
      <w:r>
        <w:t xml:space="preserve"> ($10,000 A/R </w:t>
      </w:r>
      <w:r>
        <w:rPr>
          <w:i/>
        </w:rPr>
        <w:t xml:space="preserve">less </w:t>
      </w:r>
      <w:r>
        <w:t xml:space="preserve">$20,000 A/B), which is a nondeductible personal loss under </w:t>
      </w:r>
      <w:hyperlink r:id="rId742" w:history="1">
        <w:r w:rsidRPr="00545646">
          <w:rPr>
            <w:rStyle w:val="Hyperlink"/>
          </w:rPr>
          <w:t>§ 165</w:t>
        </w:r>
      </w:hyperlink>
      <w:r>
        <w:t xml:space="preserve">(c)(3). 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96"/>
      </w:r>
    </w:p>
    <w:p w:rsidR="0078310B" w:rsidRDefault="0078310B" w:rsidP="0078310B">
      <w:pPr>
        <w:widowControl w:val="0"/>
        <w:spacing w:after="120"/>
        <w:ind w:firstLine="288"/>
        <w:jc w:val="both"/>
      </w:pPr>
      <w:r>
        <w:t xml:space="preserve">Similarly, Bob Buyer must allocate the $30,000 purchase price between the two properties according to their relative FMVs for purposes of determining his </w:t>
      </w:r>
      <w:hyperlink r:id="rId743" w:history="1">
        <w:r w:rsidRPr="00545646">
          <w:rPr>
            <w:rStyle w:val="Hyperlink"/>
          </w:rPr>
          <w:t>§ 1012</w:t>
        </w:r>
      </w:hyperlink>
      <w:r>
        <w:t xml:space="preserve"> cost basis in each. Therefore, Bob Buyer allocates $10,000 of his purchase price to the car, taking a $10,000 cost basis under § 1012, and allocates the remaining $20,000 to the ring as its cost basis. </w:t>
      </w:r>
    </w:p>
    <w:p w:rsidR="0078310B" w:rsidRDefault="0078310B" w:rsidP="0078310B">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rsidR="0078310B" w:rsidRDefault="0078310B" w:rsidP="0078310B">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w:t>
      </w:r>
      <w:hyperlink r:id="rId744" w:history="1">
        <w:r w:rsidRPr="00545646">
          <w:rPr>
            <w:rStyle w:val="Hyperlink"/>
          </w:rPr>
          <w:t>§ 167</w:t>
        </w:r>
      </w:hyperlink>
      <w:r>
        <w:t xml:space="preserve">(a)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w:t>
      </w:r>
      <w:hyperlink r:id="rId745" w:history="1">
        <w:r w:rsidRPr="00545646">
          <w:rPr>
            <w:rStyle w:val="Hyperlink"/>
          </w:rPr>
          <w:t>§ 1016</w:t>
        </w:r>
      </w:hyperlink>
      <w:r>
        <w:t xml:space="preserve">(a)(2) to $300,000. </w:t>
      </w:r>
    </w:p>
    <w:p w:rsidR="0078310B" w:rsidRDefault="0078310B" w:rsidP="0078310B">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is allocated to the land sale, producing a § 1001 </w:t>
      </w:r>
      <w:r w:rsidRPr="004A048B">
        <w:rPr>
          <w:i/>
        </w:rPr>
        <w:t>loss</w:t>
      </w:r>
      <w:r>
        <w:t xml:space="preserve"> of $25,000 ($75,000 A/R </w:t>
      </w:r>
      <w:r>
        <w:rPr>
          <w:i/>
        </w:rPr>
        <w:t>less</w:t>
      </w:r>
      <w:r>
        <w:t xml:space="preserve"> $100,000 A/B). Marty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15 will explore the character of these gains and losses under Step 3.) </w:t>
      </w:r>
    </w:p>
    <w:p w:rsidR="0078310B" w:rsidRPr="00D25FB1" w:rsidRDefault="0078310B" w:rsidP="0078310B">
      <w:pPr>
        <w:pStyle w:val="Heading3"/>
        <w:spacing w:before="0" w:beforeAutospacing="0" w:after="120" w:afterAutospacing="0"/>
        <w:rPr>
          <w:i/>
        </w:rPr>
      </w:pPr>
      <w:bookmarkStart w:id="234" w:name="_Toc395790530"/>
      <w:r w:rsidRPr="00D25FB1">
        <w:rPr>
          <w:i/>
        </w:rPr>
        <w:t>Inventory sales</w:t>
      </w:r>
      <w:bookmarkEnd w:id="234"/>
    </w:p>
    <w:p w:rsidR="0078310B" w:rsidRDefault="0078310B" w:rsidP="0078310B">
      <w:pPr>
        <w:widowControl w:val="0"/>
        <w:spacing w:after="120"/>
        <w:ind w:firstLine="288"/>
        <w:jc w:val="both"/>
      </w:pPr>
      <w:r>
        <w:t>Inventory accounting is a major exception to the rule that § 1001 must be applied separately to each sale of property. Can you imagine if the owner of a hardware store had to calculate his § 1001 gain or loss separately with respect to each individual nail that he sold? Instead of calculating § 1001 gain and including that gain in Gross Income under § 61(a)(3), taxpayers who sell inventory include Gross Income under § 61(a)(2) (“Gross Income derived from business”) and calculate that Gross Income by subtracting the Cost of Goods Sold from Gross Receipts.</w:t>
      </w:r>
      <w:r>
        <w:rPr>
          <w:rStyle w:val="FootnoteReference"/>
        </w:rPr>
        <w:footnoteReference w:id="397"/>
      </w:r>
      <w:r>
        <w:t xml:space="preserve"> The resulting amount, of course, is merely </w:t>
      </w:r>
      <w:r>
        <w:rPr>
          <w:i/>
        </w:rPr>
        <w:t>Gross Income</w:t>
      </w:r>
      <w:r>
        <w:t xml:space="preserve">. The business would then deduct any allowable business expenses under § 162, business interest expense under § 163(a), depreciation in any business equipment or building that it owns under §§ 167 and 168, </w:t>
      </w:r>
      <w:r>
        <w:rPr>
          <w:i/>
        </w:rPr>
        <w:t>etc.</w:t>
      </w:r>
      <w:r>
        <w:t xml:space="preserve">, in reaching Taxable Income. </w:t>
      </w:r>
    </w:p>
    <w:p w:rsidR="0078310B" w:rsidRDefault="0078310B" w:rsidP="0078310B">
      <w:pPr>
        <w:widowControl w:val="0"/>
      </w:pPr>
      <w:r>
        <w:tab/>
      </w:r>
      <w:r>
        <w:tab/>
      </w:r>
      <w:r>
        <w:tab/>
        <w:t>Gross Receipts</w:t>
      </w:r>
    </w:p>
    <w:p w:rsidR="0078310B" w:rsidRDefault="0078310B" w:rsidP="0078310B">
      <w:pPr>
        <w:widowControl w:val="0"/>
        <w:spacing w:after="120"/>
      </w:pPr>
      <w:r>
        <w:tab/>
      </w:r>
      <w:r>
        <w:tab/>
        <w:t xml:space="preserve">   </w:t>
      </w:r>
      <w:r>
        <w:rPr>
          <w:i/>
        </w:rPr>
        <w:t>less</w:t>
      </w:r>
      <w:r>
        <w:t xml:space="preserve">   </w:t>
      </w:r>
      <w:r w:rsidRPr="00EE0CBD">
        <w:rPr>
          <w:u w:val="single"/>
        </w:rPr>
        <w:t>Cost of Goods Sold</w:t>
      </w:r>
      <w:r>
        <w:t xml:space="preserve"> </w:t>
      </w:r>
    </w:p>
    <w:p w:rsidR="0078310B" w:rsidRDefault="0078310B" w:rsidP="0078310B">
      <w:pPr>
        <w:widowControl w:val="0"/>
      </w:pPr>
      <w:r>
        <w:t xml:space="preserve">                                    Gross Income derived from business under § 61(a)(2)</w:t>
      </w:r>
    </w:p>
    <w:p w:rsidR="0078310B" w:rsidRDefault="0078310B" w:rsidP="0078310B">
      <w:pPr>
        <w:widowControl w:val="0"/>
        <w:spacing w:after="120"/>
      </w:pPr>
      <w:r>
        <w:t xml:space="preserve">                           </w:t>
      </w:r>
      <w:r>
        <w:rPr>
          <w:i/>
        </w:rPr>
        <w:t>less</w:t>
      </w:r>
      <w:r>
        <w:t xml:space="preserve">   </w:t>
      </w:r>
      <w:r w:rsidRPr="00EE0CBD">
        <w:rPr>
          <w:u w:val="single"/>
        </w:rPr>
        <w:t>allowable deductions</w:t>
      </w:r>
      <w:r>
        <w:t xml:space="preserve"> </w:t>
      </w:r>
    </w:p>
    <w:p w:rsidR="0078310B" w:rsidRPr="00EE0CBD" w:rsidRDefault="0078310B" w:rsidP="0078310B">
      <w:pPr>
        <w:widowControl w:val="0"/>
        <w:spacing w:after="120"/>
      </w:pPr>
      <w:r>
        <w:t xml:space="preserve">                                    Taxable Income</w:t>
      </w:r>
    </w:p>
    <w:p w:rsidR="0078310B" w:rsidRDefault="0078310B" w:rsidP="0078310B">
      <w:pPr>
        <w:widowControl w:val="0"/>
        <w:spacing w:after="120"/>
        <w:ind w:firstLine="288"/>
        <w:jc w:val="both"/>
      </w:pPr>
      <w:r>
        <w:t xml:space="preserve">You can think of the Cost of Goods Sold as an </w:t>
      </w:r>
      <w:r w:rsidRPr="00EE0CBD">
        <w:rPr>
          <w:i/>
        </w:rPr>
        <w:t>aggregate</w:t>
      </w:r>
      <w:r>
        <w:t xml:space="preserve"> basis concept. The taxpayer determines the Cost of Goods Sold for the year as follows:</w:t>
      </w:r>
    </w:p>
    <w:p w:rsidR="0078310B" w:rsidRDefault="0078310B" w:rsidP="0078310B">
      <w:pPr>
        <w:widowControl w:val="0"/>
        <w:ind w:firstLine="288"/>
      </w:pPr>
      <w:r>
        <w:t xml:space="preserve">                               Opening Inventory</w:t>
      </w:r>
    </w:p>
    <w:p w:rsidR="0078310B" w:rsidRDefault="0078310B" w:rsidP="0078310B">
      <w:pPr>
        <w:widowControl w:val="0"/>
        <w:ind w:firstLine="288"/>
      </w:pPr>
      <w:r>
        <w:t xml:space="preserve">                      </w:t>
      </w:r>
      <w:r>
        <w:rPr>
          <w:i/>
        </w:rPr>
        <w:t>plus</w:t>
      </w:r>
      <w:r>
        <w:t xml:space="preserve">  Purchased Inventory (new inventory purchased during the year)</w:t>
      </w:r>
    </w:p>
    <w:p w:rsidR="0078310B" w:rsidRPr="00547373" w:rsidRDefault="0078310B" w:rsidP="0078310B">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rsidR="0078310B" w:rsidRDefault="0078310B" w:rsidP="0078310B">
      <w:pPr>
        <w:widowControl w:val="0"/>
        <w:spacing w:after="120"/>
        <w:ind w:firstLine="288"/>
      </w:pPr>
      <w:r>
        <w:t xml:space="preserve">                               Cost of Goods Sold</w:t>
      </w:r>
    </w:p>
    <w:p w:rsidR="0078310B" w:rsidRDefault="0078310B" w:rsidP="0078310B">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rsidR="0078310B" w:rsidRDefault="0078310B" w:rsidP="0078310B">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rsidR="0078310B" w:rsidRDefault="0078310B" w:rsidP="0078310B">
      <w:pPr>
        <w:widowControl w:val="0"/>
        <w:spacing w:after="120"/>
        <w:ind w:firstLine="288"/>
        <w:jc w:val="both"/>
      </w:pPr>
      <w:r>
        <w:t xml:space="preserve">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on inventory.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John’s Cost of Goods Sold would be </w:t>
      </w:r>
      <w:r>
        <w:rPr>
          <w:i/>
        </w:rPr>
        <w:t>higher</w:t>
      </w:r>
      <w:r>
        <w:t xml:space="preserve"> under the LIFO method than under the FIFO method.</w:t>
      </w:r>
    </w:p>
    <w:p w:rsidR="0078310B" w:rsidRPr="002248F4" w:rsidRDefault="0078310B" w:rsidP="0078310B">
      <w:pPr>
        <w:widowControl w:val="0"/>
        <w:spacing w:after="120"/>
        <w:ind w:firstLine="288"/>
        <w:rPr>
          <w:u w:val="single"/>
        </w:rPr>
      </w:pPr>
      <w:r>
        <w:t xml:space="preserve">        </w:t>
      </w:r>
      <w:r>
        <w:rPr>
          <w:u w:val="single"/>
        </w:rPr>
        <w:t>Cost of Goods Sold (FIFO)</w:t>
      </w:r>
      <w:r>
        <w:t xml:space="preserve">                              </w:t>
      </w:r>
      <w:r>
        <w:rPr>
          <w:u w:val="single"/>
        </w:rPr>
        <w:t>Cost of Goods Sold (LIFO)</w:t>
      </w:r>
    </w:p>
    <w:p w:rsidR="0078310B" w:rsidRDefault="0078310B" w:rsidP="0078310B">
      <w:pPr>
        <w:widowControl w:val="0"/>
        <w:ind w:firstLine="288"/>
      </w:pPr>
      <w:r>
        <w:t xml:space="preserve">         Opening Inventory:           $2,500                     Opening Inventory:            $2,500</w:t>
      </w:r>
    </w:p>
    <w:p w:rsidR="0078310B" w:rsidRPr="002248F4" w:rsidRDefault="0078310B" w:rsidP="0078310B">
      <w:pPr>
        <w:widowControl w:val="0"/>
      </w:pPr>
      <w:r>
        <w:t xml:space="preserve">    </w:t>
      </w:r>
      <w:r>
        <w:rPr>
          <w:i/>
        </w:rPr>
        <w:t>plus</w:t>
      </w:r>
      <w:r>
        <w:t xml:space="preserve">   Purchased Inventory:              700           </w:t>
      </w:r>
      <w:r>
        <w:rPr>
          <w:i/>
        </w:rPr>
        <w:t xml:space="preserve">plus </w:t>
      </w:r>
      <w:r>
        <w:t xml:space="preserve">  Purchased Inventory:              700</w:t>
      </w:r>
    </w:p>
    <w:p w:rsidR="0078310B" w:rsidRPr="002248F4" w:rsidRDefault="0078310B" w:rsidP="0078310B">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rsidR="0078310B" w:rsidRDefault="0078310B" w:rsidP="0078310B">
      <w:pPr>
        <w:widowControl w:val="0"/>
        <w:spacing w:after="120"/>
      </w:pPr>
      <w:r>
        <w:t xml:space="preserve">                                                            $400                                                                   $560</w:t>
      </w:r>
    </w:p>
    <w:p w:rsidR="0078310B" w:rsidRPr="009C00A7" w:rsidRDefault="0078310B" w:rsidP="0078310B">
      <w:pPr>
        <w:widowControl w:val="0"/>
        <w:spacing w:after="120"/>
        <w:jc w:val="both"/>
      </w:pPr>
      <w:r>
        <w:t xml:space="preserve">Thus, John’s § 61(a)(2) Gross Income derived from business would be </w:t>
      </w:r>
      <w:r w:rsidRPr="004D7457">
        <w:rPr>
          <w:i/>
        </w:rPr>
        <w:t>lower</w:t>
      </w:r>
      <w:r>
        <w:t xml:space="preserve"> under the LI</w:t>
      </w:r>
      <w:r w:rsidRPr="009C00A7">
        <w:t>FO method than under the FIFO method.</w:t>
      </w:r>
    </w:p>
    <w:p w:rsidR="0078310B" w:rsidRPr="009C00A7" w:rsidRDefault="0078310B" w:rsidP="0078310B">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rsidR="0078310B" w:rsidRPr="009C00A7" w:rsidRDefault="0078310B" w:rsidP="0078310B">
      <w:pPr>
        <w:widowControl w:val="0"/>
      </w:pPr>
      <w:r w:rsidRPr="009C00A7">
        <w:t xml:space="preserve">              Gross Receipts:                $800                         Gross Receipts:               $800      </w:t>
      </w:r>
    </w:p>
    <w:p w:rsidR="0078310B" w:rsidRPr="009C00A7" w:rsidRDefault="0078310B" w:rsidP="0078310B">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rsidR="0078310B" w:rsidRPr="009C00A7" w:rsidRDefault="0078310B" w:rsidP="0078310B">
      <w:pPr>
        <w:widowControl w:val="0"/>
        <w:spacing w:after="120"/>
      </w:pPr>
      <w:r w:rsidRPr="009C00A7">
        <w:t xml:space="preserve">                                                       $400                                   </w:t>
      </w:r>
      <w:r>
        <w:t xml:space="preserve">                               $</w:t>
      </w:r>
      <w:r w:rsidRPr="009C00A7">
        <w:t>240</w:t>
      </w:r>
    </w:p>
    <w:p w:rsidR="0078310B" w:rsidRPr="009C00A7" w:rsidRDefault="0078310B" w:rsidP="0078310B">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 xml:space="preserve">he ability to elect LIFO treatment has been front and center in tax reform proposals because a lot of revenue is at stake. Moreover, International Financial Reporting Standards do not permit use of the LIFO method. President Obama </w:t>
      </w:r>
      <w:r>
        <w:t xml:space="preserve">has </w:t>
      </w:r>
      <w:r w:rsidRPr="009C00A7">
        <w:t xml:space="preserve">advocated repeal of the method in his Budget proposals for </w:t>
      </w:r>
      <w:r>
        <w:t>each year since 2010</w:t>
      </w:r>
      <w:r w:rsidRPr="009C00A7">
        <w:t xml:space="preserve">. </w:t>
      </w:r>
      <w:r>
        <w:t>In 2014,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98"/>
      </w:r>
      <w:r w:rsidRPr="009C00A7">
        <w:t xml:space="preserve"> </w:t>
      </w:r>
    </w:p>
    <w:p w:rsidR="0078310B" w:rsidRPr="00D25FB1" w:rsidRDefault="0078310B" w:rsidP="0078310B">
      <w:pPr>
        <w:pStyle w:val="Heading3"/>
        <w:spacing w:before="0" w:beforeAutospacing="0" w:after="120" w:afterAutospacing="0"/>
        <w:rPr>
          <w:i/>
        </w:rPr>
      </w:pPr>
      <w:bookmarkStart w:id="235" w:name="_Toc395790531"/>
      <w:r w:rsidRPr="00D25FB1">
        <w:rPr>
          <w:i/>
        </w:rPr>
        <w:t>Timing of § 1001 realized and recognized gain inclusion</w:t>
      </w:r>
      <w:bookmarkEnd w:id="235"/>
    </w:p>
    <w:p w:rsidR="0078310B" w:rsidRDefault="0078310B" w:rsidP="0078310B">
      <w:pPr>
        <w:widowControl w:val="0"/>
        <w:spacing w:after="120"/>
        <w:ind w:firstLine="288"/>
        <w:jc w:val="both"/>
      </w:pPr>
      <w:r w:rsidRPr="00E7297C">
        <w:t>When is realized and recognized § 1001 gain (</w:t>
      </w:r>
      <w:r w:rsidRPr="00757CB2">
        <w:rPr>
          <w:i/>
        </w:rPr>
        <w:t>i.e.</w:t>
      </w:r>
      <w:r w:rsidRPr="00E7297C">
        <w:t>, gain that is not protected from inclusion under a nonrecognition provision, such as §§ 1033 or 1031) included on the tax return? As you learned in Chapter 10, the timing of § 61 Gross Income inclusions (including § 61(a)(3) and (a)(2) Gross Income) usually depends on the taxpaye</w:t>
      </w:r>
      <w:r w:rsidR="000F41E9">
        <w:t>r’</w:t>
      </w:r>
      <w:r w:rsidRPr="00E7297C">
        <w:t>s method of accounting, whether the cash method or the accrual method.</w:t>
      </w:r>
      <w:r>
        <w:t xml:space="preserve"> Some students interpret the word “cash” in the term “cash method of accounting” to imply that Gross Income is not included by a cash method taxpayer until </w:t>
      </w:r>
      <w:r w:rsidRPr="000E7E45">
        <w:rPr>
          <w:i/>
        </w:rPr>
        <w:t>cash</w:t>
      </w:r>
      <w:r>
        <w:t xml:space="preserve"> is received. That assumption is not correct. While use of the word “cash” may be unfortunate, you learned in Chapter 10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99"/>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rsidR="0078310B" w:rsidRDefault="0078310B" w:rsidP="0078310B">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land value during her ownership period under the realization requirement, the property exchange is a realization event under § 1001, and Nora realizes and recognizes a $90,000 gain ($100,000 A/R </w:t>
      </w:r>
      <w:r>
        <w:rPr>
          <w:i/>
        </w:rPr>
        <w:t>less</w:t>
      </w:r>
      <w:r>
        <w:t xml:space="preserve"> $10,000 A/B) because no nonrecognition provision would apply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rsidR="0078310B" w:rsidRDefault="0078310B" w:rsidP="0078310B">
      <w:pPr>
        <w:widowControl w:val="0"/>
        <w:spacing w:after="120"/>
        <w:ind w:firstLine="288"/>
        <w:jc w:val="both"/>
      </w:pPr>
      <w:r>
        <w:t>Nora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Pr>
          <w:rStyle w:val="FootnoteReference"/>
        </w:rPr>
        <w:footnoteReference w:id="400"/>
      </w:r>
    </w:p>
    <w:p w:rsidR="0078310B" w:rsidRPr="00D25FB1" w:rsidRDefault="0078310B" w:rsidP="0078310B">
      <w:pPr>
        <w:pStyle w:val="Heading3"/>
        <w:spacing w:before="0" w:beforeAutospacing="0" w:after="120" w:afterAutospacing="0"/>
        <w:rPr>
          <w:i/>
        </w:rPr>
      </w:pPr>
      <w:bookmarkStart w:id="236" w:name="_Toc395790532"/>
      <w:r w:rsidRPr="00D25FB1">
        <w:rPr>
          <w:i/>
        </w:rPr>
        <w:t>Installment sale reporting</w:t>
      </w:r>
      <w:bookmarkEnd w:id="236"/>
    </w:p>
    <w:p w:rsidR="0078310B" w:rsidRDefault="0078310B" w:rsidP="0078310B">
      <w:pPr>
        <w:widowControl w:val="0"/>
        <w:spacing w:after="120"/>
        <w:ind w:firstLine="288"/>
        <w:jc w:val="both"/>
      </w:pPr>
      <w:r>
        <w:t>Suppose 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401"/>
      </w:r>
      <w:r>
        <w:t xml:space="preserve"> </w:t>
      </w:r>
    </w:p>
    <w:p w:rsidR="0078310B" w:rsidRDefault="0078310B" w:rsidP="0078310B">
      <w:pPr>
        <w:widowControl w:val="0"/>
        <w:spacing w:after="120"/>
        <w:ind w:firstLine="288"/>
        <w:jc w:val="both"/>
      </w:pPr>
      <w:r>
        <w:t xml:space="preserve">Nora may, however, be able to take advantage of § 453 installment sale reporting in the case of the note, which would permit her to defer including her realized and recognized gain until payments are received on the note. Under </w:t>
      </w:r>
      <w:hyperlink r:id="rId746" w:history="1">
        <w:r w:rsidRPr="000F41E9">
          <w:rPr>
            <w:rStyle w:val="Hyperlink"/>
          </w:rPr>
          <w:t>§ 453</w:t>
        </w:r>
      </w:hyperlink>
      <w:r>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rsidR="0078310B" w:rsidRDefault="0078310B" w:rsidP="0078310B">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78310B" w:rsidRPr="009C00A7" w:rsidRDefault="0078310B" w:rsidP="0078310B">
      <w:pPr>
        <w:widowControl w:val="0"/>
        <w:spacing w:after="120"/>
      </w:pPr>
      <w:r>
        <w:t xml:space="preserve">                                                                                    Total Contract P</w:t>
      </w:r>
      <w:r w:rsidRPr="009C00A7">
        <w:t>rice</w:t>
      </w:r>
    </w:p>
    <w:p w:rsidR="0078310B" w:rsidRDefault="0078310B" w:rsidP="0078310B">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Nora receives (including the Year-1 Payment), 90% (or $18,000) represents includable § 1001 gain, while 10% (or $2,000) represents tax-free recovery of her $10,000 basis. </w:t>
      </w:r>
    </w:p>
    <w:p w:rsidR="0078310B" w:rsidRPr="009718B2" w:rsidRDefault="0078310B" w:rsidP="0078310B">
      <w:pPr>
        <w:widowControl w:val="0"/>
      </w:pPr>
      <w:r>
        <w:t xml:space="preserve">                                                $20,000   x</w:t>
      </w:r>
      <w:r w:rsidRPr="009C00A7">
        <w:t xml:space="preserve">   </w:t>
      </w:r>
      <w:r>
        <w:t xml:space="preserve">  </w:t>
      </w:r>
      <w:r w:rsidRPr="009C00A7">
        <w:t xml:space="preserve"> </w:t>
      </w:r>
      <w:r w:rsidRPr="009718B2">
        <w:rPr>
          <w:u w:val="single"/>
        </w:rPr>
        <w:t>$90,000</w:t>
      </w:r>
    </w:p>
    <w:p w:rsidR="0078310B" w:rsidRPr="009C00A7" w:rsidRDefault="0078310B" w:rsidP="0078310B">
      <w:pPr>
        <w:widowControl w:val="0"/>
        <w:spacing w:after="120"/>
      </w:pPr>
      <w:r>
        <w:t xml:space="preserve">                                                                       $100,000</w:t>
      </w:r>
    </w:p>
    <w:p w:rsidR="0078310B" w:rsidRDefault="0078310B" w:rsidP="0078310B">
      <w:pPr>
        <w:widowControl w:val="0"/>
        <w:spacing w:after="120"/>
        <w:jc w:val="both"/>
      </w:pPr>
      <w:r>
        <w:t>In addition</w:t>
      </w:r>
      <w:r w:rsidRPr="009C00A7">
        <w:t xml:space="preserve">, of course, </w:t>
      </w:r>
      <w:r>
        <w:t xml:space="preserve">Nora must include in her Gross Income the interest that she receives from Nick under § 61(a)(4). </w:t>
      </w:r>
    </w:p>
    <w:p w:rsidR="0078310B" w:rsidRDefault="0078310B" w:rsidP="0078310B">
      <w:pPr>
        <w:widowControl w:val="0"/>
        <w:spacing w:after="120"/>
        <w:ind w:firstLine="288"/>
        <w:jc w:val="both"/>
      </w:pPr>
      <w:r>
        <w:t xml:space="preserve">Section 453 contains several important exceptions. Under § 453(i), </w:t>
      </w:r>
      <w:r w:rsidRPr="009C00A7">
        <w:t xml:space="preserve">any depreciation recapture </w:t>
      </w:r>
      <w:r>
        <w:t xml:space="preserve">under §§ 1245 and 1250 (discussed in Chapter 15) </w:t>
      </w:r>
      <w:r w:rsidRPr="009C00A7">
        <w:t>must be recognized immediately</w:t>
      </w:r>
      <w:r>
        <w:t xml:space="preserve">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in real estate 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453 is primarily used on the sale of a closely held business to a new owner with the new owner paying the retiring seller under a note funded with the business’s future profits. </w:t>
      </w:r>
      <w:r w:rsidRPr="009C00A7">
        <w:t>If the note</w:t>
      </w:r>
      <w:r>
        <w:t xml:space="preserve"> that Nick transfers to Nora </w:t>
      </w:r>
      <w:r w:rsidRPr="009C00A7">
        <w:t xml:space="preserve">is a demand note </w:t>
      </w:r>
      <w:r>
        <w:t xml:space="preserve">(entitling Nora to require Nick’s payment of principal on her demand) </w:t>
      </w:r>
      <w:r w:rsidRPr="009C00A7">
        <w:t>or is readily tradable on an es</w:t>
      </w:r>
      <w:r>
        <w:t>tablished securities market, installment sale reporting is unavailable, as such a note is a cash equivalent.</w:t>
      </w:r>
      <w:r>
        <w:rPr>
          <w:rStyle w:val="FootnoteReference"/>
        </w:rPr>
        <w:footnoteReference w:id="402"/>
      </w:r>
      <w:r>
        <w:t xml:space="preserve"> Finally, taxpayers otherwise eligible to use the installment method can </w:t>
      </w:r>
      <w:r w:rsidRPr="009C00A7">
        <w:t>elect ou</w:t>
      </w:r>
      <w:r>
        <w:t xml:space="preserve">t of installment reporting </w:t>
      </w:r>
      <w:r w:rsidRPr="009C00A7">
        <w:t>under § 453(d)</w:t>
      </w:r>
      <w:r>
        <w:t>.</w:t>
      </w:r>
    </w:p>
    <w:p w:rsidR="0078310B" w:rsidRDefault="0078310B" w:rsidP="0078310B">
      <w:pPr>
        <w:widowControl w:val="0"/>
        <w:spacing w:after="120"/>
        <w:ind w:firstLine="288"/>
        <w:jc w:val="both"/>
      </w:pPr>
      <w:r>
        <w:t>Installment sale reporting is very valuable because of the time value of money; no interest is usually charged by the government for this deferral privilege.</w:t>
      </w:r>
      <w:r>
        <w:rPr>
          <w:rStyle w:val="FootnoteReference"/>
        </w:rPr>
        <w:footnoteReference w:id="403"/>
      </w:r>
      <w:r>
        <w:t xml:space="preserve"> Why, therefore, would anyone who is otherwise eligible to use installment sale reporting elect out of it under § 453(d), thus including the entire sale gain in the year of sale?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two note payments, her heirs will step into her shoes and include $18,000 of each of the two remaining $20,000 payments that they receive. If, in contrast, Nora elects out of installment sale reporting, she will include her entire $90,000 realized gain in Year 1. Thus, when her heirs receive the final two payments of $20,000, they can exclude the entire amount. Or perhaps Nora’s realized gain is capital gain and Nora has a large capital loss carryover under § 1212(b) that would make immediate recognition painless. </w:t>
      </w:r>
    </w:p>
    <w:p w:rsidR="0078310B" w:rsidRPr="00D25FB1" w:rsidRDefault="0078310B" w:rsidP="0078310B">
      <w:pPr>
        <w:pStyle w:val="Heading3"/>
        <w:spacing w:before="0" w:beforeAutospacing="0" w:after="120" w:afterAutospacing="0"/>
        <w:rPr>
          <w:i/>
        </w:rPr>
      </w:pPr>
      <w:bookmarkStart w:id="237" w:name="_Toc395790533"/>
      <w:r w:rsidRPr="00D25FB1">
        <w:rPr>
          <w:i/>
        </w:rPr>
        <w:t>Open transaction reporting</w:t>
      </w:r>
      <w:bookmarkEnd w:id="237"/>
    </w:p>
    <w:p w:rsidR="0078310B" w:rsidRPr="001819D8" w:rsidRDefault="0078310B" w:rsidP="0078310B">
      <w:pPr>
        <w:widowControl w:val="0"/>
        <w:spacing w:after="120"/>
        <w:ind w:firstLine="288"/>
        <w:jc w:val="both"/>
      </w:pPr>
      <w:r>
        <w:t xml:space="preserve">Finally, suppose that Nora owns land with an A/B of $80,000 and an uncertain FMV because she knows that iron ore resides beneath the land but does not know the extent of the deposit. With this uncertainty, Nora is unwilling to sell the land to Nick (who wishes to mine the ore) 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rsidR="0078310B" w:rsidRDefault="0078310B" w:rsidP="0078310B">
      <w:pPr>
        <w:widowControl w:val="0"/>
        <w:ind w:firstLine="288"/>
        <w:jc w:val="both"/>
      </w:pPr>
      <w:r>
        <w:t xml:space="preserve">Because at least one payment is made after the sale year, the transaction is an installment sale under § 453(b), but neither the Gross Profit nor the Total Contract Price is known in Year 1. In this case, Nora may be eligible to use “open transaction reporting” with respect to the sale, a method first described in </w:t>
      </w:r>
      <w:r>
        <w:rPr>
          <w:i/>
        </w:rPr>
        <w:t>Burnet v. Logan</w:t>
      </w:r>
      <w:r>
        <w:rPr>
          <w:rStyle w:val="FootnoteReference"/>
        </w:rPr>
        <w:footnoteReference w:id="404"/>
      </w:r>
      <w:r>
        <w:t xml:space="preserve"> and now found in </w:t>
      </w:r>
      <w:hyperlink r:id="rId747" w:history="1">
        <w:r w:rsidRPr="000F41E9">
          <w:rPr>
            <w:rStyle w:val="Hyperlink"/>
          </w:rPr>
          <w:t>Treas. Reg. § 15A.453-1</w:t>
        </w:r>
      </w:hyperlink>
      <w:r>
        <w:t xml:space="preserve">(d)(2)(iii). Under open transaction reporting, Nora would be permitted to treat 100% of each payment as tax-recovery of basis until her basis is fully recovered. Thus, Nora would fully exclude 100% of the Year-1 $50,000 payment, as well as $30,000 of the $40,000 Year-2 payment (including the remaining $10,000 received in her Gross Income as § 1001 gain). She would also fully include the payments received in Years 3, 4, and 5 as § 1001 gain. Because of the time value of money, open transaction reporting is the most favorable reporting method because the gain is maximally deferred. For this reason, Treas. Reg. § 15A.453-1(d)(2)(ii) permits open transaction reporting </w:t>
      </w:r>
      <w:r>
        <w:rPr>
          <w:i/>
        </w:rPr>
        <w:t xml:space="preserve">only </w:t>
      </w:r>
      <w:r>
        <w:t xml:space="preserve">if both the FMV of the sold property and the total consideration to be received are not ascertainable. </w:t>
      </w:r>
    </w:p>
    <w:p w:rsidR="0078310B" w:rsidRPr="00A01E62" w:rsidRDefault="0078310B" w:rsidP="0078310B">
      <w:pPr>
        <w:widowControl w:val="0"/>
        <w:ind w:firstLine="288"/>
        <w:jc w:val="both"/>
      </w:pPr>
    </w:p>
    <w:p w:rsidR="0078310B" w:rsidRPr="00A74446" w:rsidRDefault="0078310B" w:rsidP="0078310B">
      <w:pPr>
        <w:pStyle w:val="Heading2"/>
        <w:spacing w:before="0"/>
        <w:rPr>
          <w:sz w:val="32"/>
          <w:szCs w:val="32"/>
          <w:u w:val="single"/>
        </w:rPr>
      </w:pPr>
      <w:bookmarkStart w:id="238" w:name="_Toc395790534"/>
      <w:r w:rsidRPr="00A74446">
        <w:rPr>
          <w:sz w:val="32"/>
          <w:szCs w:val="32"/>
          <w:u w:val="single"/>
        </w:rPr>
        <w:t>B. The nonrecognition of § 1001 realized gain or loss</w:t>
      </w:r>
      <w:bookmarkEnd w:id="238"/>
    </w:p>
    <w:p w:rsidR="0078310B" w:rsidRDefault="0078310B" w:rsidP="0078310B">
      <w:pPr>
        <w:widowControl w:val="0"/>
      </w:pPr>
    </w:p>
    <w:p w:rsidR="0078310B" w:rsidRDefault="0078310B" w:rsidP="0078310B">
      <w:pPr>
        <w:widowControl w:val="0"/>
        <w:spacing w:after="120"/>
        <w:ind w:firstLine="288"/>
        <w:jc w:val="both"/>
      </w:pPr>
      <w:r>
        <w:t xml:space="preserve">This section explores several important nonrecognition provisions in the Code. Those of you who go on to other income tax courses will learn </w:t>
      </w:r>
      <w:r w:rsidR="00605596">
        <w:t xml:space="preserve">that the basic paradigm </w:t>
      </w:r>
      <w:r>
        <w:t>in</w:t>
      </w:r>
      <w:r w:rsidR="00605596">
        <w:t xml:space="preserve"> §§ 1033 and 1031 </w:t>
      </w:r>
      <w:r>
        <w:t xml:space="preserve">are used in many other contexts, such as with the transfer of property to controlled corporations or to partnerships and LLCs, the transfer of property and stock in tax-free corporate mergers and other combinations, the tax-free division of a single corporation into two or more corporations, </w:t>
      </w:r>
      <w:r>
        <w:rPr>
          <w:i/>
        </w:rPr>
        <w:t>etc.</w:t>
      </w:r>
      <w:r>
        <w:t xml:space="preserve"> In each case, the gain or loss that goes unrecognized on these property dispositions is merely deferred (rather than forgiven) by manipulating the basis rules in such a way as to perfectly preserve the unrecognized gain or loss. Wealthy taxpayers often take advantage of many of these rules again and again to diversify their property and financial holdings during life. Then, at death, the final property transfers to heirs is not a realization event, even though the heirs take a fresh FMV basis under § 1014, </w:t>
      </w:r>
      <w:r w:rsidR="00605596">
        <w:t xml:space="preserve">forever </w:t>
      </w:r>
      <w:r>
        <w:t xml:space="preserve">eliminating the deferred gain from the income tax system. </w:t>
      </w:r>
    </w:p>
    <w:p w:rsidR="0078310B" w:rsidRPr="00B52834" w:rsidRDefault="0078310B" w:rsidP="0078310B">
      <w:pPr>
        <w:pStyle w:val="Heading3"/>
        <w:spacing w:before="0" w:beforeAutospacing="0" w:after="120" w:afterAutospacing="0"/>
        <w:rPr>
          <w:i/>
        </w:rPr>
      </w:pPr>
      <w:bookmarkStart w:id="239" w:name="_Toc395790535"/>
      <w:r w:rsidRPr="00B52834">
        <w:rPr>
          <w:i/>
        </w:rPr>
        <w:t>§ 1033 involuntary conversions of built-in gain property</w:t>
      </w:r>
      <w:bookmarkEnd w:id="239"/>
    </w:p>
    <w:p w:rsidR="0078310B" w:rsidRDefault="0078310B" w:rsidP="0078310B">
      <w:pPr>
        <w:widowControl w:val="0"/>
        <w:spacing w:after="120"/>
        <w:ind w:firstLine="288"/>
        <w:jc w:val="both"/>
      </w:pPr>
      <w:r>
        <w:t>Suppose that Mark purchases a boat for $100,000 for use in his fishing business. After properly deducting $60,000 of depreciation under §</w:t>
      </w:r>
      <w:hyperlink r:id="rId748" w:history="1">
        <w:r w:rsidRPr="004C15DF">
          <w:rPr>
            <w:rStyle w:val="Hyperlink"/>
          </w:rPr>
          <w:t>§ 167</w:t>
        </w:r>
      </w:hyperlink>
      <w:r>
        <w:t xml:space="preserve"> and 168, his basis is reduced under </w:t>
      </w:r>
      <w:hyperlink r:id="rId749"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rsidR="0078310B" w:rsidRDefault="0078310B" w:rsidP="0078310B">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50" w:history="1">
        <w:r w:rsidRPr="004C15DF">
          <w:rPr>
            <w:rStyle w:val="Hyperlink"/>
          </w:rPr>
          <w:t>§ 1001</w:t>
        </w:r>
      </w:hyperlink>
      <w:r>
        <w:t xml:space="preserve"> in Year 1 ($90,000 A/R </w:t>
      </w:r>
      <w:r>
        <w:rPr>
          <w:i/>
        </w:rPr>
        <w:t>less</w:t>
      </w:r>
      <w:r>
        <w:t xml:space="preserve"> $40,000 A/B), which he must include in his Gross Income under </w:t>
      </w:r>
      <w:hyperlink r:id="rId751"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rsidR="0078310B" w:rsidRDefault="0078310B" w:rsidP="0078310B">
      <w:pPr>
        <w:widowControl w:val="0"/>
        <w:spacing w:after="120"/>
        <w:ind w:firstLine="288"/>
        <w:jc w:val="both"/>
      </w:pPr>
      <w:r>
        <w:t>Read §</w:t>
      </w:r>
      <w:hyperlink r:id="rId752"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rsidR="0078310B" w:rsidRDefault="0078310B" w:rsidP="0078310B">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rsidR="0078310B" w:rsidRDefault="0078310B" w:rsidP="0078310B">
      <w:pPr>
        <w:widowControl w:val="0"/>
        <w:spacing w:after="120"/>
        <w:ind w:firstLine="288"/>
        <w:jc w:val="both"/>
      </w:pPr>
      <w:r>
        <w:t xml:space="preserve">You can think of § 1033 as a “rollover” provision that allows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but no more than his realized gain</w:t>
      </w:r>
      <w:r>
        <w:t xml:space="preserve">. If Mark’s new boat costs at least $90,000 (equal to 100% of the insurance proceeds that he receives), Mark recognizes none of his $50,000 realized gain in Year 1, though the cost basis of the new boat is reduced by the entire $50,000 in that case. </w:t>
      </w:r>
    </w:p>
    <w:p w:rsidR="0078310B" w:rsidRDefault="0078310B" w:rsidP="0078310B">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rsidR="0078310B" w:rsidRDefault="0078310B" w:rsidP="0078310B">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rsidR="0078310B" w:rsidRDefault="0078310B" w:rsidP="0078310B">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as in the original fact pattern. That is to say,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53"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54"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w:t>
      </w:r>
      <w:r w:rsidR="006241D7">
        <w:t xml:space="preserve">analysis </w:t>
      </w:r>
      <w:r>
        <w:t>reminds us why Step 1 in any property disposition is to calculate the § 1001 realized gain (or loss). Mark’s $10,000 realized gain is the most that he can be forced to include in Gross Income, as that amount is the only new wealth that has not yet been included in his Gross Income. If Mark simply sold his boat (A/B $80,000) for $90,000 in cash (where § 1033 would be irrelevant), he would realize and recognize no more than his $10,000 realized gain; the same applies ev</w:t>
      </w:r>
      <w:r w:rsidR="006241D7">
        <w:t>en if the facts are described in § 1033</w:t>
      </w:r>
      <w:r>
        <w:t xml:space="preserve">. Of the $20,000 of cash that he does not roll over into replacement property, $10,000 is tax-free basis recovery. In effect, § 1033 provides no benefit for Mark if he retains insurance proceeds in excess of his realized gain. </w:t>
      </w:r>
    </w:p>
    <w:p w:rsidR="0078310B" w:rsidRDefault="0078310B" w:rsidP="0078310B">
      <w:pPr>
        <w:widowControl w:val="0"/>
        <w:spacing w:after="120"/>
        <w:ind w:firstLine="288"/>
        <w:jc w:val="both"/>
      </w:pPr>
      <w:r>
        <w:t xml:space="preserve">What is “property similar or related in service or use”? With one exception noted below, the standard is rigorous. The Tax Court, for example, has said that the test is a “functional” one because of the reference to “service or use.” In </w:t>
      </w:r>
      <w:r>
        <w:rPr>
          <w:i/>
        </w:rPr>
        <w:t>Collins v. Commissioner</w:t>
      </w:r>
      <w:r>
        <w:t>,</w:t>
      </w:r>
      <w:r>
        <w:rPr>
          <w:rStyle w:val="FootnoteReference"/>
        </w:rPr>
        <w:footnoteReference w:id="405"/>
      </w:r>
      <w:r>
        <w:t xml:space="preserve"> for example, the Tax Court held that rental real estate and a retail establishment were not functionally related to condemned chicken houses because they are </w:t>
      </w:r>
      <w:r w:rsidRPr="003F1608">
        <w:rPr>
          <w:i/>
        </w:rPr>
        <w:t>used</w:t>
      </w:r>
      <w:r>
        <w:t xml:space="preserve"> in quite different ways. In Revenue Ruling 76-319,</w:t>
      </w:r>
      <w:r>
        <w:rPr>
          <w:rStyle w:val="FootnoteReference"/>
        </w:rPr>
        <w:footnoteReference w:id="406"/>
      </w:r>
      <w:r>
        <w:t xml:space="preserve"> the IRS ruled that a billiards hall is not similar or related in service or use to a bowling alley destroyed by fire. In a private letter ruling the IRS concluded that art in other media, such as oil paintings, water colors, sculptures, and graphic art, is not similar or related in service or use to destroyed lithographs.</w:t>
      </w:r>
      <w:r>
        <w:rPr>
          <w:rStyle w:val="FootnoteReference"/>
        </w:rPr>
        <w:footnoteReference w:id="407"/>
      </w:r>
      <w:r>
        <w:t xml:space="preserve"> </w:t>
      </w:r>
    </w:p>
    <w:p w:rsidR="0078310B" w:rsidRDefault="0078310B" w:rsidP="0078310B">
      <w:pPr>
        <w:widowControl w:val="0"/>
        <w:spacing w:after="120"/>
        <w:ind w:firstLine="288"/>
        <w:jc w:val="both"/>
      </w:pPr>
      <w:r>
        <w:t xml:space="preserve">Under </w:t>
      </w:r>
      <w:hyperlink r:id="rId755" w:history="1">
        <w:r w:rsidRPr="0008241D">
          <w:rPr>
            <w:rStyle w:val="Hyperlink"/>
          </w:rPr>
          <w:t>§ 1033</w:t>
        </w:r>
      </w:hyperlink>
      <w:r>
        <w:t xml:space="preserve">(g), however, real estate used in business or held for investment has a much easier standard to meet if it is involuntarily converted “as the result of its seizure, requisition, or condemnation or threat or imminence thereof” (rather than destroyed by fire, as in the case of the bowling alley, above). Section 1033 can be satisfied in that case if the conversion proceeds are rolled over into “like kind” property—a much easier standard to meet, as you will learn below—even if the property is not similar or related in service or use under the functional relation test. </w:t>
      </w:r>
    </w:p>
    <w:p w:rsidR="0078310B" w:rsidRPr="00B52834" w:rsidRDefault="0078310B" w:rsidP="0078310B">
      <w:pPr>
        <w:pStyle w:val="Heading3"/>
        <w:spacing w:before="120" w:beforeAutospacing="0" w:after="120" w:afterAutospacing="0"/>
        <w:rPr>
          <w:i/>
        </w:rPr>
      </w:pPr>
      <w:bookmarkStart w:id="240" w:name="_Toc395790536"/>
      <w:r w:rsidRPr="00B52834">
        <w:rPr>
          <w:i/>
        </w:rPr>
        <w:t>§ 1031 like kind exchanges</w:t>
      </w:r>
      <w:bookmarkEnd w:id="240"/>
    </w:p>
    <w:p w:rsidR="0078310B" w:rsidRDefault="0078310B" w:rsidP="0078310B">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applies only on the </w:t>
      </w:r>
      <w:r w:rsidRPr="00D22599">
        <w:rPr>
          <w:i/>
        </w:rPr>
        <w:t>exchange</w:t>
      </w:r>
      <w:r w:rsidR="00683742">
        <w:t xml:space="preserve"> of property </w:t>
      </w:r>
      <w:r>
        <w:t>(and only if the properties exchanged are of “like kind”). Moreover, while § 1033 avoids the recognition of only realized gain, § 1031 prevents recognition of both realized gain and realized loss. Finally, unlike § 1033, § 1031 is not explicitly elective. Thus, a taxpayer wishin</w:t>
      </w:r>
      <w:r w:rsidR="00B538A5">
        <w:t>g to avoid nonrecognition (because, for example, she realizes a loss tha</w:t>
      </w:r>
      <w:r>
        <w:t xml:space="preserve">t </w:t>
      </w:r>
      <w:r w:rsidR="00B538A5">
        <w:t>s</w:t>
      </w:r>
      <w:r>
        <w:t xml:space="preserve">he would like to deduct currently under § 165) must intentionally fail to satisfy at least one requirement in § 1031—typically the “exchange” requirement. Like § 1033, however, § 1031 manipulates the basis of the new property obtained by the taxpayer in the exchange (under § 1031(d)) to preserve any unrecognized gain (or loss) for future reckoning. </w:t>
      </w:r>
    </w:p>
    <w:p w:rsidR="0078310B" w:rsidRDefault="0078310B" w:rsidP="0078310B">
      <w:pPr>
        <w:widowControl w:val="0"/>
        <w:spacing w:after="120"/>
        <w:ind w:firstLine="288"/>
        <w:jc w:val="both"/>
      </w:pPr>
      <w:r>
        <w:t xml:space="preserve">Let’s work our way through </w:t>
      </w:r>
      <w:hyperlink r:id="rId756"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9B4F8D">
        <w:rPr>
          <w:i/>
        </w:rPr>
        <w:t>Stop and read the statutory language at issue as you progress</w:t>
      </w:r>
      <w:r>
        <w:t xml:space="preserve">. </w:t>
      </w:r>
    </w:p>
    <w:p w:rsidR="0078310B" w:rsidRDefault="0078310B" w:rsidP="0078310B">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 Assume that she holds the ranchland as business property and will hold the property obtained from Nick as business or investment property.</w:t>
      </w:r>
    </w:p>
    <w:p w:rsidR="0078310B" w:rsidRPr="00B3748A" w:rsidRDefault="0078310B" w:rsidP="0078310B">
      <w:pPr>
        <w:widowControl w:val="0"/>
        <w:spacing w:after="120"/>
        <w:jc w:val="center"/>
      </w:pPr>
      <w:r w:rsidRPr="00B3748A">
        <w:rPr>
          <w:b/>
        </w:rPr>
        <w:t>Example 1</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Boat:</w:t>
      </w:r>
    </w:p>
    <w:p w:rsidR="0078310B" w:rsidRDefault="0078310B" w:rsidP="0078310B">
      <w:pPr>
        <w:widowControl w:val="0"/>
        <w:ind w:left="720" w:firstLine="720"/>
      </w:pPr>
      <w:r>
        <w:t>FMV $100,000                                          FMV $100,000</w:t>
      </w:r>
    </w:p>
    <w:p w:rsidR="0078310B" w:rsidRDefault="0078310B" w:rsidP="0078310B">
      <w:pPr>
        <w:widowControl w:val="0"/>
        <w:spacing w:after="120"/>
        <w:ind w:left="720" w:firstLine="720"/>
      </w:pPr>
      <w:r>
        <w:t>A/B $40,000</w:t>
      </w:r>
    </w:p>
    <w:p w:rsidR="0078310B" w:rsidRDefault="0078310B" w:rsidP="0078310B">
      <w:pPr>
        <w:widowControl w:val="0"/>
        <w:spacing w:after="120"/>
        <w:ind w:firstLine="288"/>
        <w:jc w:val="both"/>
      </w:pPr>
      <w:r>
        <w:t xml:space="preserve">Nora must recognize her $60,000 </w:t>
      </w:r>
      <w:hyperlink r:id="rId757" w:history="1">
        <w:r w:rsidRPr="00B538A5">
          <w:rPr>
            <w:rStyle w:val="Hyperlink"/>
          </w:rPr>
          <w:t>§ 1001</w:t>
        </w:r>
      </w:hyperlink>
      <w:r>
        <w:t xml:space="preserve"> realized gain immediately because not all of the requirements of §§ 1031(a)(1) and (2) are satisfied. Because she must recognize her realized gain, she takes a </w:t>
      </w:r>
      <w:hyperlink r:id="rId758" w:history="1">
        <w:r w:rsidRPr="003F1F1E">
          <w:rPr>
            <w:rStyle w:val="Hyperlink"/>
          </w:rPr>
          <w:t>§ 1012</w:t>
        </w:r>
      </w:hyperlink>
      <w:r>
        <w:t xml:space="preserve"> cost basis in the boat equal to its $100,000 FMV.</w:t>
      </w:r>
      <w:r>
        <w:rPr>
          <w:rStyle w:val="FootnoteReference"/>
        </w:rPr>
        <w:footnoteReference w:id="408"/>
      </w:r>
      <w:r>
        <w:t xml:space="preserve"> </w:t>
      </w:r>
    </w:p>
    <w:p w:rsidR="0078310B" w:rsidRDefault="0078310B" w:rsidP="0078310B">
      <w:pPr>
        <w:widowControl w:val="0"/>
        <w:spacing w:after="120"/>
        <w:ind w:firstLine="288"/>
        <w:jc w:val="both"/>
      </w:pPr>
      <w:r>
        <w:t xml:space="preserve">Carefully read </w:t>
      </w:r>
      <w:hyperlink r:id="rId759" w:history="1">
        <w:r w:rsidRPr="00B538A5">
          <w:rPr>
            <w:rStyle w:val="Hyperlink"/>
          </w:rPr>
          <w:t>§ 1031</w:t>
        </w:r>
      </w:hyperlink>
      <w:r>
        <w:t xml:space="preserve">(a)(1) and (2) to derive the list of requirements found there. </w:t>
      </w:r>
    </w:p>
    <w:p w:rsidR="0078310B" w:rsidRDefault="0078310B" w:rsidP="0078310B">
      <w:pPr>
        <w:pStyle w:val="ListParagraph"/>
        <w:widowControl w:val="0"/>
        <w:numPr>
          <w:ilvl w:val="0"/>
          <w:numId w:val="12"/>
        </w:numPr>
        <w:spacing w:after="120"/>
        <w:ind w:left="648"/>
        <w:contextualSpacing w:val="0"/>
        <w:jc w:val="both"/>
      </w:pPr>
      <w:r>
        <w:t xml:space="preserve">The properties must be “exchanged” in kind. Thus, a “sale” of property 1 for cash followed by the purchase of property 2 fails the “exchange” requirement. </w:t>
      </w:r>
    </w:p>
    <w:p w:rsidR="0078310B" w:rsidRDefault="0078310B" w:rsidP="0078310B">
      <w:pPr>
        <w:pStyle w:val="ListParagraph"/>
        <w:widowControl w:val="0"/>
        <w:numPr>
          <w:ilvl w:val="0"/>
          <w:numId w:val="12"/>
        </w:numPr>
        <w:spacing w:after="120"/>
        <w:ind w:left="648"/>
        <w:contextualSpacing w:val="0"/>
        <w:jc w:val="both"/>
      </w:pPr>
      <w:r>
        <w:t>The properties exchanged must be of “like kind” within the meaning of Treas. Reg. §</w:t>
      </w:r>
      <w:hyperlink r:id="rId760" w:history="1">
        <w:r w:rsidRPr="004F2724">
          <w:rPr>
            <w:rStyle w:val="Hyperlink"/>
          </w:rPr>
          <w:t>§ 1.1031(a)-1</w:t>
        </w:r>
      </w:hyperlink>
      <w:r>
        <w:t xml:space="preserve">(b) &amp; (c) and </w:t>
      </w:r>
      <w:hyperlink r:id="rId761" w:history="1">
        <w:r w:rsidRPr="004F2724">
          <w:rPr>
            <w:rStyle w:val="Hyperlink"/>
          </w:rPr>
          <w:t>-2</w:t>
        </w:r>
      </w:hyperlink>
      <w:r>
        <w:t xml:space="preserve">. </w:t>
      </w:r>
    </w:p>
    <w:p w:rsidR="0078310B" w:rsidRDefault="0078310B" w:rsidP="0078310B">
      <w:pPr>
        <w:pStyle w:val="ListParagraph"/>
        <w:widowControl w:val="0"/>
        <w:numPr>
          <w:ilvl w:val="0"/>
          <w:numId w:val="12"/>
        </w:numPr>
        <w:spacing w:after="120"/>
        <w:ind w:left="648"/>
        <w:contextualSpacing w:val="0"/>
        <w:jc w:val="both"/>
      </w:pPr>
      <w:r>
        <w:t>“Solely” like kind property must be received in the exchange.</w:t>
      </w:r>
    </w:p>
    <w:p w:rsidR="0078310B" w:rsidRDefault="0078310B" w:rsidP="0078310B">
      <w:pPr>
        <w:pStyle w:val="ListParagraph"/>
        <w:widowControl w:val="0"/>
        <w:numPr>
          <w:ilvl w:val="0"/>
          <w:numId w:val="12"/>
        </w:numPr>
        <w:spacing w:after="120"/>
        <w:ind w:left="648"/>
        <w:contextualSpacing w:val="0"/>
        <w:jc w:val="both"/>
      </w:pPr>
      <w:r>
        <w:t>Both the property exchanged and the like kind property received in the exchange must be held for productive use in a trade or business or for investment.</w:t>
      </w:r>
    </w:p>
    <w:p w:rsidR="0078310B" w:rsidRDefault="001B2869" w:rsidP="0078310B">
      <w:pPr>
        <w:pStyle w:val="ListParagraph"/>
        <w:widowControl w:val="0"/>
        <w:numPr>
          <w:ilvl w:val="0"/>
          <w:numId w:val="12"/>
        </w:numPr>
        <w:spacing w:after="120"/>
        <w:ind w:left="648"/>
        <w:contextualSpacing w:val="0"/>
        <w:jc w:val="both"/>
      </w:pPr>
      <w:r>
        <w:t xml:space="preserve">The </w:t>
      </w:r>
      <w:r w:rsidR="0078310B">
        <w:t>pro</w:t>
      </w:r>
      <w:r>
        <w:t>perty listed in § 1031(a)(2) is</w:t>
      </w:r>
      <w:r w:rsidR="0078310B">
        <w:t xml:space="preserve"> not eligible for § 1031 treatment. </w:t>
      </w:r>
    </w:p>
    <w:p w:rsidR="0078310B" w:rsidRDefault="0078310B" w:rsidP="0078310B">
      <w:pPr>
        <w:widowControl w:val="0"/>
        <w:spacing w:after="120"/>
        <w:jc w:val="both"/>
        <w:rPr>
          <w:b/>
          <w:i/>
        </w:rPr>
      </w:pPr>
      <w:r>
        <w:t>Even though she exchanged her property (rather than sold it for cash), ranchland and a boat are not of “like kind” within the meaning of the cited regulations because real property is not of like kind with personal property (</w:t>
      </w:r>
      <w:r>
        <w:rPr>
          <w:i/>
        </w:rPr>
        <w:t>i.e.</w:t>
      </w:r>
      <w:r>
        <w:t>, property other than real estate). So let’s fix that problem.</w:t>
      </w:r>
    </w:p>
    <w:p w:rsidR="0078310B" w:rsidRPr="00B3748A" w:rsidRDefault="0078310B" w:rsidP="0078310B">
      <w:pPr>
        <w:widowControl w:val="0"/>
        <w:spacing w:after="120"/>
        <w:jc w:val="center"/>
        <w:rPr>
          <w:b/>
        </w:rPr>
      </w:pPr>
      <w:r w:rsidRPr="00B3748A">
        <w:rPr>
          <w:b/>
        </w:rPr>
        <w:t>Example 2</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$100,000</w:t>
      </w:r>
    </w:p>
    <w:p w:rsidR="0078310B" w:rsidRDefault="0078310B" w:rsidP="0078310B">
      <w:pPr>
        <w:widowControl w:val="0"/>
        <w:spacing w:after="120"/>
        <w:ind w:left="720" w:firstLine="720"/>
      </w:pPr>
      <w:r>
        <w:t>A/B $40,000</w:t>
      </w:r>
    </w:p>
    <w:p w:rsidR="0078310B" w:rsidRDefault="0078310B" w:rsidP="0078310B">
      <w:pPr>
        <w:widowControl w:val="0"/>
        <w:spacing w:after="120"/>
        <w:ind w:firstLine="288"/>
        <w:jc w:val="both"/>
      </w:pPr>
      <w:r>
        <w:t xml:space="preserve">Is Montana ranchland of “like kind” with land and an office building in Manhattan? Yes! </w:t>
      </w:r>
      <w:hyperlink r:id="rId762" w:history="1">
        <w:r w:rsidRPr="00BC07FA">
          <w:rPr>
            <w:rStyle w:val="Hyperlink"/>
          </w:rPr>
          <w:t>Treas. Reg. § 1.1031(a)-1</w:t>
        </w:r>
      </w:hyperlink>
      <w:r>
        <w:t xml:space="preserve">(b)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The real estate lobby has worked hard, however, to preserve the § 1031 “like kind” standard for real estate as broad as it is. Virtually all real estate is of like kind with all other real estate, so long as land is part of both sides of the exchange. </w:t>
      </w:r>
    </w:p>
    <w:p w:rsidR="0078310B" w:rsidRDefault="0078310B" w:rsidP="0078310B">
      <w:pPr>
        <w:widowControl w:val="0"/>
        <w:spacing w:after="120"/>
        <w:ind w:firstLine="288"/>
        <w:jc w:val="both"/>
      </w:pPr>
      <w:r>
        <w:t>The standard for “like kind” is much more rigorous with respect to personal property. Treas. Reg. § 1.1031(a)-1(c) provides that an exchange “of a truck for a new truck or a passenger automobile for a new passenger automobile to be used for a like purpose” satisfies the like kind requirement, thereby implying that an exchange of a truck for an automobile would fail the like kind requirement. Revenue Ruling 79-143</w:t>
      </w:r>
      <w:r>
        <w:rPr>
          <w:rStyle w:val="FootnoteReference"/>
        </w:rPr>
        <w:footnoteReference w:id="409"/>
      </w:r>
      <w:r>
        <w:t xml:space="preserve"> rules that numismatic coins, which are valued on the basis of their age, number minted, history, art and aesthetics, condition, and metal content, are not of like kind with bullion-type coins, which are valued on the basis of their metal content alone. Moreover, the statute provides that livestock of different sexes are not of like kind.</w:t>
      </w:r>
      <w:r>
        <w:rPr>
          <w:rStyle w:val="FootnoteReference"/>
        </w:rPr>
        <w:footnoteReference w:id="410"/>
      </w:r>
      <w:r>
        <w:t xml:space="preserve"> For this reason, the vast majority of like kind exchanges pertain to real estate. Nevertheless, additional Treasury regulations issued in 1991 provide more guidance regarding how to determine which types of personal property will be considered of like kind.</w:t>
      </w:r>
      <w:r>
        <w:rPr>
          <w:rStyle w:val="FootnoteReference"/>
        </w:rPr>
        <w:footnoteReference w:id="411"/>
      </w:r>
      <w:r>
        <w:t xml:space="preserve"> </w:t>
      </w:r>
    </w:p>
    <w:p w:rsidR="0078310B" w:rsidRDefault="0078310B" w:rsidP="0078310B">
      <w:pPr>
        <w:widowControl w:val="0"/>
        <w:spacing w:after="120"/>
        <w:ind w:firstLine="288"/>
        <w:jc w:val="both"/>
      </w:pPr>
      <w:r>
        <w:t xml:space="preserve">Because Nora’s exchange in Example 2 satisfies each of § 1031(a)’s requirements, her $60,000 realized gain (Step 1) will go unrecognized (Step 2). Step 4 requires that she determine her new basis in the Manhattan property. Under the first sentence in </w:t>
      </w:r>
      <w:hyperlink r:id="rId763" w:history="1">
        <w:r w:rsidRPr="00BC07FA">
          <w:rPr>
            <w:rStyle w:val="Hyperlink"/>
          </w:rPr>
          <w:t>§ 1031</w:t>
        </w:r>
      </w:hyperlink>
      <w:r>
        <w:t xml:space="preserve">(d), she will substitute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 future reckoning in the like kind property that Nora now owns.</w:t>
      </w:r>
      <w:r>
        <w:t xml:space="preserve"> </w:t>
      </w:r>
    </w:p>
    <w:p w:rsidR="0078310B" w:rsidRDefault="0078310B" w:rsidP="0078310B">
      <w:pPr>
        <w:widowControl w:val="0"/>
        <w:spacing w:after="120"/>
        <w:ind w:firstLine="288"/>
        <w:jc w:val="both"/>
      </w:pPr>
      <w:r>
        <w:t xml:space="preserve">Because her basis in the new property is determined by reference to the basis in the property that she exchanges, </w:t>
      </w:r>
      <w:hyperlink r:id="rId764" w:history="1">
        <w:r w:rsidRPr="00FB5C5E">
          <w:rPr>
            <w:rStyle w:val="Hyperlink"/>
          </w:rPr>
          <w:t>§ 1223</w:t>
        </w:r>
      </w:hyperlink>
      <w:r>
        <w:t xml:space="preserve">(1)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15), which should almost always be the case. If, for example, she held the ranchland for 5 years before the exchange, her holding period on the first day that she owns the Manhattan property is 5 years.</w:t>
      </w:r>
      <w:r>
        <w:rPr>
          <w:rStyle w:val="FootnoteReference"/>
        </w:rPr>
        <w:footnoteReference w:id="412"/>
      </w:r>
      <w:r>
        <w:t xml:space="preserve"> </w:t>
      </w:r>
    </w:p>
    <w:p w:rsidR="0078310B" w:rsidRPr="00B3748A" w:rsidRDefault="0078310B" w:rsidP="0078310B">
      <w:pPr>
        <w:widowControl w:val="0"/>
        <w:spacing w:after="120"/>
        <w:jc w:val="center"/>
      </w:pPr>
      <w:r w:rsidRPr="00B3748A">
        <w:rPr>
          <w:b/>
        </w:rPr>
        <w:t>Example 3</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$80,000</w:t>
      </w:r>
    </w:p>
    <w:p w:rsidR="0078310B" w:rsidRDefault="0078310B" w:rsidP="0078310B">
      <w:pPr>
        <w:widowControl w:val="0"/>
        <w:spacing w:after="120"/>
        <w:ind w:left="720" w:firstLine="720"/>
      </w:pPr>
      <w:r>
        <w:t>A/B $40,000                                             $20,000 cash</w:t>
      </w:r>
    </w:p>
    <w:p w:rsidR="0078310B" w:rsidRDefault="0078310B" w:rsidP="0078310B">
      <w:pPr>
        <w:widowControl w:val="0"/>
        <w:spacing w:after="120"/>
        <w:ind w:firstLine="288"/>
        <w:jc w:val="both"/>
      </w:pPr>
      <w:r>
        <w:t xml:space="preserve">Because Nick’s land and office building are worth only $80,000, Nora is not willing to engage in a straight-up exchange. Rather, she demands that Nick transfer $20,000 in cash to boot, which is why non-like kind property or cash is typically referred to as “boot” in tax jargon. This exchange fails the § 1031(a) requirement that Nora receive </w:t>
      </w:r>
      <w:r>
        <w:rPr>
          <w:i/>
        </w:rPr>
        <w:t>solely</w:t>
      </w:r>
      <w:r>
        <w:t xml:space="preserve"> like kind property in exchange for her ranchland because she received not only like kind property (the land and building) but also boot. </w:t>
      </w:r>
    </w:p>
    <w:p w:rsidR="0078310B" w:rsidRDefault="0078310B" w:rsidP="0078310B">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basis of $32,000 in the Manhattan property, equal to 80% of her ranchland basis.</w:t>
      </w:r>
    </w:p>
    <w:p w:rsidR="0078310B" w:rsidRDefault="0078310B" w:rsidP="0078310B">
      <w:pPr>
        <w:widowControl w:val="0"/>
        <w:spacing w:after="120"/>
        <w:ind w:firstLine="288"/>
        <w:jc w:val="both"/>
      </w:pPr>
      <w:r w:rsidRPr="008C7F53">
        <w:rPr>
          <w:i/>
        </w:rPr>
        <w:t>But that is not what Congress has provided.</w:t>
      </w:r>
      <w:r>
        <w:t xml:space="preserve"> Instead, </w:t>
      </w:r>
      <w:hyperlink r:id="rId765" w:history="1">
        <w:r w:rsidRPr="008C7F53">
          <w:rPr>
            <w:rStyle w:val="Hyperlink"/>
          </w:rPr>
          <w:t>§ 1031</w:t>
        </w:r>
      </w:hyperlink>
      <w:r>
        <w:t xml:space="preserve">(b) provides that, if every requirement in § 1031(a) is satisfied </w:t>
      </w:r>
      <w:r>
        <w:rPr>
          <w:i/>
        </w:rPr>
        <w:t xml:space="preserve">except </w:t>
      </w:r>
      <w:r>
        <w:t>the requirement that she receive “solely” like kind property, Nora must recognize the gain realized on the disposition of the like kind property (</w:t>
      </w:r>
      <w:r w:rsidR="008C7F53">
        <w:t>$60,000</w:t>
      </w:r>
      <w:r w:rsidR="00D05338">
        <w:t xml:space="preserve">) but </w:t>
      </w:r>
      <w:r w:rsidR="00D05338">
        <w:rPr>
          <w:i/>
        </w:rPr>
        <w:t xml:space="preserve">only </w:t>
      </w:r>
      <w:r w:rsidR="00D05338">
        <w:t xml:space="preserve">to the extent of </w:t>
      </w:r>
      <w:r>
        <w:t xml:space="preserve">the boot received. To be specific, it provides that, if the property received by Nora “consists not only of property permitted … to be received without the recognition of gain [the like kind property], but also of other property or money [non-like kind property or money, </w:t>
      </w:r>
      <w:r w:rsidRPr="00445510">
        <w:rPr>
          <w:i/>
        </w:rPr>
        <w:t>i.e.</w:t>
      </w:r>
      <w:r>
        <w:rPr>
          <w:i/>
        </w:rPr>
        <w:t xml:space="preserve">, </w:t>
      </w:r>
      <w:r>
        <w:t>boot], then the gain [$60,000] … shall be recognized, but in an amount not in excess of the sum of such money and the fair market value of such other property [</w:t>
      </w:r>
      <w:r>
        <w:rPr>
          <w:i/>
        </w:rPr>
        <w:t>i.e.</w:t>
      </w:r>
      <w:r>
        <w:t xml:space="preserve">, not in </w:t>
      </w:r>
      <w:r>
        <w:rPr>
          <w:i/>
        </w:rPr>
        <w:t xml:space="preserve">excess </w:t>
      </w:r>
      <w:r>
        <w:t xml:space="preserve">of the boot].” Thus, Nora recognizes her $60,000 realized gain </w:t>
      </w:r>
      <w:r w:rsidR="00D05338">
        <w:rPr>
          <w:i/>
        </w:rPr>
        <w:t xml:space="preserve">only </w:t>
      </w:r>
      <w:r w:rsidR="00D05338">
        <w:t>to the extent of the</w:t>
      </w:r>
      <w:r>
        <w:t xml:space="preserve"> $20,000 boot that she receives. Unlike in the potential alternative analysis that Congress could have adopted (described in the last paragraph), </w:t>
      </w:r>
      <w:r w:rsidRPr="006903DC">
        <w:rPr>
          <w:b/>
        </w:rPr>
        <w:t>§ 1031(b) effectively provides that boot obtained in exchange for l</w:t>
      </w:r>
      <w:r>
        <w:rPr>
          <w:b/>
        </w:rPr>
        <w:t xml:space="preserve">ike </w:t>
      </w:r>
      <w:r w:rsidRPr="006903DC">
        <w:rPr>
          <w:b/>
        </w:rPr>
        <w:t>kind property is allocated entir</w:t>
      </w:r>
      <w:r>
        <w:rPr>
          <w:b/>
        </w:rPr>
        <w:t>ely to any built-in gain in the</w:t>
      </w:r>
      <w:r w:rsidRPr="006903DC">
        <w:rPr>
          <w:b/>
        </w:rPr>
        <w:t xml:space="preserve"> like</w:t>
      </w:r>
      <w:r>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Notice that this approach is not as favorable to Nora, as she must recognize $20,000 (instead of only $12,000) of her $60,000 realized gain. </w:t>
      </w:r>
    </w:p>
    <w:p w:rsidR="0078310B" w:rsidRPr="000E606A" w:rsidRDefault="0078310B" w:rsidP="0078310B">
      <w:pPr>
        <w:widowControl w:val="0"/>
        <w:spacing w:after="120"/>
        <w:ind w:firstLine="288"/>
        <w:jc w:val="both"/>
      </w:pPr>
      <w:r>
        <w:t xml:space="preserve">Just as in Example 2, Nora’s $40,000 unrecognized gain is not forgiven but only deferred under </w:t>
      </w:r>
      <w:r w:rsidRPr="006A5624">
        <w:t>the § 1031(d)</w:t>
      </w:r>
      <w:r>
        <w:t xml:space="preserve"> basis rule. </w:t>
      </w:r>
      <w:r>
        <w:rPr>
          <w:b/>
        </w:rPr>
        <w:t xml:space="preserve">Under </w:t>
      </w:r>
      <w:hyperlink r:id="rId766" w:history="1">
        <w:r w:rsidRPr="008C7F53">
          <w:rPr>
            <w:rStyle w:val="Hyperlink"/>
            <w:b/>
          </w:rPr>
          <w:t>§ 1031</w:t>
        </w:r>
      </w:hyperlink>
      <w:r>
        <w:rPr>
          <w:b/>
        </w:rPr>
        <w:t xml:space="preserve">(d),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rsidR="00D05338">
        <w:t>$20,000],</w:t>
      </w:r>
      <w:r>
        <w:t>”</w:t>
      </w:r>
      <w:r w:rsidR="00D05338">
        <w:t xml:space="preserve"> or $40,000.</w:t>
      </w:r>
      <w:r>
        <w:t xml:space="preserve"> The reason why Nora must </w:t>
      </w:r>
      <w:r w:rsidRPr="000E606A">
        <w:rPr>
          <w:i/>
        </w:rPr>
        <w:t xml:space="preserve">reduce her basis </w:t>
      </w:r>
      <w:r>
        <w:rPr>
          <w:i/>
        </w:rPr>
        <w:t xml:space="preserve">in the Manhattan property </w:t>
      </w:r>
      <w:r w:rsidRPr="000E606A">
        <w:rPr>
          <w:i/>
        </w:rPr>
        <w:t>by any money received</w:t>
      </w:r>
      <w:r>
        <w:t xml:space="preserve"> i</w:t>
      </w:r>
      <w:r w:rsidR="008C7F53">
        <w:t xml:space="preserve">s because </w:t>
      </w:r>
      <w:r>
        <w:t xml:space="preserve">cash automatically has a basis equal to its face amount. If, for example, Nora uses that $20,000 in cash to purchase Blackacre, she would take a $20,000 cost basis under § 1012 in Blackacre. Thus, we cannot allow her to </w:t>
      </w:r>
      <w:r>
        <w:rPr>
          <w:i/>
        </w:rPr>
        <w:t>also</w:t>
      </w:r>
      <w:r>
        <w:t xml:space="preserve"> include that same $20,000 in the basis of the Manhattan property received from Nick</w:t>
      </w:r>
      <w:r w:rsidR="008C7F53">
        <w:t>,</w:t>
      </w:r>
      <w:r>
        <w:t xml:space="preserve">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$20,000 to create basis in the Manhattan property. Moreover, the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same $20,000 </w:t>
      </w:r>
      <w:r w:rsidR="008C7F53">
        <w:t xml:space="preserve">gain </w:t>
      </w:r>
      <w:r>
        <w:t xml:space="preserve">when she sells the Manhattan property or else she would be doubly taxed on the same dollars. </w:t>
      </w:r>
    </w:p>
    <w:p w:rsidR="0078310B" w:rsidRPr="00445510" w:rsidRDefault="0078310B" w:rsidP="0078310B">
      <w:pPr>
        <w:widowControl w:val="0"/>
        <w:spacing w:after="120"/>
        <w:ind w:firstLine="288"/>
        <w:jc w:val="both"/>
      </w:pPr>
      <w:r>
        <w:t xml:space="preserve">Thus, Nora’s basis in the new property will be $40,000 ($40,000 </w:t>
      </w:r>
      <w:r>
        <w:rPr>
          <w:i/>
        </w:rPr>
        <w:t xml:space="preserve">less </w:t>
      </w:r>
      <w:r>
        <w:t xml:space="preserve">$20,000 </w:t>
      </w:r>
      <w:r>
        <w:rPr>
          <w:i/>
        </w:rPr>
        <w:t>plus</w:t>
      </w:r>
      <w:r>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rsidR="0078310B" w:rsidRPr="00B3748A" w:rsidRDefault="0078310B" w:rsidP="0078310B">
      <w:pPr>
        <w:widowControl w:val="0"/>
        <w:spacing w:after="120"/>
        <w:jc w:val="center"/>
      </w:pPr>
      <w:r w:rsidRPr="00B3748A">
        <w:rPr>
          <w:b/>
        </w:rPr>
        <w:t>Example 4</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$30,000</w:t>
      </w:r>
    </w:p>
    <w:p w:rsidR="0078310B" w:rsidRDefault="0078310B" w:rsidP="0078310B">
      <w:pPr>
        <w:widowControl w:val="0"/>
        <w:spacing w:after="120"/>
        <w:ind w:left="720" w:firstLine="720"/>
      </w:pPr>
      <w:r>
        <w:t>A/B $40,000                                             $70,000 cash</w:t>
      </w:r>
    </w:p>
    <w:p w:rsidR="0078310B" w:rsidRDefault="0078310B" w:rsidP="0078310B">
      <w:pPr>
        <w:widowControl w:val="0"/>
        <w:spacing w:after="120"/>
        <w:ind w:firstLine="288"/>
        <w:jc w:val="both"/>
      </w:pPr>
      <w:r>
        <w:t>Because Nick’s property is worth only $30,000, Nora demands that he transfer $70,000 in cash to boot. Do not fall into the trap of thinking that § 1031(b) can be shorten</w:t>
      </w:r>
      <w:r w:rsidR="005C3044">
        <w:t>ed to “include the boot</w:t>
      </w:r>
      <w:r>
        <w:t xml:space="preserve">.” That is not what § 1031(b) says. Indeed, if Nora were forced to include the entire $70,000 in cash received, she would include $10,000 of what should be tax-free basis recovery! If Nora </w:t>
      </w:r>
      <w:r>
        <w:rPr>
          <w:i/>
        </w:rPr>
        <w:t xml:space="preserve">sold </w:t>
      </w:r>
      <w:r>
        <w:t xml:space="preserve">her ranchland entirely for $100,000 in cash, she would realize and recognize only a $60,000 </w:t>
      </w:r>
      <w:r w:rsidR="005C3044">
        <w:t>gain</w:t>
      </w:r>
      <w:r>
        <w:t xml:space="preserve">. This result is not changed simply because she receives only $70,000 in cash and property worth $30,000. Nora realizes no wealth accession </w:t>
      </w:r>
      <w:r w:rsidR="005C3044">
        <w:t xml:space="preserve">in the tax sense </w:t>
      </w:r>
      <w:r>
        <w:t xml:space="preserve">to the extent of basis recovery. </w:t>
      </w:r>
    </w:p>
    <w:p w:rsidR="0078310B" w:rsidRDefault="0078310B" w:rsidP="0078310B">
      <w:pPr>
        <w:widowControl w:val="0"/>
        <w:spacing w:after="120"/>
        <w:ind w:firstLine="288"/>
        <w:jc w:val="both"/>
      </w:pPr>
      <w:r>
        <w:t xml:space="preserve">Because the boot that Nora receives exceeds her realized gain, § 1031 </w:t>
      </w:r>
      <w:r w:rsidR="005C3044">
        <w:t>provides no benefit to Nora</w:t>
      </w:r>
      <w:r w:rsidR="00D63AAC">
        <w:t xml:space="preserve">. </w:t>
      </w:r>
      <w:r>
        <w:t xml:space="preserve">Under § 1031(b), Nora is required to recognize her $60,000 realized gain but not in </w:t>
      </w:r>
      <w:r w:rsidRPr="007F3756">
        <w:rPr>
          <w:i/>
        </w:rPr>
        <w:t>excess of</w:t>
      </w:r>
      <w:r>
        <w:t xml:space="preserve"> (</w:t>
      </w:r>
      <w:r>
        <w:rPr>
          <w:i/>
        </w:rPr>
        <w:t>i.e.</w:t>
      </w:r>
      <w:r>
        <w:t xml:space="preserve">, no more than) the $70,000 boot received. Thus, she must recognize 100% of her $60,000 realized gain. The final $10,000 of boot that Nora receives is tax-free basis recovery. Under § 1031(d), she takes a basis in the like kind property obtained equal to her $40,000 ranchland basis </w:t>
      </w:r>
      <w:r>
        <w:rPr>
          <w:i/>
        </w:rPr>
        <w:t>less</w:t>
      </w:r>
      <w:r>
        <w:t xml:space="preserve"> the $70,000 money received </w:t>
      </w:r>
      <w:r>
        <w:rPr>
          <w:i/>
        </w:rPr>
        <w:t>plus</w:t>
      </w:r>
      <w:r>
        <w:t xml:space="preserve"> the $60,000 </w:t>
      </w:r>
      <w:r w:rsidR="005C3044">
        <w:t>recognized gain</w:t>
      </w:r>
      <w:r>
        <w:t xml:space="preserve">, </w:t>
      </w:r>
      <w:r w:rsidR="005C3044">
        <w:t>or</w:t>
      </w:r>
      <w:r>
        <w:t xml:space="preserve"> $30,000 (the property’s FMV). Because Nora has recognized 100% of her realized gain, this result is not surprising, as there is no unrecognized gain to preserve. </w:t>
      </w:r>
    </w:p>
    <w:p w:rsidR="0078310B" w:rsidRPr="00B3748A" w:rsidRDefault="0078310B" w:rsidP="0078310B">
      <w:pPr>
        <w:widowControl w:val="0"/>
        <w:spacing w:after="120"/>
        <w:jc w:val="center"/>
        <w:rPr>
          <w:b/>
        </w:rPr>
      </w:pPr>
      <w:r w:rsidRPr="00B3748A">
        <w:rPr>
          <w:b/>
        </w:rPr>
        <w:t>Example 5</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$80,000</w:t>
      </w:r>
    </w:p>
    <w:p w:rsidR="0078310B" w:rsidRDefault="0078310B" w:rsidP="0078310B">
      <w:pPr>
        <w:widowControl w:val="0"/>
        <w:spacing w:after="120"/>
        <w:ind w:left="720" w:firstLine="720"/>
      </w:pPr>
      <w:r>
        <w:t>A/B $120,000                                            $20,000 cash</w:t>
      </w:r>
    </w:p>
    <w:p w:rsidR="0078310B" w:rsidRDefault="0078310B" w:rsidP="0078310B">
      <w:pPr>
        <w:widowControl w:val="0"/>
        <w:spacing w:after="120"/>
        <w:ind w:firstLine="288"/>
        <w:jc w:val="both"/>
      </w:pPr>
      <w:r>
        <w:t>Notice that Nora’s property has a built-in loss rather than a built-in gain. Under Step 1, she realizes a $20,000 loss on this exchange unde</w:t>
      </w:r>
      <w:r w:rsidR="000D0938">
        <w:t>r § 1001. Can she recognize this</w:t>
      </w:r>
      <w:r>
        <w:t xml:space="preserve"> loss, which would allow her to deduct it now under § 165 under Step 2? She would prefer that result because of the time value of money. While § 1031(a) prevents the recognition of both realized gain and realized loss, notice that she fails the “solely” requirement in § 1031(a). In the case of </w:t>
      </w:r>
      <w:r>
        <w:rPr>
          <w:i/>
        </w:rPr>
        <w:t>gain</w:t>
      </w:r>
      <w:r>
        <w:t xml:space="preserve">, you learned that § 1031(b) forces gain recognition on the receipt of boot. What about loss? </w:t>
      </w:r>
    </w:p>
    <w:p w:rsidR="0078310B" w:rsidRDefault="0078310B" w:rsidP="0078310B">
      <w:pPr>
        <w:widowControl w:val="0"/>
        <w:spacing w:after="120"/>
        <w:ind w:firstLine="288"/>
        <w:jc w:val="both"/>
      </w:pPr>
      <w:r>
        <w:t xml:space="preserve">Alas, </w:t>
      </w:r>
      <w:hyperlink r:id="rId767" w:history="1">
        <w:r w:rsidRPr="000D0938">
          <w:rPr>
            <w:rStyle w:val="Hyperlink"/>
          </w:rPr>
          <w:t>§ 1031</w:t>
        </w:r>
      </w:hyperlink>
      <w:r>
        <w:t>(c) denies loss recognition on the receipt of boot. Nora’s los</w:t>
      </w:r>
      <w:r w:rsidR="00346A7A">
        <w:t xml:space="preserve">s is not forever lost, </w:t>
      </w:r>
      <w:r>
        <w:t xml:space="preserve">as it is preserved in the basis of the like kind property received, which will take a basis under § 1031(d) equal to her $20,000 ranchland basis </w:t>
      </w:r>
      <w:r>
        <w:rPr>
          <w:i/>
        </w:rPr>
        <w:t>less</w:t>
      </w:r>
      <w:r>
        <w:t xml:space="preserve"> the $20,000 in “money” received, or $100,000. Because the new property is worth only $80,000, her $20,000 realized but unrecognized loss i</w:t>
      </w:r>
      <w:r w:rsidR="00346A7A">
        <w:t>s preserved</w:t>
      </w:r>
      <w:r>
        <w:t xml:space="preserve">.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thus ensu</w:t>
      </w:r>
      <w:r w:rsidR="000A5EEC">
        <w:t xml:space="preserve">ring that she would fail </w:t>
      </w:r>
      <w:r>
        <w:t xml:space="preserve">the “exchange” requirement in § 1031(a). If she really wants the Manhattan property, she can purchase it with the cash obtained on the sale. </w:t>
      </w:r>
    </w:p>
    <w:p w:rsidR="0078310B" w:rsidRPr="00B3748A" w:rsidRDefault="0078310B" w:rsidP="0078310B">
      <w:pPr>
        <w:widowControl w:val="0"/>
        <w:spacing w:after="120"/>
        <w:jc w:val="center"/>
      </w:pPr>
      <w:r w:rsidRPr="00B3748A">
        <w:rPr>
          <w:b/>
        </w:rPr>
        <w:t>Example 6</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$80,000</w:t>
      </w:r>
    </w:p>
    <w:p w:rsidR="0078310B" w:rsidRDefault="0078310B" w:rsidP="0078310B">
      <w:pPr>
        <w:widowControl w:val="0"/>
        <w:spacing w:after="120"/>
        <w:ind w:left="720" w:firstLine="720"/>
      </w:pPr>
      <w:r>
        <w:t>A/B $40,000                                             Boat: FMV $20,000</w:t>
      </w:r>
    </w:p>
    <w:p w:rsidR="0078310B" w:rsidRDefault="0078310B" w:rsidP="0078310B">
      <w:pPr>
        <w:widowControl w:val="0"/>
        <w:spacing w:after="120"/>
        <w:ind w:firstLine="288"/>
        <w:jc w:val="both"/>
      </w:pPr>
      <w:r>
        <w:t xml:space="preserve">These facts are the same as Example 3, except that Nora’s boot receipt is in the form of property in kind with an FMV of $20,000 (the boat) rather than $20,000 in cash. The boat is, indeed, boot for Nora because it is not of like kind with the real estate that she exchanges. Thus, Nora must recognize $20,000 of her $60,000 realized gain under § 1031(b), just as she does in Example 3. </w:t>
      </w:r>
    </w:p>
    <w:p w:rsidR="0078310B" w:rsidRPr="00325CBB" w:rsidRDefault="0078310B" w:rsidP="0078310B">
      <w:pPr>
        <w:widowControl w:val="0"/>
        <w:spacing w:after="120"/>
        <w:ind w:firstLine="288"/>
        <w:jc w:val="both"/>
      </w:pPr>
      <w:r>
        <w:t xml:space="preserve">What is her basis in each property under § 1031(d)? Under the </w:t>
      </w:r>
      <w:r>
        <w:rPr>
          <w:i/>
        </w:rPr>
        <w:t>first</w:t>
      </w:r>
      <w:r>
        <w:t xml:space="preserve"> sentence in § 1031(d), her aggregate new basis in the property (other than money) received is the same as that of the ranchland that she exchanges ($40,000) </w:t>
      </w:r>
      <w:r>
        <w:rPr>
          <w:i/>
        </w:rPr>
        <w:t xml:space="preserve">less </w:t>
      </w:r>
      <w:r>
        <w:t xml:space="preserve">“money” received ($0), </w:t>
      </w:r>
      <w:r>
        <w:rPr>
          <w:i/>
        </w:rPr>
        <w:t>plus</w:t>
      </w:r>
      <w:r>
        <w:t xml:space="preserve"> recognized gain ($20,000), or $60,000. But how does she allocate this $60,000 basis between the two properties that she now owns: the like kind Manhattan property and the boot property (the boat)? Read the </w:t>
      </w:r>
      <w:r w:rsidRPr="00095826">
        <w:rPr>
          <w:i/>
        </w:rPr>
        <w:t>second</w:t>
      </w:r>
      <w:r>
        <w:t xml:space="preserve"> sentence in </w:t>
      </w:r>
      <w:hyperlink r:id="rId768" w:history="1">
        <w:r w:rsidRPr="005147DB">
          <w:rPr>
            <w:rStyle w:val="Hyperlink"/>
          </w:rPr>
          <w:t>§ 1031</w:t>
        </w:r>
      </w:hyperlink>
      <w:r>
        <w:t>(d). The boot property (the boat) takes an FMV basis of $20,000, with the remaining amount ($40,000) allocated to the like kind Manhattan property. If she sells the Manhattan property for $80,000 in cash, she realizes and recognizes the $40,000 gain that went unrecognized on the initial exchange. If Nora sells the boat, instead, for $20,000 in cash, she realizes no gain or loss, as her amount realized is equal to her basis. In short, the second sentence in § 1031(d) ensures that the entire $40,000 unrecognized gain is reflected in the like kind property (not the boot property), as the like kind property permits this $40,000 gain to go unrecognized in the first place.</w:t>
      </w:r>
    </w:p>
    <w:p w:rsidR="0078310B" w:rsidRPr="00B3748A" w:rsidRDefault="0078310B" w:rsidP="0078310B">
      <w:pPr>
        <w:widowControl w:val="0"/>
        <w:spacing w:after="120"/>
        <w:jc w:val="center"/>
        <w:rPr>
          <w:b/>
        </w:rPr>
      </w:pPr>
      <w:r w:rsidRPr="00B3748A">
        <w:rPr>
          <w:b/>
        </w:rPr>
        <w:t>Example 7</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$130,000</w:t>
      </w:r>
    </w:p>
    <w:p w:rsidR="0078310B" w:rsidRDefault="0078310B" w:rsidP="0078310B">
      <w:pPr>
        <w:widowControl w:val="0"/>
        <w:ind w:left="720" w:firstLine="720"/>
      </w:pPr>
      <w:r>
        <w:t xml:space="preserve">A/B $40,000 </w:t>
      </w:r>
    </w:p>
    <w:p w:rsidR="0078310B" w:rsidRDefault="0078310B" w:rsidP="0078310B">
      <w:pPr>
        <w:widowControl w:val="0"/>
        <w:ind w:left="720" w:firstLine="720"/>
      </w:pPr>
      <w:r>
        <w:t>Boat</w:t>
      </w:r>
    </w:p>
    <w:p w:rsidR="0078310B" w:rsidRDefault="0078310B" w:rsidP="0078310B">
      <w:pPr>
        <w:widowControl w:val="0"/>
        <w:ind w:left="720" w:firstLine="720"/>
      </w:pPr>
      <w:r>
        <w:t>FMV $30,000</w:t>
      </w:r>
    </w:p>
    <w:p w:rsidR="0078310B" w:rsidRDefault="0078310B" w:rsidP="0078310B">
      <w:pPr>
        <w:widowControl w:val="0"/>
        <w:spacing w:after="120"/>
        <w:ind w:left="720" w:firstLine="720"/>
      </w:pPr>
      <w:r>
        <w:t xml:space="preserve">A/B $40,000 </w:t>
      </w:r>
    </w:p>
    <w:p w:rsidR="0078310B" w:rsidRDefault="0078310B" w:rsidP="0078310B">
      <w:pPr>
        <w:widowControl w:val="0"/>
        <w:spacing w:after="120"/>
        <w:ind w:firstLine="288"/>
        <w:jc w:val="both"/>
      </w:pPr>
      <w:r>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and determine a single § 1001 realized gain or loss in Step 1. Rather, she must separately apply § 1001 to </w:t>
      </w:r>
      <w:r w:rsidRPr="001E7842">
        <w:rPr>
          <w:i/>
        </w:rPr>
        <w:t>each piece of property</w:t>
      </w:r>
      <w:r>
        <w:t xml:space="preserve">. Thus, Nora realizes (1) a $60,000 gain (on the exchange of the ranchland for $100,000 worth of the Manhattan property) and (2) a $10,000 loss (on the exchange of the boat for $30,000 worth of the Manhattan property). Because a boat is not of like kind with real estate, the second exchange fails § 1031(a), which means that Nora’s $10,000 realized loss is </w:t>
      </w:r>
      <w:r w:rsidRPr="00F33346">
        <w:rPr>
          <w:i/>
        </w:rPr>
        <w:t>immediately recognized</w:t>
      </w:r>
      <w:r>
        <w:t>. Even though the loss is recognized, it may not be deductible, however. If she uses this boat in her business, this recognized loss would be deductible under § 165(c)(1). I</w:t>
      </w:r>
      <w:r w:rsidR="00F443B8">
        <w:t>n contrast, i</w:t>
      </w:r>
      <w:r>
        <w:t>f she uses</w:t>
      </w:r>
      <w:r w:rsidR="00F443B8">
        <w:t xml:space="preserve"> this boat for recreation</w:t>
      </w:r>
      <w:r>
        <w:t xml:space="preserve">, this recognized loss would be nondeductible under § 165(c)(3). </w:t>
      </w:r>
    </w:p>
    <w:p w:rsidR="0078310B" w:rsidRDefault="0078310B" w:rsidP="0078310B">
      <w:pPr>
        <w:widowControl w:val="0"/>
        <w:spacing w:after="120"/>
        <w:ind w:firstLine="288"/>
        <w:jc w:val="both"/>
      </w:pPr>
      <w:r>
        <w:t xml:space="preserve">In contrast to the boat/Manhattan property exchange, the ranchland/Manhattan property exchange satisfies each requirement in § 1031(a). Thus, none of the $60,000 realized gain on the exchange of the ranchland for $100,000 worth of the Manhattan like kind property is recognized. </w:t>
      </w:r>
    </w:p>
    <w:p w:rsidR="0078310B" w:rsidRPr="00DD349E" w:rsidRDefault="0078310B" w:rsidP="0078310B">
      <w:pPr>
        <w:widowControl w:val="0"/>
        <w:spacing w:after="120"/>
        <w:ind w:firstLine="288"/>
        <w:jc w:val="both"/>
      </w:pPr>
      <w:r>
        <w:t xml:space="preserve">What would be Nora’s basis in the Manhattan property? Walk through that first sentence in § </w:t>
      </w:r>
      <w:hyperlink r:id="rId769" w:history="1">
        <w:r w:rsidRPr="00E34E09">
          <w:rPr>
            <w:rStyle w:val="Hyperlink"/>
          </w:rPr>
          <w:t>1031</w:t>
        </w:r>
      </w:hyperlink>
      <w:r>
        <w:t xml:space="preserve">(d) very carefully. Her substituted basis includes the basis in </w:t>
      </w:r>
      <w:r>
        <w:rPr>
          <w:i/>
        </w:rPr>
        <w:t xml:space="preserve">both </w:t>
      </w:r>
      <w:r>
        <w:t xml:space="preserve">of the properties that she transfers to Nick (a total of $80,000) </w:t>
      </w:r>
      <w:r>
        <w:rPr>
          <w:i/>
        </w:rPr>
        <w:t>less</w:t>
      </w:r>
      <w:r>
        <w:t xml:space="preserve"> “money” received ($0) </w:t>
      </w:r>
      <w:r>
        <w:rPr>
          <w:i/>
        </w:rPr>
        <w:t>less</w:t>
      </w:r>
      <w:r>
        <w:t xml:space="preserve"> recognized loss ($10,000), or $70,000. Because the Manhattan property has an FMV of $130,000, Nora’s $70,000 basis perfectly preserves her $60,000 realized gain that is not recognized on the exchange. </w:t>
      </w:r>
    </w:p>
    <w:p w:rsidR="0078310B" w:rsidRDefault="0078310B" w:rsidP="0078310B">
      <w:pPr>
        <w:widowControl w:val="0"/>
        <w:spacing w:after="120"/>
        <w:ind w:firstLine="288"/>
        <w:jc w:val="both"/>
      </w:pPr>
      <w:r>
        <w:t xml:space="preserve">Notice that § 1031(b) is irrelevant to </w:t>
      </w:r>
      <w:r w:rsidRPr="005E5704">
        <w:rPr>
          <w:i/>
        </w:rPr>
        <w:t>Nora’s</w:t>
      </w:r>
      <w:r>
        <w:t xml:space="preserve"> tax consequences in Example 7. It would be relevant to Nick’s tax consequences if he, too, were applying § 1031 because the boat receipt would be boot to him, forcing him to recognize some or all of any realized gain on the exchange of the like kind property (but not, under § 1031(c), allowing him to recognize any realized loss). Because we do not know Nick’s bases in the land and building, however, we do not have sufficient information to determine how the boat receipt would affect his tax consequences. </w:t>
      </w:r>
    </w:p>
    <w:p w:rsidR="0078310B" w:rsidRDefault="0078310B" w:rsidP="0078310B">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70" w:history="1">
        <w:r w:rsidRPr="00E34E09">
          <w:rPr>
            <w:rStyle w:val="Hyperlink"/>
          </w:rPr>
          <w:t>Treas. Reg. § 1.1031(d)-2</w:t>
        </w:r>
      </w:hyperlink>
      <w:r>
        <w:t>. In effect, they provide three important rules.</w:t>
      </w:r>
    </w:p>
    <w:p w:rsidR="0078310B" w:rsidRDefault="0078310B" w:rsidP="0078310B">
      <w:pPr>
        <w:pStyle w:val="ListParagraph"/>
        <w:widowControl w:val="0"/>
        <w:numPr>
          <w:ilvl w:val="0"/>
          <w:numId w:val="13"/>
        </w:numPr>
        <w:spacing w:after="120"/>
        <w:ind w:left="64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rsidR="0078310B" w:rsidRDefault="0078310B" w:rsidP="0078310B">
      <w:pPr>
        <w:pStyle w:val="ListParagraph"/>
        <w:widowControl w:val="0"/>
        <w:numPr>
          <w:ilvl w:val="0"/>
          <w:numId w:val="13"/>
        </w:numPr>
        <w:spacing w:after="120"/>
        <w:ind w:left="648"/>
        <w:contextualSpacing w:val="0"/>
        <w:jc w:val="both"/>
      </w:pPr>
      <w:r>
        <w:rPr>
          <w:i/>
        </w:rPr>
        <w:t>G</w:t>
      </w:r>
      <w:r w:rsidRPr="00EE69C2">
        <w:rPr>
          <w:i/>
        </w:rPr>
        <w:t>ross</w:t>
      </w:r>
      <w:r>
        <w:t xml:space="preserve"> liability relief is treated as “money received” for purposes of computing basis in the property received under § 1031(d). </w:t>
      </w:r>
    </w:p>
    <w:p w:rsidR="0078310B" w:rsidRDefault="0078310B" w:rsidP="0078310B">
      <w:pPr>
        <w:pStyle w:val="ListParagraph"/>
        <w:widowControl w:val="0"/>
        <w:numPr>
          <w:ilvl w:val="0"/>
          <w:numId w:val="13"/>
        </w:numPr>
        <w:spacing w:after="120"/>
        <w:ind w:left="64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rsidR="0078310B" w:rsidRDefault="0078310B" w:rsidP="0078310B">
      <w:pPr>
        <w:widowControl w:val="0"/>
        <w:spacing w:after="120"/>
        <w:ind w:left="288"/>
        <w:jc w:val="both"/>
      </w:pPr>
      <w:r>
        <w:t xml:space="preserve">These rules are illustrated in Example 8. </w:t>
      </w:r>
    </w:p>
    <w:p w:rsidR="0078310B" w:rsidRPr="00B3748A" w:rsidRDefault="0078310B" w:rsidP="0078310B">
      <w:pPr>
        <w:widowControl w:val="0"/>
        <w:spacing w:after="120"/>
        <w:jc w:val="center"/>
      </w:pPr>
      <w:r w:rsidRPr="00B3748A">
        <w:rPr>
          <w:b/>
        </w:rPr>
        <w:t>Example 8</w:t>
      </w:r>
    </w:p>
    <w:p w:rsidR="0078310B" w:rsidRPr="00AB6F44" w:rsidRDefault="0078310B" w:rsidP="0078310B">
      <w:pPr>
        <w:widowControl w:val="0"/>
        <w:spacing w:after="120"/>
        <w:ind w:left="720" w:firstLine="720"/>
      </w:pPr>
      <w:r>
        <w:t xml:space="preserve">Nora                      </w:t>
      </w:r>
      <w:r>
        <w:rPr>
          <w:i/>
        </w:rPr>
        <w:t>exchanges with</w:t>
      </w:r>
      <w:r>
        <w:t xml:space="preserve">            Nick </w:t>
      </w:r>
    </w:p>
    <w:p w:rsidR="0078310B" w:rsidRDefault="0078310B" w:rsidP="0078310B">
      <w:pPr>
        <w:widowControl w:val="0"/>
        <w:ind w:left="720" w:firstLine="720"/>
      </w:pPr>
      <w:r>
        <w:t>Ranchland in Montana:                             Land &amp; office building in Manhattan:</w:t>
      </w:r>
    </w:p>
    <w:p w:rsidR="0078310B" w:rsidRDefault="0078310B" w:rsidP="0078310B">
      <w:pPr>
        <w:widowControl w:val="0"/>
        <w:ind w:left="720" w:firstLine="720"/>
      </w:pPr>
      <w:r>
        <w:t>FMV $100,000                                          FMV $80,000</w:t>
      </w:r>
    </w:p>
    <w:p w:rsidR="0078310B" w:rsidRDefault="0078310B" w:rsidP="0078310B">
      <w:pPr>
        <w:widowControl w:val="0"/>
        <w:ind w:left="720" w:firstLine="720"/>
      </w:pPr>
      <w:r>
        <w:t>A/B $40,000                                              subject to $20,000 debt</w:t>
      </w:r>
    </w:p>
    <w:p w:rsidR="0078310B" w:rsidRDefault="0078310B" w:rsidP="0078310B">
      <w:pPr>
        <w:widowControl w:val="0"/>
        <w:spacing w:after="120"/>
        <w:ind w:left="720" w:firstLine="720"/>
      </w:pPr>
      <w:r>
        <w:t>subject to $30,000 debt                             $10,000 cash</w:t>
      </w:r>
    </w:p>
    <w:p w:rsidR="0078310B" w:rsidRDefault="0078310B" w:rsidP="0078310B">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t xml:space="preserve">that she has in her land and demand the same </w:t>
      </w:r>
      <w:r w:rsidRPr="00F738F2">
        <w:rPr>
          <w:i/>
        </w:rPr>
        <w:t>net value</w:t>
      </w:r>
      <w:r>
        <w:t xml:space="preserve"> in the package to be received from Nick. Because Nora’s ranchland has an FMV of $100,000 but is subject to a $30,000 debt, the net value that she is transferring to Nick is $70,000. Thus, she would demand $70,000 in net value from Nick. Because Nick’s Manhattan property has an FMV of $80,000 but is subject to a $20,000 debt, the like kind property reflects $60,000 of net value. Thus, Nora would demand $10,000 of cash boot to even up the deal, and Nick agrees. </w:t>
      </w:r>
    </w:p>
    <w:p w:rsidR="0078310B" w:rsidRDefault="0078310B" w:rsidP="0078310B">
      <w:pPr>
        <w:widowControl w:val="0"/>
        <w:spacing w:after="120"/>
        <w:ind w:firstLine="288"/>
        <w:jc w:val="both"/>
      </w:pPr>
      <w:r>
        <w:t>In Step 1, Nora’s realized gain under § 1001 remains $60,000 (as in Example 2). The easy way to determine this is simply to compare the ranchland’s A/B and FMV.</w:t>
      </w:r>
      <w:r>
        <w:rPr>
          <w:rStyle w:val="FootnoteReference"/>
        </w:rPr>
        <w:footnoteReference w:id="413"/>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rsidR="0078310B" w:rsidRDefault="0078310B" w:rsidP="0078310B">
      <w:pPr>
        <w:widowControl w:val="0"/>
        <w:spacing w:after="120"/>
        <w:ind w:firstLine="288"/>
        <w:jc w:val="both"/>
      </w:pPr>
      <w:r>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w:t>
      </w:r>
    </w:p>
    <w:p w:rsidR="0078310B" w:rsidRDefault="0078310B" w:rsidP="0078310B">
      <w:pPr>
        <w:widowControl w:val="0"/>
        <w:spacing w:after="120"/>
        <w:ind w:firstLine="288"/>
        <w:jc w:val="both"/>
      </w:pPr>
      <w:r>
        <w:t xml:space="preserve">You may have noticed as we moved along that there is a handy dandy shortcut for determining Nora’s basis in the like kind property obtained in the exchange. Simply determine its FMV and reduce it to reflect any realized but unrecognized gain (or increase it to reflect any realized but unrecognized loss). (Any boot property received in kind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rsidR="0078310B" w:rsidRPr="00B52834" w:rsidRDefault="0078310B" w:rsidP="0078310B">
      <w:pPr>
        <w:pStyle w:val="Heading3"/>
        <w:spacing w:before="0" w:beforeAutospacing="0" w:after="120" w:afterAutospacing="0"/>
        <w:rPr>
          <w:i/>
        </w:rPr>
      </w:pPr>
      <w:bookmarkStart w:id="241" w:name="_Toc395790537"/>
      <w:r w:rsidRPr="00B52834">
        <w:rPr>
          <w:i/>
        </w:rPr>
        <w:t>Three-corner exchanges</w:t>
      </w:r>
      <w:bookmarkEnd w:id="241"/>
    </w:p>
    <w:p w:rsidR="0078310B" w:rsidRDefault="0078310B" w:rsidP="0078310B">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Nora wishes to dispose of her property in a § 1031 exchange that will allow some of her $60,000 built-in gain to go unrecognized. She likes Nick’s Manhattan property, 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that Nora has refused to sell to Asta because, as just noted, she wants at least some of her realized gain to go unrecognized under § 1031. What can the parties do? </w:t>
      </w:r>
    </w:p>
    <w:p w:rsidR="0078310B" w:rsidRDefault="0078310B" w:rsidP="0078310B">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w:t>
      </w:r>
      <w:r w:rsidR="005C28D5">
        <w:t xml:space="preserve">the </w:t>
      </w:r>
      <w:r>
        <w:t xml:space="preserve">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rsidR="0078310B" w:rsidRDefault="0078310B" w:rsidP="0078310B">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rsidR="0078310B" w:rsidRDefault="0078310B" w:rsidP="0078310B">
      <w:pPr>
        <w:widowControl w:val="0"/>
        <w:ind w:firstLine="288"/>
        <w:jc w:val="both"/>
      </w:pPr>
    </w:p>
    <w:p w:rsidR="0078310B" w:rsidRPr="003454AA" w:rsidRDefault="0078310B" w:rsidP="0078310B">
      <w:pPr>
        <w:pStyle w:val="Heading3"/>
        <w:spacing w:before="0" w:beforeAutospacing="0" w:after="120" w:afterAutospacing="0"/>
        <w:jc w:val="center"/>
      </w:pPr>
      <w:bookmarkStart w:id="242" w:name="_Toc395790538"/>
      <w:r>
        <w:t>CRANDALL v. COMMISSIONER</w:t>
      </w:r>
      <w:bookmarkEnd w:id="242"/>
    </w:p>
    <w:p w:rsidR="0078310B" w:rsidRDefault="0078310B" w:rsidP="0078310B">
      <w:pPr>
        <w:widowControl w:val="0"/>
        <w:jc w:val="center"/>
      </w:pPr>
      <w:r>
        <w:t>T.C. Summary Opinion 2011-14</w:t>
      </w:r>
    </w:p>
    <w:p w:rsidR="0078310B" w:rsidRDefault="0078310B" w:rsidP="0078310B">
      <w:pPr>
        <w:widowControl w:val="0"/>
        <w:jc w:val="center"/>
      </w:pPr>
    </w:p>
    <w:p w:rsidR="0078310B" w:rsidRDefault="0078310B" w:rsidP="0078310B">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rsidR="0078310B" w:rsidRDefault="0078310B" w:rsidP="0078310B">
      <w:pPr>
        <w:widowControl w:val="0"/>
        <w:spacing w:after="120"/>
        <w:ind w:firstLine="288"/>
        <w:jc w:val="both"/>
      </w:pPr>
      <w:r>
        <w:t>Respondent determined a deficiency of $14,475 in petitioners’ 2005 Federal income tax and an accuracy-related penalty of $2,895. After concessions, the sole issue for decision is whether petitioners are entitled to nonrecognition of gain under section 1031 for a 2005 real estate transaction.</w:t>
      </w:r>
    </w:p>
    <w:p w:rsidR="0078310B" w:rsidRPr="00893FDD" w:rsidRDefault="0078310B" w:rsidP="0078310B">
      <w:pPr>
        <w:widowControl w:val="0"/>
        <w:spacing w:after="120"/>
        <w:jc w:val="both"/>
        <w:rPr>
          <w:i/>
        </w:rPr>
      </w:pPr>
      <w:r w:rsidRPr="00893FDD">
        <w:rPr>
          <w:i/>
        </w:rPr>
        <w:t>Background</w:t>
      </w:r>
    </w:p>
    <w:p w:rsidR="0078310B" w:rsidRDefault="0078310B" w:rsidP="0078310B">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rsidR="0078310B" w:rsidRDefault="0078310B" w:rsidP="0078310B">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rsidR="0078310B" w:rsidRPr="00893FDD" w:rsidRDefault="0078310B" w:rsidP="0078310B">
      <w:pPr>
        <w:widowControl w:val="0"/>
        <w:spacing w:after="120"/>
        <w:jc w:val="both"/>
        <w:rPr>
          <w:i/>
        </w:rPr>
      </w:pPr>
      <w:r w:rsidRPr="00893FDD">
        <w:rPr>
          <w:i/>
        </w:rPr>
        <w:t>Discussion</w:t>
      </w:r>
    </w:p>
    <w:p w:rsidR="0078310B" w:rsidRDefault="0078310B" w:rsidP="0078310B">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rsidR="0078310B" w:rsidRDefault="0078310B" w:rsidP="0078310B">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rsidR="0078310B" w:rsidRDefault="0078310B" w:rsidP="0078310B">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rsidR="0078310B" w:rsidRDefault="0078310B" w:rsidP="0078310B">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rsidR="0078310B" w:rsidRDefault="0078310B" w:rsidP="0078310B">
      <w:pPr>
        <w:widowControl w:val="0"/>
        <w:spacing w:after="120"/>
        <w:ind w:firstLine="288"/>
        <w:jc w:val="both"/>
      </w:pPr>
      <w:r>
        <w:t>(ii) A qualified escrow account is an escrow account wherein—</w:t>
      </w:r>
    </w:p>
    <w:p w:rsidR="0078310B" w:rsidRDefault="0078310B" w:rsidP="0078310B">
      <w:pPr>
        <w:widowControl w:val="0"/>
        <w:spacing w:after="120"/>
        <w:ind w:firstLine="288"/>
        <w:jc w:val="both"/>
      </w:pPr>
      <w:r>
        <w:t>(A) The escrow holder is not the taxpayer or a disqualified person * * *, and</w:t>
      </w:r>
    </w:p>
    <w:p w:rsidR="0078310B" w:rsidRDefault="0078310B" w:rsidP="0078310B">
      <w:pPr>
        <w:widowControl w:val="0"/>
        <w:spacing w:after="120"/>
        <w:ind w:firstLine="288"/>
        <w:jc w:val="both"/>
      </w:pPr>
      <w:r>
        <w:t>(B) The escrow agreement expressly limits the taxpayer’s right to receive, pledge, borrow, or otherwise obtain the benefits of the cash or cash equivalent held in the escrow account * * *.</w:t>
      </w:r>
    </w:p>
    <w:p w:rsidR="0078310B" w:rsidRPr="00360526" w:rsidRDefault="0078310B" w:rsidP="0078310B">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rsidR="0078310B" w:rsidRDefault="0078310B" w:rsidP="0078310B">
      <w:pPr>
        <w:widowControl w:val="0"/>
        <w:spacing w:after="120"/>
        <w:ind w:firstLine="288"/>
        <w:jc w:val="both"/>
      </w:pPr>
      <w:r>
        <w:t xml:space="preserve">The Arizona property and the California property are like kind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rsidR="0078310B" w:rsidRDefault="0078310B" w:rsidP="0078310B">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rsidR="0078310B" w:rsidRDefault="0078310B" w:rsidP="0078310B">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rsidR="0078310B" w:rsidRPr="000F2030" w:rsidRDefault="0078310B" w:rsidP="0078310B">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rsidR="0078310B" w:rsidRPr="00FF49C6" w:rsidRDefault="0078310B" w:rsidP="0078310B">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rsidR="0078310B" w:rsidRPr="00FF49C6" w:rsidRDefault="0078310B" w:rsidP="0078310B">
      <w:pPr>
        <w:widowControl w:val="0"/>
        <w:jc w:val="center"/>
      </w:pPr>
      <w:r w:rsidRPr="00FF49C6">
        <w:t>____________________________________</w:t>
      </w:r>
    </w:p>
    <w:p w:rsidR="0078310B" w:rsidRDefault="0078310B" w:rsidP="0078310B">
      <w:pPr>
        <w:widowControl w:val="0"/>
        <w:ind w:firstLine="288"/>
      </w:pPr>
    </w:p>
    <w:p w:rsidR="0078310B" w:rsidRPr="00FF49C6" w:rsidRDefault="0078310B" w:rsidP="0078310B">
      <w:pPr>
        <w:widowControl w:val="0"/>
        <w:spacing w:after="120"/>
        <w:ind w:firstLine="288"/>
        <w:jc w:val="both"/>
        <w:rPr>
          <w:spacing w:val="-2"/>
        </w:rPr>
      </w:pPr>
      <w:r>
        <w:t>Nora</w:t>
      </w:r>
      <w:r w:rsidRPr="00FF49C6">
        <w:t xml:space="preserve">, </w:t>
      </w:r>
      <w:r>
        <w:t>Nick, and Asta</w:t>
      </w:r>
      <w:r w:rsidRPr="00FF49C6">
        <w:t xml:space="preserve">—once they found each other through </w:t>
      </w:r>
      <w:r>
        <w:t xml:space="preserve">a § 1031 firm that </w:t>
      </w:r>
      <w:r w:rsidRPr="00FF49C6">
        <w:t>specialize</w:t>
      </w:r>
      <w:r>
        <w:t>s</w:t>
      </w:r>
      <w:r w:rsidRPr="00FF49C6">
        <w:t xml:space="preserve"> in helping real estate owners find each other—can </w:t>
      </w:r>
      <w:r w:rsidRPr="00FF49C6">
        <w:rPr>
          <w:spacing w:val="-2"/>
        </w:rPr>
        <w:t xml:space="preserve">structure a three-corner exchange using a qualified intermediary (arranged by the § 1031 firm). </w:t>
      </w:r>
      <w:r>
        <w:rPr>
          <w:spacing w:val="-2"/>
        </w:rPr>
        <w:t xml:space="preserve">Nick and Nora </w:t>
      </w:r>
      <w:r w:rsidRPr="00FF49C6">
        <w:rPr>
          <w:spacing w:val="-2"/>
        </w:rPr>
        <w:t>would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w:t>
      </w:r>
      <w:r w:rsidRPr="00FF49C6">
        <w:rPr>
          <w:spacing w:val="-2"/>
        </w:rPr>
        <w:t xml:space="preserve"> would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Nora</w:t>
      </w:r>
      <w:r w:rsidRPr="00FF49C6">
        <w:rPr>
          <w:spacing w:val="-2"/>
        </w:rPr>
        <w:t>. Nick would realize and recognize an</w:t>
      </w:r>
      <w:r>
        <w:rPr>
          <w:spacing w:val="-2"/>
        </w:rPr>
        <w:t>y realized gain. I</w:t>
      </w:r>
      <w:r w:rsidRPr="00FF49C6">
        <w:rPr>
          <w:spacing w:val="-2"/>
        </w:rPr>
        <w:t xml:space="preserve">f the transaction is structured correctly, </w:t>
      </w:r>
      <w:r>
        <w:rPr>
          <w:spacing w:val="-2"/>
        </w:rPr>
        <w:t>however, 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rsidR="0078310B" w:rsidRPr="00FF49C6" w:rsidRDefault="0078310B" w:rsidP="0078310B">
      <w:pPr>
        <w:widowControl w:val="0"/>
        <w:spacing w:after="120"/>
        <w:ind w:firstLine="288"/>
        <w:jc w:val="both"/>
      </w:pPr>
      <w:r w:rsidRPr="00FF49C6">
        <w:rPr>
          <w:spacing w:val="-2"/>
        </w:rPr>
        <w:t xml:space="preserve">The parties </w:t>
      </w:r>
      <w:r>
        <w:rPr>
          <w:spacing w:val="-2"/>
        </w:rPr>
        <w:t xml:space="preserve">must </w:t>
      </w:r>
      <w:r w:rsidRPr="00FF49C6">
        <w:rPr>
          <w:spacing w:val="-2"/>
        </w:rPr>
        <w:t xml:space="preserve">ensure that the transaction complies with the timing requirements found in § </w:t>
      </w:r>
      <w:hyperlink r:id="rId771" w:history="1">
        <w:r w:rsidRPr="00607465">
          <w:rPr>
            <w:rStyle w:val="Hyperlink"/>
            <w:spacing w:val="-2"/>
          </w:rPr>
          <w:t>1031</w:t>
        </w:r>
      </w:hyperlink>
      <w:r>
        <w:rPr>
          <w:spacing w:val="-2"/>
        </w:rPr>
        <w:t>(a)</w:t>
      </w:r>
      <w:r w:rsidRPr="00FF49C6">
        <w:rPr>
          <w:spacing w:val="-2"/>
        </w:rPr>
        <w:t xml:space="preserve">(3) and that the qualified intermediary arrangement </w:t>
      </w:r>
      <w:r>
        <w:rPr>
          <w:spacing w:val="-2"/>
        </w:rPr>
        <w:t>is structured properly to ensure</w:t>
      </w:r>
      <w:r w:rsidRPr="00FF49C6">
        <w:rPr>
          <w:spacing w:val="-2"/>
        </w:rPr>
        <w:t xml:space="preserve"> that </w:t>
      </w:r>
      <w:r>
        <w:rPr>
          <w:spacing w:val="-2"/>
        </w:rPr>
        <w:t xml:space="preserve">Nora is not considered to be </w:t>
      </w:r>
      <w:r w:rsidRPr="00FF49C6">
        <w:rPr>
          <w:spacing w:val="-2"/>
        </w:rPr>
        <w:t xml:space="preserve">in constructive receipt of the full $100,000 in cash (rather than only the $20,000 boot). </w:t>
      </w:r>
      <w:hyperlink r:id="rId772" w:history="1">
        <w:r w:rsidRPr="00607465">
          <w:rPr>
            <w:rStyle w:val="Hyperlink"/>
            <w:spacing w:val="-2"/>
          </w:rPr>
          <w:t>Treas. Reg. § 1.1031(k)-1</w:t>
        </w:r>
      </w:hyperlink>
      <w:r w:rsidRPr="00FF49C6">
        <w:rPr>
          <w:spacing w:val="-2"/>
        </w:rPr>
        <w:t xml:space="preserve">(g) provides several “safe harbors the use of which will result in a determination that the taxpayer is not in actual or constructive receipt of money or other property.” As cited in </w:t>
      </w:r>
      <w:r w:rsidRPr="00FF49C6">
        <w:rPr>
          <w:i/>
          <w:spacing w:val="-2"/>
        </w:rPr>
        <w:t>Crandall</w:t>
      </w:r>
      <w:r w:rsidRPr="00FF49C6">
        <w:t>, a “qualified</w:t>
      </w:r>
      <w:r>
        <w:t xml:space="preserve"> escrow account” requires that “</w:t>
      </w:r>
      <w:r w:rsidRPr="00FF49C6">
        <w:t>[t]he escrow agreement expressly limits the taxpayer’s rights to receive, pledge, borrow or otherwise obtain the benefits of the cash or cash equivalent in the escrow account.”</w:t>
      </w:r>
    </w:p>
    <w:p w:rsidR="0078310B" w:rsidRPr="00FF49C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 The Tax Court thus concluded that Mr. Crandall failed to e</w:t>
      </w:r>
      <w:r>
        <w:rPr>
          <w:spacing w:val="-2"/>
        </w:rPr>
        <w:t>ngage in an “exchange” of his A</w:t>
      </w:r>
      <w:r w:rsidRPr="00FF49C6">
        <w:rPr>
          <w:spacing w:val="-2"/>
        </w:rPr>
        <w:t xml:space="preserve">rizona property for the California property; rather, he was considered to have </w:t>
      </w:r>
      <w:r w:rsidRPr="00FF49C6">
        <w:rPr>
          <w:i/>
          <w:iCs/>
          <w:spacing w:val="-2"/>
        </w:rPr>
        <w:t>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ed most of the cash in the California property</w:t>
      </w:r>
      <w:r w:rsidRPr="00FF49C6">
        <w:rPr>
          <w:spacing w:val="-2"/>
        </w:rPr>
        <w:t xml:space="preserve"> because he was in constructive receipt of the cash paid to the escrow agent by the purchasers of his Arizona property.</w:t>
      </w:r>
    </w:p>
    <w:p w:rsidR="0078310B" w:rsidRPr="00FF49C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i/>
          <w:spacing w:val="-2"/>
        </w:rPr>
        <w:t xml:space="preserve">Crandall </w:t>
      </w:r>
      <w:r>
        <w:t xml:space="preserve">(and many cases like it) illustrate </w:t>
      </w:r>
      <w:r>
        <w:rPr>
          <w:spacing w:val="-2"/>
        </w:rPr>
        <w:t>an important lesson. I</w:t>
      </w:r>
      <w:r w:rsidRPr="00FF49C6">
        <w:rPr>
          <w:spacing w:val="-2"/>
        </w:rPr>
        <w:t>f the intermediary 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As noted earlier, there may be times when the taxpayer </w:t>
      </w:r>
      <w:r>
        <w:rPr>
          <w:i/>
          <w:spacing w:val="-2"/>
        </w:rPr>
        <w:t xml:space="preserve">wishes </w:t>
      </w:r>
      <w:r>
        <w:t xml:space="preserve">to deliberately fail the exchange requirement, </w:t>
      </w:r>
      <w:r w:rsidRPr="00FF49C6">
        <w:rPr>
          <w:spacing w:val="-2"/>
        </w:rPr>
        <w:t xml:space="preserve">such as when the transferred property has a built-in loss that would go unrecognized under § 1031. Because § 1031 is not formally elective, the taxpayer could deliberately fail § 1031 by intentionally failing the “exchange” requirement by interposing an all-cash step.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 and an “exchange”? The fundamental difference is the receipt of unfettered cash in th</w:t>
      </w:r>
      <w:r>
        <w:rPr>
          <w:spacing w:val="-2"/>
        </w:rPr>
        <w:t xml:space="preserve">e former.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rsidR="0078310B" w:rsidRPr="00B52834" w:rsidRDefault="0078310B" w:rsidP="0078310B">
      <w:pPr>
        <w:pStyle w:val="Heading3"/>
        <w:spacing w:before="0" w:beforeAutospacing="0" w:after="120" w:afterAutospacing="0"/>
        <w:rPr>
          <w:i/>
        </w:rPr>
      </w:pPr>
      <w:bookmarkStart w:id="243" w:name="_Toc395790539"/>
      <w:r w:rsidRPr="00B52834">
        <w:rPr>
          <w:i/>
        </w:rPr>
        <w:t>Does § 1031 reflect sound policy?</w:t>
      </w:r>
      <w:bookmarkEnd w:id="243"/>
    </w:p>
    <w:p w:rsidR="0078310B" w:rsidRDefault="0078310B" w:rsidP="0078310B">
      <w:pPr>
        <w:widowControl w:val="0"/>
        <w:spacing w:after="120"/>
        <w:ind w:firstLine="288"/>
        <w:jc w:val="both"/>
      </w:pPr>
      <w:r>
        <w:t xml:space="preserve">Supporters of § 1031 typically use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with some adjustments noted in § 1031(d). Convincing? In the real world, every property exchanged under § 1031 is formally appraised in order for each party to determine whether he or she should demand boot to even up the deal. Indeed, a § 1031 deal without boot is a very rare species. </w:t>
      </w:r>
    </w:p>
    <w:p w:rsidR="0078310B" w:rsidRPr="00FF49C6" w:rsidRDefault="0078310B" w:rsidP="0078310B">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That is to say, </w:t>
      </w:r>
      <w:r w:rsidRPr="00DA33D1">
        <w:rPr>
          <w:spacing w:val="-2"/>
        </w:rPr>
        <w:t>one might wonder if people in a modern economy wou</w:t>
      </w:r>
      <w:r>
        <w:rPr>
          <w:spacing w:val="-2"/>
        </w:rPr>
        <w:t xml:space="preserve">ld ever exchange real estate if § 1032 were repealed. </w:t>
      </w:r>
      <w:r w:rsidRPr="00FF49C6">
        <w:rPr>
          <w:spacing w:val="-2"/>
        </w:rPr>
        <w:t>Moreover, in other contexts, the receipt of an asset in kind provides no justificatio</w:t>
      </w:r>
      <w:r>
        <w:rPr>
          <w:spacing w:val="-2"/>
        </w:rPr>
        <w:t xml:space="preserve">n for deferral of § 61 Gross Income.  Thus,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rsidR="0078310B" w:rsidRPr="00FF49C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w:t>
      </w:r>
      <w:r w:rsidR="00280B34">
        <w:rPr>
          <w:spacing w:val="-2"/>
        </w:rPr>
        <w:t xml:space="preserve">(Apparently, it was common at the time for ranchers to swap acreage.) </w:t>
      </w:r>
      <w:r>
        <w:rPr>
          <w:spacing w:val="-2"/>
        </w:rPr>
        <w:t xml:space="preserve">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rsidR="0078310B" w:rsidRPr="00FF49C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 xml:space="preserve">ment.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 xml:space="preserve">f investment property for investment property should qualify, whether or not the properties are of “like kind.” </w:t>
      </w:r>
      <w:r>
        <w:rPr>
          <w:spacing w:val="-2"/>
        </w:rPr>
        <w:t xml:space="preserve">Recall, however, that Nora’s exchange of her farmland for a boat is outside § 1031 because the properties are not of like kind. Moreover, an exchange of stocks, bonds, </w:t>
      </w:r>
      <w:r>
        <w:rPr>
          <w:i/>
          <w:spacing w:val="-2"/>
        </w:rPr>
        <w:t>etc.</w:t>
      </w:r>
      <w:r>
        <w:t xml:space="preserve">, is not eligible under § 1031(a)(2). </w:t>
      </w:r>
      <w:r w:rsidRPr="00FF49C6">
        <w:rPr>
          <w:spacing w:val="-2"/>
        </w:rPr>
        <w:t>And rollovers, rather than merely</w:t>
      </w:r>
      <w:r>
        <w:rPr>
          <w:spacing w:val="-2"/>
        </w:rPr>
        <w:t xml:space="preserve"> exchanges, should qualify, as well, if that is § 1031’s rationale.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w:t>
      </w:r>
      <w:r w:rsidR="00280B34">
        <w:rPr>
          <w:spacing w:val="-2"/>
        </w:rPr>
        <w:t xml:space="preserve">u take regarding the rationale underlying </w:t>
      </w:r>
      <w:r w:rsidRPr="00FF49C6">
        <w:rPr>
          <w:spacing w:val="-2"/>
        </w:rPr>
        <w:t xml:space="preserve">§ 1031.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1041 step up in basis at death, nonrecognition provisions like §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rsidR="0078310B" w:rsidRDefault="0078310B" w:rsidP="0078310B">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414"/>
      </w:r>
      <w:r>
        <w:rPr>
          <w:spacing w:val="-2"/>
        </w:rPr>
        <w:t xml:space="preserve"> which keeps a lot of real estate professionals gainfully employed. Thus, notwithstanding its conceptual weaknesses, </w:t>
      </w:r>
      <w:r w:rsidRPr="00FF49C6">
        <w:t>the real estate lobby works ve</w:t>
      </w:r>
      <w:r>
        <w:t xml:space="preserve">ry hard to keep it intact, just as it is. </w:t>
      </w:r>
    </w:p>
    <w:p w:rsidR="0078310B" w:rsidRDefault="0078310B" w:rsidP="0078310B">
      <w:pPr>
        <w:widowControl w:val="0"/>
        <w:spacing w:after="120"/>
        <w:ind w:firstLine="288"/>
        <w:jc w:val="both"/>
      </w:pPr>
      <w:r>
        <w:t>Public finance economist Martin A. Sullivan summarizes the economic case against § 1031 as follows.</w:t>
      </w:r>
      <w:r w:rsidR="007C18AF">
        <w:rPr>
          <w:rStyle w:val="FootnoteReference"/>
        </w:rPr>
        <w:footnoteReference w:id="415"/>
      </w:r>
    </w:p>
    <w:p w:rsidR="0078310B" w:rsidRDefault="0078310B" w:rsidP="0078310B">
      <w:pPr>
        <w:widowControl w:val="0"/>
        <w:spacing w:after="120"/>
        <w:ind w:left="720" w:right="720"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rsidR="0078310B" w:rsidRDefault="0078310B" w:rsidP="00280B34">
      <w:pPr>
        <w:widowControl w:val="0"/>
        <w:spacing w:after="120"/>
        <w:ind w:left="720" w:right="720"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r w:rsidR="00280B34">
        <w:t>….</w:t>
      </w:r>
    </w:p>
    <w:p w:rsidR="0078310B" w:rsidRDefault="0078310B" w:rsidP="0078310B">
      <w:pPr>
        <w:widowControl w:val="0"/>
        <w:spacing w:after="120"/>
        <w:ind w:left="720" w:right="720"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rsidR="0078310B" w:rsidRDefault="0078310B" w:rsidP="00566253">
      <w:pPr>
        <w:widowControl w:val="0"/>
        <w:spacing w:after="120"/>
        <w:ind w:left="720" w:right="720"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Assets of the real estate, construction, and car rental businesses are the assets most often exchanged in § 1031 transactions. There are no readily apparent positive externalities associated with these industries. So there appears to be no economic justification for the beneficial treat</w:t>
      </w:r>
      <w:r w:rsidR="00566253">
        <w:t xml:space="preserve">ment made available to them by </w:t>
      </w:r>
      <w:r>
        <w:t>§ 1031</w:t>
      </w:r>
      <w:r w:rsidR="00566253">
        <w:t>….</w:t>
      </w:r>
    </w:p>
    <w:p w:rsidR="0078310B" w:rsidRDefault="0078310B" w:rsidP="00566253">
      <w:pPr>
        <w:widowControl w:val="0"/>
        <w:spacing w:after="120"/>
        <w:ind w:left="720" w:right="720" w:firstLine="288"/>
        <w:jc w:val="both"/>
      </w:pPr>
      <w:r>
        <w:t>Commentators often remark on the generous breadth of [the like kind standard for real estate], but from an economics perspective it is not broad enough. It does not help the economy for tax rules to encourage an investor to remain in real estate if other investments offer a higher pre-tax rate of return</w:t>
      </w:r>
      <w:r w:rsidR="00566253">
        <w:t>….</w:t>
      </w:r>
    </w:p>
    <w:p w:rsidR="0078310B" w:rsidRDefault="0078310B" w:rsidP="0078310B">
      <w:pPr>
        <w:widowControl w:val="0"/>
        <w:spacing w:after="120"/>
        <w:ind w:left="720" w:right="720" w:firstLine="288"/>
        <w:jc w:val="both"/>
      </w:pPr>
      <w:r>
        <w:t>[R]evenue raised from the repeal of § 1031 could be used to lower income tax rates as part of a 1986-style tax reform…. Or revenues from repeal could be used to enlarge economically justified tax subsidies, such as the research credit.</w:t>
      </w:r>
    </w:p>
    <w:p w:rsidR="0078310B" w:rsidRPr="00B52834" w:rsidRDefault="0078310B" w:rsidP="0078310B">
      <w:pPr>
        <w:pStyle w:val="Heading3"/>
        <w:spacing w:before="0" w:beforeAutospacing="0" w:after="120" w:afterAutospacing="0"/>
        <w:rPr>
          <w:i/>
        </w:rPr>
      </w:pPr>
      <w:bookmarkStart w:id="244" w:name="_Toc395790540"/>
      <w:r w:rsidRPr="00B52834">
        <w:rPr>
          <w:i/>
        </w:rPr>
        <w:t>§ 267(a)(1) sales of loss property to a related party</w:t>
      </w:r>
      <w:bookmarkEnd w:id="244"/>
    </w:p>
    <w:p w:rsidR="0078310B" w:rsidRDefault="0078310B" w:rsidP="0078310B">
      <w:pPr>
        <w:widowControl w:val="0"/>
        <w:spacing w:after="120"/>
        <w:ind w:firstLine="288"/>
        <w:jc w:val="both"/>
      </w:pPr>
      <w:r>
        <w:t>Mom owns Blackacre as investment property, which she purchased years before her m</w:t>
      </w:r>
      <w:r w:rsidR="00370083">
        <w:t>arriage to Dad for $150,000, but which is now worth onl</w:t>
      </w:r>
      <w:r>
        <w:t xml:space="preserve">y $140,000. Thus, it has a juicy $10,000 built-in loss, just waiting to be realized, recognized, and deducted under § 165(c)(2). While the loss would be capital, subject to the § 1211(b) capital loss limitation rule, Mom can generate sufficient capital gain to allow immediate deduction of the loss. </w:t>
      </w:r>
    </w:p>
    <w:p w:rsidR="0078310B" w:rsidRDefault="00370083" w:rsidP="0078310B">
      <w:pPr>
        <w:widowControl w:val="0"/>
        <w:spacing w:after="120"/>
        <w:ind w:firstLine="288"/>
        <w:jc w:val="both"/>
      </w:pPr>
      <w:r>
        <w:t>U</w:t>
      </w:r>
      <w:r w:rsidR="0078310B">
        <w:t>nder the mark-to-market approach to changes in property value</w:t>
      </w:r>
      <w:r>
        <w:t xml:space="preserve"> explored in Chapter 1, Part A.</w:t>
      </w:r>
      <w:r w:rsidR="0078310B">
        <w:t xml:space="preserve">, Mom would be able to deduct those losses in Blackacre </w:t>
      </w:r>
      <w:r>
        <w:t>value as they occur each year, b</w:t>
      </w:r>
      <w:r w:rsidR="0078310B">
        <w:t>ut the realization requirement prevents this result. Mom could, of course, sell Blackacre to a stranger and obtain her desired deduction, but Mom really does not wish to do that, as she likes the location and thinks that future development will be profitable. What to do?</w:t>
      </w:r>
    </w:p>
    <w:p w:rsidR="0078310B" w:rsidRDefault="0078310B" w:rsidP="0078310B">
      <w:pPr>
        <w:widowControl w:val="0"/>
        <w:spacing w:after="120"/>
        <w:ind w:firstLine="288"/>
        <w:jc w:val="both"/>
      </w:pPr>
      <w:r>
        <w:t xml:space="preserve">A sale of Blackacre to Dad for $140,000 in cash would keep the property in the family but would not permit immediate deduction, as you learned in Chapter 9 that her realized loss would not be recognized under </w:t>
      </w:r>
      <w:hyperlink r:id="rId773" w:history="1">
        <w:r w:rsidRPr="00370083">
          <w:rPr>
            <w:rStyle w:val="Hyperlink"/>
          </w:rPr>
          <w:t>§ 1041</w:t>
        </w:r>
      </w:hyperlink>
      <w:r>
        <w:t xml:space="preserve">(a)(1). What if she sells the property for $140,000 to Junior, their son, who is not described in § 1041? Will that strategy work to allow Mom to deduct the $10,000 built-in loss while nevertheless keeping the property all in the family? </w:t>
      </w:r>
    </w:p>
    <w:p w:rsidR="0078310B" w:rsidRDefault="0078310B" w:rsidP="0078310B">
      <w:pPr>
        <w:widowControl w:val="0"/>
        <w:spacing w:after="120"/>
        <w:ind w:firstLine="288"/>
        <w:jc w:val="both"/>
      </w:pPr>
      <w:r>
        <w:t>No. Read §</w:t>
      </w:r>
      <w:hyperlink r:id="rId774" w:history="1">
        <w:r w:rsidRPr="00370083">
          <w:rPr>
            <w:rStyle w:val="Hyperlink"/>
          </w:rPr>
          <w:t>§ 267</w:t>
        </w:r>
      </w:hyperlink>
      <w:r>
        <w:t xml:space="preserve">(a)(1), (b)(1), and (c)(4). Under § 267, Mom’s $10,000 realized loss is disallowed. The $10,000 loss is preserved for possible future use, though in an unusual manner. Junior does not take Mom’s $150,000 basis in the property but rather takes a $140,000 cost basis under § 1012, as usual. If Junior is later able to sell the property for, say, $180,000, however, his $40,000 § 1001 realized gain ($180,000 A/R </w:t>
      </w:r>
      <w:r>
        <w:rPr>
          <w:i/>
        </w:rPr>
        <w:t>less</w:t>
      </w:r>
      <w:r>
        <w:t xml:space="preserve"> $140,000 A/B) is recognized only to extent of $30,000 under the language in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rsidR="0078310B" w:rsidRPr="00B52834" w:rsidRDefault="0078310B" w:rsidP="0078310B">
      <w:pPr>
        <w:pStyle w:val="Heading3"/>
        <w:spacing w:before="0" w:beforeAutospacing="0" w:after="120" w:afterAutospacing="0"/>
        <w:rPr>
          <w:i/>
        </w:rPr>
      </w:pPr>
      <w:bookmarkStart w:id="245" w:name="_Toc395790541"/>
      <w:r w:rsidRPr="00B52834">
        <w:rPr>
          <w:i/>
        </w:rPr>
        <w:t>§ 1091 wash sales of loss securities</w:t>
      </w:r>
      <w:bookmarkEnd w:id="245"/>
    </w:p>
    <w:p w:rsidR="0078310B" w:rsidRDefault="0078310B" w:rsidP="0078310B">
      <w:pPr>
        <w:widowControl w:val="0"/>
        <w:spacing w:after="120"/>
        <w:ind w:firstLine="288"/>
        <w:jc w:val="both"/>
      </w:pPr>
      <w:r>
        <w:t>Mom owns stock in High Tech Corp, which she purchased years before her marriage for $150,000 but which is now worth only $140,000. Thus,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rsidR="0078310B" w:rsidRDefault="0078310B" w:rsidP="0078310B">
      <w:pPr>
        <w:widowControl w:val="0"/>
        <w:spacing w:after="120"/>
        <w:ind w:firstLine="288"/>
        <w:jc w:val="both"/>
      </w:pPr>
      <w:r>
        <w:t>What if she sells the High Tech stock for $140,000 over the New York Stock Exchange (thus realizing the $10,000 loss) but then buys it back, say, 20 days later, at a price of $142,000?</w:t>
      </w:r>
    </w:p>
    <w:p w:rsidR="0078310B" w:rsidRDefault="0078310B" w:rsidP="0078310B">
      <w:pPr>
        <w:widowControl w:val="0"/>
        <w:ind w:firstLine="288"/>
        <w:jc w:val="both"/>
      </w:pPr>
      <w:r>
        <w:t>Read §</w:t>
      </w:r>
      <w:hyperlink r:id="rId775" w:history="1">
        <w:r w:rsidRPr="00447FC1">
          <w:rPr>
            <w:rStyle w:val="Hyperlink"/>
          </w:rPr>
          <w:t>§ 1091</w:t>
        </w:r>
      </w:hyperlink>
      <w:r>
        <w:t xml:space="preserve">(a) and (d). Mom’s $10,000 loss deduction is denied, and she increases her $142,000 cost basis in the new High Tech shares by the $10,000 loss deduction denied to her. Thus, her new basis is $152,000.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246" w:name="_Toc395790542"/>
      <w:r w:rsidRPr="00B52834">
        <w:rPr>
          <w:u w:val="single"/>
        </w:rPr>
        <w:t>Problems</w:t>
      </w:r>
      <w:bookmarkEnd w:id="246"/>
    </w:p>
    <w:p w:rsidR="0078310B" w:rsidRPr="00B36CF1"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 xml:space="preserve">Review the four steps to take when analyzing a property disposition described at the beginning of this chapter. In particular, </w:t>
      </w:r>
      <w:r w:rsidRPr="00942346">
        <w:rPr>
          <w:i/>
        </w:rPr>
        <w:t>remember that Step 1 is always to calculate the § 1001 realized gain or loss, as that is what may be included (if a gain) or deducted (if a loss)</w:t>
      </w:r>
      <w:r>
        <w:t xml:space="preserve">. In each problem below, describe the tax consequences for each, skipping Step 3, as we have not yet fully considered characterization issues. </w:t>
      </w:r>
    </w:p>
    <w:p w:rsidR="0078310B" w:rsidRDefault="0078310B" w:rsidP="0078310B">
      <w:pPr>
        <w:widowControl w:val="0"/>
        <w:ind w:firstLine="288"/>
        <w:jc w:val="both"/>
      </w:pPr>
    </w:p>
    <w:p w:rsidR="0078310B" w:rsidRPr="005B0DEB" w:rsidRDefault="0078310B" w:rsidP="0078310B">
      <w:pPr>
        <w:widowControl w:val="0"/>
        <w:ind w:firstLine="288"/>
        <w:jc w:val="both"/>
      </w:pPr>
      <w:r>
        <w:rPr>
          <w:b/>
        </w:rPr>
        <w:t>1.</w:t>
      </w:r>
      <w:r>
        <w:t xml:space="preserve"> Jacob owns High Tech stock with an FMV of $60,000 and A/B of $30,000 and a personal-use car with an FMV of $10,000 and A/B of $20,000, both of which he sells to Becky for $70,000 in the aggregate. </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rsidR="0078310B" w:rsidRDefault="0078310B" w:rsidP="0078310B">
      <w:pPr>
        <w:widowControl w:val="0"/>
        <w:ind w:firstLine="288"/>
        <w:jc w:val="both"/>
      </w:pPr>
    </w:p>
    <w:p w:rsidR="0078310B" w:rsidRDefault="0078310B" w:rsidP="0078310B">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Lori owns a boat, which she uses in her fishing business, with an FMV of $100,000 and A/B of $30,000. She exchanges it for a boat owned by Mark that has an FMV of $100,000, which she will also use in her fishing business. Mark’s A/B in the boat that he exchanges is $70,000. While Mark uses his old boat in his fishing business, he is about to retire and will use the boat obtained from Lori for personal purposes, sailing up and down the Mississippi River in contentment.  </w:t>
      </w:r>
    </w:p>
    <w:p w:rsidR="0078310B" w:rsidRDefault="0078310B" w:rsidP="0078310B">
      <w:pPr>
        <w:widowControl w:val="0"/>
        <w:ind w:firstLine="288"/>
        <w:jc w:val="both"/>
      </w:pPr>
    </w:p>
    <w:p w:rsidR="0078310B" w:rsidRDefault="0078310B" w:rsidP="0078310B">
      <w:pPr>
        <w:widowControl w:val="0"/>
        <w:ind w:firstLine="288"/>
        <w:jc w:val="both"/>
      </w:pPr>
      <w:r>
        <w:rPr>
          <w:b/>
        </w:rPr>
        <w:t>6.</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Same as </w:t>
      </w:r>
      <w:r>
        <w:rPr>
          <w:b/>
        </w:rPr>
        <w:t>6.</w:t>
      </w:r>
      <w:r>
        <w:t xml:space="preserve">, except that Jacob transfers to Lori a diamond ring with an FMV of $10,000 and A/B in his hands of $5,000, instead of the $10,000 cash. </w:t>
      </w:r>
    </w:p>
    <w:p w:rsidR="0078310B" w:rsidRDefault="0078310B" w:rsidP="0078310B">
      <w:pPr>
        <w:widowControl w:val="0"/>
        <w:ind w:firstLine="288"/>
        <w:jc w:val="both"/>
        <w:rPr>
          <w:b/>
        </w:rPr>
      </w:pPr>
    </w:p>
    <w:p w:rsidR="0078310B" w:rsidRPr="00AC3D2C" w:rsidRDefault="0078310B" w:rsidP="0078310B">
      <w:pPr>
        <w:widowControl w:val="0"/>
        <w:ind w:firstLine="288"/>
        <w:jc w:val="both"/>
      </w:pPr>
      <w:r>
        <w:rPr>
          <w:b/>
        </w:rPr>
        <w:t>8.</w:t>
      </w:r>
      <w:r>
        <w:t xml:space="preserve"> Same as </w:t>
      </w:r>
      <w:r>
        <w:rPr>
          <w:b/>
        </w:rPr>
        <w:t>6.</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rsidR="0078310B" w:rsidRDefault="0078310B" w:rsidP="0078310B">
      <w:pPr>
        <w:widowControl w:val="0"/>
        <w:ind w:firstLine="288"/>
        <w:jc w:val="both"/>
      </w:pPr>
    </w:p>
    <w:p w:rsidR="0078310B" w:rsidRDefault="0078310B" w:rsidP="0078310B">
      <w:pPr>
        <w:widowControl w:val="0"/>
        <w:ind w:firstLine="288"/>
        <w:jc w:val="both"/>
      </w:pPr>
      <w:r>
        <w:rPr>
          <w:b/>
        </w:rPr>
        <w:t>9.</w:t>
      </w:r>
      <w:r>
        <w:t xml:space="preserve"> Same as </w:t>
      </w:r>
      <w:r>
        <w:rPr>
          <w:b/>
        </w:rPr>
        <w:t>6.</w:t>
      </w:r>
      <w:r>
        <w:t>, except that Jacob wants $90,000 in cash instead of Blackacre with an FMV of $90,000. Hallie has $100,000 in cash and wants to buy Blackacre, but Lori wants to take advantage of § 1031 and wants Whiteacre. What can the parties do to accommodate all of their wishes in a tax-efficient manner?</w:t>
      </w:r>
    </w:p>
    <w:p w:rsidR="0078310B" w:rsidRDefault="0078310B" w:rsidP="0078310B">
      <w:pPr>
        <w:widowControl w:val="0"/>
        <w:ind w:firstLine="288"/>
        <w:jc w:val="both"/>
      </w:pPr>
    </w:p>
    <w:p w:rsidR="0078310B" w:rsidRDefault="0078310B" w:rsidP="0078310B">
      <w:pPr>
        <w:widowControl w:val="0"/>
        <w:ind w:firstLine="288"/>
        <w:jc w:val="both"/>
      </w:pPr>
      <w:r>
        <w:rPr>
          <w:b/>
        </w:rPr>
        <w:t>10.</w:t>
      </w:r>
      <w:r>
        <w:t xml:space="preserve"> Lori owns High Tech stock with an FMV of $12,000 and A/B of $15,000, which she sells to her brother Jim for $12,000 in Year 1. In Year 3, Jim sells the High Tech stock for $20,000. </w:t>
      </w:r>
    </w:p>
    <w:p w:rsidR="0078310B" w:rsidRPr="006135E2" w:rsidRDefault="0078310B" w:rsidP="0078310B">
      <w:pPr>
        <w:widowControl w:val="0"/>
        <w:spacing w:after="120"/>
        <w:ind w:firstLine="288"/>
      </w:pPr>
    </w:p>
    <w:p w:rsidR="0078310B" w:rsidRDefault="0078310B" w:rsidP="0078310B">
      <w:pPr>
        <w:widowControl w:val="0"/>
        <w:spacing w:after="120"/>
        <w:ind w:firstLine="288"/>
        <w:jc w:val="both"/>
        <w:sectPr w:rsidR="0078310B" w:rsidSect="005337BA">
          <w:headerReference w:type="default" r:id="rId776"/>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jc w:val="both"/>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B36CF1" w:rsidRDefault="0078310B" w:rsidP="0078310B">
      <w:pPr>
        <w:pStyle w:val="Heading2"/>
        <w:spacing w:before="0"/>
        <w:rPr>
          <w:sz w:val="36"/>
          <w:szCs w:val="36"/>
        </w:rPr>
      </w:pPr>
      <w:bookmarkStart w:id="247" w:name="_Toc395790543"/>
      <w:r w:rsidRPr="00B36CF1">
        <w:rPr>
          <w:sz w:val="36"/>
          <w:szCs w:val="36"/>
        </w:rPr>
        <w:t xml:space="preserve">Chapter 14: Depreciation and </w:t>
      </w:r>
    </w:p>
    <w:p w:rsidR="0078310B" w:rsidRPr="00B36CF1" w:rsidRDefault="0078310B" w:rsidP="0078310B">
      <w:pPr>
        <w:pStyle w:val="Heading2"/>
        <w:spacing w:before="0"/>
        <w:rPr>
          <w:sz w:val="36"/>
          <w:szCs w:val="36"/>
          <w:u w:val="single"/>
        </w:rPr>
      </w:pPr>
      <w:r w:rsidRPr="00B36CF1">
        <w:rPr>
          <w:sz w:val="36"/>
          <w:szCs w:val="36"/>
          <w:u w:val="single"/>
        </w:rPr>
        <w:t>Amortization in a Realization-Based Income Tax</w:t>
      </w:r>
      <w:bookmarkEnd w:id="247"/>
    </w:p>
    <w:p w:rsidR="0078310B" w:rsidRDefault="0078310B" w:rsidP="0078310B">
      <w:pPr>
        <w:widowControl w:val="0"/>
        <w:spacing w:after="120"/>
      </w:pPr>
    </w:p>
    <w:p w:rsidR="0078310B" w:rsidRDefault="0078310B" w:rsidP="0078310B">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“matching principle.” </w:t>
      </w:r>
    </w:p>
    <w:p w:rsidR="0078310B" w:rsidRDefault="0078310B" w:rsidP="0078310B">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16"/>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17"/>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rsidR="0078310B" w:rsidRPr="007F7E2D" w:rsidRDefault="0078310B" w:rsidP="0078310B">
      <w:pPr>
        <w:widowControl w:val="0"/>
        <w:spacing w:after="120"/>
        <w:ind w:left="720" w:right="720"/>
        <w:jc w:val="both"/>
        <w:rPr>
          <w:rFonts w:eastAsia="Times New Roman" w:cs="Times New Roman"/>
        </w:rPr>
      </w:pPr>
      <w:r w:rsidRPr="007F7E2D">
        <w:rPr>
          <w:rFonts w:eastAsia="Times New Roman" w:cs="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cs="Times New Roman"/>
        </w:rPr>
        <w:t>e profit &amp; loss at once but is “matched”</w:t>
      </w:r>
      <w:r w:rsidRPr="007F7E2D">
        <w:rPr>
          <w:rFonts w:eastAsia="Times New Roman" w:cs="Times New Roman"/>
        </w:rPr>
        <w:t xml:space="preserve"> against economic benefits (revenue or cost</w:t>
      </w:r>
      <w:r>
        <w:rPr>
          <w:rFonts w:eastAsia="Times New Roman" w:cs="Times New Roman"/>
        </w:rPr>
        <w:t xml:space="preserve"> savings) earned from the asset’</w:t>
      </w:r>
      <w:r w:rsidRPr="007F7E2D">
        <w:rPr>
          <w:rFonts w:eastAsia="Times New Roman" w:cs="Times New Roman"/>
        </w:rPr>
        <w:t>s use over several accounting periods.</w:t>
      </w:r>
    </w:p>
    <w:p w:rsidR="0078310B" w:rsidRPr="007F7E2D" w:rsidRDefault="0078310B" w:rsidP="0078310B">
      <w:pPr>
        <w:widowControl w:val="0"/>
        <w:spacing w:after="120"/>
        <w:ind w:left="720" w:right="720"/>
        <w:jc w:val="both"/>
        <w:rPr>
          <w:rFonts w:eastAsia="Times New Roman" w:cs="Times New Roman"/>
        </w:rPr>
      </w:pPr>
      <w:r>
        <w:rPr>
          <w:rFonts w:eastAsia="Times New Roman" w:cs="Times New Roman"/>
        </w:rPr>
        <w:t>[The] m</w:t>
      </w:r>
      <w:r w:rsidRPr="007F7E2D">
        <w:rPr>
          <w:rFonts w:eastAsia="Times New Roman" w:cs="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18"/>
      </w:r>
    </w:p>
    <w:p w:rsidR="0078310B" w:rsidRDefault="0078310B" w:rsidP="0078310B">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principles” or GAAP—can be used by the accountant, depending on the individual circumstances of the business. A “one size fits all” approach would be inappropriate if using different rules for different businesses can actually boost the usefulness and reliability of the resulting information for the consumer. But depreciation of some sort is common for all businesses under GAAP. </w:t>
      </w:r>
    </w:p>
    <w:p w:rsidR="0078310B" w:rsidRDefault="0078310B" w:rsidP="0078310B">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proceeds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whether to make a loan to Widget Company.</w:t>
      </w:r>
    </w:p>
    <w:p w:rsidR="0078310B" w:rsidRDefault="0078310B" w:rsidP="0078310B">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19"/>
      </w:r>
      <w:r>
        <w:t xml:space="preserve"> </w:t>
      </w:r>
    </w:p>
    <w:p w:rsidR="0078310B" w:rsidRDefault="0078310B" w:rsidP="0078310B">
      <w:pPr>
        <w:widowControl w:val="0"/>
        <w:ind w:firstLine="288"/>
        <w:jc w:val="both"/>
      </w:pPr>
    </w:p>
    <w:p w:rsidR="0078310B" w:rsidRPr="00B36CF1" w:rsidRDefault="0078310B" w:rsidP="0078310B">
      <w:pPr>
        <w:pStyle w:val="Heading2"/>
        <w:spacing w:before="0"/>
        <w:rPr>
          <w:sz w:val="32"/>
          <w:szCs w:val="32"/>
          <w:u w:val="single"/>
        </w:rPr>
      </w:pPr>
      <w:bookmarkStart w:id="248" w:name="_Toc395790544"/>
      <w:r w:rsidRPr="00B36CF1">
        <w:rPr>
          <w:sz w:val="32"/>
          <w:szCs w:val="32"/>
          <w:u w:val="single"/>
        </w:rPr>
        <w:t>A. Economic depreciation in a realization-based income tax</w:t>
      </w:r>
      <w:bookmarkEnd w:id="248"/>
    </w:p>
    <w:p w:rsidR="0078310B" w:rsidRDefault="0078310B" w:rsidP="0078310B">
      <w:pPr>
        <w:widowControl w:val="0"/>
        <w:ind w:firstLine="288"/>
        <w:jc w:val="both"/>
      </w:pPr>
    </w:p>
    <w:p w:rsidR="0078310B" w:rsidRDefault="0078310B" w:rsidP="0078310B">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rsidR="0078310B" w:rsidRDefault="0078310B" w:rsidP="0078310B">
      <w:pPr>
        <w:widowControl w:val="0"/>
        <w:spacing w:after="120"/>
        <w:ind w:firstLine="288"/>
        <w:jc w:val="both"/>
      </w:pPr>
      <w:r>
        <w:t>Under a cash-flow consumption tax</w:t>
      </w:r>
      <w:r w:rsidRPr="008E7659">
        <w:t>, the cost of business or investment property would be fully “expensed”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basis, which can reduce the tax base in the future as that wealth is lost if such loss occurs in </w:t>
      </w:r>
      <w:r w:rsidR="000F34EB">
        <w:t xml:space="preserve">an </w:t>
      </w:r>
      <w:r>
        <w:t xml:space="preserve">income-producing activity. </w:t>
      </w:r>
    </w:p>
    <w:p w:rsidR="0078310B" w:rsidRDefault="0078310B" w:rsidP="0078310B">
      <w:pPr>
        <w:widowControl w:val="0"/>
        <w:spacing w:after="120"/>
        <w:ind w:firstLine="288"/>
        <w:jc w:val="both"/>
      </w:pPr>
      <w:r>
        <w:t xml:space="preserve">If </w:t>
      </w:r>
      <w:r w:rsidRPr="008E7659">
        <w:t>our income tax</w:t>
      </w:r>
      <w:r>
        <w:t xml:space="preserve"> abandoned the realization requirement in favor of a mark-to-market system</w:t>
      </w:r>
      <w:r w:rsidRPr="008E7659">
        <w:t>, changes in property value would be</w:t>
      </w:r>
      <w:r>
        <w:t xml:space="preserve"> taken into account as they occurred. The amount by which property increased in value would be included in Gross Income year by year, with a concomitant increase in basis to avoid taxing the same dollars twice to the same taxpayer in the future. Similarly, the portion of basis reflecting a decrease in business or investment property value w</w:t>
      </w:r>
      <w:r w:rsidRPr="008E7659">
        <w:t>ould be 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w:t>
      </w:r>
      <w:r w:rsidR="00067624">
        <w:t xml:space="preserve">you have learned that </w:t>
      </w:r>
      <w:r w:rsidRPr="008E7659">
        <w:t xml:space="preserve">changes in value are ignored during the ownership period. </w:t>
      </w:r>
    </w:p>
    <w:p w:rsidR="0078310B" w:rsidRDefault="0078310B" w:rsidP="0078310B">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rsidR="0078310B" w:rsidRPr="00321DB2" w:rsidRDefault="0078310B" w:rsidP="0078310B">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 xml:space="preserve">deduction of final, irretrievable losses in value. Because these losses in value are final and irretrievable, they are “realized”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rsidR="0078310B" w:rsidRDefault="0078310B" w:rsidP="0078310B">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overall FMV is temporarily rising, </w:t>
      </w:r>
      <w:r>
        <w:rPr>
          <w:i/>
        </w:rPr>
        <w:t>i.e.</w:t>
      </w:r>
      <w:r>
        <w:t xml:space="preserve">, even if other strands contributing to the building’s overall FMV are temporarily masking the permanent loss in this one strand of value. </w:t>
      </w:r>
    </w:p>
    <w:p w:rsidR="0078310B" w:rsidRDefault="0078310B" w:rsidP="0078310B">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rsidR="0078310B" w:rsidRDefault="0078310B" w:rsidP="0078310B">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rsidR="0078310B" w:rsidRDefault="0078310B" w:rsidP="0078310B">
      <w:pPr>
        <w:widowControl w:val="0"/>
        <w:spacing w:after="120"/>
        <w:ind w:firstLine="288"/>
        <w:jc w:val="both"/>
      </w:pPr>
      <w:r>
        <w:t xml:space="preserve">Because this widget-making machine wastes away predictably from Tom’s business use, it is properly depreciable during his ownership period, even under a realization-based income tax. Thus, we know that Tom will deduct $10,000 (the machine’s basis) over the machine’s 3-year useful life—even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rsidR="0078310B" w:rsidRDefault="0078310B" w:rsidP="0078310B">
      <w:pPr>
        <w:widowControl w:val="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the 4% profit. We explored this analysis in Chapter 10, Part C., Example 3, where Larry Lender made a nondeductible c</w:t>
      </w:r>
      <w:r w:rsidR="005437B3">
        <w:t xml:space="preserve">apital expenditure by lending </w:t>
      </w:r>
      <w:r>
        <w:t xml:space="preserve">$10,000 to Betty Borrower, creating a $10,000 basis. Betty repaid the principal </w:t>
      </w:r>
      <w:r>
        <w:rPr>
          <w:i/>
        </w:rPr>
        <w:t xml:space="preserve">plus </w:t>
      </w:r>
      <w:r>
        <w:t>4%</w:t>
      </w:r>
      <w:r w:rsidR="005437B3">
        <w:t xml:space="preserve"> interest by making three annual </w:t>
      </w:r>
      <w:r>
        <w:t>payments of $3,603</w:t>
      </w:r>
      <w:r w:rsidR="005437B3">
        <w:t xml:space="preserve">.49 to Larry. Let’s review </w:t>
      </w:r>
      <w:r>
        <w:t>our analysis from that Chapter.</w:t>
      </w:r>
    </w:p>
    <w:p w:rsidR="0078310B" w:rsidRDefault="0078310B" w:rsidP="0078310B">
      <w:pPr>
        <w:widowControl w:val="0"/>
        <w:jc w:val="center"/>
      </w:pPr>
      <w:r>
        <w:t>____________________________________________</w:t>
      </w:r>
    </w:p>
    <w:p w:rsidR="0078310B" w:rsidRDefault="0078310B" w:rsidP="0078310B">
      <w:pPr>
        <w:widowControl w:val="0"/>
        <w:jc w:val="center"/>
      </w:pP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thus suffered a loss </w:t>
      </w:r>
      <w:r w:rsidRPr="00F331F7">
        <w:rPr>
          <w:i/>
        </w:rPr>
        <w:t>in the underlying loan investment</w:t>
      </w:r>
      <w:r>
        <w:t xml:space="preserve"> (viewed alone)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actually sold the note to another, his loss can fairly be said to be “realized” because it is permanent and irretrievable. You learned in Chapter 1, Part A., that a “loss” in the tax sense is unrecovered basis and can be deducted under § 165(c)(1) or (2) if the loss arises with respect to a business or investment asset. In this context, however, the realized loss in the loan simply permits Larry to use the basis represented by that “loss” in his investment to shelter part of the cash receipt from Betty as tax-free basis recovery. Stated another way, Larry does not deduct that basis but rather can recover it tax free against the payment to the extent of the loss determined above because Larry’s loss in his loan investment is realized. (This idea is explored more fully in a few pages.)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$138.60 is interest. Here is a summary.</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B6127A" w:rsidRPr="00F858FF"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B6127A" w:rsidRPr="00F858FF"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B6127A" w:rsidRDefault="00B6127A" w:rsidP="00B6127A">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B6127A" w:rsidRDefault="00B6127A" w:rsidP="00B6127A">
      <w:pPr>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loan (and who has deducted the “qualified residence interest” paid each year) is familiar with this relationship. In the early years, a large portion of each payment represents deductible interest, but as the years pass, the portion of each payment representing deductible interest decreases.</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affirmative “deduction” is actually taken by Larry. With respect to Tom’s widget machine, in contrast, </w:t>
      </w:r>
      <w:r>
        <w:rPr>
          <w:i/>
        </w:rPr>
        <w:t xml:space="preserve">every dollar of the $3,603.49 gross receipts </w:t>
      </w:r>
      <w:r>
        <w:t>produced by the machine must be included in Tom’s § 61 Gross Income. Thu</w:t>
      </w:r>
      <w:r w:rsidR="00A47819">
        <w:t>s, we must create an actual</w:t>
      </w:r>
      <w:r>
        <w:t xml:space="preserve"> deduction from Gross Income (in reaching Taxable Income) for Tom. This mechanical difference in how basis is used to reduce profit in each case should not mask the fact, however, that the </w:t>
      </w:r>
      <w:r>
        <w:rPr>
          <w:i/>
        </w:rPr>
        <w:t xml:space="preserve">schedule </w:t>
      </w:r>
      <w:r>
        <w:t xml:space="preserve">of Tom’s basis deductions should precisely mirror the </w:t>
      </w:r>
      <w:r w:rsidRPr="00443B18">
        <w:rPr>
          <w:i/>
        </w:rPr>
        <w:t>schedule</w:t>
      </w:r>
      <w:r>
        <w:t xml:space="preserve"> of Larry’s tax-free basis recovery if we want to avoid premature deduction of that basis, as under a cash-flow consumption tax. </w:t>
      </w:r>
    </w:p>
    <w:p w:rsidR="0078310B" w:rsidRDefault="0078310B" w:rsidP="0078310B">
      <w:pPr>
        <w:widowControl w:val="0"/>
        <w:spacing w:after="120"/>
        <w:ind w:firstLine="288"/>
        <w:jc w:val="both"/>
      </w:pPr>
      <w:r>
        <w:t xml:space="preserve">Thus, 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rsidR="0078310B" w:rsidRDefault="0078310B" w:rsidP="0078310B">
      <w:pPr>
        <w:widowControl w:val="0"/>
        <w:spacing w:after="120"/>
        <w:ind w:firstLine="288"/>
        <w:jc w:val="both"/>
      </w:pPr>
      <w:r>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rsidR="0078310B" w:rsidRDefault="0078310B" w:rsidP="0078310B">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rsidR="0078310B" w:rsidRDefault="0078310B" w:rsidP="0078310B">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because the business interest can be deducted under § 163(a), while interest would be nondeductible under a cash-flow consumption tax—a significant tax arbitrage problem discussed in Part F. </w:t>
      </w:r>
    </w:p>
    <w:p w:rsidR="0078310B" w:rsidRPr="003E7A65" w:rsidRDefault="0078310B" w:rsidP="0078310B">
      <w:pPr>
        <w:widowControl w:val="0"/>
        <w:ind w:firstLine="288"/>
        <w:jc w:val="both"/>
      </w:pPr>
    </w:p>
    <w:p w:rsidR="0078310B" w:rsidRPr="00B36CF1" w:rsidRDefault="0078310B" w:rsidP="0078310B">
      <w:pPr>
        <w:pStyle w:val="Heading2"/>
        <w:spacing w:before="0"/>
        <w:rPr>
          <w:sz w:val="32"/>
          <w:szCs w:val="32"/>
          <w:u w:val="single"/>
        </w:rPr>
      </w:pPr>
      <w:bookmarkStart w:id="249" w:name="_Toc395790545"/>
      <w:r w:rsidRPr="00B36CF1">
        <w:rPr>
          <w:sz w:val="32"/>
          <w:szCs w:val="32"/>
          <w:u w:val="single"/>
        </w:rPr>
        <w:t>B. “Wear and tear” within the meaning of § 167(a)</w:t>
      </w:r>
      <w:bookmarkEnd w:id="249"/>
    </w:p>
    <w:p w:rsidR="0078310B" w:rsidRDefault="0078310B" w:rsidP="0078310B">
      <w:pPr>
        <w:widowControl w:val="0"/>
      </w:pPr>
    </w:p>
    <w:p w:rsidR="0078310B" w:rsidRDefault="0078310B" w:rsidP="0078310B">
      <w:pPr>
        <w:widowControl w:val="0"/>
        <w:spacing w:after="120"/>
        <w:ind w:firstLine="288"/>
        <w:jc w:val="both"/>
      </w:pPr>
      <w:r>
        <w:t xml:space="preserve">The primary authority to deduct depreciation with respect to property, whether tangible or intangible, is found in </w:t>
      </w:r>
      <w:hyperlink r:id="rId777"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20"/>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20. </w:t>
      </w:r>
    </w:p>
    <w:p w:rsidR="0078310B" w:rsidRDefault="0078310B" w:rsidP="0078310B">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21"/>
      </w:r>
      <w:r>
        <w:t xml:space="preserve"> shares of corporate stock, though held for investment, do not waste away due solely to the 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Thus, we cannot know that a realized loss arises due solely to the passage of time. </w:t>
      </w:r>
    </w:p>
    <w:p w:rsidR="0078310B" w:rsidRDefault="0078310B" w:rsidP="0078310B">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78"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even after they were no longer useful in making music—because of their unique provenance. You can think of the relationship of Fran</w:t>
      </w:r>
      <w:r>
        <w:rPr>
          <w:rFonts w:cs="Times New Roman"/>
        </w:rPr>
        <w:t>ç</w:t>
      </w:r>
      <w:r>
        <w:t xml:space="preserve">ois Xavier Tourte to bows as that of Stradivarius to violins. Even a Stradivarius violin that can no longer be played has a potentially infinite life in the collector market.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250" w:name="_Toc395790546"/>
      <w:r>
        <w:t>SIMON v. COMMISSIONER</w:t>
      </w:r>
      <w:bookmarkEnd w:id="250"/>
    </w:p>
    <w:p w:rsidR="0078310B" w:rsidRDefault="0078310B" w:rsidP="0078310B">
      <w:pPr>
        <w:widowControl w:val="0"/>
        <w:jc w:val="center"/>
      </w:pPr>
      <w:r>
        <w:t xml:space="preserve">103 T.C. 247 (1994) (reviewed), </w:t>
      </w:r>
      <w:r>
        <w:rPr>
          <w:i/>
        </w:rPr>
        <w:t>aff’d</w:t>
      </w:r>
      <w:r>
        <w:t>, 68 F.3d 41 (2d Cir. 1995)</w:t>
      </w:r>
    </w:p>
    <w:p w:rsidR="0078310B" w:rsidRDefault="0078310B" w:rsidP="0078310B">
      <w:pPr>
        <w:widowControl w:val="0"/>
        <w:jc w:val="center"/>
      </w:pPr>
    </w:p>
    <w:p w:rsidR="0078310B" w:rsidRDefault="0078310B" w:rsidP="0078310B">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rsidR="0078310B" w:rsidRDefault="0078310B" w:rsidP="0078310B">
      <w:pPr>
        <w:widowControl w:val="0"/>
        <w:spacing w:after="120"/>
        <w:jc w:val="both"/>
      </w:pPr>
      <w:r>
        <w:t>FINDINGS OF FACT</w:t>
      </w:r>
    </w:p>
    <w:p w:rsidR="0078310B" w:rsidRDefault="0078310B" w:rsidP="0078310B">
      <w:pPr>
        <w:widowControl w:val="0"/>
        <w:spacing w:after="120"/>
        <w:ind w:firstLine="288"/>
        <w:jc w:val="both"/>
        <w:rPr>
          <w:iCs/>
        </w:rPr>
      </w:pPr>
      <w:r>
        <w:rPr>
          <w:i/>
          <w:iCs/>
        </w:rPr>
        <w:t>Petitioners’ Backgrounds</w:t>
      </w:r>
    </w:p>
    <w:p w:rsidR="0078310B" w:rsidRDefault="0078310B" w:rsidP="0078310B">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rsidR="0078310B" w:rsidRDefault="0078310B" w:rsidP="0078310B">
      <w:pPr>
        <w:widowControl w:val="0"/>
        <w:spacing w:after="120"/>
        <w:ind w:firstLine="288"/>
        <w:jc w:val="both"/>
      </w:pPr>
      <w:r>
        <w:t>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player with the orchestra (and later with the Philharmonic) and the second as a soloist, chamber music player, and teacher.</w:t>
      </w:r>
    </w:p>
    <w:p w:rsidR="0078310B" w:rsidRDefault="0078310B" w:rsidP="0078310B">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rsidR="0078310B" w:rsidRDefault="0078310B" w:rsidP="0078310B">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rsidR="0078310B" w:rsidRDefault="0078310B" w:rsidP="0078310B">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rsidR="0078310B" w:rsidRDefault="0078310B" w:rsidP="0078310B">
      <w:pPr>
        <w:widowControl w:val="0"/>
        <w:spacing w:after="120"/>
        <w:ind w:firstLine="288"/>
        <w:jc w:val="both"/>
        <w:rPr>
          <w:iCs/>
        </w:rPr>
      </w:pPr>
      <w:r>
        <w:rPr>
          <w:i/>
          <w:iCs/>
        </w:rPr>
        <w:t>Construction of a Violin Bow</w:t>
      </w:r>
    </w:p>
    <w:p w:rsidR="0078310B" w:rsidRDefault="0078310B" w:rsidP="0078310B">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rsidR="0078310B" w:rsidRDefault="0078310B" w:rsidP="0078310B">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rsidR="0078310B" w:rsidRDefault="0078310B" w:rsidP="0078310B">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rsidR="0078310B" w:rsidRDefault="0078310B" w:rsidP="0078310B">
      <w:pPr>
        <w:widowControl w:val="0"/>
        <w:spacing w:after="120"/>
        <w:ind w:firstLine="288"/>
        <w:jc w:val="both"/>
        <w:rPr>
          <w:iCs/>
        </w:rPr>
      </w:pPr>
      <w:r>
        <w:rPr>
          <w:i/>
          <w:iCs/>
        </w:rPr>
        <w:t>Purchase of the</w:t>
      </w:r>
      <w:r>
        <w:t xml:space="preserve"> </w:t>
      </w:r>
      <w:r>
        <w:rPr>
          <w:i/>
          <w:iCs/>
        </w:rPr>
        <w:t>Tourte Bows</w:t>
      </w:r>
    </w:p>
    <w:p w:rsidR="0078310B" w:rsidRDefault="0078310B" w:rsidP="0078310B">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rsidR="0078310B" w:rsidRDefault="0078310B" w:rsidP="0078310B">
      <w:pPr>
        <w:widowControl w:val="0"/>
        <w:spacing w:after="120"/>
        <w:ind w:firstLine="288"/>
        <w:jc w:val="both"/>
      </w:pPr>
      <w:r>
        <w:t>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bows with the original sticks during the year in issue.</w:t>
      </w:r>
    </w:p>
    <w:p w:rsidR="0078310B" w:rsidRDefault="0078310B" w:rsidP="0078310B">
      <w:pPr>
        <w:widowControl w:val="0"/>
        <w:spacing w:after="120"/>
        <w:ind w:firstLine="288"/>
        <w:jc w:val="both"/>
        <w:rPr>
          <w:iCs/>
        </w:rPr>
      </w:pPr>
      <w:r>
        <w:rPr>
          <w:i/>
          <w:iCs/>
        </w:rPr>
        <w:t>Depreciation Deductions Claimed for the Tourte Bows</w:t>
      </w:r>
    </w:p>
    <w:p w:rsidR="0078310B" w:rsidRDefault="0078310B" w:rsidP="0078310B">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rsidR="0078310B" w:rsidRDefault="0078310B" w:rsidP="0078310B">
      <w:pPr>
        <w:widowControl w:val="0"/>
        <w:spacing w:after="120"/>
        <w:ind w:firstLine="288"/>
        <w:jc w:val="both"/>
        <w:rPr>
          <w:iCs/>
        </w:rPr>
      </w:pPr>
      <w:r>
        <w:rPr>
          <w:i/>
          <w:iCs/>
        </w:rPr>
        <w:t>Conditions Affecting the Wear and Tear of Violin Bows</w:t>
      </w:r>
    </w:p>
    <w:p w:rsidR="0078310B" w:rsidRDefault="0078310B" w:rsidP="0078310B">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22"/>
        <w:t>[4]</w:t>
      </w:r>
      <w:r>
        <w:t xml:space="preserve"> Petitioners’ use of the Tourte bows during the year in issue subjected the bows to substantial wear and tear.</w:t>
      </w:r>
    </w:p>
    <w:p w:rsidR="0078310B" w:rsidRDefault="0078310B" w:rsidP="0078310B">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rsidR="0078310B" w:rsidRDefault="0078310B" w:rsidP="0078310B">
      <w:pPr>
        <w:widowControl w:val="0"/>
        <w:spacing w:after="120"/>
        <w:ind w:firstLine="288"/>
        <w:jc w:val="both"/>
        <w:rPr>
          <w:iCs/>
        </w:rPr>
      </w:pPr>
      <w:r>
        <w:rPr>
          <w:i/>
          <w:iCs/>
        </w:rPr>
        <w:t>Value of the Tourte Bows</w:t>
      </w:r>
    </w:p>
    <w:p w:rsidR="0078310B" w:rsidRDefault="0078310B" w:rsidP="0078310B">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rsidR="0078310B" w:rsidRDefault="0078310B" w:rsidP="0078310B">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rsidR="0078310B" w:rsidRDefault="0078310B" w:rsidP="0078310B">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rsidR="0078310B" w:rsidRDefault="0078310B" w:rsidP="0078310B">
      <w:pPr>
        <w:widowControl w:val="0"/>
        <w:spacing w:after="120"/>
        <w:ind w:firstLine="288"/>
        <w:jc w:val="both"/>
      </w:pPr>
      <w:r>
        <w:t>One factor that adds value to the Tourte bows is the fact that Pernambuco wood, the wood that was used to make the sticks, is now very scarce. The wood that is currently used to make the sticks of violin bows is inferior to Pernambuco wood.</w:t>
      </w:r>
    </w:p>
    <w:p w:rsidR="0078310B" w:rsidRDefault="0078310B" w:rsidP="0078310B">
      <w:pPr>
        <w:widowControl w:val="0"/>
        <w:spacing w:after="120"/>
        <w:jc w:val="both"/>
      </w:pPr>
      <w:r>
        <w:t>OPINION</w:t>
      </w:r>
    </w:p>
    <w:p w:rsidR="0078310B" w:rsidRDefault="0078310B" w:rsidP="0078310B">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rsidR="0078310B" w:rsidRDefault="0078310B" w:rsidP="0078310B">
      <w:pPr>
        <w:widowControl w:val="0"/>
        <w:spacing w:after="120"/>
        <w:ind w:firstLine="288"/>
        <w:jc w:val="both"/>
      </w:pPr>
      <w:r w:rsidRPr="00B56D2D">
        <w:t>Section 167(a)</w:t>
      </w:r>
      <w:r>
        <w:t xml:space="preserve"> provide[s]:</w:t>
      </w:r>
    </w:p>
    <w:p w:rsidR="0078310B" w:rsidRPr="00B56D2D" w:rsidRDefault="0078310B" w:rsidP="0078310B">
      <w:pPr>
        <w:widowControl w:val="0"/>
        <w:spacing w:after="120"/>
        <w:ind w:left="720" w:right="720"/>
        <w:jc w:val="both"/>
      </w:pPr>
      <w:r w:rsidRPr="00B56D2D">
        <w:t>SEC. 167(a).</w:t>
      </w:r>
      <w:r w:rsidRPr="003D0CDB">
        <w:rPr>
          <w:rFonts w:eastAsia="Times New Roman" w:cs="Times New Roman"/>
        </w:rPr>
        <w:t xml:space="preserve"> General Rule. -- There shall be allowed as a depreciation deduction a reasonable allowance for the exhaustion, wear and tear (including a reasonable allowance for obsolescence) </w:t>
      </w:r>
      <w:r>
        <w:rPr>
          <w:rFonts w:eastAsia="Times New Roman" w:cs="Times New Roman"/>
        </w:rPr>
        <w:t>–</w:t>
      </w:r>
    </w:p>
    <w:p w:rsidR="0078310B" w:rsidRDefault="0078310B" w:rsidP="0078310B">
      <w:pPr>
        <w:widowControl w:val="0"/>
        <w:spacing w:after="120"/>
        <w:ind w:left="720" w:right="720"/>
        <w:jc w:val="both"/>
        <w:rPr>
          <w:rFonts w:eastAsia="Times New Roman" w:cs="Times New Roman"/>
        </w:rPr>
      </w:pPr>
      <w:r w:rsidRPr="003D0CDB">
        <w:rPr>
          <w:rFonts w:eastAsia="Times New Roman" w:cs="Times New Roman"/>
        </w:rPr>
        <w:t>(1) of property used in the trade or business, or</w:t>
      </w:r>
    </w:p>
    <w:p w:rsidR="0078310B" w:rsidRDefault="0078310B" w:rsidP="0078310B">
      <w:pPr>
        <w:widowControl w:val="0"/>
        <w:spacing w:after="120"/>
        <w:ind w:left="720" w:right="720"/>
        <w:jc w:val="both"/>
        <w:rPr>
          <w:rFonts w:eastAsia="Times New Roman" w:cs="Times New Roman"/>
        </w:rPr>
      </w:pPr>
      <w:r w:rsidRPr="003D0CDB">
        <w:rPr>
          <w:rFonts w:eastAsia="Times New Roman" w:cs="Times New Roman"/>
        </w:rPr>
        <w:t>(2) of property held for the production of income.</w:t>
      </w:r>
    </w:p>
    <w:p w:rsidR="0078310B" w:rsidRDefault="0078310B" w:rsidP="0078310B">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rsidR="0078310B" w:rsidRDefault="0078310B" w:rsidP="0078310B">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rsidR="0078310B" w:rsidRDefault="0078310B" w:rsidP="0078310B">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rsidR="0078310B" w:rsidRPr="00B56D2D" w:rsidRDefault="0078310B" w:rsidP="0078310B">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rsidR="0078310B" w:rsidRDefault="0078310B" w:rsidP="0078310B">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rsidR="0078310B" w:rsidRDefault="0078310B" w:rsidP="0078310B">
      <w:pPr>
        <w:widowControl w:val="0"/>
        <w:spacing w:after="120"/>
        <w:ind w:firstLine="288"/>
        <w:jc w:val="both"/>
      </w:pPr>
      <w:r>
        <w:t>Rev. Rul. 68-232, 1968-1 C.B. 79 states:</w:t>
      </w:r>
    </w:p>
    <w:p w:rsidR="0078310B" w:rsidRDefault="0078310B" w:rsidP="0078310B">
      <w:pPr>
        <w:widowControl w:val="0"/>
        <w:spacing w:after="120"/>
        <w:ind w:left="720" w:right="720"/>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rsidR="0078310B" w:rsidRDefault="0078310B" w:rsidP="0078310B">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rsidR="0078310B" w:rsidRDefault="0078310B" w:rsidP="0078310B">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In this regard, respondent contends that petitioners must prove a 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rsidR="0078310B" w:rsidRDefault="0078310B" w:rsidP="0078310B">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rsidR="0078310B" w:rsidRDefault="0078310B" w:rsidP="0078310B">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rsidR="0078310B" w:rsidRDefault="0078310B" w:rsidP="0078310B">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23"/>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rsidR="0078310B" w:rsidRDefault="0078310B" w:rsidP="0078310B">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rsidR="0078310B" w:rsidRDefault="0078310B" w:rsidP="0078310B">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rsidR="0078310B" w:rsidRDefault="0078310B" w:rsidP="0078310B">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rsidR="0078310B" w:rsidRDefault="0078310B" w:rsidP="0078310B">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24"/>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rsidR="0078310B" w:rsidRDefault="0078310B" w:rsidP="0078310B">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because the taxpayer failed to present any evidence with respect to those violins.</w:t>
      </w:r>
    </w:p>
    <w:p w:rsidR="0078310B" w:rsidRDefault="0078310B" w:rsidP="0078310B">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rsidR="0078310B" w:rsidRDefault="0078310B" w:rsidP="0078310B">
      <w:pPr>
        <w:widowControl w:val="0"/>
        <w:spacing w:after="120"/>
        <w:ind w:firstLine="288"/>
        <w:jc w:val="both"/>
      </w:pPr>
      <w:r>
        <w:t>We have considered all other arguments made by respondent and find them to be without merit.</w:t>
      </w:r>
    </w:p>
    <w:p w:rsidR="0078310B" w:rsidRDefault="0078310B" w:rsidP="0078310B">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rsidR="0078310B" w:rsidRDefault="0078310B" w:rsidP="0078310B">
      <w:pPr>
        <w:widowControl w:val="0"/>
        <w:spacing w:after="120"/>
        <w:ind w:firstLine="288"/>
        <w:jc w:val="both"/>
      </w:pPr>
      <w:r>
        <w:t>[The separate concurring opinions of Judges Ruwe and Beghe are omitted.]</w:t>
      </w:r>
    </w:p>
    <w:p w:rsidR="0078310B" w:rsidRDefault="0078310B" w:rsidP="0078310B">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rsidR="0078310B" w:rsidRDefault="0078310B" w:rsidP="0078310B">
      <w:pPr>
        <w:widowControl w:val="0"/>
        <w:spacing w:after="120"/>
        <w:jc w:val="both"/>
        <w:rPr>
          <w:iCs/>
        </w:rPr>
      </w:pPr>
      <w:r>
        <w:t xml:space="preserve">I. </w:t>
      </w:r>
      <w:r>
        <w:rPr>
          <w:i/>
          <w:iCs/>
        </w:rPr>
        <w:t>Legal Analysis</w:t>
      </w:r>
    </w:p>
    <w:p w:rsidR="0078310B" w:rsidRDefault="0078310B" w:rsidP="0078310B">
      <w:pPr>
        <w:widowControl w:val="0"/>
        <w:spacing w:after="120"/>
        <w:ind w:firstLine="288"/>
        <w:jc w:val="both"/>
        <w:rPr>
          <w:iCs/>
        </w:rPr>
      </w:pPr>
      <w:r>
        <w:t xml:space="preserve">A. </w:t>
      </w:r>
      <w:r>
        <w:rPr>
          <w:i/>
          <w:iCs/>
        </w:rPr>
        <w:t>Statutory Construction</w:t>
      </w:r>
    </w:p>
    <w:p w:rsidR="0078310B" w:rsidRDefault="0078310B" w:rsidP="0078310B">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rsidR="0078310B" w:rsidRDefault="0078310B" w:rsidP="0078310B">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rsidR="0078310B" w:rsidRDefault="0078310B" w:rsidP="0078310B">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rsidR="0078310B" w:rsidRDefault="0078310B" w:rsidP="0078310B">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rsidR="0078310B" w:rsidRDefault="0078310B" w:rsidP="0078310B">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rsidR="0078310B" w:rsidRDefault="0078310B" w:rsidP="0078310B">
      <w:pPr>
        <w:widowControl w:val="0"/>
        <w:spacing w:after="120"/>
        <w:ind w:firstLine="288"/>
        <w:jc w:val="both"/>
        <w:rPr>
          <w:iCs/>
        </w:rPr>
      </w:pPr>
      <w:r>
        <w:t xml:space="preserve">B. </w:t>
      </w:r>
      <w:r>
        <w:rPr>
          <w:i/>
          <w:iCs/>
        </w:rPr>
        <w:t>Legislative History, Proposed Regulations, and Rulings</w:t>
      </w:r>
    </w:p>
    <w:p w:rsidR="0078310B" w:rsidRDefault="0078310B" w:rsidP="0078310B">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rsidR="0078310B" w:rsidRDefault="0078310B" w:rsidP="0078310B">
      <w:pPr>
        <w:widowControl w:val="0"/>
        <w:spacing w:after="120"/>
        <w:ind w:left="720" w:right="720"/>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rsidR="0078310B" w:rsidRDefault="0078310B" w:rsidP="0078310B">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rsidR="0078310B" w:rsidRDefault="0078310B" w:rsidP="0078310B">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rsidR="0078310B" w:rsidRDefault="0078310B" w:rsidP="0078310B">
      <w:pPr>
        <w:widowControl w:val="0"/>
        <w:spacing w:after="120"/>
        <w:ind w:firstLine="288"/>
        <w:jc w:val="both"/>
        <w:rPr>
          <w:iCs/>
        </w:rPr>
      </w:pPr>
      <w:r>
        <w:t xml:space="preserve">C. </w:t>
      </w:r>
      <w:r>
        <w:rPr>
          <w:i/>
          <w:iCs/>
        </w:rPr>
        <w:t>Legal Precedent</w:t>
      </w:r>
    </w:p>
    <w:p w:rsidR="0078310B" w:rsidRDefault="0078310B" w:rsidP="0078310B">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rsidR="0078310B" w:rsidRDefault="0078310B" w:rsidP="0078310B">
      <w:pPr>
        <w:widowControl w:val="0"/>
        <w:spacing w:after="120"/>
        <w:ind w:left="720" w:right="720"/>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rsidR="0078310B" w:rsidRDefault="0078310B" w:rsidP="0078310B">
      <w:pPr>
        <w:widowControl w:val="0"/>
        <w:spacing w:after="120"/>
        <w:jc w:val="both"/>
      </w:pPr>
      <w:r>
        <w:t xml:space="preserve">[890 F.2d at 1086-1087.] </w:t>
      </w:r>
    </w:p>
    <w:p w:rsidR="0078310B" w:rsidRDefault="0078310B" w:rsidP="0078310B">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rPr>
          <w:iCs/>
        </w:rPr>
      </w:pPr>
      <w:r>
        <w:t xml:space="preserve">D. </w:t>
      </w:r>
      <w:r>
        <w:rPr>
          <w:i/>
          <w:iCs/>
        </w:rPr>
        <w:t>Work of Art Vel Non</w:t>
      </w:r>
    </w:p>
    <w:p w:rsidR="0078310B" w:rsidRDefault="0078310B" w:rsidP="0078310B">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rPr>
          <w:iCs/>
        </w:rPr>
      </w:pPr>
      <w:r>
        <w:t xml:space="preserve">D. </w:t>
      </w:r>
      <w:r>
        <w:rPr>
          <w:i/>
          <w:iCs/>
        </w:rPr>
        <w:t>Determinable Useful Life</w:t>
      </w:r>
    </w:p>
    <w:p w:rsidR="0078310B" w:rsidRDefault="0078310B" w:rsidP="0078310B">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rsidR="0078310B" w:rsidRDefault="0078310B" w:rsidP="0078310B">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rsidR="0078310B" w:rsidRPr="00766892" w:rsidRDefault="0078310B" w:rsidP="0078310B">
      <w:pPr>
        <w:widowControl w:val="0"/>
        <w:ind w:firstLine="288"/>
        <w:jc w:val="both"/>
      </w:pPr>
      <w:r>
        <w:t>[The separate dissenting opinions of Judges Gerber and Halpern are omitted.]</w:t>
      </w:r>
    </w:p>
    <w:p w:rsidR="0078310B" w:rsidRDefault="0078310B" w:rsidP="0078310B">
      <w:pPr>
        <w:widowControl w:val="0"/>
        <w:jc w:val="center"/>
        <w:rPr>
          <w:iCs/>
        </w:rPr>
      </w:pPr>
      <w:r>
        <w:rPr>
          <w:iCs/>
        </w:rPr>
        <w:t>____________________________________</w:t>
      </w:r>
    </w:p>
    <w:p w:rsidR="0078310B" w:rsidRDefault="0078310B" w:rsidP="0078310B">
      <w:pPr>
        <w:widowControl w:val="0"/>
        <w:ind w:firstLine="288"/>
        <w:rPr>
          <w:iCs/>
        </w:rPr>
      </w:pPr>
    </w:p>
    <w:p w:rsidR="0078310B" w:rsidRDefault="0078310B" w:rsidP="0078310B">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Thus, rental real estate buildings that were appreciating spectacularly during the real estate bubble were nevertheless properly depreciable during that time period because buildings will eventually fall down, even with adequate maintenance, in a predictable way.  </w:t>
      </w:r>
    </w:p>
    <w:p w:rsidR="0078310B" w:rsidRDefault="0078310B" w:rsidP="0078310B">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rsidR="0078310B" w:rsidRPr="00300902" w:rsidRDefault="0078310B" w:rsidP="0078310B">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rsidR="0078310B" w:rsidRPr="00F67B5C" w:rsidRDefault="0078310B" w:rsidP="0078310B">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25"/>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Guarneri. These artisans are members of the so-called Cremonese School of instrument makers.”</w:t>
      </w:r>
      <w:r>
        <w:rPr>
          <w:rStyle w:val="FootnoteReference"/>
        </w:rPr>
        <w:footnoteReference w:id="426"/>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27"/>
      </w:r>
      <w:r>
        <w:t xml:space="preserve"> Nevertheless, I was not surprised to see some tax advisors advocating that their clients begin to depreciate all sorts of assets that were not previously thought to satisfy the “wear and tear” language in § 167(a).</w:t>
      </w:r>
      <w:bookmarkStart w:id="251" w:name="_Toc395790547"/>
      <w:r w:rsidRPr="00F67B5C">
        <w:rPr>
          <w:rStyle w:val="FootnoteReference"/>
        </w:rPr>
        <w:footnoteReference w:id="428"/>
      </w:r>
      <w:r>
        <w:t xml:space="preserve"> </w:t>
      </w:r>
    </w:p>
    <w:bookmarkEnd w:id="251"/>
    <w:p w:rsidR="0078310B" w:rsidRDefault="0078310B" w:rsidP="0078310B">
      <w:pPr>
        <w:widowControl w:val="0"/>
        <w:ind w:firstLine="288"/>
        <w:jc w:val="both"/>
      </w:pPr>
      <w:r>
        <w:t xml:space="preserve">Section 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rsidR="0078310B" w:rsidRDefault="0078310B" w:rsidP="0078310B">
      <w:pPr>
        <w:widowControl w:val="0"/>
        <w:ind w:firstLine="288"/>
        <w:jc w:val="both"/>
      </w:pPr>
    </w:p>
    <w:p w:rsidR="0078310B" w:rsidRPr="00B1528B" w:rsidRDefault="0078310B" w:rsidP="0078310B">
      <w:pPr>
        <w:pStyle w:val="Heading2"/>
        <w:spacing w:before="0"/>
        <w:rPr>
          <w:sz w:val="32"/>
          <w:szCs w:val="32"/>
          <w:u w:val="single"/>
        </w:rPr>
      </w:pPr>
      <w:bookmarkStart w:id="252" w:name="_Toc395790548"/>
      <w:r w:rsidRPr="00B1528B">
        <w:rPr>
          <w:sz w:val="32"/>
          <w:szCs w:val="32"/>
          <w:u w:val="single"/>
        </w:rPr>
        <w:t>C. Depreciation of tangible assets</w:t>
      </w:r>
      <w:bookmarkEnd w:id="252"/>
    </w:p>
    <w:p w:rsidR="0078310B" w:rsidRDefault="0078310B" w:rsidP="0078310B">
      <w:pPr>
        <w:widowControl w:val="0"/>
      </w:pPr>
    </w:p>
    <w:p w:rsidR="0078310B" w:rsidRDefault="0078310B" w:rsidP="0078310B">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 xml:space="preserve">the property is tangible. In the case of intangible property, amortization deductions, if allowable, are taken under the rules found in either §§ 167 or 197, discussed in Part E. </w:t>
      </w:r>
    </w:p>
    <w:p w:rsidR="0078310B" w:rsidRDefault="0078310B" w:rsidP="0078310B">
      <w:pPr>
        <w:widowControl w:val="0"/>
        <w:spacing w:after="120"/>
        <w:ind w:firstLine="288"/>
        <w:jc w:val="both"/>
      </w:pPr>
      <w:r>
        <w:t xml:space="preserve">There is a logical order of steps to take when analyzing the extent to which business or investment tangible property can be depreciated.  </w:t>
      </w:r>
    </w:p>
    <w:p w:rsidR="0078310B" w:rsidRDefault="0078310B" w:rsidP="0078310B">
      <w:pPr>
        <w:widowControl w:val="0"/>
        <w:spacing w:after="120"/>
        <w:ind w:left="288"/>
        <w:jc w:val="both"/>
        <w:rPr>
          <w:b/>
        </w:rPr>
      </w:pPr>
      <w:r>
        <w:rPr>
          <w:b/>
        </w:rPr>
        <w:t xml:space="preserve">(1) Can all or a portion of the purchase price be treated as an “expense” that is deducted immediately under </w:t>
      </w:r>
      <w:hyperlink r:id="rId779" w:history="1">
        <w:r w:rsidRPr="00041790">
          <w:rPr>
            <w:rStyle w:val="Hyperlink"/>
            <w:b/>
          </w:rPr>
          <w:t>§ 179</w:t>
        </w:r>
      </w:hyperlink>
      <w:r>
        <w:rPr>
          <w:b/>
        </w:rPr>
        <w:t xml:space="preserve"> (as opposed to a capital expenditure, which is not deductible but which creates basis that can be depreciated)?</w:t>
      </w:r>
    </w:p>
    <w:p w:rsidR="0078310B" w:rsidRDefault="0078310B" w:rsidP="0078310B">
      <w:pPr>
        <w:widowControl w:val="0"/>
        <w:spacing w:after="120"/>
        <w:ind w:left="288"/>
        <w:jc w:val="both"/>
        <w:rPr>
          <w:b/>
        </w:rPr>
      </w:pPr>
      <w:r>
        <w:rPr>
          <w:b/>
        </w:rPr>
        <w:t xml:space="preserve">(2) After taking any § 179 expense deduction that is allowable, what is the initial basis that can be depreciated under </w:t>
      </w:r>
      <w:hyperlink r:id="rId780" w:history="1">
        <w:r w:rsidRPr="00041790">
          <w:rPr>
            <w:rStyle w:val="Hyperlink"/>
            <w:b/>
          </w:rPr>
          <w:t>§ 168</w:t>
        </w:r>
      </w:hyperlink>
      <w:r>
        <w:rPr>
          <w:b/>
        </w:rPr>
        <w:t xml:space="preserve">(a)? Under § 168(b)(4), salvage value can be ignored. </w:t>
      </w:r>
    </w:p>
    <w:p w:rsidR="0078310B" w:rsidRDefault="0078310B" w:rsidP="0078310B">
      <w:pPr>
        <w:widowControl w:val="0"/>
        <w:spacing w:after="120"/>
        <w:ind w:left="288"/>
        <w:jc w:val="both"/>
        <w:rPr>
          <w:b/>
        </w:rPr>
      </w:pPr>
      <w:r>
        <w:rPr>
          <w:b/>
        </w:rPr>
        <w:t>(3) What is the property’s classification under § 168(e)? You need this information in order to determine ….</w:t>
      </w:r>
    </w:p>
    <w:p w:rsidR="0078310B" w:rsidRDefault="0078310B" w:rsidP="0078310B">
      <w:pPr>
        <w:widowControl w:val="0"/>
        <w:spacing w:after="120"/>
        <w:ind w:left="288"/>
        <w:jc w:val="both"/>
        <w:rPr>
          <w:b/>
        </w:rPr>
      </w:pPr>
      <w:r>
        <w:rPr>
          <w:b/>
        </w:rPr>
        <w:t>(4) What is the property’s recovery period under § 168(c)? If 20 years or less, is “bonus” depreciation available under § 168(k) or has § 168(k) expired?</w:t>
      </w:r>
    </w:p>
    <w:p w:rsidR="0078310B" w:rsidRDefault="0078310B" w:rsidP="0078310B">
      <w:pPr>
        <w:widowControl w:val="0"/>
        <w:spacing w:after="120"/>
        <w:ind w:left="288"/>
        <w:jc w:val="both"/>
        <w:rPr>
          <w:b/>
        </w:rPr>
      </w:pPr>
      <w:r>
        <w:rPr>
          <w:b/>
        </w:rPr>
        <w:t xml:space="preserve">(5) What is the property’s applicable depreciation method under § 168(b)? </w:t>
      </w:r>
    </w:p>
    <w:p w:rsidR="0078310B" w:rsidRDefault="0078310B" w:rsidP="0078310B">
      <w:pPr>
        <w:widowControl w:val="0"/>
        <w:spacing w:after="120"/>
        <w:ind w:left="288"/>
        <w:jc w:val="both"/>
      </w:pPr>
      <w:r>
        <w:rPr>
          <w:b/>
        </w:rPr>
        <w:t>(6) What is the property’s applicable convention under § 168(d) regarding when it is deemed to be placed in service in the first year (or taken out of service if disposed of before the property’s basis has been fully deducted)?</w:t>
      </w:r>
    </w:p>
    <w:p w:rsidR="0078310B" w:rsidRPr="00B672D0" w:rsidRDefault="0078310B" w:rsidP="0078310B">
      <w:pPr>
        <w:widowControl w:val="0"/>
        <w:spacing w:after="120"/>
        <w:ind w:firstLine="288"/>
        <w:jc w:val="both"/>
      </w:pPr>
      <w:r>
        <w:t>The material below first explores non-real estate tangible assets (such as business equipment) and then considers real estate (buildings).</w:t>
      </w:r>
    </w:p>
    <w:p w:rsidR="0078310B" w:rsidRPr="00A95205" w:rsidRDefault="0078310B" w:rsidP="0078310B">
      <w:pPr>
        <w:pStyle w:val="Heading3"/>
        <w:spacing w:before="0" w:beforeAutospacing="0" w:after="120" w:afterAutospacing="0"/>
        <w:rPr>
          <w:i/>
        </w:rPr>
      </w:pPr>
      <w:bookmarkStart w:id="253" w:name="_Toc395790549"/>
      <w:r w:rsidRPr="00A95205">
        <w:rPr>
          <w:i/>
        </w:rPr>
        <w:t>Non-real estate</w:t>
      </w:r>
      <w:bookmarkEnd w:id="253"/>
    </w:p>
    <w:p w:rsidR="0078310B" w:rsidRDefault="0078310B" w:rsidP="0078310B">
      <w:pPr>
        <w:widowControl w:val="0"/>
        <w:spacing w:after="120"/>
        <w:ind w:firstLine="288"/>
        <w:jc w:val="both"/>
      </w:pPr>
      <w:r>
        <w:t xml:space="preserve">Let’s use the following fact pattern below to explore each of these steps in the analysis. </w:t>
      </w:r>
    </w:p>
    <w:p w:rsidR="0078310B" w:rsidRPr="0008614A" w:rsidRDefault="0078310B" w:rsidP="0078310B">
      <w:pPr>
        <w:widowControl w:val="0"/>
        <w:spacing w:after="120"/>
        <w:ind w:left="720" w:right="720"/>
        <w:jc w:val="both"/>
      </w:pPr>
      <w:r w:rsidRPr="0008614A">
        <w:rPr>
          <w:b/>
        </w:rPr>
        <w:t>Sally purchase</w:t>
      </w:r>
      <w:r>
        <w:rPr>
          <w:b/>
        </w:rPr>
        <w:t>s a widget-making machine for $700</w:t>
      </w:r>
      <w:r w:rsidRPr="0008614A">
        <w:rPr>
          <w:b/>
        </w:rPr>
        <w:t xml:space="preserve">,000 </w:t>
      </w:r>
      <w:r w:rsidR="00610564">
        <w:rPr>
          <w:b/>
        </w:rPr>
        <w:t>on April 3, 2017</w:t>
      </w:r>
      <w:r>
        <w:rPr>
          <w:b/>
        </w:rPr>
        <w:t>, for use in her profitable business, and she places the equipm</w:t>
      </w:r>
      <w:r w:rsidR="00610564">
        <w:rPr>
          <w:b/>
        </w:rPr>
        <w:t>ent into service on May 18, 2017</w:t>
      </w:r>
      <w:r>
        <w:rPr>
          <w:b/>
        </w:rPr>
        <w:t>. The IRS has assigned a “class life” of 7 years to this equipment in a Revenue Procedure. This is the only depreciable business property that Sally pu</w:t>
      </w:r>
      <w:r w:rsidR="00610564">
        <w:rPr>
          <w:b/>
        </w:rPr>
        <w:t>rchases for her business in 2017</w:t>
      </w:r>
      <w:r>
        <w:rPr>
          <w:b/>
        </w:rPr>
        <w:t xml:space="preserve">. </w:t>
      </w:r>
    </w:p>
    <w:p w:rsidR="0078310B" w:rsidRPr="00A95205" w:rsidRDefault="0078310B" w:rsidP="0078310B">
      <w:pPr>
        <w:pStyle w:val="Heading3"/>
        <w:spacing w:before="0" w:beforeAutospacing="0" w:after="120" w:afterAutospacing="0"/>
        <w:rPr>
          <w:i/>
        </w:rPr>
      </w:pPr>
      <w:bookmarkStart w:id="254" w:name="_Toc395790550"/>
      <w:r w:rsidRPr="00A95205">
        <w:rPr>
          <w:i/>
        </w:rPr>
        <w:t>Section 179 expensing</w:t>
      </w:r>
      <w:bookmarkEnd w:id="254"/>
    </w:p>
    <w:p w:rsidR="0078310B" w:rsidRDefault="0078310B" w:rsidP="0078310B">
      <w:pPr>
        <w:widowControl w:val="0"/>
        <w:spacing w:after="120"/>
        <w:ind w:firstLine="288"/>
        <w:jc w:val="both"/>
      </w:pPr>
      <w:r>
        <w:t>Absent § 179, Sally’s entire $700,000 outlay would be a nondeductible capital expenditure under the standards explored in Chapter 4 rather than its opposite, an “expense”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$700,000 basis under the rules found in § 168. </w:t>
      </w:r>
    </w:p>
    <w:p w:rsidR="0078310B" w:rsidRDefault="0078310B" w:rsidP="0078310B">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w:t>
      </w:r>
      <w:r w:rsidR="004455A1">
        <w:t xml:space="preserve"> in 2017</w:t>
      </w:r>
      <w:r w:rsidRPr="0008614A">
        <w:t xml:space="preserve">. </w:t>
      </w:r>
      <w:r>
        <w:t xml:space="preserve">Read </w:t>
      </w:r>
      <w:r w:rsidRPr="0008614A">
        <w:t>§</w:t>
      </w:r>
      <w:hyperlink r:id="rId781"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29"/>
      </w:r>
      <w:r>
        <w:t xml:space="preserve"> (You will learn about § 1245 in the next chapter.) Because a widget-making machine is not real property, it is § 1245 property that is eligible for immediate deduction to the extent not exceeding the limits found in §§ 179(b)(1) and (2).</w:t>
      </w:r>
    </w:p>
    <w:p w:rsidR="0078310B" w:rsidRDefault="0078310B" w:rsidP="0078310B">
      <w:pPr>
        <w:widowControl w:val="0"/>
        <w:spacing w:after="120"/>
        <w:ind w:firstLine="288"/>
        <w:jc w:val="both"/>
      </w:pPr>
      <w:r>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phaseout threshold in § 179(b)(2) was $200,000. Sporadically over the last 15 years, however, these amounts have increased substantially—albeit only temporarily (usually for one year only in reaction to economic recessions). In late 2015, however, Congress permanentaly amended § 179 in the Protecting Americans from Tax Hikes Act of 2015 (PATH Act) to provide for a $500,000 “expense” cap under § 179(b)(1) and a § 179(b)(2) phaseout </w:t>
      </w:r>
      <w:r w:rsidR="004455A1">
        <w:t>threshold of $2 million</w:t>
      </w:r>
      <w:r>
        <w:t xml:space="preserve">, </w:t>
      </w:r>
      <w:r w:rsidR="004455A1">
        <w:t xml:space="preserve">but both of these amounts are </w:t>
      </w:r>
      <w:r>
        <w:t xml:space="preserve">indexed </w:t>
      </w:r>
      <w:r w:rsidR="004455A1">
        <w:t>for inflation</w:t>
      </w:r>
      <w:r>
        <w:t xml:space="preserve">. </w:t>
      </w:r>
      <w:r w:rsidR="004455A1">
        <w:t xml:space="preserve">The 2017 figures are $510,000 and $2.03 million, </w:t>
      </w:r>
      <w:r w:rsidR="00610564">
        <w:t>respectively. Thus, no more than $51</w:t>
      </w:r>
      <w:r>
        <w:t>0,000 of Sally’s purchase price can be trea</w:t>
      </w:r>
      <w:r w:rsidR="004455A1">
        <w:t>ted as a current expense</w:t>
      </w:r>
      <w:r w:rsidR="00610564">
        <w:t>, and this $51</w:t>
      </w:r>
      <w:r>
        <w:t>0,000 deduction is phased out, dollar for dollar, as the aggregate amount of § 179 property that Sally places into</w:t>
      </w:r>
      <w:r w:rsidR="00610564">
        <w:t xml:space="preserve"> service in the year exceeds $2,030,000.</w:t>
      </w:r>
      <w:r>
        <w:t xml:space="preserve"> </w:t>
      </w:r>
    </w:p>
    <w:p w:rsidR="0078310B" w:rsidRDefault="0078310B" w:rsidP="0078310B">
      <w:pPr>
        <w:widowControl w:val="0"/>
        <w:spacing w:after="120"/>
        <w:ind w:firstLine="288"/>
        <w:jc w:val="both"/>
      </w:pPr>
      <w:r>
        <w:t>Because Sally does not place into service more than $2</w:t>
      </w:r>
      <w:r w:rsidR="00610564">
        <w:t>.03</w:t>
      </w:r>
      <w:r>
        <w:t xml:space="preserve"> million of §</w:t>
      </w:r>
      <w:r w:rsidR="00610564">
        <w:t xml:space="preserve"> 179 property this year, her $51</w:t>
      </w:r>
      <w:r>
        <w:t xml:space="preserve">0,000 deduction is not phased out to any extent under § 179(b)(2). If we changed the facts so that she purchases a second </w:t>
      </w:r>
      <w:r w:rsidR="004455A1">
        <w:t xml:space="preserve">piece of § 179 property </w:t>
      </w:r>
      <w:r w:rsidR="00610564">
        <w:t>for, say, $1.6 million, her $51</w:t>
      </w:r>
      <w:r>
        <w:t>0,000 § 179 de</w:t>
      </w:r>
      <w:r w:rsidR="00610564">
        <w:t>duction would be reduced by $270</w:t>
      </w:r>
      <w:r>
        <w:t xml:space="preserve">,000: $2.3 million (the aggregate of § 179 property) </w:t>
      </w:r>
      <w:r>
        <w:rPr>
          <w:i/>
        </w:rPr>
        <w:t xml:space="preserve">less </w:t>
      </w:r>
      <w:r w:rsidR="004455A1">
        <w:t>$2</w:t>
      </w:r>
      <w:r w:rsidR="00610564">
        <w:t>,030,000</w:t>
      </w:r>
      <w:r w:rsidR="004455A1">
        <w:t>.</w:t>
      </w:r>
      <w:r>
        <w:t xml:space="preserve"> In that</w:t>
      </w:r>
      <w:r w:rsidR="00610564">
        <w:t xml:space="preserve"> case, she could treat only $240</w:t>
      </w:r>
      <w:r>
        <w:t>,000 of her aggregate $2.3 million cost of § 179 property as a current expense</w:t>
      </w:r>
      <w:r w:rsidR="00610564">
        <w:t xml:space="preserve"> ($510,000 </w:t>
      </w:r>
      <w:r w:rsidR="00610564">
        <w:rPr>
          <w:i/>
        </w:rPr>
        <w:t xml:space="preserve">less </w:t>
      </w:r>
      <w:r w:rsidR="00610564">
        <w:t>$270,000)</w:t>
      </w:r>
      <w:r>
        <w:t>. If Sally purchases, in the aggregate, $2.5</w:t>
      </w:r>
      <w:r w:rsidR="00FF06C1">
        <w:t>1</w:t>
      </w:r>
      <w:r>
        <w:t xml:space="preserve"> m</w:t>
      </w:r>
      <w:r w:rsidR="004455A1">
        <w:t>illion of § 179 property</w:t>
      </w:r>
      <w:r>
        <w:t>, she will fully phase out of § 179. Returning to our original hypothetical, however, Sally ca</w:t>
      </w:r>
      <w:r w:rsidR="00FF06C1">
        <w:t>n take full advantage of the $51</w:t>
      </w:r>
      <w:r>
        <w:t>0,000 maximum § 179 deduction.</w:t>
      </w:r>
    </w:p>
    <w:p w:rsidR="0078310B" w:rsidRPr="00A95205" w:rsidRDefault="0078310B" w:rsidP="0078310B">
      <w:pPr>
        <w:pStyle w:val="Heading3"/>
        <w:spacing w:before="0" w:beforeAutospacing="0" w:after="120" w:afterAutospacing="0"/>
        <w:rPr>
          <w:i/>
        </w:rPr>
      </w:pPr>
      <w:bookmarkStart w:id="255" w:name="_Toc395790551"/>
      <w:r w:rsidRPr="00A95205">
        <w:rPr>
          <w:i/>
        </w:rPr>
        <w:t>Section 168 depreciation</w:t>
      </w:r>
      <w:bookmarkEnd w:id="255"/>
      <w:r w:rsidRPr="00A95205">
        <w:rPr>
          <w:i/>
        </w:rPr>
        <w:t xml:space="preserve"> </w:t>
      </w:r>
    </w:p>
    <w:p w:rsidR="0078310B" w:rsidRPr="008835B9" w:rsidRDefault="0078310B" w:rsidP="0078310B">
      <w:pPr>
        <w:widowControl w:val="0"/>
        <w:spacing w:after="120"/>
        <w:ind w:firstLine="288"/>
        <w:jc w:val="both"/>
      </w:pPr>
      <w:r>
        <w:t xml:space="preserve">When Sally turns to </w:t>
      </w:r>
      <w:hyperlink r:id="rId782" w:history="1">
        <w:r w:rsidRPr="00FF06C1">
          <w:rPr>
            <w:rStyle w:val="Hyperlink"/>
          </w:rPr>
          <w:t>§ 168</w:t>
        </w:r>
      </w:hyperlink>
      <w:r>
        <w:t xml:space="preserve"> under Step (2), she knows that her bas</w:t>
      </w:r>
      <w:r w:rsidR="00610564">
        <w:t>is in the equipment is only $190</w:t>
      </w:r>
      <w:r>
        <w:t>,000 (instead of $700,000) because only capital expenditures (not “expenses”) create basis. Indeed, if Sally were permitted to</w:t>
      </w:r>
      <w:r>
        <w:rPr>
          <w:i/>
        </w:rPr>
        <w:t xml:space="preserve"> </w:t>
      </w:r>
      <w:r w:rsidR="00610564">
        <w:t>treat $51</w:t>
      </w:r>
      <w:r>
        <w:t xml:space="preserve">0,000 of her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could be depreciated prior to 1981. </w:t>
      </w:r>
    </w:p>
    <w:p w:rsidR="0078310B" w:rsidRDefault="0078310B" w:rsidP="0078310B">
      <w:pPr>
        <w:widowControl w:val="0"/>
        <w:spacing w:after="120"/>
        <w:ind w:firstLine="288"/>
        <w:jc w:val="both"/>
      </w:pPr>
      <w:r>
        <w:t xml:space="preserve">Next, Sally must determine her property’s “classification” 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classification of many types of property that are explicitly described there, such as certain race horses (classified as 3-year property), automobiles and light purpose trucks (5-year property), railroad track (7-year property), municipal wastewater treatment plant (15-year property), </w:t>
      </w:r>
      <w:r>
        <w:rPr>
          <w:i/>
        </w:rPr>
        <w:t>etc.</w:t>
      </w:r>
      <w:r>
        <w:t xml:space="preserve"> For property that is not explicitly classified in the statute,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class life of 7 years (right side of the table) is classified as 5-year property (left side of the table). </w:t>
      </w:r>
    </w:p>
    <w:p w:rsidR="0078310B" w:rsidRDefault="0078310B" w:rsidP="0078310B">
      <w:pPr>
        <w:widowControl w:val="0"/>
        <w:spacing w:after="120"/>
        <w:ind w:firstLine="288"/>
        <w:jc w:val="both"/>
      </w:pPr>
      <w:r>
        <w:t xml:space="preserve">Armed with this information, Sally can now proceed to Step (4) and determine the property’s “recovery period” under § 168(c). Under § 168(c)(1), 5-year property (left side of the table) is assigned (not surprisingly) a 5-year recovery period (right side of the table). Notice that property with a “class life” of 7 years does </w:t>
      </w:r>
      <w:r>
        <w:rPr>
          <w:i/>
        </w:rPr>
        <w:t xml:space="preserve">not </w:t>
      </w:r>
      <w:r>
        <w:t xml:space="preserve">have a “recovery period” of 7 years but rather 5 years. </w:t>
      </w:r>
    </w:p>
    <w:p w:rsidR="0078310B" w:rsidRPr="005707ED" w:rsidRDefault="0078310B" w:rsidP="0078310B">
      <w:pPr>
        <w:widowControl w:val="0"/>
        <w:spacing w:after="120"/>
        <w:ind w:firstLine="288"/>
        <w:jc w:val="both"/>
      </w:pPr>
      <w:r>
        <w:t xml:space="preserve">For many of the years since 2001, though not all, Congress inserted an extra step in the analysis at this point under § 168(k), a provision typically referred to as “bonus depreciation.” For 2016 and 2017, § 168(k)(1)(A) permits 50% of basis to be deducted </w:t>
      </w:r>
      <w:r>
        <w:rPr>
          <w:i/>
        </w:rPr>
        <w:t xml:space="preserve">before </w:t>
      </w:r>
      <w:r>
        <w:t xml:space="preserve">computing regular depreciation </w:t>
      </w:r>
      <w:r>
        <w:rPr>
          <w:i/>
        </w:rPr>
        <w:t>if</w:t>
      </w:r>
      <w:r>
        <w:t xml:space="preserve">, in general, the property has a recovery period of 20 years or less or is either depreciable computer software or certain improvements made by tenants to leased nonresidential property. Basis is then reduced </w:t>
      </w:r>
      <w:r w:rsidR="00E80059">
        <w:t xml:space="preserve">under § 168(k)(1)(B) </w:t>
      </w:r>
      <w:r>
        <w:t xml:space="preserve">by the amount of bonus deprecation for purposes of computing “regular” depreciation for the first year. Unlike § 179, bonus depreciation has no caps or phaseout and thus is not limited to small businesses. The PATH Act extended bonus depreciation under § 168(k) at 50% for 2016 and 2017 only, however, and then phases it out in steps. The percentage amount of bonus depreciation will be 40% for 2018, 30% for 2019, and 0% in 2020 and thereafter. </w:t>
      </w:r>
      <w:r w:rsidR="00217A29">
        <w:rPr>
          <w:i/>
        </w:rPr>
        <w:t xml:space="preserve">See </w:t>
      </w:r>
      <w:r w:rsidR="00217A29">
        <w:t xml:space="preserve">§ 168(k)(6). </w:t>
      </w:r>
      <w:r>
        <w:t xml:space="preserve">Because Sally </w:t>
      </w:r>
      <w:r w:rsidR="00610564">
        <w:t>purchased this equipment in 2017, Sally is able to deduct $95,000 of her $190</w:t>
      </w:r>
      <w:r>
        <w:t>,000 basis in the equipment in Year 1 under § 168(k)(1)(A), reducing her ba</w:t>
      </w:r>
      <w:r w:rsidR="00610564">
        <w:t>sis under § 168(k)(1)(B) to $95</w:t>
      </w:r>
      <w:r>
        <w:t>,000 for purposes of computing regular depreciation for Year 1 and future years.</w:t>
      </w:r>
    </w:p>
    <w:p w:rsidR="0078310B" w:rsidRDefault="0078310B" w:rsidP="0078310B">
      <w:pPr>
        <w:widowControl w:val="0"/>
        <w:spacing w:after="120"/>
        <w:ind w:firstLine="288"/>
        <w:jc w:val="both"/>
      </w:pPr>
      <w:r>
        <w:t xml:space="preserve">In Step (5), Sally learns that her equipment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rsidR="0078310B" w:rsidRDefault="0078310B" w:rsidP="0078310B">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the constant percentage would be 10%.) Because Andrew’s recovery period is 5 years, Andrew would deduct 20% of $100,000 (or $20,000) in Year 1 if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rsidR="0078310B" w:rsidRDefault="0078310B" w:rsidP="0078310B">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Thus, instead of deducting 20% of $100,000 ($20,000) in Year 1, Andrew deducts 40% of $100,000 ($40,000) in Year 1 if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w:t>
      </w:r>
      <w:r w:rsidR="00E80059">
        <w:t>basis over the remaining years)</w:t>
      </w:r>
      <w:r>
        <w:t xml:space="preserve"> in the first year in which that method would provide a higher deduction. If the $21,600 basis remaining at the end of Year 3 were deducted in equal amounts in Years 4 and 5, his Year-4 deduction would be $10,800, which is higher than $8,640. Thus, Andrew would switch to the straight-line method for Years 4 and 5. </w:t>
      </w:r>
    </w:p>
    <w:p w:rsidR="0078310B" w:rsidRDefault="0078310B" w:rsidP="0078310B">
      <w:pPr>
        <w:widowControl w:val="0"/>
        <w:spacing w:after="120"/>
        <w:ind w:firstLine="288"/>
        <w:jc w:val="both"/>
      </w:pPr>
      <w:r>
        <w:t>But we cannot yet jump to applying the 200% declining balance method to Sally’s facts without considering the half-year convention in Step (6). Under § 168(d)(1), Sally is assumed to place her equipment into service</w:t>
      </w:r>
      <w:r w:rsidR="00610564">
        <w:t xml:space="preserve"> precisely in the middle of 2017</w:t>
      </w:r>
      <w:r>
        <w:t xml:space="preserve">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Thus, Sall</w:t>
      </w:r>
      <w:r w:rsidR="00610564">
        <w:t>y will deduct her remaining $95</w:t>
      </w:r>
      <w:r>
        <w:t>,000 basis (after ap</w:t>
      </w:r>
      <w:r w:rsidR="00E80059">
        <w:t xml:space="preserve">plying §§ 179 and 168(k)) over </w:t>
      </w:r>
      <w:r>
        <w:t xml:space="preserve">5 years, with a half year of depreciation in Year 1 (because she is deemed to place the property into service precisely in the middle of Year 1) and a half year of deprecation in Year 6 (completing the 5-year recovery period). </w:t>
      </w:r>
    </w:p>
    <w:p w:rsidR="0078310B" w:rsidRDefault="0078310B" w:rsidP="0078310B">
      <w:pPr>
        <w:widowControl w:val="0"/>
        <w:spacing w:after="120"/>
        <w:ind w:firstLine="288"/>
        <w:jc w:val="both"/>
      </w:pPr>
      <w:r>
        <w:t>Armed with this information, Sally finds the correct table in Revenue Procedure 87-57,</w:t>
      </w:r>
      <w:r>
        <w:rPr>
          <w:rStyle w:val="FootnoteReference"/>
        </w:rPr>
        <w:footnoteReference w:id="430"/>
      </w:r>
      <w:r>
        <w:t xml:space="preserve"> which you can find online. Rev. Proc. 87-57 provides:</w:t>
      </w:r>
    </w:p>
    <w:p w:rsidR="0078310B" w:rsidRDefault="0078310B" w:rsidP="0078310B">
      <w:pPr>
        <w:widowControl w:val="0"/>
        <w:spacing w:after="120"/>
        <w:ind w:left="720" w:right="720"/>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rsidR="0078310B" w:rsidRPr="00C87AE7" w:rsidRDefault="0078310B" w:rsidP="0078310B">
      <w:pPr>
        <w:widowControl w:val="0"/>
        <w:spacing w:after="120"/>
        <w:jc w:val="both"/>
        <w:rPr>
          <w:rFonts w:cs="Times New Roman"/>
        </w:rPr>
      </w:pPr>
      <w:r>
        <w:t xml:space="preserve">(Emphasis added.)  In other words, taxpayers do not actually have to keep track of the property’s declining adjusted basis over time, as Andrew did, above, in order to multiply it against the proper </w:t>
      </w:r>
      <w:r w:rsidRPr="00CF7124">
        <w:rPr>
          <w:i/>
        </w:rPr>
        <w:t>con</w:t>
      </w:r>
      <w:r w:rsidRPr="00C87AE7">
        <w:rPr>
          <w:rFonts w:cs="Times New Roman"/>
          <w:i/>
        </w:rPr>
        <w:t>stant</w:t>
      </w:r>
      <w:r w:rsidRPr="00C87AE7">
        <w:rPr>
          <w:rFonts w:cs="Times New Roman"/>
        </w:rPr>
        <w:t xml:space="preserve"> percentage under the declining balance method. Rather, to make life simple, the IRS has figured out the </w:t>
      </w:r>
      <w:r w:rsidRPr="00C87AE7">
        <w:rPr>
          <w:rFonts w:cs="Times New Roman"/>
          <w:i/>
        </w:rPr>
        <w:t>declining percentage amount</w:t>
      </w:r>
      <w:r w:rsidRPr="00C87AE7">
        <w:rPr>
          <w:rFonts w:cs="Times New Roman"/>
        </w:rPr>
        <w:t xml:space="preserve"> that, when multiplied by the property’s </w:t>
      </w:r>
      <w:r w:rsidRPr="00C87AE7">
        <w:rPr>
          <w:rFonts w:cs="Times New Roman"/>
          <w:i/>
        </w:rPr>
        <w:t>unadjusted basis</w:t>
      </w:r>
      <w:r w:rsidRPr="00C87AE7">
        <w:rPr>
          <w:rFonts w:cs="Times New Roman"/>
        </w:rPr>
        <w:t>,</w:t>
      </w:r>
      <w:r w:rsidRPr="00C87AE7">
        <w:rPr>
          <w:rFonts w:cs="Times New Roman"/>
          <w:i/>
        </w:rPr>
        <w:t xml:space="preserve"> </w:t>
      </w:r>
      <w:r w:rsidRPr="00C87AE7">
        <w:rPr>
          <w:rFonts w:cs="Times New Roman"/>
        </w:rPr>
        <w:t xml:space="preserve">will arrive at the correct depreciation deduction for each year of the recovery period. </w:t>
      </w:r>
    </w:p>
    <w:p w:rsidR="0078310B" w:rsidRPr="00C87AE7" w:rsidRDefault="0078310B" w:rsidP="0078310B">
      <w:pPr>
        <w:widowControl w:val="0"/>
        <w:spacing w:after="120"/>
        <w:ind w:firstLine="288"/>
        <w:jc w:val="both"/>
        <w:rPr>
          <w:rFonts w:cs="Times New Roman"/>
        </w:rPr>
      </w:pPr>
      <w:r w:rsidRPr="00C87AE7">
        <w:rPr>
          <w:rFonts w:cs="Times New Roman"/>
        </w:rPr>
        <w:t>Table 1</w:t>
      </w:r>
      <w:r>
        <w:rPr>
          <w:rFonts w:cs="Times New Roman"/>
        </w:rPr>
        <w:t xml:space="preserve">, </w:t>
      </w:r>
      <w:r w:rsidRPr="00C87AE7">
        <w:rPr>
          <w:rFonts w:cs="Times New Roman"/>
        </w:rPr>
        <w:t>below, incorporates the 200% declining balance method switching to straight line, as well as the half-year convention</w:t>
      </w:r>
      <w:r>
        <w:rPr>
          <w:rFonts w:cs="Times New Roman"/>
        </w:rPr>
        <w:t>,</w:t>
      </w:r>
      <w:r w:rsidRPr="00C87AE7">
        <w:rPr>
          <w:rFonts w:cs="Times New Roman"/>
        </w:rPr>
        <w:t xml:space="preserve"> for properties with recovery periods of 3, 5, 7, and 10 years.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cs="Times New Roman"/>
          <w:b/>
        </w:rPr>
        <w:t xml:space="preserve">                      </w:t>
      </w:r>
      <w:r w:rsidRPr="00843A7F">
        <w:rPr>
          <w:rFonts w:eastAsia="Times New Roman" w:cs="Times New Roman"/>
          <w:b/>
        </w:rPr>
        <w:t>Recovery</w:t>
      </w:r>
      <w:r w:rsidRPr="00843A7F">
        <w:t xml:space="preserve">                               </w:t>
      </w:r>
      <w:r>
        <w:t xml:space="preserve">   </w:t>
      </w:r>
      <w:r w:rsidRPr="00843A7F">
        <w:t xml:space="preserve">  </w:t>
      </w:r>
      <w:r w:rsidRPr="00843A7F">
        <w:rPr>
          <w:b/>
        </w:rPr>
        <w:t>Recovery Period:</w:t>
      </w:r>
      <w:r w:rsidRPr="00843A7F">
        <w:t xml:space="preserve">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cs="Times New Roman"/>
          <w:b/>
        </w:rPr>
        <w:t xml:space="preserve">                      </w:t>
      </w:r>
      <w:r w:rsidRPr="00843A7F">
        <w:rPr>
          <w:rFonts w:eastAsia="Times New Roman" w:cs="Times New Roman"/>
          <w:b/>
          <w:i/>
          <w:u w:val="single"/>
        </w:rPr>
        <w:t xml:space="preserve">    </w:t>
      </w:r>
      <w:r w:rsidRPr="00843A7F">
        <w:rPr>
          <w:rFonts w:eastAsia="Times New Roman" w:cs="Times New Roman"/>
          <w:b/>
          <w:u w:val="single"/>
        </w:rPr>
        <w:t>Year</w:t>
      </w:r>
      <w:r w:rsidRPr="00843A7F">
        <w:rPr>
          <w:rFonts w:eastAsia="Times New Roman" w:cs="Times New Roman"/>
          <w:u w:val="single"/>
        </w:rPr>
        <w:t xml:space="preserve">    </w:t>
      </w: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w:t>
      </w:r>
      <w:r w:rsidRPr="00843A7F">
        <w:rPr>
          <w:rFonts w:eastAsia="Times New Roman" w:cs="Times New Roman"/>
          <w:b/>
          <w:u w:val="single"/>
        </w:rPr>
        <w:t>3-Year</w:t>
      </w:r>
      <w:r w:rsidRPr="00843A7F">
        <w:rPr>
          <w:rFonts w:eastAsia="Times New Roman" w:cs="Times New Roman"/>
          <w:b/>
        </w:rPr>
        <w:t xml:space="preserve">     </w:t>
      </w:r>
      <w:r>
        <w:rPr>
          <w:rFonts w:eastAsia="Times New Roman" w:cs="Times New Roman"/>
          <w:b/>
        </w:rPr>
        <w:t xml:space="preserve"> </w:t>
      </w:r>
      <w:r w:rsidRPr="00843A7F">
        <w:rPr>
          <w:rFonts w:eastAsia="Times New Roman" w:cs="Times New Roman"/>
          <w:b/>
        </w:rPr>
        <w:t xml:space="preserve">     </w:t>
      </w:r>
      <w:r w:rsidRPr="00843A7F">
        <w:rPr>
          <w:rFonts w:eastAsia="Times New Roman" w:cs="Times New Roman"/>
          <w:b/>
          <w:u w:val="single"/>
        </w:rPr>
        <w:t>5-Year</w:t>
      </w:r>
      <w:r w:rsidRPr="00843A7F">
        <w:rPr>
          <w:rFonts w:eastAsia="Times New Roman" w:cs="Times New Roman"/>
          <w:b/>
        </w:rPr>
        <w:t xml:space="preserve">            </w:t>
      </w:r>
      <w:r w:rsidRPr="00843A7F">
        <w:rPr>
          <w:rFonts w:eastAsia="Times New Roman" w:cs="Times New Roman"/>
          <w:b/>
          <w:u w:val="single"/>
        </w:rPr>
        <w:t>7-Year</w:t>
      </w:r>
      <w:r w:rsidRPr="00843A7F">
        <w:rPr>
          <w:rFonts w:eastAsia="Times New Roman" w:cs="Times New Roman"/>
          <w:b/>
        </w:rPr>
        <w:t xml:space="preserve">            </w:t>
      </w:r>
      <w:r w:rsidRPr="00843A7F">
        <w:rPr>
          <w:rFonts w:eastAsia="Times New Roman" w:cs="Times New Roman"/>
          <w:b/>
          <w:u w:val="single"/>
        </w:rPr>
        <w:t>10-Year</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1              </w:t>
      </w:r>
      <w:r>
        <w:rPr>
          <w:rFonts w:eastAsia="Times New Roman" w:cs="Times New Roman"/>
        </w:rPr>
        <w:t xml:space="preserve">  </w:t>
      </w:r>
      <w:r w:rsidRPr="00843A7F">
        <w:rPr>
          <w:rFonts w:eastAsia="Times New Roman" w:cs="Times New Roman"/>
        </w:rPr>
        <w:t xml:space="preserve">  33.33    </w:t>
      </w:r>
      <w:r>
        <w:rPr>
          <w:rFonts w:eastAsia="Times New Roman" w:cs="Times New Roman"/>
        </w:rPr>
        <w:t xml:space="preserve">  </w:t>
      </w:r>
      <w:r w:rsidRPr="00843A7F">
        <w:rPr>
          <w:rFonts w:eastAsia="Times New Roman" w:cs="Times New Roman"/>
        </w:rPr>
        <w:t xml:space="preserve">        20.00               14.29          </w:t>
      </w:r>
      <w:r>
        <w:rPr>
          <w:rFonts w:eastAsia="Times New Roman" w:cs="Times New Roman"/>
        </w:rPr>
        <w:t xml:space="preserve"> </w:t>
      </w:r>
      <w:r w:rsidRPr="00843A7F">
        <w:rPr>
          <w:rFonts w:eastAsia="Times New Roman" w:cs="Times New Roman"/>
        </w:rPr>
        <w:t xml:space="preserve">     10.00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2              </w:t>
      </w:r>
      <w:r>
        <w:rPr>
          <w:rFonts w:eastAsia="Times New Roman" w:cs="Times New Roman"/>
        </w:rPr>
        <w:t xml:space="preserve">  </w:t>
      </w:r>
      <w:r w:rsidRPr="00843A7F">
        <w:rPr>
          <w:rFonts w:eastAsia="Times New Roman" w:cs="Times New Roman"/>
        </w:rPr>
        <w:t xml:space="preserve">  44.45        </w:t>
      </w:r>
      <w:r>
        <w:rPr>
          <w:rFonts w:eastAsia="Times New Roman" w:cs="Times New Roman"/>
        </w:rPr>
        <w:t xml:space="preserve">  </w:t>
      </w:r>
      <w:r w:rsidRPr="00843A7F">
        <w:rPr>
          <w:rFonts w:eastAsia="Times New Roman" w:cs="Times New Roman"/>
        </w:rPr>
        <w:t xml:space="preserve">    32.00               24.49         </w:t>
      </w:r>
      <w:r>
        <w:rPr>
          <w:rFonts w:eastAsia="Times New Roman" w:cs="Times New Roman"/>
        </w:rPr>
        <w:t xml:space="preserve"> </w:t>
      </w:r>
      <w:r w:rsidRPr="00843A7F">
        <w:rPr>
          <w:rFonts w:eastAsia="Times New Roman" w:cs="Times New Roman"/>
        </w:rPr>
        <w:t xml:space="preserve">      18.00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3          </w:t>
      </w:r>
      <w:r>
        <w:rPr>
          <w:rFonts w:eastAsia="Times New Roman" w:cs="Times New Roman"/>
        </w:rPr>
        <w:t xml:space="preserve">  </w:t>
      </w:r>
      <w:r w:rsidRPr="00843A7F">
        <w:rPr>
          <w:rFonts w:eastAsia="Times New Roman" w:cs="Times New Roman"/>
        </w:rPr>
        <w:t xml:space="preserve">      14.81         </w:t>
      </w:r>
      <w:r>
        <w:rPr>
          <w:rFonts w:eastAsia="Times New Roman" w:cs="Times New Roman"/>
        </w:rPr>
        <w:t xml:space="preserve">  </w:t>
      </w:r>
      <w:r w:rsidRPr="00843A7F">
        <w:rPr>
          <w:rFonts w:eastAsia="Times New Roman" w:cs="Times New Roman"/>
        </w:rPr>
        <w:t xml:space="preserve">   19.20               17.49            </w:t>
      </w:r>
      <w:r>
        <w:rPr>
          <w:rFonts w:eastAsia="Times New Roman" w:cs="Times New Roman"/>
        </w:rPr>
        <w:t xml:space="preserve"> </w:t>
      </w:r>
      <w:r w:rsidRPr="00843A7F">
        <w:rPr>
          <w:rFonts w:eastAsia="Times New Roman" w:cs="Times New Roman"/>
        </w:rPr>
        <w:t xml:space="preserve">   14.40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4     </w:t>
      </w:r>
      <w:r>
        <w:rPr>
          <w:rFonts w:eastAsia="Times New Roman" w:cs="Times New Roman"/>
        </w:rPr>
        <w:t xml:space="preserve">      </w:t>
      </w:r>
      <w:r w:rsidRPr="00843A7F">
        <w:rPr>
          <w:rFonts w:eastAsia="Times New Roman" w:cs="Times New Roman"/>
        </w:rPr>
        <w:t xml:space="preserve">         7.41    </w:t>
      </w:r>
      <w:r>
        <w:rPr>
          <w:rFonts w:eastAsia="Times New Roman" w:cs="Times New Roman"/>
        </w:rPr>
        <w:t xml:space="preserve">  </w:t>
      </w:r>
      <w:r w:rsidRPr="00843A7F">
        <w:rPr>
          <w:rFonts w:eastAsia="Times New Roman" w:cs="Times New Roman"/>
        </w:rPr>
        <w:t xml:space="preserve">        11.52               12.49     </w:t>
      </w:r>
      <w:r>
        <w:rPr>
          <w:rFonts w:eastAsia="Times New Roman" w:cs="Times New Roman"/>
        </w:rPr>
        <w:t xml:space="preserve"> </w:t>
      </w:r>
      <w:r w:rsidRPr="00843A7F">
        <w:rPr>
          <w:rFonts w:eastAsia="Times New Roman" w:cs="Times New Roman"/>
        </w:rPr>
        <w:t xml:space="preserve">          11.52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5             </w:t>
      </w:r>
      <w:r>
        <w:rPr>
          <w:rFonts w:eastAsia="Times New Roman" w:cs="Times New Roman"/>
        </w:rPr>
        <w:t xml:space="preserve">    </w:t>
      </w:r>
      <w:r w:rsidRPr="00843A7F">
        <w:rPr>
          <w:rFonts w:eastAsia="Times New Roman" w:cs="Times New Roman"/>
        </w:rPr>
        <w:t xml:space="preserve">                        11.52                 8.93    </w:t>
      </w:r>
      <w:r>
        <w:rPr>
          <w:rFonts w:eastAsia="Times New Roman" w:cs="Times New Roman"/>
        </w:rPr>
        <w:t xml:space="preserve"> </w:t>
      </w:r>
      <w:r w:rsidRPr="00843A7F">
        <w:rPr>
          <w:rFonts w:eastAsia="Times New Roman" w:cs="Times New Roman"/>
        </w:rPr>
        <w:t xml:space="preserve">             9.22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6             </w:t>
      </w:r>
      <w:r>
        <w:rPr>
          <w:rFonts w:eastAsia="Times New Roman" w:cs="Times New Roman"/>
        </w:rPr>
        <w:t xml:space="preserve">    </w:t>
      </w:r>
      <w:r w:rsidRPr="00843A7F">
        <w:rPr>
          <w:rFonts w:eastAsia="Times New Roman" w:cs="Times New Roman"/>
        </w:rPr>
        <w:t xml:space="preserve">                          5.76                 8.92        </w:t>
      </w:r>
      <w:r>
        <w:rPr>
          <w:rFonts w:eastAsia="Times New Roman" w:cs="Times New Roman"/>
        </w:rPr>
        <w:t xml:space="preserve"> </w:t>
      </w:r>
      <w:r w:rsidRPr="00843A7F">
        <w:rPr>
          <w:rFonts w:eastAsia="Times New Roman" w:cs="Times New Roman"/>
        </w:rPr>
        <w:t xml:space="preserve">         7.37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7                  </w:t>
      </w:r>
      <w:r>
        <w:rPr>
          <w:rFonts w:eastAsia="Times New Roman" w:cs="Times New Roman"/>
        </w:rPr>
        <w:t xml:space="preserve">                        </w:t>
      </w:r>
      <w:r w:rsidRPr="00843A7F">
        <w:rPr>
          <w:rFonts w:eastAsia="Times New Roman" w:cs="Times New Roman"/>
        </w:rPr>
        <w:t xml:space="preserve">                         8.93       </w:t>
      </w:r>
      <w:r>
        <w:rPr>
          <w:rFonts w:eastAsia="Times New Roman" w:cs="Times New Roman"/>
        </w:rPr>
        <w:t xml:space="preserve"> </w:t>
      </w:r>
      <w:r w:rsidRPr="00843A7F">
        <w:rPr>
          <w:rFonts w:eastAsia="Times New Roman" w:cs="Times New Roman"/>
        </w:rPr>
        <w:t xml:space="preserve">          6.55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8         </w:t>
      </w:r>
      <w:r>
        <w:rPr>
          <w:rFonts w:eastAsia="Times New Roman" w:cs="Times New Roman"/>
        </w:rPr>
        <w:t xml:space="preserve">   </w:t>
      </w:r>
      <w:r w:rsidRPr="00843A7F">
        <w:rPr>
          <w:rFonts w:eastAsia="Times New Roman" w:cs="Times New Roman"/>
        </w:rPr>
        <w:t xml:space="preserve">                                                       4.46        </w:t>
      </w:r>
      <w:r>
        <w:rPr>
          <w:rFonts w:eastAsia="Times New Roman" w:cs="Times New Roman"/>
        </w:rPr>
        <w:t xml:space="preserve"> </w:t>
      </w:r>
      <w:r w:rsidRPr="00843A7F">
        <w:rPr>
          <w:rFonts w:eastAsia="Times New Roman" w:cs="Times New Roman"/>
        </w:rPr>
        <w:t xml:space="preserve">         6.55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Pr>
          <w:rFonts w:eastAsia="Times New Roman" w:cs="Times New Roman"/>
        </w:rPr>
        <w:t xml:space="preserve">                </w:t>
      </w:r>
      <w:r w:rsidRPr="00843A7F">
        <w:rPr>
          <w:rFonts w:eastAsia="Times New Roman" w:cs="Times New Roman"/>
        </w:rPr>
        <w:t xml:space="preserve">            9                      </w:t>
      </w:r>
      <w:r>
        <w:rPr>
          <w:rFonts w:eastAsia="Times New Roman" w:cs="Times New Roman"/>
        </w:rPr>
        <w:t xml:space="preserve">    </w:t>
      </w:r>
      <w:r w:rsidRPr="00843A7F">
        <w:rPr>
          <w:rFonts w:eastAsia="Times New Roman" w:cs="Times New Roman"/>
        </w:rPr>
        <w:t xml:space="preserve">                                                                  6.56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10             </w:t>
      </w:r>
      <w:r>
        <w:rPr>
          <w:rFonts w:eastAsia="Times New Roman" w:cs="Times New Roman"/>
        </w:rPr>
        <w:t xml:space="preserve">     </w:t>
      </w:r>
      <w:r w:rsidRPr="00843A7F">
        <w:rPr>
          <w:rFonts w:eastAsia="Times New Roman" w:cs="Times New Roman"/>
        </w:rPr>
        <w:t xml:space="preserve">                                                                          6.55     </w:t>
      </w:r>
    </w:p>
    <w:p w:rsidR="0078310B" w:rsidRPr="00843A7F"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rPr>
      </w:pPr>
      <w:r w:rsidRPr="00843A7F">
        <w:rPr>
          <w:rFonts w:eastAsia="Times New Roman" w:cs="Times New Roman"/>
        </w:rPr>
        <w:t xml:space="preserve">  </w:t>
      </w:r>
      <w:r>
        <w:rPr>
          <w:rFonts w:eastAsia="Times New Roman" w:cs="Times New Roman"/>
        </w:rPr>
        <w:t xml:space="preserve">               </w:t>
      </w:r>
      <w:r w:rsidRPr="00843A7F">
        <w:rPr>
          <w:rFonts w:eastAsia="Times New Roman" w:cs="Times New Roman"/>
        </w:rPr>
        <w:t xml:space="preserve">         11                                                               </w:t>
      </w:r>
      <w:r>
        <w:rPr>
          <w:rFonts w:eastAsia="Times New Roman" w:cs="Times New Roman"/>
        </w:rPr>
        <w:t xml:space="preserve">     </w:t>
      </w:r>
      <w:r w:rsidRPr="00843A7F">
        <w:rPr>
          <w:rFonts w:eastAsia="Times New Roman" w:cs="Times New Roman"/>
        </w:rPr>
        <w:t xml:space="preserve">                        3.28     </w:t>
      </w:r>
    </w:p>
    <w:p w:rsidR="0078310B" w:rsidRDefault="0078310B" w:rsidP="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cs="Times New Roman"/>
        </w:rPr>
        <w:t xml:space="preserve">    </w:t>
      </w:r>
      <w:r w:rsidRPr="00C87AE7">
        <w:rPr>
          <w:rFonts w:cs="Times New Roman"/>
        </w:rPr>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 </w:t>
      </w:r>
      <w:r w:rsidR="00610564">
        <w:t>to multiply against Sally’s $95</w:t>
      </w:r>
      <w:r>
        <w:t xml:space="preserve">,000 unadjusted basis is 20% (.20). Under the 200% declining balance method and a 5-year recovery period, Sally would be entitled to deduct 40% in Year 1 if she were entitled to a full year of deprecation in Year 1, but Table 1 properly incorporates the half-year convention, reducing the 40% figure to 20% </w:t>
      </w:r>
      <w:r w:rsidRPr="005707ED">
        <w:rPr>
          <w:i/>
        </w:rPr>
        <w:t>for Year 1 only</w:t>
      </w:r>
      <w:r>
        <w:t>. Thus, Sally’s regular deprecation deduc</w:t>
      </w:r>
      <w:r w:rsidR="00610564">
        <w:t>tion for Year 1 is $19,000 ($95</w:t>
      </w:r>
      <w:r>
        <w:t xml:space="preserve">,000 x .20). If we had to determine her Year-2 deduction without the table, </w:t>
      </w:r>
      <w:r w:rsidR="00610564">
        <w:t>we would have to reduce her $95,000 basis by the $19</w:t>
      </w:r>
      <w:r>
        <w:t>,000</w:t>
      </w:r>
      <w:r w:rsidR="00610564">
        <w:t xml:space="preserve"> deducted in Year 1 to reach $76</w:t>
      </w:r>
      <w:r>
        <w:t>,000 and then multiply t</w:t>
      </w:r>
      <w:r w:rsidR="00610564">
        <w:t>hat amount by 40% to reach $30,4</w:t>
      </w:r>
      <w:r>
        <w:t>00. Table 1, however, allows us to avoid having to figure Sally’s adjusted basis at this point. Rather, Sally simply multiplies her original</w:t>
      </w:r>
      <w:r>
        <w:rPr>
          <w:i/>
        </w:rPr>
        <w:t xml:space="preserve"> </w:t>
      </w:r>
      <w:r w:rsidR="00610564">
        <w:t>$95</w:t>
      </w:r>
      <w:r>
        <w:t xml:space="preserve">,000 </w:t>
      </w:r>
      <w:r>
        <w:rPr>
          <w:i/>
        </w:rPr>
        <w:t>unadjusted basis</w:t>
      </w:r>
      <w:r>
        <w:t xml:space="preserve"> </w:t>
      </w:r>
      <w:r w:rsidR="00610564">
        <w:t xml:space="preserve">(after applying §§ 179 and 168(k)) </w:t>
      </w:r>
      <w:r>
        <w:t>by 32%, the figure supplied for Yea</w:t>
      </w:r>
      <w:r w:rsidR="00610564">
        <w:t>r 2, and we reach the same $30,4</w:t>
      </w:r>
      <w:r w:rsidR="00A15D45">
        <w:t>00 amount ($95</w:t>
      </w:r>
      <w:r>
        <w:t>,000 x .32). Similarly, Sally woul</w:t>
      </w:r>
      <w:r w:rsidR="00A15D45">
        <w:t>d deduct $18,240 in Year 3 ($95</w:t>
      </w:r>
      <w:r>
        <w:t>,000 x .1920). Notice the switch to straight-line depreciation in Year 4 of</w:t>
      </w:r>
      <w:r w:rsidR="00E80059">
        <w:t xml:space="preserve"> the table, as well as the half </w:t>
      </w:r>
      <w:r>
        <w:t>year of deprec</w:t>
      </w:r>
      <w:r w:rsidR="00E80059">
        <w:t>i</w:t>
      </w:r>
      <w:r>
        <w:t xml:space="preserve">ation allowable in Year 6, completing the 5-year recovery period. </w:t>
      </w:r>
    </w:p>
    <w:p w:rsidR="0078310B" w:rsidRDefault="0078310B" w:rsidP="0078310B">
      <w:pPr>
        <w:widowControl w:val="0"/>
        <w:spacing w:after="120"/>
        <w:ind w:firstLine="288"/>
        <w:jc w:val="both"/>
      </w:pPr>
      <w:r>
        <w:t>What if Sally sells the machine on February 3 of Year 3 for, say, $550,000 because it has lost $150,000 of value since her original purchase for $700,000? Before computing her § 1001 gain or loss, Sally must remember to take her Year-3 depreciation deduction. Even though Sally sells on February 3, under the half-year convention she is deemed to sell pre</w:t>
      </w:r>
      <w:r w:rsidR="00FF06C1">
        <w:t>cisely in the middle of Year 3</w:t>
      </w:r>
      <w:r>
        <w:t>, meaning that sh</w:t>
      </w:r>
      <w:r w:rsidR="00A15D45">
        <w:t>e deducts one-half of the $18,24</w:t>
      </w:r>
      <w:r>
        <w:t>0 depreciation deduction that she would otherwise have taken had she not sold</w:t>
      </w:r>
      <w:r w:rsidR="00A15D45">
        <w:t>, or $9,12</w:t>
      </w:r>
      <w:r>
        <w:t xml:space="preserve">0. </w:t>
      </w:r>
      <w:r w:rsidRPr="005707ED">
        <w:rPr>
          <w:i/>
        </w:rPr>
        <w:t>While the half-year convention is incorporated into the Table for Year 1, the IRS cannot know when Sally may sell, so she must remember to apply the half-year convention herself in the sale year.</w:t>
      </w:r>
      <w:r>
        <w:t xml:space="preserve"> </w:t>
      </w:r>
    </w:p>
    <w:p w:rsidR="0078310B" w:rsidRDefault="0078310B" w:rsidP="0078310B">
      <w:pPr>
        <w:widowControl w:val="0"/>
        <w:spacing w:after="120"/>
        <w:ind w:firstLine="288"/>
        <w:jc w:val="both"/>
      </w:pPr>
      <w:r>
        <w:t xml:space="preserve">Her A/B for purposes of § 1001 is equal to her original $700,000 outlay reduced </w:t>
      </w:r>
      <w:r w:rsidR="00A15D45">
        <w:t xml:space="preserve">under </w:t>
      </w:r>
      <w:hyperlink r:id="rId783" w:history="1">
        <w:r w:rsidR="00A15D45" w:rsidRPr="00B35F6F">
          <w:rPr>
            <w:rStyle w:val="Hyperlink"/>
          </w:rPr>
          <w:t>§ 1016</w:t>
        </w:r>
      </w:hyperlink>
      <w:r w:rsidR="00A15D45">
        <w:t xml:space="preserve">(a)(2) </w:t>
      </w:r>
      <w:r>
        <w:t xml:space="preserve">by </w:t>
      </w:r>
      <w:r w:rsidR="00A15D45">
        <w:rPr>
          <w:i/>
        </w:rPr>
        <w:t xml:space="preserve">all </w:t>
      </w:r>
      <w:r w:rsidR="00A15D45">
        <w:t>of the deductions taken under §§ 179 and 168 ($510,000 under § 179, $95,000 under § 168(k), and $19,000 regular depreciation under § 168(a) in Year 1, $30,400 in Year 2, and $9,120 in Year 3). That is to say, Sally’s A/B at the time of sale in Year 3 is $36,48</w:t>
      </w:r>
      <w:r>
        <w:t>0</w:t>
      </w:r>
      <w:r w:rsidR="00A15D45">
        <w:t xml:space="preserve"> ($700,000 </w:t>
      </w:r>
      <w:r w:rsidR="00A15D45">
        <w:rPr>
          <w:i/>
        </w:rPr>
        <w:t>less</w:t>
      </w:r>
      <w:r w:rsidR="00B35F6F">
        <w:t xml:space="preserve"> $66</w:t>
      </w:r>
      <w:r w:rsidR="00A15D45">
        <w:t>3,520)</w:t>
      </w:r>
      <w:r>
        <w:t>. Yes, in the 20 months (plus a few days) that Sally owns th</w:t>
      </w:r>
      <w:r w:rsidR="003C1554">
        <w:t>is pr</w:t>
      </w:r>
      <w:r w:rsidR="00B35F6F">
        <w:t>operty, she deducts nearly 95</w:t>
      </w:r>
      <w:r>
        <w:t>% of its original purchase price—almost cash-flow consumption tax treatment. Thus, her</w:t>
      </w:r>
      <w:r w:rsidR="003C1554">
        <w:t xml:space="preserve"> § 1001 realized gain is $513,52</w:t>
      </w:r>
      <w:r>
        <w:t xml:space="preserve">0 ($550,000 A/R </w:t>
      </w:r>
      <w:r>
        <w:rPr>
          <w:i/>
        </w:rPr>
        <w:t>less</w:t>
      </w:r>
      <w:r w:rsidR="003C1554">
        <w:t xml:space="preserve"> $36,48</w:t>
      </w:r>
      <w:r>
        <w:t xml:space="preserve">0 A/B). Even though her depreciation deductions were excessively generous in that they allowed her to deduct much more than the property’s actual loss in FMV, the § 1016(a)(2) basis reductions ensure that gain </w:t>
      </w:r>
      <w:r w:rsidR="003C1554">
        <w:t xml:space="preserve">(equal to the excess deprecation) </w:t>
      </w:r>
      <w:r>
        <w:t xml:space="preserve">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rsidR="0078310B" w:rsidRDefault="0078310B" w:rsidP="0078310B">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770B1B">
        <w:rPr>
          <w:b/>
          <w:i/>
        </w:rPr>
        <w:t>not</w:t>
      </w:r>
      <w:r w:rsidRPr="00770B1B">
        <w:rPr>
          <w:b/>
        </w:rPr>
        <w:t xml:space="preserve"> elective.</w:t>
      </w:r>
      <w:r>
        <w:rPr>
          <w:rStyle w:val="FootnoteReference"/>
          <w:b/>
        </w:rPr>
        <w:footnoteReference w:id="431"/>
      </w:r>
      <w:r>
        <w:t xml:space="preserve"> </w:t>
      </w:r>
      <w:r w:rsidRPr="00770B1B">
        <w:rPr>
          <w:b/>
        </w:rPr>
        <w:t>T</w:t>
      </w:r>
      <w:r>
        <w:rPr>
          <w:b/>
        </w:rPr>
        <w:t>o police the mandatory nature of § 168(a) depreciation</w:t>
      </w:r>
      <w:r w:rsidRPr="00770B1B">
        <w:rPr>
          <w:b/>
        </w:rPr>
        <w:t>, § 1016(a)(2) provides that Sally</w:t>
      </w:r>
      <w:r>
        <w:rPr>
          <w:b/>
        </w:rPr>
        <w:t xml:space="preserve">’s 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in Years 1, 2, and 3 under §§ 179 and 168. If Sally had taken only the § 179 deduction ($5</w:t>
      </w:r>
      <w:r w:rsidR="009905AE">
        <w:t>1</w:t>
      </w:r>
      <w:r>
        <w:t>0,000) but had failed to deduct § 168 depreciation, her basis would neverthe</w:t>
      </w:r>
      <w:r w:rsidR="009905AE">
        <w:t>less have been reduced to $36,48</w:t>
      </w:r>
      <w:r>
        <w:t>0 for purposes of computing her § 1001 gain or loss on later sale. In this manner, Congress does not permit Sally to delay deductions if, say, she anticipates being in a much higher marginal rate bracket in the near future than in the current year so that she would save more in tax by deducting under the future higher marginal rates than she would lose because of the time value of money. In short, § 168 is mandatory.</w:t>
      </w:r>
    </w:p>
    <w:p w:rsidR="0078310B" w:rsidRPr="00A95205" w:rsidRDefault="0078310B" w:rsidP="0078310B">
      <w:pPr>
        <w:pStyle w:val="Heading3"/>
        <w:spacing w:before="0" w:beforeAutospacing="0" w:after="120" w:afterAutospacing="0"/>
        <w:rPr>
          <w:i/>
        </w:rPr>
      </w:pPr>
      <w:bookmarkStart w:id="256" w:name="_Toc395790552"/>
      <w:r w:rsidRPr="00A95205">
        <w:rPr>
          <w:i/>
        </w:rPr>
        <w:t>Real estate</w:t>
      </w:r>
      <w:bookmarkEnd w:id="256"/>
    </w:p>
    <w:p w:rsidR="0078310B" w:rsidRPr="00FE1BC8" w:rsidRDefault="0078310B" w:rsidP="0078310B">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such property is not eligible for § 168(k) bonus depreciation. Thus, only regular § 168(a) depreciation is allowable. </w:t>
      </w:r>
    </w:p>
    <w:p w:rsidR="0078310B" w:rsidRDefault="00043A82" w:rsidP="0078310B">
      <w:pPr>
        <w:widowControl w:val="0"/>
        <w:spacing w:after="120"/>
        <w:ind w:left="720" w:right="720"/>
        <w:jc w:val="both"/>
      </w:pPr>
      <w:r>
        <w:rPr>
          <w:b/>
        </w:rPr>
        <w:t>Sally purchases land and an</w:t>
      </w:r>
      <w:r w:rsidR="0078310B">
        <w:rPr>
          <w:b/>
        </w:rPr>
        <w:t xml:space="preserve"> apartment building that is rented to tenant</w:t>
      </w:r>
      <w:r w:rsidR="00794967">
        <w:rPr>
          <w:b/>
        </w:rPr>
        <w:t>s for $1</w:t>
      </w:r>
      <w:r>
        <w:rPr>
          <w:b/>
        </w:rPr>
        <w:t>.1</w:t>
      </w:r>
      <w:r w:rsidR="00794967">
        <w:rPr>
          <w:b/>
        </w:rPr>
        <w:t xml:space="preserve"> million on May 18, 2017</w:t>
      </w:r>
      <w:r>
        <w:rPr>
          <w:b/>
        </w:rPr>
        <w:t xml:space="preserve">, $100,000 of which is allocable to the land. </w:t>
      </w:r>
      <w:r w:rsidR="0078310B">
        <w:rPr>
          <w:b/>
        </w:rPr>
        <w:t>Because it is already rented to tenants, the building is placed</w:t>
      </w:r>
      <w:r w:rsidR="009A7FC2">
        <w:rPr>
          <w:b/>
        </w:rPr>
        <w:t xml:space="preserve"> into service simultaneously with </w:t>
      </w:r>
      <w:r w:rsidR="0078310B">
        <w:rPr>
          <w:b/>
        </w:rPr>
        <w:t xml:space="preserve">her purchase date. </w:t>
      </w:r>
    </w:p>
    <w:p w:rsidR="0078310B" w:rsidRDefault="0078310B" w:rsidP="0078310B">
      <w:pPr>
        <w:widowControl w:val="0"/>
        <w:spacing w:after="120"/>
        <w:ind w:firstLine="288"/>
        <w:jc w:val="both"/>
      </w:pPr>
      <w:r>
        <w:t>In Step (2), Sally can depreciate the entire $1 million basis</w:t>
      </w:r>
      <w:r w:rsidR="00043A82">
        <w:t xml:space="preserve"> allocable to the building (and none of the $100,000 allocable to the land)</w:t>
      </w:r>
      <w:r>
        <w:t xml:space="preserve">.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each year of the 27.5-year recovery period, with the exception of the first and last years. In Step (6), the mid-month convention applies to real property, rather than the mid-year convention that applies to Sally’s business equipment. Thus, Sally will be deemed to place her apartment building into service precisely in the middle of May (rather than on May 18). </w:t>
      </w:r>
    </w:p>
    <w:p w:rsidR="0078310B" w:rsidRDefault="0078310B" w:rsidP="0078310B">
      <w:pPr>
        <w:widowControl w:val="0"/>
        <w:spacing w:after="120"/>
        <w:ind w:firstLine="288"/>
        <w:jc w:val="both"/>
      </w:pPr>
      <w:r>
        <w:t>Armed with this infor</w:t>
      </w:r>
      <w:r w:rsidR="00D62B37">
        <w:t xml:space="preserve">mation, Sally finds the </w:t>
      </w:r>
      <w:r>
        <w:t xml:space="preserve">depreciation table in Rev. Proc. 87-57 </w:t>
      </w:r>
      <w:r w:rsidR="00D62B37">
        <w:t>that incorporates a 27.5-year recovery</w:t>
      </w:r>
      <w:r w:rsidR="008D32A9">
        <w:t xml:space="preserve"> period</w:t>
      </w:r>
      <w:r w:rsidR="00D62B37">
        <w:t>, straight-line depreciat</w:t>
      </w:r>
      <w:r w:rsidR="00052096">
        <w:t>ion, and a mid-month convention</w:t>
      </w:r>
      <w:r>
        <w:t>, which is reproduced below.</w:t>
      </w:r>
    </w:p>
    <w:p w:rsidR="0078310B" w:rsidRPr="007B243F" w:rsidRDefault="0078310B" w:rsidP="0078310B">
      <w:pPr>
        <w:autoSpaceDE w:val="0"/>
        <w:autoSpaceDN w:val="0"/>
        <w:adjustRightInd w:val="0"/>
        <w:spacing w:after="120"/>
        <w:jc w:val="center"/>
        <w:rPr>
          <w:rFonts w:cs="Times New Roman"/>
          <w:b/>
          <w:bCs/>
        </w:rPr>
      </w:pPr>
      <w:r w:rsidRPr="007B243F">
        <w:rPr>
          <w:rFonts w:cs="Times New Roman"/>
          <w:b/>
          <w:bCs/>
        </w:rPr>
        <w:t>Month Placed In Service</w:t>
      </w:r>
    </w:p>
    <w:p w:rsidR="0078310B" w:rsidRPr="007B243F" w:rsidRDefault="0078310B" w:rsidP="0078310B">
      <w:pPr>
        <w:autoSpaceDE w:val="0"/>
        <w:autoSpaceDN w:val="0"/>
        <w:adjustRightInd w:val="0"/>
        <w:spacing w:after="120"/>
        <w:rPr>
          <w:rFonts w:cs="Times New Roman"/>
        </w:rPr>
      </w:pPr>
      <w:r>
        <w:rPr>
          <w:rFonts w:cs="Times New Roman"/>
        </w:rPr>
        <w:t xml:space="preserve">                         </w:t>
      </w:r>
      <w:r w:rsidRPr="007B243F">
        <w:rPr>
          <w:rFonts w:cs="Times New Roman"/>
        </w:rPr>
        <w:t xml:space="preserve">1 </w:t>
      </w:r>
      <w:r>
        <w:rPr>
          <w:rFonts w:cs="Times New Roman"/>
        </w:rPr>
        <w:t xml:space="preserve">        </w:t>
      </w:r>
      <w:r w:rsidRPr="007B243F">
        <w:rPr>
          <w:rFonts w:cs="Times New Roman"/>
        </w:rPr>
        <w:t xml:space="preserve">2 </w:t>
      </w:r>
      <w:r>
        <w:rPr>
          <w:rFonts w:cs="Times New Roman"/>
        </w:rPr>
        <w:t xml:space="preserve">        </w:t>
      </w:r>
      <w:r w:rsidRPr="007B243F">
        <w:rPr>
          <w:rFonts w:cs="Times New Roman"/>
        </w:rPr>
        <w:t xml:space="preserve">3 </w:t>
      </w:r>
      <w:r>
        <w:rPr>
          <w:rFonts w:cs="Times New Roman"/>
        </w:rPr>
        <w:t xml:space="preserve">        </w:t>
      </w:r>
      <w:r w:rsidRPr="007B243F">
        <w:rPr>
          <w:rFonts w:cs="Times New Roman"/>
        </w:rPr>
        <w:t xml:space="preserve">4 </w:t>
      </w:r>
      <w:r>
        <w:rPr>
          <w:rFonts w:cs="Times New Roman"/>
        </w:rPr>
        <w:t xml:space="preserve">        </w:t>
      </w:r>
      <w:r w:rsidRPr="007B243F">
        <w:rPr>
          <w:rFonts w:cs="Times New Roman"/>
        </w:rPr>
        <w:t xml:space="preserve">5 </w:t>
      </w:r>
      <w:r>
        <w:rPr>
          <w:rFonts w:cs="Times New Roman"/>
        </w:rPr>
        <w:t xml:space="preserve">        </w:t>
      </w:r>
      <w:r w:rsidRPr="007B243F">
        <w:rPr>
          <w:rFonts w:cs="Times New Roman"/>
        </w:rPr>
        <w:t xml:space="preserve">6 </w:t>
      </w:r>
      <w:r>
        <w:rPr>
          <w:rFonts w:cs="Times New Roman"/>
        </w:rPr>
        <w:t xml:space="preserve">        </w:t>
      </w:r>
      <w:r w:rsidRPr="007B243F">
        <w:rPr>
          <w:rFonts w:cs="Times New Roman"/>
        </w:rPr>
        <w:t xml:space="preserve">7 </w:t>
      </w:r>
      <w:r>
        <w:rPr>
          <w:rFonts w:cs="Times New Roman"/>
        </w:rPr>
        <w:t xml:space="preserve">       </w:t>
      </w:r>
      <w:r w:rsidRPr="007B243F">
        <w:rPr>
          <w:rFonts w:cs="Times New Roman"/>
        </w:rPr>
        <w:t xml:space="preserve">8 </w:t>
      </w:r>
      <w:r>
        <w:rPr>
          <w:rFonts w:cs="Times New Roman"/>
        </w:rPr>
        <w:t xml:space="preserve">         </w:t>
      </w:r>
      <w:r w:rsidRPr="007B243F">
        <w:rPr>
          <w:rFonts w:cs="Times New Roman"/>
        </w:rPr>
        <w:t xml:space="preserve">9 </w:t>
      </w:r>
      <w:r>
        <w:rPr>
          <w:rFonts w:cs="Times New Roman"/>
        </w:rPr>
        <w:t xml:space="preserve">       </w:t>
      </w:r>
      <w:r w:rsidRPr="007B243F">
        <w:rPr>
          <w:rFonts w:cs="Times New Roman"/>
        </w:rPr>
        <w:t xml:space="preserve">10 </w:t>
      </w:r>
      <w:r>
        <w:rPr>
          <w:rFonts w:cs="Times New Roman"/>
        </w:rPr>
        <w:t xml:space="preserve">      </w:t>
      </w:r>
      <w:r w:rsidRPr="007B243F">
        <w:rPr>
          <w:rFonts w:cs="Times New Roman"/>
        </w:rPr>
        <w:t xml:space="preserve">11 </w:t>
      </w:r>
      <w:r>
        <w:rPr>
          <w:rFonts w:cs="Times New Roman"/>
        </w:rPr>
        <w:t xml:space="preserve">       </w:t>
      </w:r>
      <w:r w:rsidRPr="007B243F">
        <w:rPr>
          <w:rFonts w:cs="Times New Roman"/>
        </w:rPr>
        <w:t>12</w:t>
      </w:r>
    </w:p>
    <w:p w:rsidR="0078310B" w:rsidRPr="007B243F" w:rsidRDefault="0078310B" w:rsidP="0078310B">
      <w:pPr>
        <w:autoSpaceDE w:val="0"/>
        <w:autoSpaceDN w:val="0"/>
        <w:adjustRightInd w:val="0"/>
        <w:rPr>
          <w:rFonts w:cs="Times New Roman"/>
        </w:rPr>
      </w:pPr>
      <w:r>
        <w:rPr>
          <w:rFonts w:cs="Times New Roman"/>
        </w:rPr>
        <w:t>Year 1           3.485  3.182  2.879  2.576  2.273  1.970  1.667  1.364  1.061  0.758  0.455  0.152</w:t>
      </w:r>
    </w:p>
    <w:p w:rsidR="0078310B" w:rsidRPr="007B243F" w:rsidRDefault="0078310B" w:rsidP="0078310B">
      <w:pPr>
        <w:autoSpaceDE w:val="0"/>
        <w:autoSpaceDN w:val="0"/>
        <w:adjustRightInd w:val="0"/>
        <w:rPr>
          <w:rFonts w:cs="Times New Roman"/>
        </w:rPr>
      </w:pPr>
      <w:r>
        <w:rPr>
          <w:rFonts w:cs="Times New Roman"/>
        </w:rPr>
        <w:t>Years 2-9      3.636  3.636  3.636  3.636  3.636  3.636  3.636  3.636  3.636  3.636  3.636  3.636</w:t>
      </w:r>
    </w:p>
    <w:p w:rsidR="0078310B" w:rsidRDefault="0078310B" w:rsidP="0078310B">
      <w:pPr>
        <w:widowControl w:val="0"/>
        <w:jc w:val="both"/>
      </w:pPr>
      <w:r>
        <w:t xml:space="preserve">Years 10, </w:t>
      </w:r>
    </w:p>
    <w:p w:rsidR="0078310B" w:rsidRDefault="0078310B" w:rsidP="0078310B">
      <w:pPr>
        <w:widowControl w:val="0"/>
        <w:jc w:val="both"/>
      </w:pPr>
      <w:r>
        <w:t xml:space="preserve">12, 14, 16, </w:t>
      </w:r>
    </w:p>
    <w:p w:rsidR="0078310B" w:rsidRDefault="0078310B" w:rsidP="0078310B">
      <w:pPr>
        <w:widowControl w:val="0"/>
        <w:jc w:val="both"/>
      </w:pPr>
      <w:r>
        <w:t>18, 20, 22,</w:t>
      </w:r>
    </w:p>
    <w:p w:rsidR="0078310B" w:rsidRDefault="0078310B" w:rsidP="0078310B">
      <w:pPr>
        <w:widowControl w:val="0"/>
        <w:jc w:val="both"/>
      </w:pPr>
      <w:r>
        <w:t>24, 26           3.637  3.637  3.637  3.637  3.637  3.637  3.636  3.636  3.636  3.636  3.636  3.636</w:t>
      </w:r>
    </w:p>
    <w:p w:rsidR="0078310B" w:rsidRDefault="0078310B" w:rsidP="0078310B">
      <w:pPr>
        <w:widowControl w:val="0"/>
        <w:jc w:val="both"/>
      </w:pPr>
      <w:r>
        <w:t xml:space="preserve">Years 11, </w:t>
      </w:r>
    </w:p>
    <w:p w:rsidR="0078310B" w:rsidRDefault="0078310B" w:rsidP="0078310B">
      <w:pPr>
        <w:widowControl w:val="0"/>
        <w:jc w:val="both"/>
      </w:pPr>
      <w:r>
        <w:t>13, 15, 17,</w:t>
      </w:r>
    </w:p>
    <w:p w:rsidR="0078310B" w:rsidRDefault="0078310B" w:rsidP="0078310B">
      <w:pPr>
        <w:widowControl w:val="0"/>
        <w:jc w:val="both"/>
      </w:pPr>
      <w:r>
        <w:t>19, 21, 23,</w:t>
      </w:r>
    </w:p>
    <w:p w:rsidR="0078310B" w:rsidRDefault="0078310B" w:rsidP="0078310B">
      <w:pPr>
        <w:widowControl w:val="0"/>
        <w:jc w:val="both"/>
      </w:pPr>
      <w:r>
        <w:t>25, 27          3.636  3.636  3.636  3.636  3.636  3.636  3.637  3.637  3.637  3.637  3.637  3.637</w:t>
      </w:r>
    </w:p>
    <w:p w:rsidR="0078310B" w:rsidRDefault="0078310B" w:rsidP="0078310B">
      <w:pPr>
        <w:widowControl w:val="0"/>
        <w:spacing w:after="120"/>
        <w:jc w:val="both"/>
      </w:pPr>
      <w:r>
        <w:t>Year 28       1.97    2.273  2.576  2.879  3.182  3.485  3.636  3.636  3.636  3.636  3.636  3.636</w:t>
      </w:r>
    </w:p>
    <w:p w:rsidR="0078310B" w:rsidRDefault="0078310B" w:rsidP="0078310B">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(May) for each year of her recovery period. Using this table, Sally multiplies her $1 million basis by 2.273% (.02273) and deducts $22,730 in Year 1 because that is the percentage listed under “5” for the 5</w:t>
      </w:r>
      <w:r w:rsidRPr="007F0647">
        <w:rPr>
          <w:vertAlign w:val="superscript"/>
        </w:rPr>
        <w:t>th</w:t>
      </w:r>
      <w:r>
        <w:t xml:space="preserve"> month of the year (May)</w:t>
      </w:r>
      <w:r w:rsidR="00225F21">
        <w:t xml:space="preserve"> for Year 1</w:t>
      </w:r>
      <w:r>
        <w:t xml:space="preserve">. Sally then deducts $36,360 or $36,370 (because of rounding) in each of Years 2 through 27. In Year 28, she deducts $31,820 ($1 million x .03182). The amounts in Years 1 and 28 differ from the other years because of both the mid-month convention for Year 1 (which means that Sally deducts 7.5 months of depreciation in Year 1) and, in Year 28, the remaining half year in the 27.5-year recovery period, coupled with the 4.5 months of depreciation not deducted in Year 1 under the mid-month convention.  </w:t>
      </w:r>
    </w:p>
    <w:p w:rsidR="0078310B" w:rsidRDefault="0078310B" w:rsidP="0078310B">
      <w:pPr>
        <w:widowControl w:val="0"/>
        <w:spacing w:after="120"/>
        <w:ind w:firstLine="288"/>
        <w:jc w:val="both"/>
      </w:pPr>
      <w:r>
        <w:t xml:space="preserve">What if Sally spends $150,000 on a new addition, which is placed into service on August 4 of Year 5? The new addition is a nondeductible capital expenditure, creating $150,000 of new basis that Sally can depreciate. Under </w:t>
      </w:r>
      <w:hyperlink r:id="rId784"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w:t>
      </w:r>
      <w:r w:rsidR="00043A82">
        <w:t xml:space="preserve"> the original building. </w:t>
      </w:r>
      <w:r>
        <w:t>Rather, Sally starts depreciating the $150,000 of new basis over 27.5 years, using the mid-month convention and the straight-line method. Thus, Sally dedu</w:t>
      </w:r>
      <w:r w:rsidR="00043A82">
        <w:t>cts $2,046 (</w:t>
      </w:r>
      <w:r>
        <w:t>$150,000 x .01364) in Year 1, as that is the Year-1 percentage in column 8 (for the 8</w:t>
      </w:r>
      <w:r w:rsidRPr="00C272AA">
        <w:rPr>
          <w:vertAlign w:val="superscript"/>
        </w:rPr>
        <w:t>th</w:t>
      </w:r>
      <w:r>
        <w:t xml:space="preserve"> month), $5,454 ($150,000 x .03636) in Year 2, the same amount in Year 3, and so on. </w:t>
      </w:r>
    </w:p>
    <w:p w:rsidR="0078310B" w:rsidRDefault="0078310B" w:rsidP="0078310B">
      <w:pPr>
        <w:widowControl w:val="0"/>
        <w:spacing w:after="120"/>
        <w:ind w:firstLine="288"/>
        <w:jc w:val="both"/>
      </w:pPr>
      <w:r>
        <w:t>What if the property had been a factory (nonresidential real property), instead of an apartment building</w:t>
      </w:r>
      <w:r w:rsidR="00563B46">
        <w:t xml:space="preserve"> (residential rental property)</w:t>
      </w:r>
      <w:r w:rsidR="004E7127">
        <w:t xml:space="preserve">? </w:t>
      </w:r>
      <w:r w:rsidR="00563B46">
        <w:t xml:space="preserve">While Sally would still use straight-line depreciation and the mid-month convention, </w:t>
      </w:r>
      <w:hyperlink r:id="rId785" w:history="1">
        <w:r w:rsidR="004E7127" w:rsidRPr="004E7127">
          <w:rPr>
            <w:rStyle w:val="Hyperlink"/>
          </w:rPr>
          <w:t>§ 168</w:t>
        </w:r>
      </w:hyperlink>
      <w:r w:rsidR="004E7127">
        <w:t xml:space="preserve">(c) now requires Sally </w:t>
      </w:r>
      <w:r w:rsidR="00563B46">
        <w:t xml:space="preserve">to </w:t>
      </w:r>
      <w:r>
        <w:t>depreciate the factor</w:t>
      </w:r>
      <w:r w:rsidR="00563B46">
        <w:t xml:space="preserve">y </w:t>
      </w:r>
      <w:r>
        <w:t>over 39 years instead of over 27.5 years</w:t>
      </w:r>
      <w:r w:rsidR="00563B46">
        <w:t xml:space="preserve">. She finds the depreciation table that incorporates this longer recovery period, which is </w:t>
      </w:r>
      <w:r>
        <w:t>reproduced below.</w:t>
      </w:r>
    </w:p>
    <w:p w:rsidR="0078310B" w:rsidRPr="007B243F" w:rsidRDefault="0078310B" w:rsidP="0078310B">
      <w:pPr>
        <w:autoSpaceDE w:val="0"/>
        <w:autoSpaceDN w:val="0"/>
        <w:adjustRightInd w:val="0"/>
        <w:spacing w:after="120"/>
        <w:jc w:val="center"/>
        <w:rPr>
          <w:rFonts w:cs="Times New Roman"/>
          <w:b/>
          <w:bCs/>
        </w:rPr>
      </w:pPr>
      <w:r w:rsidRPr="007B243F">
        <w:rPr>
          <w:rFonts w:cs="Times New Roman"/>
          <w:b/>
          <w:bCs/>
        </w:rPr>
        <w:t>Month Placed In Service</w:t>
      </w:r>
    </w:p>
    <w:p w:rsidR="0078310B" w:rsidRPr="007B243F" w:rsidRDefault="0078310B" w:rsidP="0078310B">
      <w:pPr>
        <w:autoSpaceDE w:val="0"/>
        <w:autoSpaceDN w:val="0"/>
        <w:adjustRightInd w:val="0"/>
        <w:spacing w:after="120"/>
        <w:rPr>
          <w:rFonts w:cs="Times New Roman"/>
        </w:rPr>
      </w:pPr>
      <w:r>
        <w:rPr>
          <w:rFonts w:cs="Times New Roman"/>
        </w:rPr>
        <w:t xml:space="preserve">                         </w:t>
      </w:r>
      <w:r w:rsidRPr="007B243F">
        <w:rPr>
          <w:rFonts w:cs="Times New Roman"/>
        </w:rPr>
        <w:t xml:space="preserve">1 </w:t>
      </w:r>
      <w:r>
        <w:rPr>
          <w:rFonts w:cs="Times New Roman"/>
        </w:rPr>
        <w:t xml:space="preserve">        </w:t>
      </w:r>
      <w:r w:rsidRPr="007B243F">
        <w:rPr>
          <w:rFonts w:cs="Times New Roman"/>
        </w:rPr>
        <w:t xml:space="preserve">2 </w:t>
      </w:r>
      <w:r>
        <w:rPr>
          <w:rFonts w:cs="Times New Roman"/>
        </w:rPr>
        <w:t xml:space="preserve">        </w:t>
      </w:r>
      <w:r w:rsidRPr="007B243F">
        <w:rPr>
          <w:rFonts w:cs="Times New Roman"/>
        </w:rPr>
        <w:t xml:space="preserve">3 </w:t>
      </w:r>
      <w:r>
        <w:rPr>
          <w:rFonts w:cs="Times New Roman"/>
        </w:rPr>
        <w:t xml:space="preserve">        </w:t>
      </w:r>
      <w:r w:rsidRPr="007B243F">
        <w:rPr>
          <w:rFonts w:cs="Times New Roman"/>
        </w:rPr>
        <w:t xml:space="preserve">4 </w:t>
      </w:r>
      <w:r>
        <w:rPr>
          <w:rFonts w:cs="Times New Roman"/>
        </w:rPr>
        <w:t xml:space="preserve">        </w:t>
      </w:r>
      <w:r w:rsidRPr="007B243F">
        <w:rPr>
          <w:rFonts w:cs="Times New Roman"/>
        </w:rPr>
        <w:t xml:space="preserve">5 </w:t>
      </w:r>
      <w:r>
        <w:rPr>
          <w:rFonts w:cs="Times New Roman"/>
        </w:rPr>
        <w:t xml:space="preserve">        </w:t>
      </w:r>
      <w:r w:rsidRPr="007B243F">
        <w:rPr>
          <w:rFonts w:cs="Times New Roman"/>
        </w:rPr>
        <w:t xml:space="preserve">6 </w:t>
      </w:r>
      <w:r>
        <w:rPr>
          <w:rFonts w:cs="Times New Roman"/>
        </w:rPr>
        <w:t xml:space="preserve">        </w:t>
      </w:r>
      <w:r w:rsidRPr="007B243F">
        <w:rPr>
          <w:rFonts w:cs="Times New Roman"/>
        </w:rPr>
        <w:t xml:space="preserve">7 </w:t>
      </w:r>
      <w:r>
        <w:rPr>
          <w:rFonts w:cs="Times New Roman"/>
        </w:rPr>
        <w:t xml:space="preserve">       </w:t>
      </w:r>
      <w:r w:rsidRPr="007B243F">
        <w:rPr>
          <w:rFonts w:cs="Times New Roman"/>
        </w:rPr>
        <w:t xml:space="preserve">8 </w:t>
      </w:r>
      <w:r>
        <w:rPr>
          <w:rFonts w:cs="Times New Roman"/>
        </w:rPr>
        <w:t xml:space="preserve">         </w:t>
      </w:r>
      <w:r w:rsidRPr="007B243F">
        <w:rPr>
          <w:rFonts w:cs="Times New Roman"/>
        </w:rPr>
        <w:t xml:space="preserve">9 </w:t>
      </w:r>
      <w:r>
        <w:rPr>
          <w:rFonts w:cs="Times New Roman"/>
        </w:rPr>
        <w:t xml:space="preserve">       </w:t>
      </w:r>
      <w:r w:rsidRPr="007B243F">
        <w:rPr>
          <w:rFonts w:cs="Times New Roman"/>
        </w:rPr>
        <w:t xml:space="preserve">10 </w:t>
      </w:r>
      <w:r>
        <w:rPr>
          <w:rFonts w:cs="Times New Roman"/>
        </w:rPr>
        <w:t xml:space="preserve">      </w:t>
      </w:r>
      <w:r w:rsidRPr="007B243F">
        <w:rPr>
          <w:rFonts w:cs="Times New Roman"/>
        </w:rPr>
        <w:t xml:space="preserve">11 </w:t>
      </w:r>
      <w:r>
        <w:rPr>
          <w:rFonts w:cs="Times New Roman"/>
        </w:rPr>
        <w:t xml:space="preserve">       </w:t>
      </w:r>
      <w:r w:rsidRPr="007B243F">
        <w:rPr>
          <w:rFonts w:cs="Times New Roman"/>
        </w:rPr>
        <w:t>12</w:t>
      </w:r>
    </w:p>
    <w:p w:rsidR="0078310B" w:rsidRPr="007B243F" w:rsidRDefault="0078310B" w:rsidP="0078310B">
      <w:pPr>
        <w:autoSpaceDE w:val="0"/>
        <w:autoSpaceDN w:val="0"/>
        <w:adjustRightInd w:val="0"/>
        <w:rPr>
          <w:rFonts w:cs="Times New Roman"/>
        </w:rPr>
      </w:pPr>
      <w:r>
        <w:rPr>
          <w:rFonts w:cs="Times New Roman"/>
        </w:rPr>
        <w:t xml:space="preserve">Year 1           </w:t>
      </w:r>
      <w:r w:rsidRPr="007B243F">
        <w:rPr>
          <w:rFonts w:cs="Times New Roman"/>
        </w:rPr>
        <w:t xml:space="preserve">2.461 </w:t>
      </w:r>
      <w:r>
        <w:rPr>
          <w:rFonts w:cs="Times New Roman"/>
        </w:rPr>
        <w:t xml:space="preserve"> </w:t>
      </w:r>
      <w:r w:rsidRPr="007B243F">
        <w:rPr>
          <w:rFonts w:cs="Times New Roman"/>
        </w:rPr>
        <w:t xml:space="preserve">2.247 </w:t>
      </w:r>
      <w:r>
        <w:rPr>
          <w:rFonts w:cs="Times New Roman"/>
        </w:rPr>
        <w:t xml:space="preserve"> </w:t>
      </w:r>
      <w:r w:rsidRPr="007B243F">
        <w:rPr>
          <w:rFonts w:cs="Times New Roman"/>
        </w:rPr>
        <w:t xml:space="preserve">2.033 </w:t>
      </w:r>
      <w:r>
        <w:rPr>
          <w:rFonts w:cs="Times New Roman"/>
        </w:rPr>
        <w:t xml:space="preserve"> </w:t>
      </w:r>
      <w:r w:rsidRPr="007B243F">
        <w:rPr>
          <w:rFonts w:cs="Times New Roman"/>
        </w:rPr>
        <w:t xml:space="preserve">1.819 </w:t>
      </w:r>
      <w:r>
        <w:rPr>
          <w:rFonts w:cs="Times New Roman"/>
        </w:rPr>
        <w:t xml:space="preserve"> </w:t>
      </w:r>
      <w:r w:rsidRPr="007B243F">
        <w:rPr>
          <w:rFonts w:cs="Times New Roman"/>
        </w:rPr>
        <w:t xml:space="preserve">1.605 </w:t>
      </w:r>
      <w:r>
        <w:rPr>
          <w:rFonts w:cs="Times New Roman"/>
        </w:rPr>
        <w:t xml:space="preserve"> </w:t>
      </w:r>
      <w:r w:rsidRPr="007B243F">
        <w:rPr>
          <w:rFonts w:cs="Times New Roman"/>
        </w:rPr>
        <w:t xml:space="preserve">1.391 </w:t>
      </w:r>
      <w:r>
        <w:rPr>
          <w:rFonts w:cs="Times New Roman"/>
        </w:rPr>
        <w:t xml:space="preserve"> </w:t>
      </w:r>
      <w:r w:rsidRPr="007B243F">
        <w:rPr>
          <w:rFonts w:cs="Times New Roman"/>
        </w:rPr>
        <w:t>1.177</w:t>
      </w:r>
      <w:r>
        <w:rPr>
          <w:rFonts w:cs="Times New Roman"/>
        </w:rPr>
        <w:t xml:space="preserve">  </w:t>
      </w:r>
      <w:r w:rsidRPr="007B243F">
        <w:rPr>
          <w:rFonts w:cs="Times New Roman"/>
        </w:rPr>
        <w:t>0.963</w:t>
      </w:r>
      <w:r>
        <w:rPr>
          <w:rFonts w:cs="Times New Roman"/>
        </w:rPr>
        <w:t xml:space="preserve">  </w:t>
      </w:r>
      <w:r w:rsidRPr="007B243F">
        <w:rPr>
          <w:rFonts w:cs="Times New Roman"/>
        </w:rPr>
        <w:t>0.749</w:t>
      </w:r>
      <w:r>
        <w:rPr>
          <w:rFonts w:cs="Times New Roman"/>
        </w:rPr>
        <w:t xml:space="preserve">  </w:t>
      </w:r>
      <w:r w:rsidRPr="007B243F">
        <w:rPr>
          <w:rFonts w:cs="Times New Roman"/>
        </w:rPr>
        <w:t xml:space="preserve">0.535 </w:t>
      </w:r>
      <w:r>
        <w:rPr>
          <w:rFonts w:cs="Times New Roman"/>
        </w:rPr>
        <w:t xml:space="preserve"> </w:t>
      </w:r>
      <w:r w:rsidRPr="007B243F">
        <w:rPr>
          <w:rFonts w:cs="Times New Roman"/>
        </w:rPr>
        <w:t xml:space="preserve">0.321 </w:t>
      </w:r>
      <w:r>
        <w:rPr>
          <w:rFonts w:cs="Times New Roman"/>
        </w:rPr>
        <w:t xml:space="preserve"> </w:t>
      </w:r>
      <w:r w:rsidRPr="007B243F">
        <w:rPr>
          <w:rFonts w:cs="Times New Roman"/>
        </w:rPr>
        <w:t>0.107</w:t>
      </w:r>
    </w:p>
    <w:p w:rsidR="0078310B" w:rsidRPr="007B243F" w:rsidRDefault="0078310B" w:rsidP="0078310B">
      <w:pPr>
        <w:autoSpaceDE w:val="0"/>
        <w:autoSpaceDN w:val="0"/>
        <w:adjustRightInd w:val="0"/>
        <w:rPr>
          <w:rFonts w:cs="Times New Roman"/>
        </w:rPr>
      </w:pPr>
      <w:r>
        <w:rPr>
          <w:rFonts w:cs="Times New Roman"/>
        </w:rPr>
        <w:t xml:space="preserve">Years 2-39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 xml:space="preserve">2.564 </w:t>
      </w:r>
      <w:r>
        <w:rPr>
          <w:rFonts w:cs="Times New Roman"/>
        </w:rPr>
        <w:t xml:space="preserve"> </w:t>
      </w:r>
      <w:r w:rsidRPr="007B243F">
        <w:rPr>
          <w:rFonts w:cs="Times New Roman"/>
        </w:rPr>
        <w:t>2.564</w:t>
      </w:r>
    </w:p>
    <w:p w:rsidR="0078310B" w:rsidRPr="007B243F" w:rsidRDefault="0078310B" w:rsidP="0078310B">
      <w:pPr>
        <w:spacing w:after="120"/>
        <w:rPr>
          <w:rFonts w:cs="Times New Roman"/>
        </w:rPr>
      </w:pPr>
      <w:r>
        <w:rPr>
          <w:rFonts w:cs="Times New Roman"/>
        </w:rPr>
        <w:t xml:space="preserve">Year 40         </w:t>
      </w:r>
      <w:r w:rsidRPr="007B243F">
        <w:rPr>
          <w:rFonts w:cs="Times New Roman"/>
        </w:rPr>
        <w:t xml:space="preserve">0.107 </w:t>
      </w:r>
      <w:r>
        <w:rPr>
          <w:rFonts w:cs="Times New Roman"/>
        </w:rPr>
        <w:t xml:space="preserve"> </w:t>
      </w:r>
      <w:r w:rsidRPr="007B243F">
        <w:rPr>
          <w:rFonts w:cs="Times New Roman"/>
        </w:rPr>
        <w:t xml:space="preserve">0.321 </w:t>
      </w:r>
      <w:r>
        <w:rPr>
          <w:rFonts w:cs="Times New Roman"/>
        </w:rPr>
        <w:t xml:space="preserve"> </w:t>
      </w:r>
      <w:r w:rsidRPr="007B243F">
        <w:rPr>
          <w:rFonts w:cs="Times New Roman"/>
        </w:rPr>
        <w:t xml:space="preserve">0.535 </w:t>
      </w:r>
      <w:r>
        <w:rPr>
          <w:rFonts w:cs="Times New Roman"/>
        </w:rPr>
        <w:t xml:space="preserve"> </w:t>
      </w:r>
      <w:r w:rsidRPr="007B243F">
        <w:rPr>
          <w:rFonts w:cs="Times New Roman"/>
        </w:rPr>
        <w:t xml:space="preserve">0.749 </w:t>
      </w:r>
      <w:r>
        <w:rPr>
          <w:rFonts w:cs="Times New Roman"/>
        </w:rPr>
        <w:t xml:space="preserve"> </w:t>
      </w:r>
      <w:r w:rsidRPr="007B243F">
        <w:rPr>
          <w:rFonts w:cs="Times New Roman"/>
        </w:rPr>
        <w:t xml:space="preserve">0.963 </w:t>
      </w:r>
      <w:r>
        <w:rPr>
          <w:rFonts w:cs="Times New Roman"/>
        </w:rPr>
        <w:t xml:space="preserve"> </w:t>
      </w:r>
      <w:r w:rsidRPr="007B243F">
        <w:rPr>
          <w:rFonts w:cs="Times New Roman"/>
        </w:rPr>
        <w:t xml:space="preserve">1.177 </w:t>
      </w:r>
      <w:r>
        <w:rPr>
          <w:rFonts w:cs="Times New Roman"/>
        </w:rPr>
        <w:t xml:space="preserve"> </w:t>
      </w:r>
      <w:r w:rsidRPr="007B243F">
        <w:rPr>
          <w:rFonts w:cs="Times New Roman"/>
        </w:rPr>
        <w:t xml:space="preserve">1.391 </w:t>
      </w:r>
      <w:r>
        <w:rPr>
          <w:rFonts w:cs="Times New Roman"/>
        </w:rPr>
        <w:t xml:space="preserve"> </w:t>
      </w:r>
      <w:r w:rsidRPr="007B243F">
        <w:rPr>
          <w:rFonts w:cs="Times New Roman"/>
        </w:rPr>
        <w:t xml:space="preserve">1.605 </w:t>
      </w:r>
      <w:r>
        <w:rPr>
          <w:rFonts w:cs="Times New Roman"/>
        </w:rPr>
        <w:t xml:space="preserve"> </w:t>
      </w:r>
      <w:r w:rsidRPr="007B243F">
        <w:rPr>
          <w:rFonts w:cs="Times New Roman"/>
        </w:rPr>
        <w:t xml:space="preserve">1.819 </w:t>
      </w:r>
      <w:r>
        <w:rPr>
          <w:rFonts w:cs="Times New Roman"/>
        </w:rPr>
        <w:t xml:space="preserve"> </w:t>
      </w:r>
      <w:r w:rsidRPr="007B243F">
        <w:rPr>
          <w:rFonts w:cs="Times New Roman"/>
        </w:rPr>
        <w:t xml:space="preserve">2.033 </w:t>
      </w:r>
      <w:r>
        <w:rPr>
          <w:rFonts w:cs="Times New Roman"/>
        </w:rPr>
        <w:t xml:space="preserve"> </w:t>
      </w:r>
      <w:r w:rsidRPr="007B243F">
        <w:rPr>
          <w:rFonts w:cs="Times New Roman"/>
        </w:rPr>
        <w:t xml:space="preserve">2.247 </w:t>
      </w:r>
      <w:r>
        <w:rPr>
          <w:rFonts w:cs="Times New Roman"/>
        </w:rPr>
        <w:t xml:space="preserve"> </w:t>
      </w:r>
      <w:r w:rsidRPr="007B243F">
        <w:rPr>
          <w:rFonts w:cs="Times New Roman"/>
        </w:rPr>
        <w:t>2.461</w:t>
      </w:r>
    </w:p>
    <w:p w:rsidR="0078310B" w:rsidRDefault="0078310B" w:rsidP="0078310B">
      <w:pPr>
        <w:widowControl w:val="0"/>
        <w:spacing w:after="120"/>
        <w:ind w:firstLine="288"/>
        <w:jc w:val="both"/>
      </w:pPr>
      <w:r>
        <w:t xml:space="preserve">Prior to 1986, even real estate was depreciable using the declining balance method. One of the revenue-raising measures imposed in 1986 to pay for marginal rate reductions was 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rsidR="0078310B" w:rsidRPr="00A95205" w:rsidRDefault="0078310B" w:rsidP="0078310B">
      <w:pPr>
        <w:pStyle w:val="Heading3"/>
        <w:spacing w:before="0" w:beforeAutospacing="0" w:after="120" w:afterAutospacing="0"/>
        <w:rPr>
          <w:i/>
        </w:rPr>
      </w:pPr>
      <w:bookmarkStart w:id="257" w:name="_Toc395790553"/>
      <w:r w:rsidRPr="00A95205">
        <w:rPr>
          <w:i/>
        </w:rPr>
        <w:t>§ 280F limitations</w:t>
      </w:r>
      <w:bookmarkEnd w:id="257"/>
    </w:p>
    <w:p w:rsidR="0078310B" w:rsidRDefault="0078310B" w:rsidP="0078310B">
      <w:pPr>
        <w:widowControl w:val="0"/>
        <w:spacing w:after="120"/>
        <w:ind w:firstLine="288"/>
        <w:jc w:val="both"/>
        <w:rPr>
          <w:rFonts w:cs="Times New Roman"/>
        </w:rPr>
      </w:pPr>
      <w:r>
        <w:t xml:space="preserve">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business equipment on the taxpayers’ dime and that deficits were increasing, Congress enacted </w:t>
      </w:r>
      <w:hyperlink r:id="rId786" w:history="1">
        <w:r w:rsidRPr="00D57002">
          <w:rPr>
            <w:rStyle w:val="Hyperlink"/>
          </w:rPr>
          <w:t>§ 280F</w:t>
        </w:r>
      </w:hyperlink>
      <w:r>
        <w:t xml:space="preserve"> in The Deficit Reduction Act of 1984 to limit the use of §§ 179 and 168 in the case of luxury automobiles. Here is an excerpt from the legisl</w:t>
      </w:r>
      <w:r w:rsidRPr="007036F4">
        <w:rPr>
          <w:rFonts w:cs="Times New Roman"/>
        </w:rPr>
        <w:t>ative history.</w:t>
      </w:r>
    </w:p>
    <w:p w:rsidR="0078310B" w:rsidRDefault="0078310B" w:rsidP="00A428BF">
      <w:pPr>
        <w:widowControl w:val="0"/>
        <w:autoSpaceDE w:val="0"/>
        <w:autoSpaceDN w:val="0"/>
        <w:adjustRightInd w:val="0"/>
        <w:spacing w:after="120"/>
        <w:ind w:left="720" w:right="720" w:firstLine="288"/>
        <w:jc w:val="both"/>
        <w:rPr>
          <w:rFonts w:cs="Times New Roman"/>
        </w:rPr>
      </w:pPr>
      <w:r w:rsidRPr="007036F4">
        <w:rPr>
          <w:rFonts w:cs="Times New Roman"/>
        </w:rPr>
        <w:t xml:space="preserve">Congress believed that the investment incentives afforded by </w:t>
      </w:r>
      <w:r>
        <w:rPr>
          <w:rFonts w:cs="Times New Roman"/>
        </w:rPr>
        <w:t xml:space="preserve">… </w:t>
      </w:r>
      <w:r w:rsidRPr="007036F4">
        <w:rPr>
          <w:rFonts w:cs="Times New Roman"/>
        </w:rPr>
        <w:t>accelerated cost recovery should be directed</w:t>
      </w:r>
      <w:r>
        <w:rPr>
          <w:rFonts w:cs="Times New Roman"/>
        </w:rPr>
        <w:t xml:space="preserve"> </w:t>
      </w:r>
      <w:r w:rsidRPr="007036F4">
        <w:rPr>
          <w:rFonts w:cs="Times New Roman"/>
        </w:rPr>
        <w:t>to encourage capital formation, rather than to subsidize the</w:t>
      </w:r>
      <w:r>
        <w:rPr>
          <w:rFonts w:cs="Times New Roman"/>
        </w:rPr>
        <w:t xml:space="preserve"> </w:t>
      </w:r>
      <w:r w:rsidRPr="007036F4">
        <w:rPr>
          <w:rFonts w:cs="Times New Roman"/>
        </w:rPr>
        <w:t>element of personal consumption associated with the use of very</w:t>
      </w:r>
      <w:r>
        <w:rPr>
          <w:rFonts w:cs="Times New Roman"/>
        </w:rPr>
        <w:t xml:space="preserve"> </w:t>
      </w:r>
      <w:r w:rsidRPr="007036F4">
        <w:rPr>
          <w:rFonts w:cs="Times New Roman"/>
        </w:rPr>
        <w:t>expensive automobiles. The transportation necessary for conducting</w:t>
      </w:r>
      <w:r>
        <w:rPr>
          <w:rFonts w:cs="Times New Roman"/>
        </w:rPr>
        <w:t xml:space="preserve"> </w:t>
      </w:r>
      <w:r w:rsidRPr="007036F4">
        <w:rPr>
          <w:rFonts w:cs="Times New Roman"/>
        </w:rPr>
        <w:t>a business can be obtained from a luxury car or another car. To</w:t>
      </w:r>
      <w:r>
        <w:rPr>
          <w:rFonts w:cs="Times New Roman"/>
        </w:rPr>
        <w:t xml:space="preserve"> </w:t>
      </w:r>
      <w:r w:rsidRPr="007036F4">
        <w:rPr>
          <w:rFonts w:cs="Times New Roman"/>
        </w:rPr>
        <w:t>the extent an automobile is required for this necessary transportation,</w:t>
      </w:r>
      <w:r>
        <w:rPr>
          <w:rFonts w:cs="Times New Roman"/>
        </w:rPr>
        <w:t xml:space="preserve"> </w:t>
      </w:r>
      <w:r w:rsidRPr="007036F4">
        <w:rPr>
          <w:rFonts w:cs="Times New Roman"/>
        </w:rPr>
        <w:t>the generally allowable tax benefits should be available.</w:t>
      </w:r>
      <w:r>
        <w:rPr>
          <w:rFonts w:cs="Times New Roman"/>
        </w:rPr>
        <w:t xml:space="preserve"> </w:t>
      </w:r>
      <w:r w:rsidRPr="007036F4">
        <w:rPr>
          <w:rFonts w:cs="Times New Roman"/>
        </w:rPr>
        <w:t>Beyond that point, however, the extra expense of a luxury automobile</w:t>
      </w:r>
      <w:r>
        <w:rPr>
          <w:rFonts w:cs="Times New Roman"/>
        </w:rPr>
        <w:t xml:space="preserve"> </w:t>
      </w:r>
      <w:r w:rsidRPr="007036F4">
        <w:rPr>
          <w:rFonts w:cs="Times New Roman"/>
        </w:rPr>
        <w:t>provides, in effect, a tax-free personal emolument which Congress</w:t>
      </w:r>
      <w:r>
        <w:rPr>
          <w:rFonts w:cs="Times New Roman"/>
        </w:rPr>
        <w:t xml:space="preserve"> </w:t>
      </w:r>
      <w:r w:rsidRPr="007036F4">
        <w:rPr>
          <w:rFonts w:cs="Times New Roman"/>
        </w:rPr>
        <w:t xml:space="preserve">believed should not qualify </w:t>
      </w:r>
      <w:r>
        <w:rPr>
          <w:rFonts w:cs="Times New Roman"/>
        </w:rPr>
        <w:t xml:space="preserve">for … </w:t>
      </w:r>
      <w:r w:rsidRPr="007036F4">
        <w:rPr>
          <w:rFonts w:cs="Times New Roman"/>
        </w:rPr>
        <w:t>acceleration of</w:t>
      </w:r>
      <w:r>
        <w:rPr>
          <w:rFonts w:cs="Times New Roman"/>
        </w:rPr>
        <w:t xml:space="preserve"> </w:t>
      </w:r>
      <w:r w:rsidRPr="007036F4">
        <w:rPr>
          <w:rFonts w:cs="Times New Roman"/>
        </w:rPr>
        <w:t>depreciation deductions because such expenditures do not add significantly</w:t>
      </w:r>
      <w:r>
        <w:rPr>
          <w:rFonts w:cs="Times New Roman"/>
        </w:rPr>
        <w:t xml:space="preserve"> </w:t>
      </w:r>
      <w:r w:rsidRPr="007036F4">
        <w:rPr>
          <w:rFonts w:cs="Times New Roman"/>
        </w:rPr>
        <w:t>to the productivity which these incentives were designed</w:t>
      </w:r>
      <w:r>
        <w:rPr>
          <w:rFonts w:cs="Times New Roman"/>
        </w:rPr>
        <w:t xml:space="preserve"> </w:t>
      </w:r>
      <w:r w:rsidRPr="007036F4">
        <w:rPr>
          <w:rFonts w:cs="Times New Roman"/>
        </w:rPr>
        <w:t>to encourage.</w:t>
      </w:r>
      <w:r>
        <w:rPr>
          <w:rStyle w:val="FootnoteReference"/>
          <w:rFonts w:cs="Times New Roman"/>
        </w:rPr>
        <w:footnoteReference w:id="432"/>
      </w:r>
    </w:p>
    <w:p w:rsidR="0078310B" w:rsidRDefault="0078310B" w:rsidP="0078310B">
      <w:pPr>
        <w:widowControl w:val="0"/>
        <w:spacing w:after="120"/>
        <w:ind w:firstLine="288"/>
        <w:jc w:val="both"/>
      </w:pPr>
      <w:r>
        <w:t>Although § 280F uses the words “luxury automobiles” in its title, note that the operative statutory language in § 280F(a) refers only to “passenger automobiles.” Nevertheless, at the time it effectively applied mainly to luxury cars because of the numbers involved. The 1984 version of § 280F limited the amount that could be deducted in Year 1 under both §§ 179 and 168 to $4,000, with no more than $6,000 deducted in subsequent years. The average price of a new car in 1984 was $6,294.</w:t>
      </w:r>
      <w:r>
        <w:rPr>
          <w:rStyle w:val="FootnoteReference"/>
        </w:rPr>
        <w:footnoteReference w:id="433"/>
      </w:r>
      <w:r>
        <w:t xml:space="preserve"> Thus, the new provision effectively applied mainly to luxury automobiles as a matter of course. </w:t>
      </w:r>
    </w:p>
    <w:p w:rsidR="0078310B" w:rsidRDefault="0078310B" w:rsidP="0078310B">
      <w:pPr>
        <w:widowControl w:val="0"/>
        <w:spacing w:after="120"/>
        <w:ind w:firstLine="288"/>
        <w:jc w:val="both"/>
      </w:pPr>
      <w:r>
        <w:t>The amounts allowable in each year were reduced in subsequent amendments. Today, the maximum amount of §§ 179 and 168 deductions allowed under § 280F(a)(1)(A) appears to be $2,560 in Year 1, $4,100 in Year 2, $2,450 in Year 3, and $1,475 in each year thereafter, but these figures have been increased by inflation adjustments under § 280F(d</w:t>
      </w:r>
      <w:r w:rsidR="00794967">
        <w:t>)(7) for several years. For 2016</w:t>
      </w:r>
      <w:r>
        <w:t xml:space="preserve"> (the last year for which figures are available as this textbook goes to press)</w:t>
      </w:r>
      <w:r w:rsidRPr="00592FE6">
        <w:t xml:space="preserve">, </w:t>
      </w:r>
      <w:r>
        <w:t>the applicable limits for passenger automobiles are: $3,160 in Year 1</w:t>
      </w:r>
      <w:r w:rsidR="00794967">
        <w:t xml:space="preserve"> (increased to $11,160 if § 168(k) bonus depreciation is taken)</w:t>
      </w:r>
      <w:r>
        <w:t>, $5,100 in Year 2, $3,050 in Year 3, and</w:t>
      </w:r>
      <w:r w:rsidR="00794967">
        <w:t xml:space="preserve"> $1,875 in each year thereafter if § 168.</w:t>
      </w:r>
      <w:r>
        <w:rPr>
          <w:rStyle w:val="FootnoteReference"/>
        </w:rPr>
        <w:footnoteReference w:id="434"/>
      </w:r>
      <w:r>
        <w:t xml:space="preserve"> The increase under § 168(k) will decrease as § 168(k) phases out. In 2018, the increase to Year-1 depreciation under § 280F because of § 168(k) will be $6,400 (instead of $8,000), and the increase will be $4,800 in 2019. </w:t>
      </w:r>
    </w:p>
    <w:p w:rsidR="0078310B" w:rsidRDefault="008D6404" w:rsidP="0078310B">
      <w:pPr>
        <w:widowControl w:val="0"/>
        <w:spacing w:after="120"/>
        <w:ind w:firstLine="288"/>
        <w:jc w:val="both"/>
      </w:pPr>
      <w:r>
        <w:t>A</w:t>
      </w:r>
      <w:r w:rsidR="0078310B">
        <w:t>bsent § 280F, Mary’s purchase of a passenger automobile (weighing less than 6,00</w:t>
      </w:r>
      <w:r>
        <w:t>0 pounds) for $30,000 in 2017</w:t>
      </w:r>
      <w:r w:rsidR="0078310B">
        <w:t>, which she uses exclusively in her business (keeping very good records establishing her exclusive business use), would result in a deduction of either the entire $30,000 as an “expense” unde</w:t>
      </w:r>
      <w:r>
        <w:t>r § 179 or, if Mary’s other 2017</w:t>
      </w:r>
      <w:r w:rsidR="0078310B">
        <w:t xml:space="preserve"> purchases of equipment phases her out of § 179, a deduction of $18,000 under § 168: 50% of her $30,000 basis under § 168(k) and 20% of her remaining $15,000 basis ($3,000) because automobiles have a class life and recovery period of 5 years under §§ 168(e)(3)(B)(i) and (c). Because § 280F applies to her passenger car, however, she can ded</w:t>
      </w:r>
      <w:r>
        <w:t>uct no more than $11,160 in 2017 (if the 2017 figures are unchanged from 2016)</w:t>
      </w:r>
      <w:r w:rsidR="0078310B">
        <w:t>.</w:t>
      </w:r>
    </w:p>
    <w:p w:rsidR="0078310B" w:rsidRPr="00176A5C" w:rsidRDefault="0078310B" w:rsidP="0078310B">
      <w:pPr>
        <w:widowControl w:val="0"/>
        <w:spacing w:after="120"/>
        <w:ind w:firstLine="288"/>
        <w:jc w:val="both"/>
      </w:pPr>
      <w:r>
        <w:t>In addition, personal use of Mary’s car results in a proportionate reduction of the amount allowable each year. If Mary uses the car for business purposes 60% of the time and for personal purposes 40% of the time, sh</w:t>
      </w:r>
      <w:r w:rsidR="008D6404">
        <w:t>e can deduct only $6,696 in 2017</w:t>
      </w:r>
      <w:r>
        <w:t xml:space="preserve"> ($11,160 x .60).</w:t>
      </w:r>
      <w:r>
        <w:rPr>
          <w:rStyle w:val="FootnoteReference"/>
        </w:rPr>
        <w:footnoteReference w:id="435"/>
      </w:r>
      <w:r>
        <w:t xml:space="preserve"> If her business use falls below 50%, she is subject to additional restrictions.</w:t>
      </w:r>
      <w:r>
        <w:rPr>
          <w:rStyle w:val="FootnoteReference"/>
        </w:rPr>
        <w:footnoteReference w:id="436"/>
      </w:r>
      <w:r>
        <w:t xml:space="preserve"> </w:t>
      </w:r>
    </w:p>
    <w:p w:rsidR="0078310B" w:rsidRDefault="0078310B" w:rsidP="0078310B">
      <w:pPr>
        <w:widowControl w:val="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Thus, it defined “passenger automobile” to exclude vehicles rated at more than “6,000 pounds unloaded gross vehicle weight.”</w:t>
      </w:r>
      <w:r>
        <w:rPr>
          <w:rStyle w:val="FootnoteReference"/>
        </w:rPr>
        <w:footnoteReference w:id="437"/>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a hybrid for business use are subject to the § 280F limits, whereas individuals who purchase an SUV for business use are subsidized with taxpayer dollars, so long as the SUV weighs enough. The industry heavily advertises this loophole, maintaining lists of SUVs that exceed the 6,000 pound threshold.</w:t>
      </w:r>
      <w:r>
        <w:rPr>
          <w:rStyle w:val="FootnoteReference"/>
        </w:rPr>
        <w:footnoteReference w:id="438"/>
      </w:r>
      <w:r>
        <w:t xml:space="preserve"> While bills are routinely introduced to overturn the SUV loophole in § 280F, none have been enacted, though </w:t>
      </w:r>
      <w:hyperlink r:id="rId787" w:history="1">
        <w:r w:rsidRPr="00D57002">
          <w:rPr>
            <w:rStyle w:val="Hyperlink"/>
          </w:rPr>
          <w:t>§ 179</w:t>
        </w:r>
      </w:hyperlink>
      <w:r>
        <w:t xml:space="preserve">(b)(5) was enacted in 2004 to limit the § 179 deduction (for those eligible to take it) to $25,000 for SUVs not exceeding 14,000 pounds gross weight. </w:t>
      </w:r>
    </w:p>
    <w:p w:rsidR="0078310B" w:rsidRPr="004141F4" w:rsidRDefault="0078310B" w:rsidP="0078310B">
      <w:pPr>
        <w:widowControl w:val="0"/>
        <w:ind w:firstLine="288"/>
        <w:jc w:val="both"/>
      </w:pPr>
    </w:p>
    <w:p w:rsidR="0078310B" w:rsidRPr="00B1528B" w:rsidRDefault="0078310B" w:rsidP="0078310B">
      <w:pPr>
        <w:pStyle w:val="Heading2"/>
        <w:spacing w:before="0"/>
        <w:rPr>
          <w:sz w:val="32"/>
          <w:szCs w:val="32"/>
          <w:u w:val="single"/>
        </w:rPr>
      </w:pPr>
      <w:bookmarkStart w:id="258" w:name="_Toc395790554"/>
      <w:r w:rsidRPr="00B1528B">
        <w:rPr>
          <w:sz w:val="32"/>
          <w:szCs w:val="32"/>
          <w:u w:val="single"/>
        </w:rPr>
        <w:t>D. Amortization of intangible assets</w:t>
      </w:r>
      <w:bookmarkEnd w:id="258"/>
    </w:p>
    <w:p w:rsidR="0078310B" w:rsidRDefault="0078310B" w:rsidP="0078310B">
      <w:pPr>
        <w:widowControl w:val="0"/>
      </w:pPr>
    </w:p>
    <w:p w:rsidR="0078310B" w:rsidRDefault="00A06FF4" w:rsidP="0078310B">
      <w:pPr>
        <w:widowControl w:val="0"/>
        <w:spacing w:after="120"/>
        <w:ind w:firstLine="288"/>
        <w:jc w:val="both"/>
      </w:pPr>
      <w:r>
        <w:t xml:space="preserve">While § 168 applies only to tangible property, the legislative history described the § 167(a) standard for depreciable property generally. </w:t>
      </w:r>
      <w:r w:rsidR="0078310B">
        <w:t>Recall the following passage from the legislative history when § 168 was en</w:t>
      </w:r>
      <w:r>
        <w:t xml:space="preserve">acted, which was quoted in </w:t>
      </w:r>
      <w:r w:rsidR="0078310B">
        <w:t xml:space="preserve">Judge Hamblen’s </w:t>
      </w:r>
      <w:r w:rsidR="0078310B">
        <w:rPr>
          <w:i/>
        </w:rPr>
        <w:t xml:space="preserve">Simon </w:t>
      </w:r>
      <w:r w:rsidR="0078310B">
        <w:t xml:space="preserve">dissent. </w:t>
      </w:r>
    </w:p>
    <w:p w:rsidR="0078310B" w:rsidRDefault="0078310B" w:rsidP="0078310B">
      <w:pPr>
        <w:widowControl w:val="0"/>
        <w:spacing w:after="120"/>
        <w:ind w:left="720" w:right="720"/>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rsidR="0078310B" w:rsidRDefault="0078310B" w:rsidP="0078310B">
      <w:pPr>
        <w:widowControl w:val="0"/>
        <w:spacing w:after="120"/>
        <w:jc w:val="both"/>
      </w:pPr>
      <w:r>
        <w:t>(Emphasis added.)</w:t>
      </w:r>
    </w:p>
    <w:p w:rsidR="0078310B" w:rsidRDefault="0078310B" w:rsidP="0078310B">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w:t>
      </w:r>
      <w:r w:rsidRPr="002140A0">
        <w:rPr>
          <w:i/>
        </w:rPr>
        <w:t>etc.</w:t>
      </w:r>
      <w:r>
        <w:t xml:space="preserv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rsidR="0078310B" w:rsidRPr="004B5045" w:rsidRDefault="0078310B" w:rsidP="0078310B">
      <w:pPr>
        <w:widowControl w:val="0"/>
        <w:spacing w:after="120"/>
        <w:ind w:firstLine="288"/>
        <w:jc w:val="both"/>
      </w:pPr>
      <w:r>
        <w:t xml:space="preserve">Until the enactment of </w:t>
      </w:r>
      <w:hyperlink r:id="rId788"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rsidR="0078310B" w:rsidRDefault="0078310B" w:rsidP="0078310B">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39"/>
      </w:r>
      <w:r>
        <w:t xml:space="preserve"> </w:t>
      </w:r>
      <w:r w:rsidRPr="00EB7ED9">
        <w:t>The</w:t>
      </w:r>
      <w:r>
        <w:t xml:space="preserve"> taxpayer in </w:t>
      </w:r>
      <w:r>
        <w:rPr>
          <w:i/>
        </w:rPr>
        <w:t>Newark Morning Ledger Co. v. United States</w:t>
      </w:r>
      <w:r>
        <w:rPr>
          <w:rStyle w:val="FootnoteReference"/>
        </w:rPr>
        <w:footnoteReference w:id="440"/>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Thus, the taxpayer argued, the $67.8 million portion of the purchase price properly 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rsidR="0078310B" w:rsidRDefault="0078310B" w:rsidP="0078310B">
      <w:pPr>
        <w:widowControl w:val="0"/>
        <w:spacing w:after="120"/>
        <w:ind w:firstLine="288"/>
        <w:jc w:val="both"/>
      </w:pPr>
      <w:r>
        <w:t xml:space="preserve">Only very wealthy taxpayers had the ability to commit the time and effort to the kind of exacting statistical techniques that are described in these cases when trying to show that one strand of overall goodwill had an ascertainable useful life. When these cases went to litigation, they consumed vast resources on the part of both the government and the taxpayer. Thus, Congress enacted </w:t>
      </w:r>
      <w:hyperlink r:id="rId789"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Thus,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41"/>
      </w:r>
      <w:r>
        <w:t xml:space="preserve"> In short, Congress chose simplicity over theoretical purity.</w:t>
      </w:r>
    </w:p>
    <w:p w:rsidR="0078310B" w:rsidRDefault="0078310B" w:rsidP="0078310B">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42"/>
      </w:r>
      <w:r>
        <w:t xml:space="preserve"> Notable exceptions are listed in § 197(e), including items purchased separately and not part of a going business.</w:t>
      </w:r>
      <w:r>
        <w:rPr>
          <w:rStyle w:val="FootnoteReference"/>
        </w:rPr>
        <w:footnoteReference w:id="443"/>
      </w:r>
      <w:r>
        <w:t xml:space="preserve"> Thus,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44"/>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45"/>
      </w:r>
      <w:r>
        <w:t xml:space="preserve"> </w:t>
      </w:r>
    </w:p>
    <w:p w:rsidR="0078310B" w:rsidRDefault="0078310B" w:rsidP="0078310B">
      <w:pPr>
        <w:widowControl w:val="0"/>
        <w:ind w:firstLine="288"/>
        <w:jc w:val="both"/>
      </w:pPr>
    </w:p>
    <w:p w:rsidR="0078310B" w:rsidRPr="00B1528B" w:rsidRDefault="0078310B" w:rsidP="0078310B">
      <w:pPr>
        <w:pStyle w:val="Heading2"/>
        <w:spacing w:before="0"/>
        <w:rPr>
          <w:sz w:val="32"/>
          <w:szCs w:val="32"/>
          <w:u w:val="single"/>
        </w:rPr>
      </w:pPr>
      <w:bookmarkStart w:id="259" w:name="_Toc395790555"/>
      <w:r w:rsidRPr="00B1528B">
        <w:rPr>
          <w:sz w:val="32"/>
          <w:szCs w:val="32"/>
          <w:u w:val="single"/>
        </w:rPr>
        <w:t>E. Amortization of start-up costs</w:t>
      </w:r>
      <w:bookmarkEnd w:id="259"/>
    </w:p>
    <w:p w:rsidR="0078310B" w:rsidRDefault="0078310B" w:rsidP="0078310B">
      <w:pPr>
        <w:widowControl w:val="0"/>
      </w:pPr>
    </w:p>
    <w:p w:rsidR="0078310B" w:rsidRDefault="0078310B" w:rsidP="0078310B">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sidRPr="009828A2">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however, allows such start-up costs to be deducted sooner.</w:t>
      </w:r>
      <w:r>
        <w:rPr>
          <w:rStyle w:val="FootnoteReference"/>
        </w:rPr>
        <w:footnoteReference w:id="446"/>
      </w:r>
      <w:r>
        <w:t xml:space="preserve"> </w:t>
      </w:r>
    </w:p>
    <w:p w:rsidR="0078310B" w:rsidRDefault="0078310B" w:rsidP="0078310B">
      <w:pPr>
        <w:widowControl w:val="0"/>
        <w:spacing w:after="120"/>
        <w:ind w:firstLine="288"/>
        <w:jc w:val="both"/>
      </w:pPr>
      <w:r>
        <w:t xml:space="preserve">How much sooner depends on how substantial they are. </w:t>
      </w:r>
      <w:r>
        <w:rPr>
          <w:i/>
        </w:rPr>
        <w:t xml:space="preserve">See </w:t>
      </w:r>
      <w:hyperlink r:id="rId790" w:history="1">
        <w:r w:rsidRPr="00D63349">
          <w:rPr>
            <w:rStyle w:val="Hyperlink"/>
          </w:rPr>
          <w:t>§ 195</w:t>
        </w:r>
      </w:hyperlink>
      <w:r>
        <w:t xml:space="preserve">(b)(1). In the year the business opens, an electing taxpayer may deduct an amount equal to the </w:t>
      </w:r>
      <w:r w:rsidRPr="00AF3C8B">
        <w:rPr>
          <w:i/>
        </w:rPr>
        <w:t>lesser</w:t>
      </w:r>
      <w:r w:rsidR="00D63349">
        <w:t xml:space="preserve"> of (1) the aggregate </w:t>
      </w:r>
      <w:r>
        <w:t>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begins. The amortization of the remainder (if any), in other words, is patterned after § 197. </w:t>
      </w:r>
    </w:p>
    <w:p w:rsidR="0078310B" w:rsidRDefault="0078310B" w:rsidP="0078310B">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rsidR="0078310B" w:rsidRDefault="0078310B" w:rsidP="0078310B">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or $5,000 </w:t>
      </w:r>
      <w:r>
        <w:rPr>
          <w:i/>
        </w:rPr>
        <w:t xml:space="preserve">less </w:t>
      </w:r>
      <w:r>
        <w:t xml:space="preserve">$4,500) </w:t>
      </w:r>
      <w:r>
        <w:rPr>
          <w:i/>
        </w:rPr>
        <w:t xml:space="preserve">plus </w:t>
      </w:r>
      <w:r>
        <w:t xml:space="preserve">2 months of amortization of the remaining $54,000, calculated at $300 per month ($54,000/180). Thus, she can deduct $1,100 in Year 1 and $3,600 in Year 2 ($300 x 12 months). </w:t>
      </w:r>
    </w:p>
    <w:p w:rsidR="0078310B" w:rsidRDefault="0078310B" w:rsidP="0078310B">
      <w:pPr>
        <w:widowControl w:val="0"/>
        <w:spacing w:after="120"/>
        <w:ind w:firstLine="288"/>
        <w:jc w:val="both"/>
      </w:pPr>
      <w:r>
        <w:t xml:space="preserve">If Annie’s start-up costs total $540,000, she can deduct 2 months of amortization of the $540,000, calculated at $3,000 per month ($540,000/12). Thus, she can deduct $6,000 in Year 1 and $36,000 in Year 2 ($3,000 x 12). </w:t>
      </w:r>
    </w:p>
    <w:p w:rsidR="0078310B" w:rsidRDefault="0078310B" w:rsidP="0078310B">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47"/>
      </w:r>
      <w:r>
        <w:t xml:space="preserve"> A taxpayer who is amortizing start-up costs under § 195 but disposes of the business before the 15-year amortization period expires can deduct the remaining basis as a loss under § 165.</w:t>
      </w:r>
      <w:r>
        <w:rPr>
          <w:rStyle w:val="FootnoteReference"/>
        </w:rPr>
        <w:footnoteReference w:id="448"/>
      </w:r>
      <w:r>
        <w:t xml:space="preserve"> </w:t>
      </w:r>
    </w:p>
    <w:p w:rsidR="0078310B" w:rsidRDefault="0078310B" w:rsidP="0078310B">
      <w:pPr>
        <w:widowControl w:val="0"/>
        <w:ind w:firstLine="288"/>
        <w:jc w:val="both"/>
      </w:pPr>
    </w:p>
    <w:p w:rsidR="0078310B" w:rsidRPr="00B1528B" w:rsidRDefault="0078310B" w:rsidP="0078310B">
      <w:pPr>
        <w:pStyle w:val="Heading2"/>
        <w:spacing w:before="0"/>
        <w:rPr>
          <w:sz w:val="32"/>
          <w:szCs w:val="32"/>
        </w:rPr>
      </w:pPr>
      <w:bookmarkStart w:id="260" w:name="_Toc395790556"/>
      <w:r w:rsidRPr="00B1528B">
        <w:rPr>
          <w:sz w:val="32"/>
          <w:szCs w:val="32"/>
        </w:rPr>
        <w:t xml:space="preserve">F. Tax arbitrage: an interest deduction for </w:t>
      </w:r>
    </w:p>
    <w:p w:rsidR="0078310B" w:rsidRPr="00B1528B" w:rsidRDefault="0078310B" w:rsidP="0078310B">
      <w:pPr>
        <w:pStyle w:val="Heading2"/>
        <w:spacing w:before="0"/>
        <w:rPr>
          <w:sz w:val="32"/>
          <w:szCs w:val="32"/>
          <w:u w:val="single"/>
        </w:rPr>
      </w:pPr>
      <w:r w:rsidRPr="00B1528B">
        <w:rPr>
          <w:sz w:val="32"/>
          <w:szCs w:val="32"/>
          <w:u w:val="single"/>
        </w:rPr>
        <w:t>debt-financed purchases of expensed (or nearly expensed) assets</w:t>
      </w:r>
      <w:bookmarkEnd w:id="260"/>
    </w:p>
    <w:p w:rsidR="0078310B" w:rsidRDefault="0078310B" w:rsidP="0078310B">
      <w:pPr>
        <w:widowControl w:val="0"/>
        <w:ind w:firstLine="288"/>
      </w:pPr>
    </w:p>
    <w:p w:rsidR="0078310B" w:rsidRPr="009F3300" w:rsidRDefault="0078310B" w:rsidP="0078310B">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They are non-neutral by their nature, as they interfere with the market price of such assets, causing behavior changes that otherwise might not occur. Notice that these behavior changes may include a nudge toward investing in depreciable assets rather than labor, </w:t>
      </w:r>
      <w:r>
        <w:rPr>
          <w:i/>
        </w:rPr>
        <w:t>i.e.</w:t>
      </w:r>
      <w:r>
        <w:t xml:space="preserve">, hiring and jobs. </w:t>
      </w:r>
    </w:p>
    <w:p w:rsidR="0078310B" w:rsidRDefault="0078310B" w:rsidP="0078310B">
      <w:pPr>
        <w:widowControl w:val="0"/>
        <w:spacing w:after="120"/>
        <w:ind w:firstLine="288"/>
        <w:jc w:val="both"/>
        <w:rPr>
          <w:rFonts w:eastAsia="Times New Roman" w:cs="Times New Roman"/>
        </w:rPr>
      </w:pPr>
      <w:r>
        <w:t>For example, if Caleb decides that his business is sufficiently profitable to allow either (1) the purchase of a new machine for $1 million that will last for 5 years or (2) the hiring of several additional employees at a cost of $1 million over 5 years, the tax expenditure components of §§ 179 and 168 may artificially tip the scale toward the equipment purchase rather than toward the hiring because employee salary can be deducted only as paid, while the equipment’s depreciation deductions will not only be frontloaded but can also create tax-arbitrage profits if Caleb uses debt to purchase the equipment (described below). The extent to which behavior is actually influenced is difficult to measure as an empirical matter because we cannot conduct a study in which one set of businesses is limited to economic depreciation while the other is allowed the benefits of accelerated depreciation and § 179 so that we could, if we are able to mathematically control for other differences between the two sets of businesses, examine the difference in hiring between the two. Nevertheless, anecdotal evidence suggests that these tax expenditures may tip the scale toward capital investment at the expense of labor investment.</w:t>
      </w:r>
      <w:r>
        <w:rPr>
          <w:rStyle w:val="FootnoteReference"/>
        </w:rPr>
        <w:footnoteReference w:id="449"/>
      </w:r>
    </w:p>
    <w:p w:rsidR="0078310B" w:rsidRDefault="0078310B" w:rsidP="0078310B">
      <w:pPr>
        <w:widowControl w:val="0"/>
        <w:spacing w:after="120"/>
        <w:ind w:firstLine="288"/>
        <w:jc w:val="both"/>
      </w:pPr>
      <w:r>
        <w:t xml:space="preserve">Many economists would prefer Caleb to make his decision without this interference in the marketplace, as the price distortion can result in an inefficient allocation of resources. Other economists wish that we would replace the income tax with a consumption tax, so providing accelerated basis deduction, which can approach cash-flow consumption tax expensing, is a </w:t>
      </w:r>
      <w:r w:rsidR="00D63349">
        <w:t>“</w:t>
      </w:r>
      <w:r>
        <w:t>distortion</w:t>
      </w:r>
      <w:r w:rsidR="00D63349">
        <w:t>”</w:t>
      </w:r>
      <w:r>
        <w:t xml:space="preserve"> that they like. </w:t>
      </w:r>
    </w:p>
    <w:p w:rsidR="0078310B" w:rsidRDefault="0078310B" w:rsidP="0078310B">
      <w:pPr>
        <w:widowControl w:val="0"/>
        <w:spacing w:after="120"/>
        <w:ind w:firstLine="288"/>
        <w:jc w:val="both"/>
      </w:pPr>
      <w:r>
        <w:t xml:space="preserve">But the tax arbitrage that can result when interest is deducted (under the income tax rules for debt) with respect to debt used to purchase assets accorded consumption-tax-like treatment is an outcome that even those in the second camp do not support, as it provides </w:t>
      </w:r>
      <w:r>
        <w:rPr>
          <w:i/>
        </w:rPr>
        <w:t xml:space="preserve">better </w:t>
      </w:r>
      <w:r>
        <w:t xml:space="preserve">than consumption tax treatment.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reapyments,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unlike under an income tax</w:t>
      </w:r>
      <w:r>
        <w:t>). Thus, to the extent that the Internal Revenue Code allows premature deduction of basis (as under a cash-flow consumption tax), it should disall</w:t>
      </w:r>
      <w:r w:rsidR="00E8532B">
        <w:t>ow the interest deduction on</w:t>
      </w:r>
      <w:r>
        <w:t xml:space="preserve"> debt used to purchase the property.</w:t>
      </w:r>
    </w:p>
    <w:p w:rsidR="0078310B" w:rsidRDefault="0078310B" w:rsidP="0078310B">
      <w:pPr>
        <w:widowControl w:val="0"/>
        <w:ind w:firstLine="288"/>
        <w:jc w:val="both"/>
      </w:pPr>
      <w:r>
        <w:t xml:space="preserve"> The tax arbitrage that results when a taxpayer uses debt to purchase assets that can be entirely expensed (under § 179) or depreciated at a rate faster than economic depreciation reflects inefficient rent in the sense described in Chapter 3—resulting in a mere transfer of wealth from taxpayers in general to the debt-financed equipment purchaser, rather than an increase in aggregate societal wealth. In this context, tax arbitrage, introduced in Chapter 2, is the mixing of the rules of one tax regime with the rules of another tax regime to achieve a result that is inconsistent with</w:t>
      </w:r>
      <w:r w:rsidR="00D63349">
        <w:t xml:space="preserve"> (and better than)</w:t>
      </w:r>
      <w:r>
        <w:t xml:space="preserve"> both. The </w:t>
      </w:r>
      <w:r>
        <w:rPr>
          <w:i/>
        </w:rPr>
        <w:t>combination</w:t>
      </w:r>
      <w:r>
        <w:t xml:space="preserve"> of allowing both (1) cash-flow consumption taxation of an investment (or nearly so) and (2) an interest deduction accompanying the purchase of that tax-preferred investment with debt can result in </w:t>
      </w:r>
      <w:r>
        <w:rPr>
          <w:i/>
        </w:rPr>
        <w:t>better</w:t>
      </w:r>
      <w:r>
        <w:t xml:space="preserve">-than-consumption-tax treatment. This tax arbitrage </w:t>
      </w:r>
      <w:r w:rsidR="00E8532B">
        <w:t>“</w:t>
      </w:r>
      <w:r>
        <w:t>profit</w:t>
      </w:r>
      <w:r w:rsidR="00E8532B">
        <w:t>”</w:t>
      </w:r>
      <w:r>
        <w:t xml:space="preserve"> is not the result of entrepreneurial daring but the effective equivalent of a simple transfer payment from other taxpayers.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261" w:name="_Toc395790557"/>
      <w:r w:rsidRPr="00A95205">
        <w:rPr>
          <w:u w:val="single"/>
        </w:rPr>
        <w:t>Problems</w:t>
      </w:r>
      <w:bookmarkEnd w:id="261"/>
    </w:p>
    <w:p w:rsidR="0078310B" w:rsidRPr="00B1528B" w:rsidRDefault="0078310B" w:rsidP="0078310B">
      <w:pPr>
        <w:pStyle w:val="Heading3"/>
        <w:spacing w:before="0" w:beforeAutospacing="0" w:after="0" w:afterAutospacing="0"/>
        <w:jc w:val="center"/>
        <w:rPr>
          <w:b w:val="0"/>
        </w:rPr>
      </w:pPr>
    </w:p>
    <w:p w:rsidR="0078310B" w:rsidRPr="00605A40" w:rsidRDefault="0078310B" w:rsidP="0078310B">
      <w:pPr>
        <w:widowControl w:val="0"/>
        <w:ind w:firstLine="288"/>
        <w:jc w:val="both"/>
      </w:pPr>
      <w:r>
        <w:t>In each problem, describe how much Fiona (or Frank, as the case may be) can deduct in each of Years 1, 2, and 3. For ease of calculation, you can ignore the inflation adjustments to the figures in § 179(b).</w:t>
      </w:r>
      <w:r w:rsidR="008D6404">
        <w:t xml:space="preserve"> That is to say, you can assume that the § 179 expense limit is $500,000 and that the phaseout threshold is $2 million.</w:t>
      </w:r>
    </w:p>
    <w:p w:rsidR="0078310B" w:rsidRDefault="0078310B" w:rsidP="0078310B">
      <w:pPr>
        <w:widowControl w:val="0"/>
        <w:ind w:firstLine="288"/>
        <w:jc w:val="both"/>
      </w:pPr>
    </w:p>
    <w:p w:rsidR="0078310B" w:rsidRDefault="0078310B" w:rsidP="0078310B">
      <w:pPr>
        <w:widowControl w:val="0"/>
        <w:ind w:firstLine="288"/>
        <w:jc w:val="both"/>
      </w:pPr>
      <w:r>
        <w:rPr>
          <w:b/>
        </w:rPr>
        <w:t>1.</w:t>
      </w:r>
      <w:r>
        <w:t xml:space="preserve"> On January 20, Year 1, Fiona purchases a personal residence for $400,000. </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On March 4, Year 1, Fiona purchases shares of High Tech stock for $400,000.</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On August 2, Year 1, Fiona purchases land and a factory building for $1.2 million in which she will produce widgets, with $200,000 allocable to the land and $1 million allocable to the building. The factory is already in service. </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Same as </w:t>
      </w:r>
      <w:r>
        <w:rPr>
          <w:b/>
        </w:rPr>
        <w:t>4.</w:t>
      </w:r>
      <w:r>
        <w:t xml:space="preserve">, except that Fiona spends $100,000 on a significant addition to the building, which is placed in service on September 2, Year 2. </w:t>
      </w:r>
    </w:p>
    <w:p w:rsidR="0078310B" w:rsidRDefault="0078310B" w:rsidP="0078310B">
      <w:pPr>
        <w:widowControl w:val="0"/>
        <w:ind w:firstLine="288"/>
        <w:jc w:val="both"/>
      </w:pPr>
    </w:p>
    <w:p w:rsidR="0078310B" w:rsidRDefault="0078310B" w:rsidP="0078310B">
      <w:pPr>
        <w:widowControl w:val="0"/>
        <w:ind w:firstLine="288"/>
        <w:jc w:val="both"/>
      </w:pPr>
      <w:r>
        <w:rPr>
          <w:b/>
        </w:rPr>
        <w:t>6.</w:t>
      </w:r>
      <w:r>
        <w:t xml:space="preserve"> On May 12, Year 1, Fiona purchases a widget-making machine for use </w:t>
      </w:r>
      <w:r w:rsidR="00676442">
        <w:t xml:space="preserve">in her factory for $1.5 million, </w:t>
      </w:r>
      <w:r>
        <w:t xml:space="preserve">which she places into service immediately. The IRS has assigned a class life of 7 years to the machine. Fiona will purchase the machine with borrowed money, paying market-rate interest.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Same as </w:t>
      </w:r>
      <w:r>
        <w:rPr>
          <w:b/>
        </w:rPr>
        <w:t>6.</w:t>
      </w:r>
      <w:r>
        <w:t xml:space="preserve">, except that the machine cost $3 million. </w:t>
      </w:r>
    </w:p>
    <w:p w:rsidR="0078310B" w:rsidRDefault="0078310B" w:rsidP="0078310B">
      <w:pPr>
        <w:widowControl w:val="0"/>
        <w:ind w:firstLine="288"/>
        <w:jc w:val="both"/>
      </w:pPr>
    </w:p>
    <w:p w:rsidR="0078310B" w:rsidRDefault="0078310B" w:rsidP="0078310B">
      <w:pPr>
        <w:widowControl w:val="0"/>
        <w:ind w:firstLine="288"/>
        <w:jc w:val="both"/>
      </w:pPr>
      <w:r>
        <w:rPr>
          <w:b/>
        </w:rPr>
        <w:t>8.</w:t>
      </w:r>
      <w:r>
        <w:t xml:space="preserve"> Same as </w:t>
      </w:r>
      <w:r>
        <w:rPr>
          <w:b/>
        </w:rPr>
        <w:t>7.</w:t>
      </w:r>
      <w:r>
        <w:t xml:space="preserve">, except that Fiona sells the machine on August 18 of Year 3 to Frank for $2.5 million. </w:t>
      </w:r>
    </w:p>
    <w:p w:rsidR="0078310B" w:rsidRDefault="0078310B" w:rsidP="0078310B">
      <w:pPr>
        <w:widowControl w:val="0"/>
        <w:ind w:firstLine="288"/>
        <w:jc w:val="both"/>
        <w:rPr>
          <w:b/>
        </w:rPr>
      </w:pPr>
    </w:p>
    <w:p w:rsidR="0078310B" w:rsidRDefault="0078310B" w:rsidP="0078310B">
      <w:pPr>
        <w:widowControl w:val="0"/>
        <w:ind w:firstLine="288"/>
        <w:jc w:val="both"/>
      </w:pPr>
      <w:r>
        <w:rPr>
          <w:b/>
        </w:rPr>
        <w:t>9.</w:t>
      </w:r>
      <w:r>
        <w:t xml:space="preserve"> On September 4, Year 1, Frank purchases a Cadillac CTS (a passenger car) for $35,000, which he uses exclusively in his business. The car is the only new business property that Frank purchases this year.</w:t>
      </w:r>
    </w:p>
    <w:p w:rsidR="0078310B" w:rsidRDefault="0078310B" w:rsidP="0078310B">
      <w:pPr>
        <w:widowControl w:val="0"/>
        <w:ind w:firstLine="288"/>
        <w:jc w:val="both"/>
      </w:pPr>
    </w:p>
    <w:p w:rsidR="0078310B" w:rsidRDefault="0078310B" w:rsidP="0078310B">
      <w:pPr>
        <w:widowControl w:val="0"/>
        <w:ind w:firstLine="288"/>
        <w:jc w:val="both"/>
      </w:pPr>
      <w:r>
        <w:rPr>
          <w:b/>
        </w:rPr>
        <w:t>10.</w:t>
      </w:r>
      <w:r>
        <w:t xml:space="preserve"> Same as </w:t>
      </w:r>
      <w:r>
        <w:rPr>
          <w:b/>
        </w:rPr>
        <w:t>10.</w:t>
      </w:r>
      <w:r>
        <w:t xml:space="preserve">, except that Frank buys a Buick Enclave SUV, instead, for $35,000. </w:t>
      </w:r>
    </w:p>
    <w:p w:rsidR="0078310B" w:rsidRDefault="0078310B" w:rsidP="0078310B">
      <w:pPr>
        <w:widowControl w:val="0"/>
        <w:ind w:firstLine="288"/>
        <w:jc w:val="both"/>
      </w:pPr>
    </w:p>
    <w:p w:rsidR="0078310B" w:rsidRDefault="0078310B" w:rsidP="0078310B">
      <w:pPr>
        <w:widowControl w:val="0"/>
        <w:ind w:firstLine="288"/>
        <w:jc w:val="both"/>
      </w:pPr>
      <w:r>
        <w:rPr>
          <w:b/>
        </w:rPr>
        <w:t>11.</w:t>
      </w:r>
      <w:r>
        <w:t xml:space="preserve"> On January 8, Year 1, Frank purchases a secret formula owned by Fiona but no longer used by her for use in his own business, paying $15,000 and placing it into service on the same date. </w:t>
      </w:r>
    </w:p>
    <w:p w:rsidR="0078310B" w:rsidRDefault="0078310B" w:rsidP="0078310B">
      <w:pPr>
        <w:widowControl w:val="0"/>
        <w:ind w:firstLine="288"/>
        <w:jc w:val="both"/>
      </w:pPr>
    </w:p>
    <w:p w:rsidR="0078310B" w:rsidRDefault="0078310B" w:rsidP="0078310B">
      <w:pPr>
        <w:widowControl w:val="0"/>
        <w:jc w:val="both"/>
      </w:pPr>
    </w:p>
    <w:p w:rsidR="0078310B" w:rsidRPr="006F5763" w:rsidRDefault="0078310B" w:rsidP="0078310B">
      <w:pPr>
        <w:widowControl w:val="0"/>
        <w:jc w:val="both"/>
      </w:pPr>
    </w:p>
    <w:p w:rsidR="0078310B" w:rsidRDefault="0078310B" w:rsidP="0078310B">
      <w:pPr>
        <w:widowControl w:val="0"/>
        <w:spacing w:after="120"/>
        <w:ind w:firstLine="288"/>
        <w:jc w:val="both"/>
        <w:sectPr w:rsidR="0078310B" w:rsidSect="005337BA">
          <w:headerReference w:type="default" r:id="rId791"/>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jc w:val="both"/>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936279" w:rsidRDefault="0078310B" w:rsidP="0078310B">
      <w:pPr>
        <w:pStyle w:val="Heading2"/>
        <w:spacing w:before="0"/>
        <w:rPr>
          <w:sz w:val="36"/>
          <w:szCs w:val="36"/>
          <w:u w:val="single"/>
        </w:rPr>
      </w:pPr>
      <w:bookmarkStart w:id="262" w:name="_Toc395790558"/>
      <w:r w:rsidRPr="00936279">
        <w:rPr>
          <w:sz w:val="36"/>
          <w:szCs w:val="36"/>
          <w:u w:val="single"/>
        </w:rPr>
        <w:t>Chapter 15: Capital Gains and Losses</w:t>
      </w:r>
      <w:bookmarkEnd w:id="262"/>
    </w:p>
    <w:p w:rsidR="0078310B" w:rsidRDefault="0078310B" w:rsidP="0078310B">
      <w:pPr>
        <w:widowControl w:val="0"/>
        <w:spacing w:after="120"/>
        <w:ind w:firstLine="288"/>
      </w:pPr>
    </w:p>
    <w:p w:rsidR="0078310B" w:rsidRDefault="0078310B" w:rsidP="0078310B">
      <w:pPr>
        <w:widowControl w:val="0"/>
        <w:spacing w:after="120"/>
        <w:ind w:firstLine="288"/>
        <w:jc w:val="both"/>
      </w:pPr>
      <w:r>
        <w:t xml:space="preserve">In Chapter 13, you learned that the first step in analyzing the tax consequences of a property disposition is to determine the realized gain or loss under § 1001 (the difference between amount realized and adjusted basis). The second step is to determine whether the realized gain is includable in Gross Income under § 61(a)(3) or realized loss is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in more detail. </w:t>
      </w:r>
    </w:p>
    <w:p w:rsidR="0078310B" w:rsidRDefault="0078310B" w:rsidP="0078310B">
      <w:pPr>
        <w:widowControl w:val="0"/>
        <w:spacing w:after="120"/>
        <w:ind w:firstLine="288"/>
        <w:jc w:val="both"/>
      </w:pPr>
      <w:r>
        <w:t xml:space="preserve">A gain or loss is “capital” if described in </w:t>
      </w:r>
      <w:hyperlink r:id="rId792" w:history="1">
        <w:r w:rsidRPr="0086588A">
          <w:rPr>
            <w:rStyle w:val="Hyperlink"/>
          </w:rPr>
          <w:t>§ 1222</w:t>
        </w:r>
      </w:hyperlink>
      <w:r>
        <w:t>(1) through (4). The common ingredients found in each of those four subsections provide that an otherwise includable § 1001 gain or otherwise deductible § 1001 loss (under § 165) is “capital” only if the gain or loss arises from the “sale or exchange” of</w:t>
      </w:r>
      <w:r w:rsidR="0086588A">
        <w:t xml:space="preserve"> a “capital asset.” </w:t>
      </w:r>
      <w:hyperlink r:id="rId793" w:history="1">
        <w:r w:rsidR="0086588A" w:rsidRPr="0086588A">
          <w:rPr>
            <w:rStyle w:val="Hyperlink"/>
          </w:rPr>
          <w:t>Section 1221</w:t>
        </w:r>
      </w:hyperlink>
      <w:r w:rsidR="0086588A">
        <w:t xml:space="preserve"> </w:t>
      </w:r>
      <w:r>
        <w:t>defines “capital asset.” Moreover, those subsections also confirm that an includable capital gain or deductible capital loss is short term if the property sold or exchanged was held for one year or less and long term if held for more than one year.</w:t>
      </w:r>
    </w:p>
    <w:p w:rsidR="0078310B" w:rsidRDefault="0078310B" w:rsidP="0078310B">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rsidR="0078310B" w:rsidRDefault="0078310B" w:rsidP="0078310B">
      <w:pPr>
        <w:pStyle w:val="ListParagraph"/>
        <w:widowControl w:val="0"/>
        <w:numPr>
          <w:ilvl w:val="0"/>
          <w:numId w:val="14"/>
        </w:numPr>
        <w:spacing w:after="120"/>
        <w:ind w:left="648"/>
        <w:contextualSpacing w:val="0"/>
        <w:jc w:val="both"/>
      </w:pPr>
      <w:r>
        <w:t xml:space="preserve">Otherwise deductible (under § 165) capital losses are treated less favorably than deductible ordinary losses because only the former are subject to the </w:t>
      </w:r>
      <w:hyperlink r:id="rId794" w:history="1">
        <w:r w:rsidRPr="0086588A">
          <w:rPr>
            <w:rStyle w:val="Hyperlink"/>
          </w:rPr>
          <w:t>§ 1211</w:t>
        </w:r>
      </w:hyperlink>
      <w:r>
        <w:t>(b) capital loss limitation rule (cross-referenced in § 165(f)).</w:t>
      </w:r>
    </w:p>
    <w:p w:rsidR="0078310B" w:rsidRDefault="0078310B" w:rsidP="0078310B">
      <w:pPr>
        <w:pStyle w:val="ListParagraph"/>
        <w:widowControl w:val="0"/>
        <w:numPr>
          <w:ilvl w:val="0"/>
          <w:numId w:val="14"/>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50"/>
      </w:r>
    </w:p>
    <w:p w:rsidR="0078310B" w:rsidRDefault="0078310B" w:rsidP="0078310B">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rsidR="0078310B" w:rsidRDefault="0078310B" w:rsidP="0078310B">
      <w:pPr>
        <w:widowControl w:val="0"/>
        <w:ind w:firstLine="288"/>
        <w:jc w:val="both"/>
      </w:pPr>
    </w:p>
    <w:p w:rsidR="0078310B" w:rsidRPr="00936279" w:rsidRDefault="0078310B" w:rsidP="0078310B">
      <w:pPr>
        <w:pStyle w:val="Heading2"/>
        <w:spacing w:before="0"/>
        <w:rPr>
          <w:sz w:val="32"/>
          <w:szCs w:val="32"/>
          <w:u w:val="single"/>
        </w:rPr>
      </w:pPr>
      <w:bookmarkStart w:id="263" w:name="_Toc395790559"/>
      <w:r w:rsidRPr="00936279">
        <w:rPr>
          <w:sz w:val="32"/>
          <w:szCs w:val="32"/>
          <w:u w:val="single"/>
        </w:rPr>
        <w:t>A. Capital losses</w:t>
      </w:r>
      <w:bookmarkEnd w:id="263"/>
    </w:p>
    <w:p w:rsidR="0078310B" w:rsidRDefault="0078310B" w:rsidP="0078310B">
      <w:pPr>
        <w:widowControl w:val="0"/>
        <w:ind w:firstLine="288"/>
      </w:pPr>
    </w:p>
    <w:p w:rsidR="0078310B" w:rsidRPr="00F862C2" w:rsidRDefault="0078310B" w:rsidP="0078310B">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rsidR="0078310B" w:rsidRDefault="0078310B" w:rsidP="0078310B">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“capital” in nature. </w:t>
      </w:r>
      <w:r w:rsidRPr="00D76F4C">
        <w:rPr>
          <w:b/>
        </w:rPr>
        <w:t xml:space="preserve">Under the language in </w:t>
      </w:r>
      <w:hyperlink r:id="rId795"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included capital gains (whether long term or short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51"/>
      </w:r>
    </w:p>
    <w:p w:rsidR="0078310B" w:rsidRDefault="0078310B" w:rsidP="0078310B">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rsidR="0078310B" w:rsidRDefault="0078310B" w:rsidP="0078310B">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rsidR="0078310B" w:rsidRPr="0017335A" w:rsidRDefault="0078310B" w:rsidP="0078310B">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carrying the remaining $2,000 loss to Year 3, when she could finally deduct it. The $3,000 in capital losses that Lindsey is permitted to deduct in excess of her realized and included capital gains each year is nothing more than a </w:t>
      </w:r>
      <w:r>
        <w:rPr>
          <w:i/>
        </w:rPr>
        <w:t>de minimis</w:t>
      </w:r>
      <w:r>
        <w:t xml:space="preserve"> rule intended to allow individuals like Lindsey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rsidR="0078310B" w:rsidRDefault="0078310B" w:rsidP="0078310B">
      <w:pPr>
        <w:widowControl w:val="0"/>
        <w:spacing w:after="120"/>
        <w:ind w:firstLine="288"/>
        <w:jc w:val="both"/>
      </w:pPr>
      <w:r>
        <w:t xml:space="preserve">How does Lindsey know whether any capital loss carryover should be treated as a long-term 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Thus, Lindsey needs to know whether any carryover loss under § 1212(b) is to be considered short term or long term in future years. </w:t>
      </w:r>
    </w:p>
    <w:p w:rsidR="0078310B" w:rsidRDefault="0078310B" w:rsidP="0078310B">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96" w:history="1">
        <w:r w:rsidRPr="0086588A">
          <w:rPr>
            <w:rStyle w:val="Hyperlink"/>
          </w:rPr>
          <w:t>§ 1212</w:t>
        </w:r>
      </w:hyperlink>
      <w:r>
        <w:t xml:space="preserve">(b). You can take my word for it that I am accurately describing here the mechanics of § 1212(b). </w:t>
      </w:r>
    </w:p>
    <w:p w:rsidR="0078310B" w:rsidRDefault="0078310B" w:rsidP="0078310B">
      <w:pPr>
        <w:widowControl w:val="0"/>
        <w:spacing w:after="120"/>
        <w:ind w:firstLine="288"/>
        <w:jc w:val="both"/>
      </w:pPr>
      <w:r w:rsidRPr="00A90BB0">
        <w:rPr>
          <w:b/>
        </w:rPr>
        <w:t>To determine the nature of a capital loss carryover as short term or long term</w:t>
      </w:r>
      <w:r>
        <w:rPr>
          <w:b/>
        </w:rPr>
        <w:t xml:space="preserve"> under § 1212(b), the taxpayer </w:t>
      </w:r>
      <w:r w:rsidRPr="00A90BB0">
        <w:rPr>
          <w:b/>
        </w:rPr>
        <w:t xml:space="preserve">must net together any long-term capital gains and long-term capital losses </w:t>
      </w:r>
      <w:r>
        <w:rPr>
          <w:b/>
        </w:rPr>
        <w:t xml:space="preserve">in the </w:t>
      </w:r>
      <w:r w:rsidRPr="0086588A">
        <w:rPr>
          <w:b/>
        </w:rPr>
        <w:t>realization</w:t>
      </w:r>
      <w:r>
        <w:rPr>
          <w:b/>
        </w:rPr>
        <w:t xml:space="preserve"> year </w:t>
      </w:r>
      <w:r w:rsidRPr="00A90BB0">
        <w:rPr>
          <w:b/>
        </w:rPr>
        <w:t xml:space="preserve">and do the same with short-term capital gains and short-term capital losses. The taxpayer’s capital loss carryover maintains the same character (as long term or short term) as the taxpayer’s </w:t>
      </w:r>
      <w:r w:rsidRPr="00A90BB0">
        <w:rPr>
          <w:b/>
          <w:i/>
        </w:rPr>
        <w:t>net</w:t>
      </w:r>
      <w:r w:rsidRPr="00A90BB0">
        <w:rPr>
          <w:b/>
        </w:rPr>
        <w:t xml:space="preserve"> loss position in the realization year. </w:t>
      </w:r>
    </w:p>
    <w:p w:rsidR="0078310B" w:rsidRDefault="0078310B" w:rsidP="0078310B">
      <w:pPr>
        <w:widowControl w:val="0"/>
        <w:spacing w:after="120"/>
        <w:ind w:firstLine="288"/>
        <w:jc w:val="both"/>
      </w:pPr>
      <w:r>
        <w:t>For example, assume that Lindsey, who earns $100,000 in wages each year, realizes the following includable gains and deductible losses (under § 165(c)) in Year 1:</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spacing w:after="120"/>
        <w:jc w:val="both"/>
      </w:pPr>
      <w:r>
        <w:t xml:space="preserve">            $13,000                          $12,000                           $3,000                            $10,000</w:t>
      </w:r>
    </w:p>
    <w:p w:rsidR="0078310B" w:rsidRDefault="0078310B" w:rsidP="0078310B">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$1,000 net long-term capital </w:t>
      </w:r>
      <w:r w:rsidRPr="007549C4">
        <w:rPr>
          <w:i/>
        </w:rPr>
        <w:t xml:space="preserve">gain </w:t>
      </w:r>
      <w:r>
        <w:t xml:space="preserve">($13,000 long-term capital gain </w:t>
      </w:r>
      <w:r>
        <w:rPr>
          <w:i/>
        </w:rPr>
        <w:t>less</w:t>
      </w:r>
      <w:r>
        <w:t xml:space="preserve"> $12,000 long-term capital loss) and a $7,000 net short-term capital </w:t>
      </w:r>
      <w:r w:rsidRPr="007549C4">
        <w:rPr>
          <w:i/>
        </w:rPr>
        <w:t>loss</w:t>
      </w:r>
      <w:r>
        <w:t xml:space="preserve"> ($10,000 short-term capital loss </w:t>
      </w:r>
      <w:r>
        <w:rPr>
          <w:i/>
        </w:rPr>
        <w:t>less</w:t>
      </w:r>
      <w:r>
        <w:t xml:space="preserve"> $3,000 short-term capital gain) in Year 1, her $3,000 capital loss carryover is treated as a short-term capital loss in Year 2 (the same as her net loss position in the realization year). </w:t>
      </w:r>
    </w:p>
    <w:p w:rsidR="0078310B" w:rsidRDefault="0078310B" w:rsidP="0078310B">
      <w:pPr>
        <w:widowControl w:val="0"/>
        <w:spacing w:after="120"/>
        <w:ind w:firstLine="288"/>
        <w:jc w:val="both"/>
      </w:pPr>
      <w:r>
        <w:t xml:space="preserve">What if Lindsey realizes a net loss in </w:t>
      </w:r>
      <w:r>
        <w:rPr>
          <w:i/>
        </w:rPr>
        <w:t xml:space="preserve">both </w:t>
      </w:r>
      <w:r>
        <w:t>her long-term and short-term columns? For example, assume the same facts except that Lindsay realizes a $14,000 long-term capital loss instead of a $12,000 long-term capital loss in Year 1.</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spacing w:after="120"/>
        <w:jc w:val="both"/>
      </w:pPr>
      <w:r>
        <w:t xml:space="preserve">            $13,000                          $14,000                           $3,000                            $10,000</w:t>
      </w:r>
    </w:p>
    <w:p w:rsidR="0078310B" w:rsidRDefault="0078310B" w:rsidP="0078310B">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$1,000 net long-term capital </w:t>
      </w:r>
      <w:r w:rsidRPr="00563379">
        <w:rPr>
          <w:i/>
        </w:rPr>
        <w:t>loss</w:t>
      </w:r>
      <w:r>
        <w:t xml:space="preserve"> ($14,000 long-term capital loss </w:t>
      </w:r>
      <w:r>
        <w:rPr>
          <w:i/>
        </w:rPr>
        <w:t>less</w:t>
      </w:r>
      <w:r>
        <w:t xml:space="preserve"> $13,000 long-term capital gain) and a $7,000 net short-term capital </w:t>
      </w:r>
      <w:r w:rsidRPr="00563379">
        <w:rPr>
          <w:i/>
        </w:rPr>
        <w:t>loss</w:t>
      </w:r>
      <w:r>
        <w:t xml:space="preserve"> ($10,000 short-term capital loss </w:t>
      </w:r>
      <w:r>
        <w:rPr>
          <w:i/>
        </w:rPr>
        <w:t>less</w:t>
      </w:r>
      <w:r>
        <w:t xml:space="preserve"> $3,000 short-term capital gain). </w:t>
      </w:r>
      <w:r w:rsidRPr="00563379">
        <w:rPr>
          <w:b/>
        </w:rPr>
        <w:t xml:space="preserve">The convoluted language in § 1212(b) provides that, when a taxpayer has both a net long-term capital loss and net short-term capital loss in the realization year, the carryover loss is deemed to come </w:t>
      </w:r>
      <w:r w:rsidRPr="00563379">
        <w:rPr>
          <w:b/>
          <w:i/>
        </w:rPr>
        <w:t>first</w:t>
      </w:r>
      <w:r w:rsidRPr="00563379">
        <w:rPr>
          <w:b/>
        </w:rPr>
        <w:t xml:space="preserve"> from the net long-term pot (to the extent thereof) and, if necessary, from the net short-term pot.</w:t>
      </w:r>
      <w:r>
        <w:t xml:space="preserve"> Thus, the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rsidR="0078310B" w:rsidRDefault="0078310B" w:rsidP="0078310B">
      <w:pPr>
        <w:widowControl w:val="0"/>
        <w:jc w:val="both"/>
      </w:pPr>
    </w:p>
    <w:p w:rsidR="0078310B" w:rsidRDefault="0078310B" w:rsidP="0078310B">
      <w:pPr>
        <w:pStyle w:val="Heading3"/>
        <w:spacing w:before="0" w:beforeAutospacing="0" w:after="0" w:afterAutospacing="0"/>
        <w:jc w:val="center"/>
        <w:rPr>
          <w:b w:val="0"/>
        </w:rPr>
      </w:pPr>
      <w:bookmarkStart w:id="264" w:name="_Toc395790560"/>
      <w:r w:rsidRPr="00655568">
        <w:rPr>
          <w:u w:val="single"/>
        </w:rPr>
        <w:t>Problem</w:t>
      </w:r>
      <w:bookmarkEnd w:id="264"/>
    </w:p>
    <w:p w:rsidR="0078310B" w:rsidRPr="00936279" w:rsidRDefault="0078310B" w:rsidP="0078310B">
      <w:pPr>
        <w:pStyle w:val="Heading3"/>
        <w:spacing w:before="0" w:beforeAutospacing="0" w:after="0" w:afterAutospacing="0"/>
        <w:jc w:val="center"/>
        <w:rPr>
          <w:b w:val="0"/>
        </w:rPr>
      </w:pPr>
    </w:p>
    <w:p w:rsidR="0078310B" w:rsidRPr="00374F62" w:rsidRDefault="0078310B" w:rsidP="0078310B">
      <w:pPr>
        <w:widowControl w:val="0"/>
        <w:spacing w:after="120"/>
        <w:ind w:firstLine="288"/>
        <w:jc w:val="both"/>
      </w:pPr>
      <w:r>
        <w:t xml:space="preserve">Jacob earns $100,000 in wages each year. In addition, he realizes and recognizes the capital gains and losses listed below in each year. Each of the realized and recognized capital losses are otherwise deductible under § 165(c). Describe how §§ 1211(b) and 1212(b) apply to Jacob in each year. </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jc w:val="both"/>
      </w:pPr>
      <w:r>
        <w:rPr>
          <w:b/>
        </w:rPr>
        <w:t>Year 1</w:t>
      </w:r>
      <w:r>
        <w:t xml:space="preserve">                $5,000                          $0                              $2,000                       $10,000</w:t>
      </w:r>
    </w:p>
    <w:p w:rsidR="0078310B" w:rsidRPr="00D51D7B" w:rsidRDefault="0078310B" w:rsidP="0078310B">
      <w:pPr>
        <w:widowControl w:val="0"/>
        <w:jc w:val="both"/>
      </w:pPr>
      <w:r>
        <w:rPr>
          <w:b/>
        </w:rPr>
        <w:t>Year 2</w:t>
      </w:r>
      <w:r>
        <w:t xml:space="preserve">                  0                                  6,000                          3,000                           2,000</w:t>
      </w:r>
    </w:p>
    <w:p w:rsidR="0078310B" w:rsidRPr="008157CC" w:rsidRDefault="0078310B" w:rsidP="0078310B">
      <w:pPr>
        <w:widowControl w:val="0"/>
        <w:jc w:val="both"/>
      </w:pPr>
      <w:r>
        <w:rPr>
          <w:b/>
        </w:rPr>
        <w:t>Year 3</w:t>
      </w:r>
      <w:r>
        <w:t xml:space="preserve">                 4,000                            5,000                          1,000                           5,000</w:t>
      </w:r>
    </w:p>
    <w:p w:rsidR="0078310B" w:rsidRPr="00CA21BD" w:rsidRDefault="0078310B" w:rsidP="0078310B">
      <w:pPr>
        <w:widowControl w:val="0"/>
        <w:ind w:firstLine="288"/>
      </w:pPr>
    </w:p>
    <w:p w:rsidR="0078310B" w:rsidRPr="00936279" w:rsidRDefault="0078310B" w:rsidP="0078310B">
      <w:pPr>
        <w:pStyle w:val="Heading2"/>
        <w:spacing w:before="0"/>
        <w:rPr>
          <w:sz w:val="32"/>
          <w:szCs w:val="32"/>
          <w:u w:val="single"/>
        </w:rPr>
      </w:pPr>
      <w:bookmarkStart w:id="265" w:name="_Toc395790561"/>
      <w:r w:rsidRPr="00936279">
        <w:rPr>
          <w:sz w:val="32"/>
          <w:szCs w:val="32"/>
          <w:u w:val="single"/>
        </w:rPr>
        <w:t>B. Net capital gain</w:t>
      </w:r>
      <w:bookmarkEnd w:id="265"/>
    </w:p>
    <w:p w:rsidR="0078310B" w:rsidRDefault="0078310B" w:rsidP="0078310B">
      <w:pPr>
        <w:widowControl w:val="0"/>
        <w:ind w:firstLine="288"/>
      </w:pPr>
    </w:p>
    <w:p w:rsidR="0078310B" w:rsidRDefault="0078310B" w:rsidP="0078310B">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52"/>
      </w:r>
      <w:r>
        <w:t xml:space="preserve"> </w:t>
      </w:r>
    </w:p>
    <w:p w:rsidR="0078310B" w:rsidRDefault="0078310B" w:rsidP="0078310B">
      <w:pPr>
        <w:widowControl w:val="0"/>
        <w:ind w:firstLine="288"/>
        <w:rPr>
          <w:noProof/>
        </w:rPr>
      </w:pPr>
    </w:p>
    <w:p w:rsidR="0078310B" w:rsidRDefault="0078310B" w:rsidP="0078310B">
      <w:pPr>
        <w:widowControl w:val="0"/>
        <w:jc w:val="center"/>
      </w:pPr>
      <w:r>
        <w:rPr>
          <w:noProof/>
        </w:rPr>
        <w:drawing>
          <wp:inline distT="0" distB="0" distL="0" distR="0" wp14:anchorId="5372C932" wp14:editId="759D68EA">
            <wp:extent cx="5483679" cy="20669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7"/>
                    <a:stretch>
                      <a:fillRect/>
                    </a:stretch>
                  </pic:blipFill>
                  <pic:spPr>
                    <a:xfrm>
                      <a:off x="0" y="0"/>
                      <a:ext cx="5491536" cy="2069886"/>
                    </a:xfrm>
                    <a:prstGeom prst="rect">
                      <a:avLst/>
                    </a:prstGeom>
                  </pic:spPr>
                </pic:pic>
              </a:graphicData>
            </a:graphic>
          </wp:inline>
        </w:drawing>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As illustrated above, there was no preference before 1922 and between 1987 and 1990. In the 1920s and early 1930s, and again since 1990, the top net capital gain rate was separately stated. Between the mid-1930s and 1986, no separate statutory rate was stated, but only a </w:t>
      </w:r>
      <w:r w:rsidR="00B22338">
        <w:t>percentage of capital gains was</w:t>
      </w:r>
      <w:r>
        <w:t xml:space="preserve"> included in the tax base, effectively reducing the tax rate that applied. Since WWII, when the income tax moved from a class tax to a mass tax, the maximum capital gains tax 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53"/>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rsidR="0078310B" w:rsidRDefault="0078310B" w:rsidP="0078310B">
      <w:pPr>
        <w:widowControl w:val="0"/>
        <w:spacing w:after="120"/>
        <w:ind w:firstLine="288"/>
        <w:jc w:val="both"/>
      </w:pPr>
      <w:r w:rsidRPr="005B141E">
        <w:t xml:space="preserve">The American Taxpayer Relief Act of 2012 restored the highest marginal rate on ordinary income and gain to 39.6% </w:t>
      </w:r>
      <w:r w:rsidR="00A564BE">
        <w:t xml:space="preserve">and restored the 20% </w:t>
      </w:r>
      <w:r w:rsidRPr="005B141E">
        <w:t xml:space="preserve">net capital gain </w:t>
      </w:r>
      <w:r w:rsidR="00A564BE">
        <w:t xml:space="preserve">rate for such gain within Taxable Income exceeding </w:t>
      </w:r>
      <w:r w:rsidR="00A564BE" w:rsidRPr="005B141E">
        <w:t>$400,000 ($450,000 for married couples filing jointly)</w:t>
      </w:r>
      <w:r w:rsidRPr="005B141E">
        <w:t xml:space="preserve">. </w:t>
      </w:r>
      <w:r w:rsidR="00A564BE">
        <w:t xml:space="preserve">Net capital gain </w:t>
      </w:r>
      <w:r>
        <w:t>within</w:t>
      </w:r>
      <w:r w:rsidRPr="005B141E">
        <w:t xml:space="preserve"> Taxable Income below those thresholds remains generally at 15%. As you learned in Chapter 1, Part B., however, most net capital gain is concentrated in high-income households.</w:t>
      </w:r>
      <w:r>
        <w:t xml:space="preserve"> </w:t>
      </w:r>
    </w:p>
    <w:p w:rsidR="0078310B" w:rsidRPr="00655568" w:rsidRDefault="0078310B" w:rsidP="0078310B">
      <w:pPr>
        <w:pStyle w:val="Heading3"/>
        <w:spacing w:before="0" w:beforeAutospacing="0" w:after="120" w:afterAutospacing="0"/>
        <w:rPr>
          <w:i/>
        </w:rPr>
      </w:pPr>
      <w:bookmarkStart w:id="266" w:name="_Toc395790562"/>
      <w:r w:rsidRPr="00655568">
        <w:rPr>
          <w:i/>
        </w:rPr>
        <w:t>Why is net capital gain taxed at a preferential rate?</w:t>
      </w:r>
      <w:bookmarkEnd w:id="266"/>
    </w:p>
    <w:p w:rsidR="0078310B" w:rsidRDefault="0078310B" w:rsidP="0078310B">
      <w:pPr>
        <w:widowControl w:val="0"/>
        <w:spacing w:after="120"/>
        <w:ind w:firstLine="288"/>
        <w:jc w:val="both"/>
      </w:pPr>
      <w:r>
        <w:t xml:space="preserve">The first issue in considering this question is to ask why net capital gain should be taxed more lightly than labor income. Prior to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w:t>
      </w:r>
      <w:r w:rsidRPr="000675EF">
        <w:rPr>
          <w:i/>
        </w:rPr>
        <w:t>other</w:t>
      </w:r>
      <w:r>
        <w:t xml:space="preserve"> than net capital gain, such as interest, rents, royalties, and dividends. The now-repealed preferential rate for labor income may have had its roots in notions that labor income not only preceded capital income but was more fleeting in nature. </w:t>
      </w:r>
    </w:p>
    <w:p w:rsidR="0078310B" w:rsidRDefault="0078310B" w:rsidP="0078310B">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54"/>
      </w:r>
      <w:r w:rsidRPr="002951D7">
        <w:t xml:space="preserve"> Even </w:t>
      </w:r>
      <w:r>
        <w:t xml:space="preserve">the extremely wealthy </w:t>
      </w:r>
      <w:r w:rsidRPr="002951D7">
        <w:t>Treasury Secretary Andrew W. Mellon, no knee-jerk liberal,</w:t>
      </w:r>
      <w:r w:rsidRPr="002951D7">
        <w:rPr>
          <w:rStyle w:val="FootnoteReference"/>
        </w:rPr>
        <w:footnoteReference w:id="455"/>
      </w:r>
      <w:r w:rsidRPr="002951D7">
        <w:t xml:space="preserve"> argued in the 1920s that earned income ought to be more lightly taxed than capital income. </w:t>
      </w:r>
    </w:p>
    <w:p w:rsidR="0078310B" w:rsidRDefault="0078310B" w:rsidP="0078310B">
      <w:pPr>
        <w:widowControl w:val="0"/>
        <w:spacing w:after="120"/>
        <w:ind w:left="720" w:right="720"/>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rsidR="0078310B" w:rsidRDefault="0078310B" w:rsidP="0078310B">
      <w:pPr>
        <w:widowControl w:val="0"/>
        <w:spacing w:after="120"/>
        <w:ind w:left="720" w:right="720"/>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56"/>
      </w:r>
      <w:r>
        <w:t xml:space="preserve"> </w:t>
      </w:r>
    </w:p>
    <w:p w:rsidR="0078310B" w:rsidRDefault="0078310B" w:rsidP="0078310B">
      <w:pPr>
        <w:widowControl w:val="0"/>
        <w:spacing w:after="120"/>
        <w:jc w:val="both"/>
      </w:pPr>
      <w:r>
        <w:t>Similarly, 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57"/>
      </w:r>
      <w:r>
        <w:t xml:space="preserve"> </w:t>
      </w:r>
    </w:p>
    <w:p w:rsidR="0078310B" w:rsidRDefault="0078310B" w:rsidP="0078310B">
      <w:pPr>
        <w:widowControl w:val="0"/>
        <w:spacing w:after="120"/>
        <w:ind w:firstLine="288"/>
        <w:jc w:val="both"/>
      </w:pPr>
      <w:r>
        <w:t xml:space="preserve">A tax credit equal to a portion of earned income was thus introduced in 1924. While it waxed and waned over the years, the idea was reinvigorated in 1969, when the top rate for earned income was capped at 50%, while the top rate for other (capital) income was 70%. As noted above, this preferential tax rate was repealed in the first Reagan tax legislation in 1981, when the top rate on capital income (other than net capital gain) was also reduced to 50% without further reduction in the maximum rate applicable to labor income. </w:t>
      </w:r>
    </w:p>
    <w:p w:rsidR="0078310B" w:rsidRDefault="0078310B" w:rsidP="0078310B">
      <w:pPr>
        <w:widowControl w:val="0"/>
        <w:spacing w:after="120"/>
        <w:ind w:firstLine="288"/>
        <w:jc w:val="both"/>
      </w:pPr>
      <w:r>
        <w:t>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“income” from the trust annually to his surviving wife for the rest of her life (a life estate), with the “remainder” distributed to his son on his wife’s death. Upon his wife’s demise, the trust</w:t>
      </w:r>
      <w:r w:rsidR="006F6E18">
        <w:t xml:space="preserve"> would distribute the land </w:t>
      </w:r>
      <w:r>
        <w:t xml:space="preserve">to the son, and the trust (which would no longer own any property) would be dissolved. </w:t>
      </w:r>
    </w:p>
    <w:p w:rsidR="0078310B" w:rsidRDefault="0078310B" w:rsidP="0078310B">
      <w:pPr>
        <w:widowControl w:val="0"/>
        <w:spacing w:after="120"/>
        <w:ind w:firstLine="288"/>
        <w:jc w:val="both"/>
      </w:pPr>
      <w:r>
        <w:t xml:space="preserve">Under trust law at the time, rent collected from the tenant farmers was “income” that was distributed to the wife annually. If, however, the trustee decided to sell a plot of land for $100 that had been purchased by Father before his death for, say, $75, the $25 profit from that sale was not considered “income” to be distributed to the wife but rather part of the trust “corpus,” which was eventually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compromise between the position that property gain did not constitute “income” at all and the position that such gain is income in the same sense as other forms of realized wealth accessions.  </w:t>
      </w:r>
    </w:p>
    <w:p w:rsidR="0078310B" w:rsidRDefault="0078310B" w:rsidP="0078310B">
      <w:pPr>
        <w:widowControl w:val="0"/>
        <w:spacing w:after="120"/>
        <w:ind w:firstLine="288"/>
        <w:jc w:val="both"/>
      </w:pPr>
      <w:r>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58"/>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59"/>
      </w:r>
      <w:r>
        <w:t xml:space="preserve"> concluding:  </w:t>
      </w:r>
    </w:p>
    <w:p w:rsidR="0078310B" w:rsidRDefault="0078310B" w:rsidP="0078310B">
      <w:pPr>
        <w:widowControl w:val="0"/>
        <w:spacing w:after="120"/>
        <w:ind w:left="720" w:right="720"/>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rsidR="0078310B" w:rsidRDefault="0078310B" w:rsidP="0078310B">
      <w:pPr>
        <w:widowControl w:val="0"/>
        <w:spacing w:after="120"/>
        <w:ind w:left="720" w:right="720"/>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60"/>
      </w:r>
      <w:r>
        <w:t xml:space="preserve"> </w:t>
      </w:r>
    </w:p>
    <w:p w:rsidR="0078310B" w:rsidRDefault="0078310B" w:rsidP="0078310B">
      <w:pPr>
        <w:widowControl w:val="0"/>
        <w:spacing w:after="120"/>
        <w:ind w:firstLine="288"/>
        <w:jc w:val="both"/>
      </w:pPr>
      <w:r>
        <w:t>There is no doubt that the capital gains preference undermines the progressivity of the income tax. Recall the data in Chapter 1, Part B., which showed how the concentration of capital gains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61"/>
      </w:r>
      <w:r>
        <w:t xml:space="preserve"> Only 1.1% of the tax preference accorded to net capital gain and qualified dividends is enjoyed by taxpayers in the bottom 60%.</w:t>
      </w:r>
      <w:r>
        <w:rPr>
          <w:rStyle w:val="FootnoteReference"/>
        </w:rPr>
        <w:footnoteReference w:id="462"/>
      </w:r>
    </w:p>
    <w:p w:rsidR="0078310B" w:rsidRDefault="0078310B" w:rsidP="0078310B">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16)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founders stock, the appreciation on which represents a return on labor income. </w:t>
      </w:r>
    </w:p>
    <w:p w:rsidR="0078310B" w:rsidRDefault="0078310B" w:rsidP="0078310B">
      <w:pPr>
        <w:widowControl w:val="0"/>
        <w:spacing w:after="120"/>
        <w:ind w:left="720" w:right="720"/>
        <w:jc w:val="both"/>
      </w:pPr>
      <w:r>
        <w:t>[W]hen capital gains are taxed at much lower rates than other income, the tax code 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63"/>
      </w:r>
    </w:p>
    <w:p w:rsidR="0078310B" w:rsidRDefault="0078310B" w:rsidP="0078310B">
      <w:pPr>
        <w:widowControl w:val="0"/>
        <w:spacing w:after="120"/>
        <w:ind w:firstLine="288"/>
        <w:jc w:val="both"/>
      </w:pPr>
      <w:r>
        <w:t>The most common modern-day rationales forwarded for a tax preference for net capital gain are discussed below.</w:t>
      </w:r>
    </w:p>
    <w:p w:rsidR="0078310B" w:rsidRPr="00655568" w:rsidRDefault="0078310B" w:rsidP="0078310B">
      <w:pPr>
        <w:pStyle w:val="Heading3"/>
        <w:spacing w:before="0" w:beforeAutospacing="0" w:after="120" w:afterAutospacing="0"/>
        <w:rPr>
          <w:i/>
        </w:rPr>
      </w:pPr>
      <w:bookmarkStart w:id="267" w:name="_Toc395790563"/>
      <w:r w:rsidRPr="00655568">
        <w:rPr>
          <w:i/>
        </w:rPr>
        <w:t>The double</w:t>
      </w:r>
      <w:r>
        <w:rPr>
          <w:i/>
        </w:rPr>
        <w:t xml:space="preserve"> </w:t>
      </w:r>
      <w:r w:rsidRPr="00655568">
        <w:rPr>
          <w:i/>
        </w:rPr>
        <w:t>tax argument regarding capital returns</w:t>
      </w:r>
      <w:bookmarkEnd w:id="267"/>
    </w:p>
    <w:p w:rsidR="0078310B" w:rsidRPr="00221604" w:rsidRDefault="0078310B" w:rsidP="0078310B">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64"/>
      </w:r>
      <w:r>
        <w:t xml:space="preserve"> But I am not. The net capital gain rate preference is not limited to shares of corporate stock but rather extends to all “capital assets,” as defined in § 1221 (explored in Part C.),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65"/>
      </w:r>
      <w:r>
        <w:t xml:space="preserve"> Indeed, the net capital gain rate reduction does not apply to withdrawals from pension plans, § 401(k) accounts, and IRAs owning stock, and most stock owned by average taxpayers below the top 1% are owned through such accounts.</w:t>
      </w:r>
    </w:p>
    <w:p w:rsidR="0078310B" w:rsidRDefault="0078310B" w:rsidP="0078310B">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anticipated future stream of rental payments expected to be paid by the tenant farmers to the land’s owner, coupled with 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denied a deduction of the $10,000 purchase cost. </w:t>
      </w:r>
    </w:p>
    <w:p w:rsidR="0078310B" w:rsidRPr="00C26799" w:rsidRDefault="0078310B" w:rsidP="0078310B">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66"/>
      </w:r>
      <w:r>
        <w:t xml:space="preserve"> In short, a tax preference for only one form of capital return (capital gain) cannot be defended using the double tax argument.</w:t>
      </w:r>
    </w:p>
    <w:p w:rsidR="0078310B" w:rsidRPr="00655568" w:rsidRDefault="0078310B" w:rsidP="0078310B">
      <w:pPr>
        <w:pStyle w:val="Heading3"/>
        <w:spacing w:before="0" w:beforeAutospacing="0" w:after="120" w:afterAutospacing="0"/>
        <w:rPr>
          <w:i/>
        </w:rPr>
      </w:pPr>
      <w:bookmarkStart w:id="268" w:name="_Toc395790564"/>
      <w:r w:rsidRPr="00655568">
        <w:rPr>
          <w:i/>
        </w:rPr>
        <w:t>Lock-in effect</w:t>
      </w:r>
      <w:bookmarkEnd w:id="268"/>
    </w:p>
    <w:p w:rsidR="0078310B" w:rsidRDefault="0078310B" w:rsidP="0078310B">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rsidR="0078310B" w:rsidRDefault="0078310B" w:rsidP="0078310B">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(thus increasing aggregate societal wealth)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rsidR="0078310B" w:rsidRDefault="0078310B" w:rsidP="0078310B">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net capital gains rate was scheduled to increase from 20% to 28% on January 1, 1987) but that the overall realization response reverts to a fairly constant norm over time.</w:t>
      </w:r>
      <w:r>
        <w:rPr>
          <w:rStyle w:val="FootnoteReference"/>
        </w:rPr>
        <w:footnoteReference w:id="467"/>
      </w:r>
    </w:p>
    <w:p w:rsidR="0078310B" w:rsidRPr="00B114E7" w:rsidRDefault="0078310B" w:rsidP="0078310B">
      <w:pPr>
        <w:widowControl w:val="0"/>
        <w:spacing w:after="120"/>
        <w:ind w:firstLine="288"/>
        <w:jc w:val="both"/>
      </w:pPr>
      <w:r>
        <w:t xml:space="preserve">Finally, § 1014 (the tax-free step up in property basis at death, studied in Chapter 7) is far more responsible for any lock-in effect that does exist. If policymakers are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rsidR="0078310B" w:rsidRPr="00655568" w:rsidRDefault="0078310B" w:rsidP="0078310B">
      <w:pPr>
        <w:pStyle w:val="Heading3"/>
        <w:spacing w:before="0" w:beforeAutospacing="0" w:after="120" w:afterAutospacing="0"/>
        <w:rPr>
          <w:i/>
        </w:rPr>
      </w:pPr>
      <w:bookmarkStart w:id="269" w:name="_Toc395790565"/>
      <w:r w:rsidRPr="00655568">
        <w:rPr>
          <w:i/>
        </w:rPr>
        <w:t>Inflation gain</w:t>
      </w:r>
      <w:bookmarkEnd w:id="269"/>
    </w:p>
    <w:p w:rsidR="0078310B" w:rsidRDefault="0078310B" w:rsidP="0078310B">
      <w:pPr>
        <w:widowControl w:val="0"/>
        <w:spacing w:after="120"/>
        <w:ind w:firstLine="288"/>
        <w:jc w:val="both"/>
      </w:pPr>
      <w:r>
        <w:t xml:space="preserve">The net capital gain rate preference is often defended on the ground that the gain reflects in part merely the effects of inflation and not a real increase in inflation-adjusted wealth. A reduced tax rate compensates for the fact that gain is measured in nominal rather than inflation-adjusted dollars. </w:t>
      </w:r>
    </w:p>
    <w:p w:rsidR="0078310B" w:rsidRDefault="0078310B" w:rsidP="0078310B">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say, a raise matching the increase in the consumer price index rather than a real increase in purchasing power. Similarly, the Standard Deduction, the Personal Exemption and Dependent Deduction,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Thus, a portion of any includable capital return (whether in the form of gain, interest, rent, </w:t>
      </w:r>
      <w:r>
        <w:rPr>
          <w:i/>
        </w:rPr>
        <w:t>etc.</w:t>
      </w:r>
      <w:r>
        <w:t>) may not actually represent an increase in inflation-adjusted wealth, though it is treated as a wealth increase for income tax p</w:t>
      </w:r>
      <w:r w:rsidR="003A6180">
        <w:t xml:space="preserve">urposes. The higher the </w:t>
      </w:r>
      <w:r>
        <w:t xml:space="preserve">inflation </w:t>
      </w:r>
      <w:r w:rsidR="003A6180">
        <w:t xml:space="preserve">rate </w:t>
      </w:r>
      <w:r>
        <w:t>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rsidR="0078310B" w:rsidRDefault="0078310B" w:rsidP="0078310B">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rsidR="0078310B" w:rsidRDefault="0078310B" w:rsidP="0078310B">
      <w:pPr>
        <w:widowControl w:val="0"/>
        <w:spacing w:after="120"/>
        <w:ind w:firstLine="288"/>
        <w:jc w:val="both"/>
      </w:pPr>
      <w:r>
        <w:t>Similarly, assume that Parker purchases Blackacre (a capital asset in his hands) on Ja</w:t>
      </w:r>
      <w:r w:rsidR="000E4699">
        <w:t>nuary 1 of Year 1 for $10,000, t</w:t>
      </w:r>
      <w:r>
        <w:t xml:space="preserve">hat he sells Blackacre for $10,200 on January 2 of Year 2, and that inflation is 2% during Year 1. Parker’s § 1001 realized gain under current law is $200 ($10,200 A/R </w:t>
      </w:r>
      <w:r>
        <w:rPr>
          <w:i/>
        </w:rPr>
        <w:t>less</w:t>
      </w:r>
      <w:r>
        <w:t xml:space="preserve"> $10,000 A/B), which he must include in his Gross Income under § 61(a)(3), even though his inflation-adjusted wealth remains unchanged from its January 1, Year-1 level.</w:t>
      </w:r>
    </w:p>
    <w:p w:rsidR="0078310B" w:rsidRPr="00370246" w:rsidRDefault="0078310B" w:rsidP="0078310B">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rsidR="0078310B" w:rsidRDefault="0078310B" w:rsidP="0078310B">
      <w:pPr>
        <w:widowControl w:val="0"/>
        <w:spacing w:after="120"/>
        <w:ind w:firstLine="288"/>
        <w:jc w:val="both"/>
      </w:pPr>
      <w:r>
        <w:t>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or as inventory, as the sale price would equal his inflation-adjusted basis of $10,200.</w:t>
      </w:r>
    </w:p>
    <w:p w:rsidR="0078310B" w:rsidRDefault="0078310B" w:rsidP="0078310B">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68"/>
      </w:r>
      <w:r>
        <w:t xml:space="preserve"> </w:t>
      </w:r>
    </w:p>
    <w:p w:rsidR="0078310B" w:rsidRDefault="0078310B" w:rsidP="0078310B">
      <w:pPr>
        <w:widowControl w:val="0"/>
        <w:spacing w:after="120"/>
        <w:ind w:firstLine="288"/>
        <w:jc w:val="both"/>
      </w:pPr>
      <w:r>
        <w:t xml:space="preserve">In contrast, the appreciation in Parker’s Blackacre (whether held as a capital asset or as inventory) is not taxed until sale or exchange. Thus,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 In short, the deferral privilege inherent in the realization requirement offsets potential inflation gain in whole or in part</w:t>
      </w:r>
      <w:r>
        <w:t xml:space="preserve">. Thus, if inflation is said to be at the heart of the rate preference, the preference is directed at exactly the </w:t>
      </w:r>
      <w:r w:rsidRPr="00484FDF">
        <w:rPr>
          <w:i/>
        </w:rPr>
        <w:t>wrong kind</w:t>
      </w:r>
      <w:r>
        <w:t xml:space="preserve"> of capital return.</w:t>
      </w:r>
    </w:p>
    <w:p w:rsidR="0078310B" w:rsidRDefault="0078310B" w:rsidP="0078310B">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 the top ordinary rate was 70%).</w:t>
      </w:r>
      <w:r>
        <w:rPr>
          <w:rStyle w:val="FootnoteReference"/>
        </w:rPr>
        <w:footnoteReference w:id="469"/>
      </w:r>
      <w:r>
        <w:t xml:space="preserve"> Rather than a tax rate reduction applied to nominal gain, the proper cure for inflation gain is to index basis by the inflation rate each year so that only inflation-adjusted wealth increases are taxed. As illustrated in the above examples,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w:t>
      </w:r>
      <w:r>
        <w:rPr>
          <w:rStyle w:val="FootnoteReference"/>
        </w:rPr>
        <w:footnoteReference w:id="470"/>
      </w:r>
      <w:r>
        <w:t xml:space="preserve"> the optics would be difficult to explain to voters. </w:t>
      </w:r>
    </w:p>
    <w:p w:rsidR="0078310B" w:rsidRDefault="0078310B" w:rsidP="0078310B">
      <w:pPr>
        <w:widowControl w:val="0"/>
        <w:spacing w:after="120"/>
        <w:ind w:firstLine="288"/>
        <w:jc w:val="both"/>
      </w:pPr>
      <w:r>
        <w:t xml:space="preserve">For example, assume that Sara and Jonathan purchase a home for $100,000 on January 1 of 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18). Under current law, Sara’s and Jonathan’s home basis remains unchanged as time passes, they can deduct 100% of their $5,000 interest payments each year under § 163(h)(3), and National Bank must include 100% of the $5,000 annual interest payments under § 61(a)(4). </w:t>
      </w:r>
    </w:p>
    <w:p w:rsidR="0078310B" w:rsidRDefault="0078310B" w:rsidP="0078310B">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rsidR="0078310B" w:rsidRDefault="0078310B" w:rsidP="0078310B">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Doug purchases land for investment at a cost of $100,000 on January 1 of Year 1,</w:t>
      </w:r>
      <w:r w:rsidRPr="00CF73C0">
        <w:t xml:space="preserve"> </w:t>
      </w:r>
      <w:r>
        <w:t xml:space="preserve">borrowing the entire $100,000 from National Bank at 3% interest each year ($3,000). Also assume that Doug sells the land on January 2 of Year 2 for $103,000 and repays his debt (both principal and interest) to National Bank. </w:t>
      </w:r>
    </w:p>
    <w:p w:rsidR="0078310B" w:rsidRDefault="0078310B" w:rsidP="0078310B">
      <w:pPr>
        <w:widowControl w:val="0"/>
        <w:spacing w:after="120"/>
        <w:ind w:firstLine="288"/>
        <w:jc w:val="both"/>
      </w:pPr>
      <w:r>
        <w:t xml:space="preserve">If we ignore the tax consequences for a moment, we can see that Doug’s purchase, ownership, and sale of the land is an </w:t>
      </w:r>
      <w:r>
        <w:rPr>
          <w:i/>
        </w:rPr>
        <w:t xml:space="preserve">economic </w:t>
      </w:r>
      <w:r>
        <w:t>wash for him. While he is able to sell the land for $103,000 after purchasing it for only $100,000 (entirely with borrowed money), Doug must use the entire $103,000 obtained on the sale to repay the $103,000 of total principal ($100,000) and interest ($3,000) owed to National Bank. He walks away with nothing, neither suffering a wealth reduction nor enjoying a wealth increase. Thus, his income tax consequences should also be a wash. In particular, recall from Chapter 1 that a deduction under SHS income tax principles requires that the taxpayer have suffered a wealth decrease.</w:t>
      </w:r>
    </w:p>
    <w:p w:rsidR="0078310B" w:rsidRDefault="0078310B" w:rsidP="0078310B">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Doug can deduct the interest that he pays to National Bank under § 163?</w:t>
      </w:r>
    </w:p>
    <w:p w:rsidR="0078310B" w:rsidRDefault="0078310B" w:rsidP="0078310B">
      <w:pPr>
        <w:widowControl w:val="0"/>
        <w:spacing w:after="120"/>
        <w:ind w:firstLine="288"/>
        <w:jc w:val="both"/>
      </w:pPr>
      <w:r>
        <w:t xml:space="preserve">If we index Doug’s land basis for inflation, Doug’s initial $100,000 land basis would be increased to $103,000 at the time of sale to account for the 3% annual inflation that occurred during his ownership. Thus, when Doug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Doug pays to National Bank is characterized as principal, while $3,000 would be respected as “interest,” which we have stipulated that Doug would be permitted to deduct under § 163, offsetting other investment income that Doug realizes. Though Doug’s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did not require him to index debt basis. </w:t>
      </w:r>
    </w:p>
    <w:p w:rsidR="0078310B" w:rsidRDefault="0078310B" w:rsidP="0078310B">
      <w:pPr>
        <w:widowControl w:val="0"/>
        <w:spacing w:after="120"/>
        <w:ind w:firstLine="288"/>
        <w:jc w:val="both"/>
      </w:pPr>
      <w:r>
        <w:t xml:space="preserve">The reduced tax burden that Doug would enjoy by deducting $3,000 that does not represent an actual wealth reduction suffered by him is essentially funded by other taxpayers. It would represent pure “rent” in the manner defined in Chapter 3—a mere transfer of wealth from other taxpayers (you and me) to Doug.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rsidR="0078310B" w:rsidRPr="00655568" w:rsidRDefault="0078310B" w:rsidP="0078310B">
      <w:pPr>
        <w:pStyle w:val="Heading3"/>
        <w:spacing w:before="0" w:beforeAutospacing="0" w:after="120" w:afterAutospacing="0"/>
        <w:rPr>
          <w:i/>
        </w:rPr>
      </w:pPr>
      <w:bookmarkStart w:id="270" w:name="_Toc395790566"/>
      <w:r w:rsidRPr="00655568">
        <w:rPr>
          <w:i/>
        </w:rPr>
        <w:t>Encouraging risk-taking entrepreneurship to stimulate economic growth</w:t>
      </w:r>
      <w:bookmarkEnd w:id="270"/>
    </w:p>
    <w:p w:rsidR="0078310B" w:rsidRDefault="0078310B" w:rsidP="0078310B">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w:t>
      </w:r>
      <w:r>
        <w:rPr>
          <w:i/>
        </w:rPr>
        <w:t>etc.</w:t>
      </w:r>
      <w:r>
        <w:t xml:space="preserve"> Even in the case of traditional entrepreneurial risk capital, such as shares of stock in a new corporation pursuing the next big idea, the net capital gain rate can apply not only with respect to new capital put at risk in the business but also to churning sales of old capital among previously existing shareholders. </w:t>
      </w:r>
    </w:p>
    <w:p w:rsidR="0078310B" w:rsidRDefault="0078310B" w:rsidP="0078310B">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rsidR="0078310B" w:rsidRDefault="0078310B" w:rsidP="0078310B">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rsidR="0078310B" w:rsidRDefault="0078310B" w:rsidP="0078310B">
      <w:pPr>
        <w:widowControl w:val="0"/>
        <w:spacing w:after="120"/>
        <w:ind w:firstLine="288"/>
        <w:jc w:val="both"/>
      </w:pPr>
      <w:r>
        <w:t xml:space="preserve">A much better targeted tax expenditure in this regard is </w:t>
      </w:r>
      <w:hyperlink r:id="rId798" w:history="1">
        <w:r w:rsidRPr="003A49EC">
          <w:rPr>
            <w:rStyle w:val="Hyperlink"/>
          </w:rPr>
          <w:t>§ 1202</w:t>
        </w:r>
      </w:hyperlink>
      <w:r>
        <w:t xml:space="preserve">,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rsidR="0078310B" w:rsidRPr="00330B10" w:rsidRDefault="0078310B" w:rsidP="0078310B">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change. At various times in our history, Congress has enacted (and repealed) various “investment tax credits” along this line. In addition, more new businesses fail than succeed, so a better targeted tax expenditure in this regard is </w:t>
      </w:r>
      <w:hyperlink r:id="rId799" w:history="1">
        <w:r w:rsidRPr="003A49EC">
          <w:rPr>
            <w:rStyle w:val="Hyperlink"/>
          </w:rPr>
          <w:t>§ 1244</w:t>
        </w:r>
      </w:hyperlink>
      <w:r>
        <w:t xml:space="preserve">,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w:t>
      </w:r>
      <w:r>
        <w:rPr>
          <w:i/>
        </w:rPr>
        <w:t>etc.</w:t>
      </w:r>
      <w:r>
        <w:t xml:space="preserve">), rather than Victor’s low-taxed, long-term capital gains (in the first netting step in the “net capital gain” calculation, described below). </w:t>
      </w:r>
    </w:p>
    <w:p w:rsidR="0078310B" w:rsidRDefault="0078310B" w:rsidP="0078310B">
      <w:pPr>
        <w:widowControl w:val="0"/>
        <w:spacing w:after="120"/>
        <w:ind w:firstLine="288"/>
        <w:jc w:val="both"/>
      </w:pPr>
      <w:r w:rsidRPr="009062C8">
        <w:t>In short, §§ 1202 and 1244 are better targeted. An additional broad tax preference that applies to all types of net capital gain is very poorly targeted and overbroad.</w:t>
      </w:r>
    </w:p>
    <w:p w:rsidR="0078310B" w:rsidRDefault="0078310B" w:rsidP="0078310B">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71"/>
      </w:r>
      <w:r>
        <w:t xml:space="preserve"> Professor Burman examined the data for years between 1950 and 2011 and testified: </w:t>
      </w:r>
    </w:p>
    <w:p w:rsidR="0078310B" w:rsidRDefault="0078310B" w:rsidP="0078310B">
      <w:pPr>
        <w:widowControl w:val="0"/>
        <w:spacing w:after="120"/>
        <w:ind w:left="720" w:right="720"/>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rsidR="0078310B" w:rsidRDefault="0078310B" w:rsidP="0078310B">
      <w:pPr>
        <w:widowControl w:val="0"/>
        <w:spacing w:after="120"/>
        <w:ind w:left="720" w:right="720"/>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rsidR="0078310B" w:rsidRDefault="0078310B" w:rsidP="0078310B">
      <w:pPr>
        <w:widowControl w:val="0"/>
        <w:spacing w:after="120"/>
        <w:ind w:left="720" w:right="720"/>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72"/>
      </w:r>
    </w:p>
    <w:p w:rsidR="0078310B" w:rsidRDefault="0078310B" w:rsidP="0078310B">
      <w:pPr>
        <w:widowControl w:val="0"/>
        <w:spacing w:after="120"/>
        <w:ind w:firstLine="288"/>
        <w:jc w:val="both"/>
      </w:pPr>
      <w:r>
        <w:t>Similarly, 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73"/>
      </w:r>
    </w:p>
    <w:p w:rsidR="0078310B" w:rsidRPr="00655568" w:rsidRDefault="0078310B" w:rsidP="0078310B">
      <w:pPr>
        <w:pStyle w:val="Heading3"/>
        <w:spacing w:before="0" w:beforeAutospacing="0" w:after="120" w:afterAutospacing="0"/>
        <w:rPr>
          <w:i/>
        </w:rPr>
      </w:pPr>
      <w:bookmarkStart w:id="271" w:name="_Toc395790567"/>
      <w:r w:rsidRPr="00655568">
        <w:rPr>
          <w:i/>
        </w:rPr>
        <w:t>Bunching effect from the realization requirement</w:t>
      </w:r>
      <w:bookmarkEnd w:id="271"/>
    </w:p>
    <w:p w:rsidR="0078310B" w:rsidRDefault="0078310B" w:rsidP="0078310B">
      <w:pPr>
        <w:widowControl w:val="0"/>
        <w:spacing w:after="120"/>
        <w:ind w:firstLine="288"/>
        <w:jc w:val="both"/>
      </w:pPr>
      <w:r>
        <w:t xml:space="preserve">The final argument typically advanced to support a reduced tax rate applicable to net capital gain is to ameliorate the bunching effect, if any. Because of the realization requirement, the appreciation is often included in Gross Income entirely in one taxable year, instead of piecemeal over multiple years as it economically accrues. Thus, a portion of gain that would otherwise have fallen within, say, the 28% bracket each year under a mark-to-market system may be taxed at, say, 35% or 39.6% if taxed entirely in the (later) realization year. </w:t>
      </w:r>
    </w:p>
    <w:p w:rsidR="0078310B" w:rsidRDefault="0078310B" w:rsidP="0078310B">
      <w:pPr>
        <w:widowControl w:val="0"/>
        <w:spacing w:after="120"/>
        <w:ind w:firstLine="288"/>
        <w:jc w:val="both"/>
      </w:pPr>
      <w:r>
        <w:t>One rejoinder is that because most taxable capital gain is realized by taxpayers who are already otherwise in the highest tax brackets,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15%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rsidR="0078310B" w:rsidRPr="00655568" w:rsidRDefault="0078310B" w:rsidP="0078310B">
      <w:pPr>
        <w:pStyle w:val="Heading3"/>
        <w:spacing w:before="0" w:beforeAutospacing="0" w:after="120" w:afterAutospacing="0"/>
        <w:rPr>
          <w:i/>
        </w:rPr>
      </w:pPr>
      <w:bookmarkStart w:id="272" w:name="_Toc395790568"/>
      <w:r w:rsidRPr="00655568">
        <w:rPr>
          <w:i/>
        </w:rPr>
        <w:t>The definition of “net capital gain”</w:t>
      </w:r>
      <w:bookmarkEnd w:id="272"/>
    </w:p>
    <w:p w:rsidR="0078310B" w:rsidRDefault="0078310B" w:rsidP="0078310B">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gains are subject to the rate preference in § 1(h). Not even all </w:t>
      </w:r>
      <w:r w:rsidRPr="00C95192">
        <w:rPr>
          <w:i/>
        </w:rPr>
        <w:t>long-term</w:t>
      </w:r>
      <w:r>
        <w:t xml:space="preserve"> capital gains are subject to the rate preference. Nevertheless, as explored below, a taxpayer must have at least </w:t>
      </w:r>
      <w:r w:rsidRPr="00C95192">
        <w:rPr>
          <w:i/>
        </w:rPr>
        <w:t>some</w:t>
      </w:r>
      <w:r>
        <w:t xml:space="preserve"> long-term capital gain to have any hope of preferentially taxed “net capital gain.” </w:t>
      </w:r>
    </w:p>
    <w:p w:rsidR="0078310B" w:rsidRDefault="0078310B" w:rsidP="0078310B">
      <w:pPr>
        <w:widowControl w:val="0"/>
        <w:spacing w:after="120"/>
        <w:ind w:firstLine="288"/>
        <w:jc w:val="both"/>
      </w:pPr>
      <w:r>
        <w:t xml:space="preserve">The preferential § 1(h) rates apply only to </w:t>
      </w:r>
      <w:r w:rsidRPr="00B4784E">
        <w:rPr>
          <w:b/>
        </w:rPr>
        <w:t>“net capital gain,”</w:t>
      </w:r>
      <w:r>
        <w:t xml:space="preserve"> which is defined in </w:t>
      </w:r>
      <w:hyperlink r:id="rId800"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is Codespeak for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rsidR="0078310B" w:rsidRPr="00206D86" w:rsidRDefault="0078310B" w:rsidP="0078310B">
      <w:pPr>
        <w:widowControl w:val="0"/>
        <w:spacing w:after="120"/>
        <w:ind w:firstLine="288"/>
        <w:jc w:val="both"/>
      </w:pPr>
      <w:r>
        <w:t xml:space="preserve">In effect, there are </w:t>
      </w:r>
      <w:r>
        <w:rPr>
          <w:i/>
        </w:rPr>
        <w:t>two</w:t>
      </w:r>
      <w:r>
        <w:t xml:space="preserve"> netting steps in determining net capital gain. In the first netting step, long-term gains and long-term losses are netted together to arrive at a </w:t>
      </w:r>
      <w:r>
        <w:rPr>
          <w:i/>
        </w:rPr>
        <w:t xml:space="preserve">net </w:t>
      </w:r>
      <w:r>
        <w:t xml:space="preserve">long-term figure, and the same is done with short-term gains and losses. At the end of this first netting step,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 under which net short-term capital loss (if any) reduces the net long-term capital gain to arrive at preferentially taxed “net capital gain.” If the taxpayer’s net short-term position is not a loss (but rather a gain), the second-step reduction is zero, meaning that the entire net long-term capital gain satisfies the definition of net capital gain.  </w:t>
      </w:r>
    </w:p>
    <w:p w:rsidR="0078310B" w:rsidRDefault="0078310B" w:rsidP="0078310B">
      <w:pPr>
        <w:widowControl w:val="0"/>
        <w:spacing w:after="120"/>
        <w:ind w:firstLine="288"/>
        <w:jc w:val="both"/>
      </w:pPr>
      <w:r>
        <w:t>Time for a few examples! In each case, Hallie realizes and recognizes the capital gains and losses described below in a single year, and the capital losses are otherwi</w:t>
      </w:r>
      <w:r w:rsidR="003A49EC">
        <w:t>se deductible under § 165(c). A</w:t>
      </w:r>
      <w:r>
        <w:t xml:space="preserve">ssume that Hallie earns enough wage income to have any additional marginal income taxed at 28% if it is not eligible for the § 1(h) rate preference applicable to net capital gain. </w:t>
      </w:r>
    </w:p>
    <w:p w:rsidR="0078310B" w:rsidRPr="00CE06DA" w:rsidRDefault="0078310B" w:rsidP="0078310B">
      <w:pPr>
        <w:widowControl w:val="0"/>
        <w:spacing w:after="120"/>
        <w:jc w:val="center"/>
        <w:rPr>
          <w:b/>
        </w:rPr>
      </w:pPr>
      <w:r>
        <w:rPr>
          <w:b/>
        </w:rPr>
        <w:t>Example 1</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spacing w:after="120"/>
        <w:jc w:val="both"/>
      </w:pPr>
      <w:r>
        <w:t xml:space="preserve">            $14,000                          $10,000                           $3,000                            $5,000</w:t>
      </w:r>
    </w:p>
    <w:p w:rsidR="0078310B" w:rsidRPr="00CE06DA" w:rsidRDefault="0078310B" w:rsidP="0078310B">
      <w:pPr>
        <w:widowControl w:val="0"/>
        <w:spacing w:after="120"/>
        <w:jc w:val="both"/>
      </w:pPr>
      <w:r>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rsidR="0078310B" w:rsidRPr="00CE06DA" w:rsidRDefault="0078310B" w:rsidP="0078310B">
      <w:pPr>
        <w:widowControl w:val="0"/>
        <w:spacing w:after="120"/>
        <w:jc w:val="center"/>
      </w:pPr>
      <w:r>
        <w:rPr>
          <w:b/>
        </w:rPr>
        <w:t>Example 2</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spacing w:after="120"/>
        <w:jc w:val="both"/>
      </w:pPr>
      <w:r>
        <w:t xml:space="preserve">            $10,000                             $0                                $0                                  $5,000</w:t>
      </w:r>
    </w:p>
    <w:p w:rsidR="0078310B" w:rsidRDefault="0078310B" w:rsidP="0078310B">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rsidR="0078310B" w:rsidRPr="00CE06DA" w:rsidRDefault="0078310B" w:rsidP="0078310B">
      <w:pPr>
        <w:widowControl w:val="0"/>
        <w:spacing w:after="120"/>
        <w:jc w:val="center"/>
      </w:pPr>
      <w:r>
        <w:rPr>
          <w:b/>
        </w:rPr>
        <w:t>Example 3</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spacing w:after="120"/>
        <w:jc w:val="both"/>
      </w:pPr>
      <w:r>
        <w:t xml:space="preserve">            $2,000                          $3,000                           $7,000                              $2,000</w:t>
      </w:r>
    </w:p>
    <w:p w:rsidR="0078310B" w:rsidRDefault="0078310B" w:rsidP="0078310B">
      <w:pPr>
        <w:widowControl w:val="0"/>
        <w:spacing w:after="120"/>
        <w:jc w:val="both"/>
      </w:pPr>
      <w:r>
        <w:t xml:space="preserve">Hallie can fully deduct the $5,000 in aggregate capital losses under § 1211(b). Even though Hallie realizes more capital gains this year than capital losses, she has no net capital gain. The first required ingredient under § 1222(11) is net long-term capital gain, and Hallie has none. Rather, she realizes a net long-term capital </w:t>
      </w:r>
      <w:r>
        <w:rPr>
          <w:i/>
        </w:rPr>
        <w:t>loss</w:t>
      </w:r>
      <w:r>
        <w:t>. The analysis stops. Although Hallie can deduct 100% of her $5,000 in aggregate capital losses under § 1211(b), the remaining $4,000 of capital gain that is not offset by her capital losses will be subject to the 28% bracket that the initial facts state otherwise applies to any marginal gain or income not eligible for the § 1(h) rate preference.</w:t>
      </w:r>
    </w:p>
    <w:p w:rsidR="0078310B" w:rsidRDefault="0078310B" w:rsidP="0078310B">
      <w:pPr>
        <w:widowControl w:val="0"/>
        <w:spacing w:after="120"/>
        <w:ind w:firstLine="288"/>
        <w:jc w:val="both"/>
      </w:pPr>
      <w:r>
        <w:t xml:space="preserve">When you look at Example 3 closely, you can appreciate that the $4,000 of remaining capital gain (after deducting her capital losses) is necessarily short-term gain, and Congress has never allowed short-term capital gains to qualify for reduced taxation. Only long-term gains could plausibly implicate the assorted rationales described in Part B., above, for a reduced tax rate, such as bunching, inflation gain, risk capital, </w:t>
      </w:r>
      <w:r>
        <w:rPr>
          <w:i/>
        </w:rPr>
        <w:t>etc.</w:t>
      </w:r>
    </w:p>
    <w:p w:rsidR="0078310B" w:rsidRDefault="0078310B" w:rsidP="0078310B">
      <w:pPr>
        <w:widowControl w:val="0"/>
        <w:spacing w:after="120"/>
        <w:jc w:val="center"/>
      </w:pPr>
      <w:r>
        <w:rPr>
          <w:b/>
        </w:rPr>
        <w:t>Example 4</w:t>
      </w:r>
    </w:p>
    <w:p w:rsidR="0078310B" w:rsidRDefault="0078310B" w:rsidP="0078310B">
      <w:pPr>
        <w:widowControl w:val="0"/>
        <w:spacing w:after="120"/>
        <w:jc w:val="both"/>
      </w:pPr>
      <w:r>
        <w:t xml:space="preserve">    </w:t>
      </w:r>
      <w:r>
        <w:rPr>
          <w:u w:val="single"/>
        </w:rPr>
        <w:t>long-term cap gain</w:t>
      </w:r>
      <w:r>
        <w:t xml:space="preserve">        </w:t>
      </w:r>
      <w:r>
        <w:rPr>
          <w:u w:val="single"/>
        </w:rPr>
        <w:t>long-term cap loss</w:t>
      </w:r>
      <w:r>
        <w:t xml:space="preserve">         </w:t>
      </w:r>
      <w:r>
        <w:rPr>
          <w:u w:val="single"/>
        </w:rPr>
        <w:t>short-term cap gain</w:t>
      </w:r>
      <w:r>
        <w:t xml:space="preserve">        </w:t>
      </w:r>
      <w:r>
        <w:rPr>
          <w:u w:val="single"/>
        </w:rPr>
        <w:t>short-term cap loss</w:t>
      </w:r>
    </w:p>
    <w:p w:rsidR="0078310B" w:rsidRDefault="0078310B" w:rsidP="0078310B">
      <w:pPr>
        <w:widowControl w:val="0"/>
        <w:spacing w:after="120"/>
        <w:jc w:val="both"/>
      </w:pPr>
      <w:r>
        <w:t xml:space="preserve">            $9,000                          $1,000                               $5,000                               $0</w:t>
      </w:r>
    </w:p>
    <w:p w:rsidR="0078310B" w:rsidRDefault="0078310B" w:rsidP="0078310B">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the 28% bracket that the initial facts state otherwise applies to any marginal gain or income not eligible for the § 1(h) rate preference.</w:t>
      </w:r>
    </w:p>
    <w:p w:rsidR="0078310B" w:rsidRPr="00655568" w:rsidRDefault="0078310B" w:rsidP="0078310B">
      <w:pPr>
        <w:pStyle w:val="Heading3"/>
        <w:spacing w:before="0" w:beforeAutospacing="0" w:after="120" w:afterAutospacing="0"/>
        <w:rPr>
          <w:i/>
        </w:rPr>
      </w:pPr>
      <w:bookmarkStart w:id="273" w:name="_Toc395790569"/>
      <w:r w:rsidRPr="00655568">
        <w:rPr>
          <w:i/>
        </w:rPr>
        <w:t>Planning possibilities regarding the timing of realized capital gains and losses</w:t>
      </w:r>
      <w:bookmarkEnd w:id="273"/>
    </w:p>
    <w:p w:rsidR="0078310B" w:rsidRDefault="0078310B" w:rsidP="0078310B">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income (under the $3,000 § 1211(b) </w:t>
      </w:r>
      <w:r>
        <w:rPr>
          <w:i/>
        </w:rPr>
        <w:t xml:space="preserve">de minimis </w:t>
      </w:r>
      <w:r>
        <w:t xml:space="preserve">rule). </w:t>
      </w:r>
    </w:p>
    <w:p w:rsidR="0078310B" w:rsidRDefault="0078310B" w:rsidP="0078310B">
      <w:pPr>
        <w:widowControl w:val="0"/>
        <w:spacing w:after="120"/>
        <w:ind w:firstLine="288"/>
        <w:jc w:val="both"/>
      </w:pPr>
      <w:r>
        <w:t xml:space="preserve">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often put to more efficient tax use by deducting them against high-taxed, short-term capital gain or ordinary income to the extent feasible. The tax saved by using capital losses to offset high-taxed income instead of low-taxed income can often more than offset any time-value-of-money cost from deferring a deduction to the next taxable year. </w:t>
      </w:r>
    </w:p>
    <w:p w:rsidR="0078310B" w:rsidRDefault="0078310B" w:rsidP="0078310B">
      <w:pPr>
        <w:widowControl w:val="0"/>
        <w:spacing w:after="120"/>
        <w:ind w:firstLine="288"/>
        <w:jc w:val="both"/>
      </w:pPr>
      <w:r>
        <w:t xml:space="preserve">For example, assume that Ryan has already realized a $3,000 long-term capital gain in Year 1. It is December of Year 1, and he is considering selling shares of corporate stock (a capital asset in his hands) with an unrealized long-term capital loss of $3,000, but he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Taxable Income is taxed at a flat 28% rate and (2) Ryan’s net capital gain, if any, is taxed at 15% under § 1(h).  </w:t>
      </w:r>
    </w:p>
    <w:p w:rsidR="0078310B" w:rsidRDefault="0078310B" w:rsidP="0078310B">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rsidR="0078310B" w:rsidRPr="00430E97" w:rsidRDefault="0078310B" w:rsidP="0078310B">
      <w:pPr>
        <w:widowControl w:val="0"/>
        <w:spacing w:after="120"/>
        <w:jc w:val="center"/>
      </w:pPr>
      <w:r>
        <w:rPr>
          <w:b/>
        </w:rPr>
        <w:t xml:space="preserve">If Ryan sells in </w:t>
      </w:r>
      <w:r w:rsidRPr="00430E97">
        <w:rPr>
          <w:b/>
        </w:rPr>
        <w:t>Year 1</w:t>
      </w:r>
    </w:p>
    <w:p w:rsidR="0078310B" w:rsidRDefault="0078310B" w:rsidP="0078310B">
      <w:pPr>
        <w:widowControl w:val="0"/>
        <w:spacing w:after="120"/>
        <w:ind w:firstLine="288"/>
        <w:jc w:val="both"/>
      </w:pPr>
      <w:r>
        <w:t xml:space="preserve">In Year 1, Ryan includes the $3,000 in long-term capital gain, deducts the $3,000 in long-term capital loss, and has no net capital gain subject to the 15% preferential tax rate. His remaining $100,000 of Taxable Income produces a tax of $28,000 in our simplified world in which his Taxable Income is taxed at a flat 28% rate ($100,000 x .28). </w:t>
      </w:r>
    </w:p>
    <w:p w:rsidR="0078310B" w:rsidRDefault="0078310B" w:rsidP="0078310B">
      <w:pPr>
        <w:widowControl w:val="0"/>
        <w:spacing w:after="120"/>
        <w:ind w:firstLine="288"/>
        <w:jc w:val="both"/>
      </w:pPr>
      <w:r w:rsidRPr="0079006C">
        <w:t>In</w:t>
      </w:r>
      <w:r>
        <w:t xml:space="preserve"> Year 2, Ryan has no capital gain to include or capital loss to deduct, again has $100,000 of Taxable Income, and again pays $28,000 in tax ($100,000 x .28). </w:t>
      </w:r>
    </w:p>
    <w:p w:rsidR="0078310B" w:rsidRDefault="0078310B" w:rsidP="0078310B">
      <w:pPr>
        <w:widowControl w:val="0"/>
        <w:spacing w:after="120"/>
        <w:ind w:firstLine="288"/>
        <w:jc w:val="both"/>
      </w:pPr>
      <w:r>
        <w:t xml:space="preserve">Over both years, Ryan pays a total tax of $56,000. </w:t>
      </w:r>
    </w:p>
    <w:p w:rsidR="0078310B" w:rsidRPr="00430E97" w:rsidRDefault="0078310B" w:rsidP="0078310B">
      <w:pPr>
        <w:widowControl w:val="0"/>
        <w:spacing w:after="120"/>
        <w:jc w:val="center"/>
      </w:pPr>
      <w:r>
        <w:rPr>
          <w:b/>
        </w:rPr>
        <w:t>If Ryan</w:t>
      </w:r>
      <w:r w:rsidRPr="00430E97">
        <w:rPr>
          <w:b/>
        </w:rPr>
        <w:t xml:space="preserve"> sells in Year 2</w:t>
      </w:r>
    </w:p>
    <w:p w:rsidR="0078310B" w:rsidRDefault="0078310B" w:rsidP="0078310B">
      <w:pPr>
        <w:widowControl w:val="0"/>
        <w:spacing w:after="120"/>
        <w:ind w:firstLine="288"/>
        <w:jc w:val="both"/>
      </w:pPr>
      <w:r>
        <w:t>In Year 1, Ryan includes the $3,000 in long-term capital gain and does not deduct the $3,000 of unrealized loss, producing a $450 tax on the $3,000 of net capital gain under § 1(h) ($3,000 x .15). In addition, Ryan owes $28,000 in tax on his remaining $100,000 of Taxable Income ($100,000 x .28). Thus, he would pay total tax of $28,450.</w:t>
      </w:r>
    </w:p>
    <w:p w:rsidR="0078310B" w:rsidRDefault="0078310B" w:rsidP="0078310B">
      <w:pPr>
        <w:widowControl w:val="0"/>
        <w:spacing w:after="120"/>
        <w:ind w:firstLine="288"/>
        <w:jc w:val="both"/>
      </w:pPr>
      <w:r>
        <w:t xml:space="preserve">In Year 2, Ryan realizes the $3,000 capital loss, which he deducts under the § 1211(b) </w:t>
      </w:r>
      <w:r>
        <w:rPr>
          <w:i/>
        </w:rPr>
        <w:t>de minimis</w:t>
      </w:r>
      <w:r>
        <w:t xml:space="preserve"> rule against his high-taxed wage income, leaving $97,000 in Taxable Income. He pays tax of $27,160 ($97,000 x .28). </w:t>
      </w:r>
    </w:p>
    <w:p w:rsidR="0078310B" w:rsidRDefault="0078310B" w:rsidP="0078310B">
      <w:pPr>
        <w:widowControl w:val="0"/>
        <w:spacing w:after="120"/>
        <w:ind w:firstLine="288"/>
        <w:jc w:val="both"/>
      </w:pPr>
      <w:r>
        <w:t xml:space="preserve">Over both years, Ryan pays a total tax of $55,610. </w:t>
      </w:r>
    </w:p>
    <w:p w:rsidR="0078310B" w:rsidRDefault="0078310B" w:rsidP="0078310B">
      <w:pPr>
        <w:widowControl w:val="0"/>
        <w:spacing w:after="120"/>
        <w:ind w:firstLine="288"/>
        <w:jc w:val="both"/>
      </w:pPr>
      <w:r>
        <w:t xml:space="preserve">By waiting for a few weeks to sell the loss stock in January of Year 2 (instead of December of Year 1), Ryan saves $390 in tax! This $390 represents the difference between the $450 in 15% tax that he paid on his $3,000 net capital gain in Year 1 and the $840 in Year-2 tax </w:t>
      </w:r>
      <w:r w:rsidRPr="00286ADB">
        <w:rPr>
          <w:i/>
        </w:rPr>
        <w:t>savings</w:t>
      </w:r>
      <w:r>
        <w:t xml:space="preserve"> by deducting the $3,000 capital loss against income that otherwise would have been taxed at 28%. </w:t>
      </w:r>
    </w:p>
    <w:p w:rsidR="0078310B" w:rsidRDefault="0078310B" w:rsidP="0078310B">
      <w:pPr>
        <w:widowControl w:val="0"/>
        <w:spacing w:after="120"/>
        <w:ind w:firstLine="288"/>
        <w:jc w:val="both"/>
      </w:pPr>
      <w:r>
        <w:t xml:space="preserve">Of course, Ryan lost one year of time value of money by deferring his $3,000 deduction for one year, so we would have to discount his $840 in Year-2 tax savings by the current discount rate, which we shall assume is 3%. Using the present value table in Chapter 1, the present value of his $840 Year-2 tax savings, when viewed from the perspective of Year 1 (which is when he is considering whether or not to sell the loss stock), is $815.64 ($840 x .971). Thus, Ryan should be advised that, when viewed in Year-1 present value terms, he can effectively save $365.64 in tax by deferring the sale of the loss stock from December of Year 1 to January of Year 2 ($815.64 present value of his $840 in Year-2 tax savings </w:t>
      </w:r>
      <w:r>
        <w:rPr>
          <w:i/>
        </w:rPr>
        <w:t xml:space="preserve">less </w:t>
      </w:r>
      <w:r>
        <w:t>$450 present cost of the Year-1 tax on his unreduced $3,000 net capital gain).</w:t>
      </w:r>
    </w:p>
    <w:p w:rsidR="0078310B" w:rsidRDefault="0078310B" w:rsidP="0078310B">
      <w:pPr>
        <w:widowControl w:val="0"/>
        <w:spacing w:after="120"/>
        <w:ind w:firstLine="288"/>
        <w:jc w:val="both"/>
        <w:rPr>
          <w:b/>
        </w:rPr>
      </w:pPr>
      <w:r>
        <w:rPr>
          <w:b/>
        </w:rPr>
        <w:t xml:space="preserve">Individual taxpayers should attempt to use capital losses whenever possible to offset high-taxed ordinary income under the § 1211(b) </w:t>
      </w:r>
      <w:r>
        <w:rPr>
          <w:b/>
          <w:i/>
        </w:rPr>
        <w:t xml:space="preserve">de minimis </w:t>
      </w:r>
      <w:r>
        <w:rPr>
          <w:b/>
        </w:rPr>
        <w:t xml:space="preserve">rule or high-taxed, short-term capital gain under the first netting step in the § 1222(11) definition of “net capital gain” rather than using capital losses to offset low-taxed, long-term capital gain. </w:t>
      </w:r>
    </w:p>
    <w:p w:rsidR="0078310B" w:rsidRDefault="0078310B" w:rsidP="0078310B">
      <w:pPr>
        <w:widowControl w:val="0"/>
        <w:spacing w:after="120"/>
        <w:ind w:firstLine="288"/>
        <w:jc w:val="both"/>
      </w:pPr>
      <w:r>
        <w:t xml:space="preserve">Step back and cogitate about that definition of net capital gain: </w:t>
      </w:r>
      <w:r>
        <w:rPr>
          <w:i/>
        </w:rPr>
        <w:t>net long-term capital gain less net short-term capital loss</w:t>
      </w:r>
      <w:r>
        <w:t xml:space="preserve">. If Ryan has already realized a long-term capital gain and short-term capital loss and is engaging in year-end tax planning, he may consider harvesting a like-amount of short-term capital gain, if possible. In that way, he would accomplish two goals: (1) he would use his short-term capital loss to offset gain (short-term capital gain) that is otherwise not eligible for the § 1(h) rate preference, and (2) he would protect his long-term capital gain. </w:t>
      </w:r>
    </w:p>
    <w:p w:rsidR="0078310B" w:rsidRDefault="0078310B" w:rsidP="0078310B">
      <w:pPr>
        <w:widowControl w:val="0"/>
        <w:ind w:firstLine="288"/>
        <w:jc w:val="both"/>
      </w:pPr>
      <w:r>
        <w:t xml:space="preserve">There are, of course, exceptions to every rule, and Ryan should go ahead and harvest capital losses to offset even low-taxed net capital gain if the gains and losses are substantial, where the $3,000 </w:t>
      </w:r>
      <w:r>
        <w:rPr>
          <w:i/>
        </w:rPr>
        <w:t xml:space="preserve">de minimis </w:t>
      </w:r>
      <w:r>
        <w:t xml:space="preserve">rule is cold comfort and the time-value-of-money cost of deferring deductions for many years is large. Thus, for example, assume that Ryan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high-taxed ordinary income or gain or short-term capital gain). If Ryan deferred Blackacre’s sale until Year 2, he may die before fully deducting that $400,000 in $3,000 increments each year (absent further capital gain realizations). </w:t>
      </w:r>
    </w:p>
    <w:p w:rsidR="0078310B" w:rsidRDefault="0078310B" w:rsidP="0078310B">
      <w:pPr>
        <w:widowControl w:val="0"/>
        <w:ind w:firstLine="288"/>
        <w:jc w:val="both"/>
      </w:pPr>
    </w:p>
    <w:p w:rsidR="0078310B" w:rsidRPr="00E16BFA" w:rsidRDefault="0078310B" w:rsidP="0078310B">
      <w:pPr>
        <w:pStyle w:val="Heading2"/>
        <w:spacing w:before="0"/>
        <w:rPr>
          <w:sz w:val="32"/>
          <w:szCs w:val="32"/>
          <w:u w:val="single"/>
        </w:rPr>
      </w:pPr>
      <w:bookmarkStart w:id="274" w:name="_Toc395790570"/>
      <w:r w:rsidRPr="00E16BFA">
        <w:rPr>
          <w:sz w:val="32"/>
          <w:szCs w:val="32"/>
          <w:u w:val="single"/>
        </w:rPr>
        <w:t>C. The meaning of “capital asset” and “sale or exchange”</w:t>
      </w:r>
      <w:bookmarkEnd w:id="274"/>
      <w:r w:rsidRPr="00E16BFA">
        <w:rPr>
          <w:sz w:val="32"/>
          <w:szCs w:val="32"/>
          <w:u w:val="single"/>
        </w:rPr>
        <w:t xml:space="preserve"> </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The introductory language in </w:t>
      </w:r>
      <w:hyperlink r:id="rId801" w:history="1">
        <w:r w:rsidRPr="00D30336">
          <w:rPr>
            <w:rStyle w:val="Hyperlink"/>
          </w:rPr>
          <w:t>§ 1221</w:t>
        </w:r>
      </w:hyperlink>
      <w:r>
        <w:t xml:space="preserve">(a) defines the universe of capital assets as consisting of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listed those specific assets that </w:t>
      </w:r>
      <w:r>
        <w:rPr>
          <w:i/>
        </w:rPr>
        <w:t>do</w:t>
      </w:r>
      <w:r>
        <w:t xml:space="preserve"> qualify as capital assets, with unlisted assets ineligible for preferential treatment.</w:t>
      </w:r>
    </w:p>
    <w:p w:rsidR="0078310B" w:rsidRDefault="0078310B" w:rsidP="0078310B">
      <w:pPr>
        <w:widowControl w:val="0"/>
        <w:spacing w:after="120"/>
        <w:ind w:firstLine="288"/>
        <w:jc w:val="both"/>
      </w:pPr>
      <w:r>
        <w:t>The material below discusses a few of the more significant exceptions to capital asset treatment found in § 1221.</w:t>
      </w:r>
    </w:p>
    <w:p w:rsidR="0078310B" w:rsidRPr="00CC7C6C" w:rsidRDefault="0078310B" w:rsidP="0078310B">
      <w:pPr>
        <w:pStyle w:val="Heading3"/>
        <w:spacing w:before="0" w:beforeAutospacing="0" w:after="120" w:afterAutospacing="0"/>
        <w:rPr>
          <w:i/>
        </w:rPr>
      </w:pPr>
      <w:bookmarkStart w:id="275" w:name="_Toc395790571"/>
      <w:r w:rsidRPr="00CC7C6C">
        <w:rPr>
          <w:i/>
        </w:rPr>
        <w:t>§ 1221(a)(1): the  inventor or dealer exception</w:t>
      </w:r>
      <w:bookmarkEnd w:id="275"/>
    </w:p>
    <w:p w:rsidR="0078310B" w:rsidRDefault="0078310B" w:rsidP="0078310B">
      <w:pPr>
        <w:widowControl w:val="0"/>
        <w:ind w:firstLine="288"/>
        <w:jc w:val="both"/>
      </w:pPr>
      <w:r>
        <w:t>The very first listed item that fails to qualify as a capital asset is inventory or other property “held by the taxpayer primarily for sale to customers in the ordinary course of his trade or business”—often referred to as the “inventory exception” or “dealer exception” to capital asset treatment. Thus, both taxpayers selling services and taxpayers selling inventory include ordinary income and gain. The Supreme Court has held that the word “primarily” in § 1221(a)(1) means “principally” or “of first importance.”</w:t>
      </w:r>
      <w:r>
        <w:rPr>
          <w:rStyle w:val="FootnoteReference"/>
        </w:rPr>
        <w:footnoteReference w:id="474"/>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in the taxpayer’s hands. </w:t>
      </w:r>
    </w:p>
    <w:p w:rsidR="0078310B" w:rsidRDefault="0078310B" w:rsidP="0078310B">
      <w:pPr>
        <w:widowControl w:val="0"/>
        <w:ind w:firstLine="288"/>
        <w:jc w:val="both"/>
      </w:pPr>
    </w:p>
    <w:p w:rsidR="0078310B" w:rsidRPr="00FD34E3" w:rsidRDefault="0078310B" w:rsidP="0078310B">
      <w:pPr>
        <w:pStyle w:val="Heading3"/>
        <w:spacing w:before="0" w:beforeAutospacing="0" w:after="120" w:afterAutospacing="0"/>
        <w:jc w:val="center"/>
      </w:pPr>
      <w:bookmarkStart w:id="276" w:name="_Toc395790572"/>
      <w:r>
        <w:t>BYRAM v. UNITED STATES</w:t>
      </w:r>
      <w:bookmarkEnd w:id="276"/>
    </w:p>
    <w:p w:rsidR="0078310B" w:rsidRDefault="0078310B" w:rsidP="0078310B">
      <w:pPr>
        <w:widowControl w:val="0"/>
        <w:jc w:val="center"/>
      </w:pPr>
      <w:r>
        <w:t>705 F.2d 1418 (5</w:t>
      </w:r>
      <w:r w:rsidRPr="00FD34E3">
        <w:rPr>
          <w:vertAlign w:val="superscript"/>
        </w:rPr>
        <w:t>th</w:t>
      </w:r>
      <w:r>
        <w:t xml:space="preserve"> Cir. 1983)</w:t>
      </w:r>
    </w:p>
    <w:p w:rsidR="0078310B" w:rsidRDefault="0078310B" w:rsidP="0078310B">
      <w:pPr>
        <w:widowControl w:val="0"/>
        <w:jc w:val="center"/>
      </w:pPr>
    </w:p>
    <w:p w:rsidR="0078310B" w:rsidRDefault="0078310B" w:rsidP="0078310B">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rsidR="0078310B" w:rsidRDefault="0078310B" w:rsidP="0078310B">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75"/>
        <w:t>[1]</w:t>
      </w:r>
    </w:p>
    <w:p w:rsidR="0078310B" w:rsidRDefault="0078310B" w:rsidP="0078310B">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rsidR="0078310B" w:rsidRDefault="0078310B" w:rsidP="0078310B">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rsidR="0078310B" w:rsidRDefault="0078310B" w:rsidP="0078310B">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rsidR="0078310B" w:rsidRDefault="0078310B" w:rsidP="0078310B">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million.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The seventh property had been held for two years and six months.</w:t>
      </w:r>
    </w:p>
    <w:p w:rsidR="0078310B" w:rsidRDefault="0078310B" w:rsidP="0078310B">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rsidR="0078310B" w:rsidRDefault="0078310B" w:rsidP="0078310B">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rsidR="0078310B" w:rsidRDefault="0078310B" w:rsidP="0078310B">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rsidR="0078310B" w:rsidRDefault="0078310B" w:rsidP="0078310B">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rsidR="0078310B" w:rsidRDefault="0078310B" w:rsidP="0078310B">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rsidR="0078310B" w:rsidRDefault="0078310B" w:rsidP="0078310B">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rsidR="0078310B" w:rsidRDefault="0078310B" w:rsidP="0078310B">
      <w:pPr>
        <w:widowControl w:val="0"/>
        <w:spacing w:after="120"/>
        <w:ind w:left="720" w:right="720"/>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rsidR="0078310B" w:rsidRDefault="0078310B" w:rsidP="0078310B">
      <w:pPr>
        <w:widowControl w:val="0"/>
        <w:spacing w:after="120"/>
        <w:jc w:val="both"/>
      </w:pPr>
      <w:r>
        <w:rPr>
          <w:i/>
          <w:iCs/>
        </w:rPr>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rsidR="0078310B" w:rsidRDefault="0078310B" w:rsidP="0078310B">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76"/>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rsidR="0078310B" w:rsidRDefault="0078310B" w:rsidP="0078310B">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77"/>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78"/>
        <w:t>[13]</w:t>
      </w:r>
    </w:p>
    <w:p w:rsidR="0078310B" w:rsidRDefault="0078310B" w:rsidP="0078310B">
      <w:pPr>
        <w:widowControl w:val="0"/>
        <w:ind w:firstLine="288"/>
        <w:jc w:val="both"/>
      </w:pPr>
      <w:r>
        <w:t xml:space="preserve">Mr. Byram has presented us with a close case. Had we been called upon to try or retry the facts, perhaps we would have drawn different inferences than did the district court. However, …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rsidR="0078310B" w:rsidRDefault="0078310B" w:rsidP="0078310B">
      <w:pPr>
        <w:widowControl w:val="0"/>
        <w:jc w:val="center"/>
      </w:pPr>
      <w:r>
        <w:t>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79"/>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rsidR="0078310B" w:rsidRDefault="0078310B" w:rsidP="0078310B">
      <w:pPr>
        <w:widowControl w:val="0"/>
        <w:spacing w:after="120"/>
        <w:ind w:left="720" w:right="720"/>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rsidR="0078310B" w:rsidRDefault="0078310B" w:rsidP="0078310B">
      <w:pPr>
        <w:pStyle w:val="NormalWeb"/>
        <w:widowControl w:val="0"/>
        <w:spacing w:before="0" w:beforeAutospacing="0" w:after="120" w:afterAutospacing="0"/>
        <w:ind w:firstLine="288"/>
        <w:jc w:val="both"/>
      </w:pPr>
      <w:r>
        <w:t xml:space="preserve">Today, </w:t>
      </w:r>
      <w:hyperlink r:id="rId802"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rsidR="0078310B" w:rsidRDefault="0078310B" w:rsidP="0078310B">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80"/>
      </w:r>
      <w:r>
        <w:t xml:space="preserve"> </w:t>
      </w:r>
    </w:p>
    <w:p w:rsidR="0078310B" w:rsidRPr="00CC7C6C" w:rsidRDefault="0078310B" w:rsidP="0078310B">
      <w:pPr>
        <w:pStyle w:val="Heading3"/>
        <w:spacing w:before="0" w:beforeAutospacing="0" w:after="120" w:afterAutospacing="0"/>
        <w:rPr>
          <w:i/>
        </w:rPr>
      </w:pPr>
      <w:bookmarkStart w:id="277" w:name="_Toc395790573"/>
      <w:r w:rsidRPr="00CC7C6C">
        <w:rPr>
          <w:i/>
        </w:rPr>
        <w:t>§ 1221(a)(2): certain property “used” in the taxpayer’s trade or business</w:t>
      </w:r>
      <w:bookmarkEnd w:id="277"/>
    </w:p>
    <w:p w:rsidR="0078310B" w:rsidRDefault="0078310B" w:rsidP="0078310B">
      <w:pPr>
        <w:widowControl w:val="0"/>
        <w:spacing w:after="120"/>
        <w:ind w:firstLine="288"/>
        <w:jc w:val="both"/>
      </w:pPr>
      <w:r>
        <w:t xml:space="preserve"> </w:t>
      </w:r>
      <w:hyperlink r:id="rId803"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property is depreciable. Thus,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rsidR="0078310B" w:rsidRDefault="0078310B" w:rsidP="0078310B">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Thus,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rsidR="0078310B" w:rsidRPr="00CC7C6C" w:rsidRDefault="0078310B" w:rsidP="0078310B">
      <w:pPr>
        <w:pStyle w:val="Heading3"/>
        <w:spacing w:before="0" w:beforeAutospacing="0" w:after="120" w:afterAutospacing="0"/>
        <w:rPr>
          <w:i/>
        </w:rPr>
      </w:pPr>
      <w:bookmarkStart w:id="278" w:name="_Toc395790574"/>
      <w:r w:rsidRPr="00CC7C6C">
        <w:rPr>
          <w:i/>
        </w:rPr>
        <w:t>§ 1221(a)(3): certain copyrights, works of art, musical compositions, and similar property</w:t>
      </w:r>
      <w:bookmarkEnd w:id="278"/>
    </w:p>
    <w:p w:rsidR="0078310B" w:rsidRDefault="0078310B" w:rsidP="0078310B">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rsidR="0078310B" w:rsidRDefault="0078310B" w:rsidP="0078310B">
      <w:pPr>
        <w:widowControl w:val="0"/>
        <w:spacing w:after="120"/>
        <w:ind w:firstLine="288"/>
        <w:jc w:val="both"/>
      </w:pPr>
      <w:r>
        <w:t xml:space="preserve">Jacob’s basis in the painting would be very low, equal to the nondeductible cost of the canvas and paints (capital expenditures) that he used to create the work of art, say, $100. Thus, he realizes a $900 gain when he sells it to the gallery for $1,000. The gallery’s basis in the painting is its $1,000 purchase cost under § 1012, and it realizes a $1,500 gain when it sells it to the lawyer for $2,500. Finally, the lawyer’s basis in the painting is her $2,500 purchase cost under § 1012, and she realizes a $2,500 gain when she sells it to her friend for $5,000. Each of these taxpayers must include the realized gain in Gross Income, as no nonrecognition provision is available, so each must determine the character of the gain. </w:t>
      </w:r>
    </w:p>
    <w:p w:rsidR="0078310B" w:rsidRDefault="002B3596" w:rsidP="0078310B">
      <w:pPr>
        <w:widowControl w:val="0"/>
        <w:spacing w:after="120"/>
        <w:ind w:firstLine="288"/>
        <w:jc w:val="both"/>
      </w:pPr>
      <w:hyperlink r:id="rId804" w:history="1">
        <w:r w:rsidR="0078310B" w:rsidRPr="00D30336">
          <w:rPr>
            <w:rStyle w:val="Hyperlink"/>
          </w:rPr>
          <w:t>Section 1221</w:t>
        </w:r>
      </w:hyperlink>
      <w:r w:rsidR="0078310B">
        <w:t xml:space="preserve">(a)(3) provides that “a copyright, a literary, musical, or artistic composition, a letter or memorandum, or similar property” is not a capital asset if “held by” certain taxpayers. Under § 1221(a)(3)(A), the canvas is not a capital asset in Jacob’s hands, as his personal efforts created the painting. Thus, Jacob’s $900 realized gain is ordinary, not capital, gain. While not compensation </w:t>
      </w:r>
      <w:r w:rsidR="0078310B">
        <w:rPr>
          <w:i/>
        </w:rPr>
        <w:t>per se</w:t>
      </w:r>
      <w:r w:rsidR="0078310B">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The painting is not described in either § 1221(a)(1) or any of the subsections in § 1221(a)(3) in the hands of the lawyer, however, which means that the painting </w:t>
      </w:r>
      <w:r w:rsidR="0078310B" w:rsidRPr="00A900C5">
        <w:rPr>
          <w:i/>
        </w:rPr>
        <w:t>is</w:t>
      </w:r>
      <w:r w:rsidR="0078310B">
        <w:t xml:space="preserve"> a capital asset in her hands under the introductory clause of § 1221(a), resulting in $2,500 of capital gain when she sells it to her friend. </w:t>
      </w:r>
    </w:p>
    <w:p w:rsidR="0078310B" w:rsidRDefault="0078310B" w:rsidP="0078310B">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805" w:history="1">
        <w:r w:rsidRPr="00D30336">
          <w:rPr>
            <w:rStyle w:val="Hyperlink"/>
          </w:rPr>
          <w:t>§ 1221</w:t>
        </w:r>
      </w:hyperlink>
      <w:r>
        <w:t>(a)(3)(C) because her basis in the painting is determined “in whole or in part” by reference to Jacob’s basis, and Jacob is described in § 1221(a)(3)(A). Thus, Lori’s $4,900 gain is ordinary gain. In short, Jacob’s gift does not launder out the “ordinary” taint.</w:t>
      </w:r>
    </w:p>
    <w:p w:rsidR="0078310B" w:rsidRDefault="0078310B" w:rsidP="0078310B">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rsidR="0078310B" w:rsidRDefault="0078310B" w:rsidP="0078310B">
      <w:pPr>
        <w:widowControl w:val="0"/>
        <w:spacing w:after="120"/>
        <w:ind w:firstLine="288"/>
        <w:jc w:val="both"/>
      </w:pPr>
      <w:r>
        <w:t xml:space="preserve">Becky does not take Jacob’s $100 basis under § 1015(a) but rather takes a basis equal to the painting’s appraised value at Jacob’s death of $20,000 under § 1014(a), producing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Thus, Becky’s gain is capital gain. Moreover, even though she held the painting for only 9 months prior to its sale, she is deemed to have held it for more than a year under § 1223(9), so Becky’s gain is long-term capital gain. </w:t>
      </w:r>
    </w:p>
    <w:p w:rsidR="0078310B" w:rsidRDefault="0078310B" w:rsidP="0078310B">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18). You learned in Chapter 7 that the making of a gift is not a realization event in the United States. Thus,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under § 170, representing after-tax dollars, rather than the property’s $500 FMV. Nevertheless, as you will learn in Chapter 18, Mark is permitted to deduct the full $500 FMV of the property (thus enjoying a double tax benefit—both exclusion and deduction—of the same $400 built-in gain) if, among other requirements, the property’s built-in gain represents long-term capital gain (rather than ordinary gain or short-term capital gain).</w:t>
      </w:r>
    </w:p>
    <w:p w:rsidR="0078310B" w:rsidRDefault="0078310B" w:rsidP="0078310B">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81"/>
      </w:r>
      <w:r>
        <w:t xml:space="preserve"> The contribution lawfully permitted him to deduct the FMV of the contributed items on his 1968 tax return because the built-in gain with respect to the papers (essentially their entire FMV) would have constituted long-term capital gain, and the other requirements in § 170 allowing a full FMV deduction were satisfied. </w:t>
      </w:r>
    </w:p>
    <w:p w:rsidR="0078310B" w:rsidRPr="004A42AB" w:rsidRDefault="0078310B" w:rsidP="0078310B">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essentially nothing.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donated until 1970. The </w:t>
      </w:r>
      <w:r>
        <w:rPr>
          <w:i/>
        </w:rPr>
        <w:t>Washington Post</w:t>
      </w:r>
      <w:r>
        <w:t xml:space="preserve"> broke the story in June of 1973, and the Joint Committee on Taxation investigated, concluding that President Nixon owed a total of $432,787 in back taxes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of the United States.”</w:t>
      </w:r>
      <w:r>
        <w:rPr>
          <w:rStyle w:val="FootnoteReference"/>
        </w:rPr>
        <w:footnoteReference w:id="482"/>
      </w:r>
    </w:p>
    <w:p w:rsidR="0078310B" w:rsidRDefault="0078310B" w:rsidP="0078310B">
      <w:pPr>
        <w:widowControl w:val="0"/>
        <w:spacing w:after="120"/>
        <w:ind w:firstLine="288"/>
        <w:jc w:val="both"/>
      </w:pPr>
      <w:r>
        <w:t>You cannot make this stuff up!</w:t>
      </w:r>
    </w:p>
    <w:p w:rsidR="0078310B" w:rsidRPr="00CC7C6C" w:rsidRDefault="0078310B" w:rsidP="0078310B">
      <w:pPr>
        <w:pStyle w:val="Heading3"/>
        <w:spacing w:before="0" w:beforeAutospacing="0" w:after="120" w:afterAutospacing="0"/>
        <w:rPr>
          <w:i/>
        </w:rPr>
      </w:pPr>
      <w:bookmarkStart w:id="279" w:name="_Toc395790575"/>
      <w:r w:rsidRPr="00CC7C6C">
        <w:rPr>
          <w:i/>
        </w:rPr>
        <w:t>§ 1221(b)(3): the election for self-created musical works</w:t>
      </w:r>
      <w:bookmarkEnd w:id="279"/>
    </w:p>
    <w:p w:rsidR="0078310B" w:rsidRPr="00805921" w:rsidRDefault="0078310B" w:rsidP="0078310B">
      <w:pPr>
        <w:widowControl w:val="0"/>
        <w:spacing w:after="120"/>
        <w:ind w:firstLine="288"/>
        <w:jc w:val="both"/>
      </w:pPr>
      <w:r>
        <w:t xml:space="preserve">Enacted in 2005 as a temporary measure but made in permanent in 2006, </w:t>
      </w:r>
      <w:hyperlink r:id="rId806"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83"/>
      </w:r>
      <w:r>
        <w:t xml:space="preserve"> which permits song writers to elect to treat their songs as capital assets, notwithstanding §§ 1221(a)(1) and (a)(3)(A) (though not for purposes of the charitable contribution deduction). Why should the sale of self-created songs create low-taxed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84"/>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p>
    <w:p w:rsidR="0078310B" w:rsidRPr="00805921" w:rsidRDefault="0078310B" w:rsidP="0078310B">
      <w:pPr>
        <w:widowControl w:val="0"/>
        <w:spacing w:after="120"/>
        <w:ind w:firstLine="288"/>
        <w:jc w:val="both"/>
      </w:pPr>
      <w:r w:rsidRPr="00805921">
        <w:t xml:space="preserve">The sale of a patent also qualifies for capital gain treatment under </w:t>
      </w:r>
      <w:hyperlink r:id="rId807" w:history="1">
        <w:r w:rsidRPr="000656B3">
          <w:rPr>
            <w:rStyle w:val="Hyperlink"/>
          </w:rPr>
          <w:t>§ 1235</w:t>
        </w:r>
      </w:hyperlink>
      <w:r w:rsidRPr="00805921">
        <w:t>—even if the patent is sold by the inventor, in which case the sale represents a return on his or her labor. Moreover, the gain is treated as capital gain even if the consideration is contingent on use of the patent akin to a royalty (which is otherwise treated as ordinary income). While a stretch, perhaps such favorable treatment for patents sold by their inventors can be justified by the positive externalities that scientific and technology advancements can sometimes generate. Can preferential treatment for musical compositions sold by their composers be defended on similar terms?</w:t>
      </w:r>
    </w:p>
    <w:p w:rsidR="0078310B" w:rsidRPr="00805921" w:rsidRDefault="0078310B" w:rsidP="0078310B">
      <w:pPr>
        <w:pStyle w:val="Heading3"/>
        <w:spacing w:before="0" w:beforeAutospacing="0" w:after="120" w:afterAutospacing="0"/>
        <w:rPr>
          <w:i/>
          <w:szCs w:val="24"/>
        </w:rPr>
      </w:pPr>
      <w:bookmarkStart w:id="280" w:name="_Toc395790576"/>
      <w:r w:rsidRPr="00805921">
        <w:rPr>
          <w:i/>
          <w:szCs w:val="24"/>
        </w:rPr>
        <w:t>§ 1221(a)(7): hedging transactions</w:t>
      </w:r>
      <w:bookmarkEnd w:id="280"/>
    </w:p>
    <w:p w:rsidR="0078310B" w:rsidRPr="00805921" w:rsidRDefault="0078310B" w:rsidP="0078310B">
      <w:pPr>
        <w:widowControl w:val="0"/>
        <w:spacing w:after="120"/>
        <w:ind w:firstLine="288"/>
        <w:jc w:val="both"/>
      </w:pPr>
      <w:r w:rsidRPr="00805921">
        <w:t xml:space="preserve">To understand the history behind </w:t>
      </w:r>
      <w:hyperlink r:id="rId808" w:history="1">
        <w:r w:rsidRPr="000656B3">
          <w:rPr>
            <w:rStyle w:val="Hyperlink"/>
          </w:rPr>
          <w:t>§ 1221</w:t>
        </w:r>
      </w:hyperlink>
      <w:r w:rsidRPr="00805921">
        <w:t>(a)(7), we need to take a little detour first to talk about commodities futures contracts.</w:t>
      </w:r>
    </w:p>
    <w:p w:rsidR="0078310B" w:rsidRDefault="0078310B" w:rsidP="0078310B">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be sure of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On the other side, Paul Producer, a corn syrup manufacturer wanting to be sure of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rsidR="0078310B" w:rsidRDefault="0078310B" w:rsidP="0078310B">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rsidR="0078310B" w:rsidRDefault="0078310B" w:rsidP="0078310B">
      <w:pPr>
        <w:widowControl w:val="0"/>
        <w:spacing w:after="120"/>
        <w:ind w:firstLine="288"/>
        <w:jc w:val="both"/>
      </w:pPr>
      <w:r>
        <w:t xml:space="preserve">For example, assume that Samantha Speculator signs in to her online trading account at 10:00 a.m. on February 3 of Year 1 and buys one Year-1 June corn futures contract for the current market price of $1.00 per bushel. Later that day, Samantha notices that one June corn futures contract is now trading at $1.04 per bushel, and she sells the contract that she bought earlier that day. One corn futures contract is 5,000 bushels, which means that Samantha actually paid $5,000 for her one corn futures contract (typically with borrowed money to a large extent), and she realizes $5,200 on the sale, for a profit of $200. </w:t>
      </w:r>
    </w:p>
    <w:p w:rsidR="0078310B" w:rsidRDefault="0078310B" w:rsidP="0078310B">
      <w:pPr>
        <w:widowControl w:val="0"/>
        <w:spacing w:after="120"/>
        <w:ind w:firstLine="288"/>
        <w:jc w:val="both"/>
      </w:pPr>
      <w:r>
        <w:t xml:space="preserve">What is the character of Samantha’s gain? Under </w:t>
      </w:r>
      <w:hyperlink r:id="rId809"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at the end of each year. Thus, if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rsidR="0078310B" w:rsidRDefault="0078310B" w:rsidP="0078310B">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85"/>
      </w:r>
      <w:r>
        <w:t xml:space="preserve"> This tax expenditure loses about $2 billion in tax revenue each year. But I digress….</w:t>
      </w:r>
    </w:p>
    <w:p w:rsidR="0078310B" w:rsidRDefault="0078310B" w:rsidP="0078310B">
      <w:pPr>
        <w:widowControl w:val="0"/>
        <w:spacing w:after="120"/>
        <w:ind w:firstLine="288"/>
        <w:jc w:val="both"/>
      </w:pPr>
      <w:r>
        <w:t>Under § 1256, losses realized on the sale of a futures contract are capital losses</w:t>
      </w:r>
      <w:r w:rsidR="000656B3">
        <w:t xml:space="preserve"> (60% long-term loss and 40% short-term loss)</w:t>
      </w:r>
      <w:r>
        <w:t>, and you know from Part A. that capital losses that are otherwise deductible under § 165 are nevertheless subject to the § 1211(b) limitation rule. That is to say, capital losses (whether long term or short term) are deductible in the realization year only to the extent of realized and recognized capital gains (whether long term or short term) plus, for individuals, up to $3,000 of included ordinary income.</w:t>
      </w:r>
    </w:p>
    <w:p w:rsidR="0078310B" w:rsidRDefault="0078310B" w:rsidP="0078310B">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86"/>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rsidR="0078310B" w:rsidRDefault="0078310B" w:rsidP="0078310B">
      <w:pPr>
        <w:widowControl w:val="0"/>
        <w:spacing w:after="120"/>
        <w:ind w:left="720" w:right="720"/>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87"/>
      </w:r>
    </w:p>
    <w:p w:rsidR="0078310B" w:rsidRDefault="0078310B" w:rsidP="0078310B">
      <w:pPr>
        <w:widowControl w:val="0"/>
        <w:spacing w:after="120"/>
        <w:jc w:val="both"/>
      </w:pPr>
      <w:r>
        <w:t>Thus, 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88"/>
      </w:r>
    </w:p>
    <w:p w:rsidR="0078310B" w:rsidRDefault="0078310B" w:rsidP="0078310B">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when they sold the contracts at a loss (which would be ordinary, avoiding the § 1211 capital loss limitation</w:t>
      </w:r>
      <w:r w:rsidR="000656B3">
        <w:t xml:space="preserve"> rule) and arguing that</w:t>
      </w:r>
      <w:r>
        <w:t xml:space="preserve"> they held those contracts sold at a gain as mere speculators, garnering capital gain treatment. As you can imagine, much litigation ensued, as courts were required to examine the facts of each case to determine the business’s purpose in holding the contracts. </w:t>
      </w:r>
    </w:p>
    <w:p w:rsidR="0078310B" w:rsidRDefault="0078310B" w:rsidP="0078310B">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even though</w:t>
      </w:r>
      <w:r w:rsidR="000656B3">
        <w:t xml:space="preserve"> not otherwise described in § 1221</w:t>
      </w:r>
      <w:r>
        <w:t xml:space="preserve">. For example, the taxpayer in </w:t>
      </w:r>
      <w:r>
        <w:rPr>
          <w:i/>
        </w:rPr>
        <w:t>Commissioner v. Bagley &amp; Sewell Company</w:t>
      </w:r>
      <w:r>
        <w:rPr>
          <w:rStyle w:val="FootnoteReference"/>
        </w:rPr>
        <w:footnoteReference w:id="489"/>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because they were integrally related to the performance of the taxpaye</w:t>
      </w:r>
      <w:r w:rsidR="000656B3">
        <w:t>r’s business contracts</w:t>
      </w:r>
      <w:r>
        <w:t xml:space="preserve">. </w:t>
      </w:r>
    </w:p>
    <w:p w:rsidR="0078310B" w:rsidRDefault="0078310B" w:rsidP="0078310B">
      <w:pPr>
        <w:widowControl w:val="0"/>
        <w:spacing w:after="120"/>
        <w:ind w:firstLine="288"/>
        <w:jc w:val="both"/>
      </w:pPr>
      <w:r>
        <w:t xml:space="preserve">Finally, the Supreme Court clarified its prior </w:t>
      </w:r>
      <w:r>
        <w:rPr>
          <w:i/>
        </w:rPr>
        <w:t xml:space="preserve">Corn Products </w:t>
      </w:r>
      <w:r>
        <w:t xml:space="preserve">holding in </w:t>
      </w:r>
      <w:r>
        <w:rPr>
          <w:i/>
        </w:rPr>
        <w:t>Arkansas Best Corporation v. Commissioner</w:t>
      </w:r>
      <w:r>
        <w:t>,</w:t>
      </w:r>
      <w:r>
        <w:rPr>
          <w:rStyle w:val="FootnoteReference"/>
        </w:rPr>
        <w:footnoteReference w:id="490"/>
      </w:r>
      <w:r>
        <w:t xml:space="preserve"> where it rejected the idea that </w:t>
      </w:r>
      <w:r>
        <w:rPr>
          <w:i/>
        </w:rPr>
        <w:t xml:space="preserve">Corn Products </w:t>
      </w:r>
      <w:r>
        <w:t xml:space="preserve">created a common law exception to the definition of a capital asset.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rsidR="0078310B" w:rsidRDefault="0078310B" w:rsidP="0078310B">
      <w:pPr>
        <w:widowControl w:val="0"/>
        <w:spacing w:after="120"/>
        <w:ind w:firstLine="288"/>
        <w:jc w:val="both"/>
      </w:pPr>
      <w:r>
        <w:t xml:space="preserve">The Court’s holding still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Thus, they cannot quietly wait until they sell the hedge to decide</w:t>
      </w:r>
      <w:r w:rsidR="008F092B">
        <w:t xml:space="preserve"> whether to argue that the </w:t>
      </w:r>
      <w:r>
        <w:t xml:space="preserve">asset was—or was not—integrally related to their inventory-purchase system. </w:t>
      </w:r>
    </w:p>
    <w:p w:rsidR="0078310B" w:rsidRDefault="0078310B" w:rsidP="0078310B">
      <w:pPr>
        <w:widowControl w:val="0"/>
        <w:spacing w:after="120"/>
        <w:ind w:firstLine="288"/>
        <w:jc w:val="both"/>
      </w:pPr>
      <w:r>
        <w:t xml:space="preserve">Section 1221(a)(7) also extends the hedging exception beyond those hedges involving inventory. Hedges entered into to manage the risk of interest rate and foreign currency fluctuations that can affect the taxpayer’s business, for example, can also be identified as hedges under § 1221(a)(7). </w:t>
      </w:r>
    </w:p>
    <w:p w:rsidR="0078310B" w:rsidRDefault="0078310B" w:rsidP="0078310B">
      <w:pPr>
        <w:widowControl w:val="0"/>
        <w:spacing w:after="120"/>
        <w:ind w:firstLine="288"/>
        <w:jc w:val="both"/>
      </w:pPr>
      <w:r>
        <w:t>Whew!</w:t>
      </w:r>
    </w:p>
    <w:p w:rsidR="0078310B" w:rsidRPr="00CC7C6C" w:rsidRDefault="0078310B" w:rsidP="0078310B">
      <w:pPr>
        <w:pStyle w:val="Heading3"/>
        <w:spacing w:before="0" w:beforeAutospacing="0" w:after="120" w:afterAutospacing="0"/>
        <w:rPr>
          <w:i/>
        </w:rPr>
      </w:pPr>
      <w:bookmarkStart w:id="281" w:name="_Toc395790577"/>
      <w:r w:rsidRPr="00CC7C6C">
        <w:rPr>
          <w:i/>
        </w:rPr>
        <w:t>The sale of a right to collect ordinary income in the future</w:t>
      </w:r>
      <w:bookmarkEnd w:id="281"/>
    </w:p>
    <w:p w:rsidR="0078310B" w:rsidRDefault="0078310B" w:rsidP="0078310B">
      <w:pPr>
        <w:widowControl w:val="0"/>
        <w:spacing w:after="120"/>
        <w:ind w:firstLine="288"/>
        <w:jc w:val="both"/>
      </w:pPr>
      <w:r>
        <w:t xml:space="preserve">A taxpayer selling his services or inventory often has “accounts receivables,” which represent amounts owed to them by customers who purchased goods or services on credit and which the taxpayer will include as ordinary income. A taxpayer using the cash method of accounting will not include the ordinary income until actually or constructively received and, thus, will have a zero basis in the receivables. A taxpayer not wishing to wait until the future payment is received from the customer can sell the receivables in the marketplace at a discount, with the buyer often called a “factor.” The factor then collects from the customer. Under </w:t>
      </w:r>
      <w:hyperlink r:id="rId810" w:history="1">
        <w:r w:rsidRPr="002D583C">
          <w:rPr>
            <w:rStyle w:val="Hyperlink"/>
          </w:rPr>
          <w:t>§ 1221</w:t>
        </w:r>
      </w:hyperlink>
      <w:r>
        <w:t xml:space="preserve">(a)(4), the accounts receivables are not </w:t>
      </w:r>
      <w:r w:rsidR="004F0B6D">
        <w:t>capital assets, so the</w:t>
      </w:r>
      <w:r>
        <w:t xml:space="preserve"> gain on sale o</w:t>
      </w:r>
      <w:r w:rsidR="004F0B6D">
        <w:t xml:space="preserve">f the receivables to the factor </w:t>
      </w:r>
      <w:r>
        <w:t>is ordinary.</w:t>
      </w:r>
    </w:p>
    <w:p w:rsidR="0078310B" w:rsidRDefault="0078310B" w:rsidP="0078310B">
      <w:pPr>
        <w:widowControl w:val="0"/>
        <w:spacing w:after="120"/>
        <w:ind w:firstLine="288"/>
        <w:jc w:val="both"/>
      </w:pPr>
      <w:r>
        <w:t xml:space="preserve">The idea behind the capital asset </w:t>
      </w:r>
      <w:r w:rsidR="0048226D">
        <w:t xml:space="preserve">exception </w:t>
      </w:r>
      <w:r>
        <w:t>for accounts receivables informs the analysis when nonbusiness taxpayers sell a future right to receive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91"/>
      </w:r>
    </w:p>
    <w:p w:rsidR="0078310B" w:rsidRPr="00FD5276" w:rsidRDefault="0078310B" w:rsidP="0078310B">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92"/>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93"/>
      </w:r>
    </w:p>
    <w:p w:rsidR="0078310B" w:rsidRPr="00CC7C6C" w:rsidRDefault="006A7745" w:rsidP="0078310B">
      <w:pPr>
        <w:pStyle w:val="Heading3"/>
        <w:spacing w:before="0" w:beforeAutospacing="0" w:after="120" w:afterAutospacing="0"/>
        <w:rPr>
          <w:i/>
        </w:rPr>
      </w:pPr>
      <w:bookmarkStart w:id="282" w:name="_Toc395790578"/>
      <w:r>
        <w:rPr>
          <w:i/>
        </w:rPr>
        <w:t xml:space="preserve">The sale or </w:t>
      </w:r>
      <w:r w:rsidR="0078310B" w:rsidRPr="00CC7C6C">
        <w:rPr>
          <w:i/>
        </w:rPr>
        <w:t>exchange requirement</w:t>
      </w:r>
      <w:bookmarkEnd w:id="282"/>
    </w:p>
    <w:p w:rsidR="0078310B" w:rsidRDefault="0078310B" w:rsidP="0078310B">
      <w:pPr>
        <w:widowControl w:val="0"/>
        <w:spacing w:after="120"/>
        <w:ind w:firstLine="288"/>
        <w:jc w:val="both"/>
      </w:pPr>
      <w:r>
        <w:t xml:space="preserve">The phrase “sale or exchange” in </w:t>
      </w:r>
      <w:hyperlink r:id="rId811" w:history="1">
        <w:r w:rsidRPr="000D238D">
          <w:rPr>
            <w:rStyle w:val="Hyperlink"/>
          </w:rPr>
          <w:t>§ 1222</w:t>
        </w:r>
      </w:hyperlink>
      <w:r>
        <w:t>(1) through (4) is not defined in the statute or regulations and has not had a major impact in the capital gains area. Nevertheless, common law has clarified that the requirement is generally not satisfied unless the property survives the transfer in the hands of the other party; a transfer in which the property is merely extinguished or matures is not a sale or exchange.</w:t>
      </w:r>
      <w:r>
        <w:rPr>
          <w:rStyle w:val="FootnoteReference"/>
        </w:rPr>
        <w:footnoteReference w:id="494"/>
      </w:r>
      <w:r>
        <w:t xml:space="preserve"> Thus,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95"/>
      </w:r>
      <w:r>
        <w:t xml:space="preserve"> Similarly, abandonment, destruction, or theft of property is not a “sale or exchange.” </w:t>
      </w:r>
    </w:p>
    <w:p w:rsidR="0078310B" w:rsidRDefault="0078310B" w:rsidP="0078310B">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rsidR="0078310B" w:rsidRDefault="0078310B" w:rsidP="0078310B">
      <w:pPr>
        <w:pStyle w:val="ListParagraph"/>
        <w:widowControl w:val="0"/>
        <w:numPr>
          <w:ilvl w:val="0"/>
          <w:numId w:val="15"/>
        </w:numPr>
        <w:spacing w:after="120"/>
        <w:ind w:left="648"/>
        <w:contextualSpacing w:val="0"/>
        <w:jc w:val="both"/>
      </w:pPr>
      <w:r>
        <w:t xml:space="preserve">Upon the liquidation of a corporation, the outstanding stock does not survive the transaction. Nevertheless, the sale or exchange requirement is deemed satisfied under </w:t>
      </w:r>
      <w:hyperlink r:id="rId812"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w:t>
      </w:r>
      <w:r w:rsidR="00815F57">
        <w:t xml:space="preserve"> stock) as capital gain or loss rather than ordinary gain or loss.</w:t>
      </w:r>
    </w:p>
    <w:p w:rsidR="0078310B" w:rsidRPr="00C0633A" w:rsidRDefault="0078310B" w:rsidP="0078310B">
      <w:pPr>
        <w:pStyle w:val="ListParagraph"/>
        <w:widowControl w:val="0"/>
        <w:numPr>
          <w:ilvl w:val="0"/>
          <w:numId w:val="15"/>
        </w:numPr>
        <w:spacing w:after="120"/>
        <w:ind w:left="64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813"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rsidR="0078310B" w:rsidRPr="00C0633A" w:rsidRDefault="0078310B" w:rsidP="0078310B">
      <w:pPr>
        <w:pStyle w:val="ListParagraph"/>
        <w:widowControl w:val="0"/>
        <w:numPr>
          <w:ilvl w:val="0"/>
          <w:numId w:val="15"/>
        </w:numPr>
        <w:spacing w:after="120"/>
        <w:ind w:left="648"/>
        <w:contextualSpacing w:val="0"/>
        <w:jc w:val="both"/>
      </w:pPr>
      <w:r w:rsidRPr="00C0633A">
        <w:t xml:space="preserve">When a security or other debt instrument </w:t>
      </w:r>
      <w:r w:rsidR="00436708">
        <w:t xml:space="preserve">held for investment </w:t>
      </w:r>
      <w:r w:rsidRPr="00C0633A">
        <w:t>becomes worthless, the holder can usually treat the worthlessness as arising on sale or exchange under §</w:t>
      </w:r>
      <w:hyperlink r:id="rId814" w:history="1">
        <w:r w:rsidRPr="00936642">
          <w:rPr>
            <w:rStyle w:val="Hyperlink"/>
          </w:rPr>
          <w:t>§ 165</w:t>
        </w:r>
      </w:hyperlink>
      <w:r w:rsidRPr="00C0633A">
        <w:t xml:space="preserve">(g) or </w:t>
      </w:r>
      <w:hyperlink r:id="rId815" w:history="1">
        <w:r w:rsidRPr="00936642">
          <w:rPr>
            <w:rStyle w:val="Hyperlink"/>
          </w:rPr>
          <w:t>166</w:t>
        </w:r>
      </w:hyperlink>
      <w:r w:rsidRPr="00C0633A">
        <w:t xml:space="preserve">(d). </w:t>
      </w:r>
    </w:p>
    <w:p w:rsidR="0078310B" w:rsidRPr="00C0633A" w:rsidRDefault="0078310B" w:rsidP="0078310B">
      <w:pPr>
        <w:pStyle w:val="ListParagraph"/>
        <w:widowControl w:val="0"/>
        <w:numPr>
          <w:ilvl w:val="0"/>
          <w:numId w:val="15"/>
        </w:numPr>
        <w:spacing w:after="120"/>
        <w:ind w:left="648"/>
        <w:contextualSpacing w:val="0"/>
        <w:jc w:val="both"/>
      </w:pPr>
      <w:r w:rsidRPr="00C0633A">
        <w:t>If personal casualty gains exceed personal casualty losses</w:t>
      </w:r>
      <w:r>
        <w:t xml:space="preserve"> (considered in Chapter 18)</w:t>
      </w:r>
      <w:r w:rsidRPr="00C0633A">
        <w:t xml:space="preserve">, the gains and losses are treated as arising on sale or exchange under </w:t>
      </w:r>
      <w:hyperlink r:id="rId816" w:history="1">
        <w:r w:rsidRPr="009A1F79">
          <w:rPr>
            <w:rStyle w:val="Hyperlink"/>
          </w:rPr>
          <w:t>§ 165</w:t>
        </w:r>
      </w:hyperlink>
      <w:r w:rsidRPr="00C0633A">
        <w:t xml:space="preserve">(h)(2)(B). </w:t>
      </w:r>
    </w:p>
    <w:p w:rsidR="0078310B" w:rsidRPr="00C0633A" w:rsidRDefault="0078310B" w:rsidP="0078310B">
      <w:pPr>
        <w:pStyle w:val="ListParagraph"/>
        <w:widowControl w:val="0"/>
        <w:numPr>
          <w:ilvl w:val="0"/>
          <w:numId w:val="15"/>
        </w:numPr>
        <w:spacing w:after="120"/>
        <w:ind w:left="64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817" w:history="1">
        <w:r w:rsidRPr="009A1F79">
          <w:rPr>
            <w:rStyle w:val="Hyperlink"/>
          </w:rPr>
          <w:t>§ 1234</w:t>
        </w:r>
      </w:hyperlink>
      <w:r w:rsidRPr="00C0633A">
        <w:t xml:space="preserve">. </w:t>
      </w:r>
    </w:p>
    <w:p w:rsidR="0078310B" w:rsidRPr="00C0633A" w:rsidRDefault="0078310B" w:rsidP="0078310B">
      <w:pPr>
        <w:pStyle w:val="ListParagraph"/>
        <w:widowControl w:val="0"/>
        <w:numPr>
          <w:ilvl w:val="0"/>
          <w:numId w:val="15"/>
        </w:numPr>
        <w:spacing w:after="120"/>
        <w:ind w:left="648"/>
        <w:contextualSpacing w:val="0"/>
        <w:jc w:val="both"/>
      </w:pPr>
      <w:r w:rsidRPr="00C0633A">
        <w:t>A</w:t>
      </w:r>
      <w:r>
        <w:t>n amount received by a lessee in</w:t>
      </w:r>
      <w:r w:rsidRPr="00C0633A">
        <w:t xml:space="preserve"> cancellation of a lease is deemed to be an amount received in exchange for the lease under </w:t>
      </w:r>
      <w:hyperlink r:id="rId818" w:history="1">
        <w:r w:rsidRPr="009A1F79">
          <w:rPr>
            <w:rStyle w:val="Hyperlink"/>
          </w:rPr>
          <w:t>§ 1241</w:t>
        </w:r>
      </w:hyperlink>
      <w:r w:rsidRPr="00C0633A">
        <w:t xml:space="preserve">. </w:t>
      </w:r>
    </w:p>
    <w:p w:rsidR="0078310B" w:rsidRPr="00CC7C6C" w:rsidRDefault="0078310B" w:rsidP="0078310B">
      <w:pPr>
        <w:pStyle w:val="Heading3"/>
        <w:spacing w:before="0" w:beforeAutospacing="0" w:after="120" w:afterAutospacing="0"/>
        <w:rPr>
          <w:i/>
        </w:rPr>
      </w:pPr>
      <w:bookmarkStart w:id="283" w:name="_Toc395790579"/>
      <w:r w:rsidRPr="00CC7C6C">
        <w:rPr>
          <w:i/>
        </w:rPr>
        <w:t>The Arrowsmith doctrine</w:t>
      </w:r>
      <w:bookmarkEnd w:id="283"/>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96"/>
      </w:r>
      <w:r w:rsidRPr="00C0633A">
        <w:t xml:space="preserve"> was the successor in interest to a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$70,000 realized gain under § 1001. Even though the stock was a capital asset in Arrowsmith’s hands, his realized gain would be ordinary absent § 331(a) because the stock does not survive the liquidation. As you learned just above, however, </w:t>
      </w:r>
      <w:hyperlink r:id="rId819" w:history="1">
        <w:r w:rsidRPr="006A7745">
          <w:rPr>
            <w:rStyle w:val="Hyperlink"/>
          </w:rPr>
          <w:t>§ 331</w:t>
        </w:r>
      </w:hyperlink>
      <w:r>
        <w:t>(a) steps in to artificially satisfy the sale or exchange</w:t>
      </w:r>
      <w:r w:rsidRPr="00C0633A">
        <w:t xml:space="preserve"> requirement </w:t>
      </w:r>
      <w:r>
        <w:t>in this situation, which means that Arrowsmith’s $70,000 realized gain was properly treated as capital gain in 1940.</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Arrowsmith could properly deduct </w:t>
      </w:r>
      <w:r w:rsidRPr="00C0633A">
        <w:t>in 1944</w:t>
      </w:r>
      <w:r>
        <w:t xml:space="preserve"> because the outlay was related to his prior stock investment (not to personal consumption)</w:t>
      </w:r>
      <w:r w:rsidRPr="00C0633A">
        <w:t>. Let’s assume that Arrowsmith had to pay $10</w:t>
      </w:r>
      <w:r>
        <w:t>,000</w:t>
      </w:r>
      <w:r w:rsidRPr="00C0633A">
        <w:t xml:space="preserve"> on this claim. The issue was whether the 1944 deduction was ordinary because it did not arise on the “sale or exchange” of a “capital asset” under § 12</w:t>
      </w:r>
      <w:r>
        <w:t>22 (which Arrowsmith preferred)</w:t>
      </w:r>
      <w:r w:rsidRPr="00C0633A">
        <w:t xml:space="preserve"> or whether it wa</w:t>
      </w:r>
      <w:r>
        <w:t xml:space="preserve">s capital, subject to the § 1211(b) capital loss </w:t>
      </w:r>
      <w:r w:rsidRPr="00C0633A">
        <w:t xml:space="preserve">limitation rule.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 xml:space="preserve">character of the Year-2 deduction was determined by reference to the character of the Year-1 inclusion (upon the liquidation) with which it was transactionally linked. </w:t>
      </w:r>
      <w:r>
        <w:t>In a sense, Mr. Arrowsmith was forced to “recapture” $10,000 of capital gain that, with the benefit of hindsight only, we now know was too much.</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rsidR="0078310B" w:rsidRPr="004D18CF"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78310B" w:rsidRPr="00E16BFA" w:rsidRDefault="0078310B" w:rsidP="0078310B">
      <w:pPr>
        <w:pStyle w:val="Heading2"/>
        <w:spacing w:before="0"/>
        <w:rPr>
          <w:sz w:val="32"/>
          <w:szCs w:val="32"/>
          <w:u w:val="single"/>
        </w:rPr>
      </w:pPr>
      <w:bookmarkStart w:id="284" w:name="_Toc395790580"/>
      <w:r w:rsidRPr="00E16BFA">
        <w:rPr>
          <w:sz w:val="32"/>
          <w:szCs w:val="32"/>
          <w:u w:val="single"/>
        </w:rPr>
        <w:t>D. Section 1231 gains and losses and depreciation recapture</w:t>
      </w:r>
      <w:bookmarkEnd w:id="284"/>
    </w:p>
    <w:p w:rsidR="0078310B" w:rsidRDefault="0078310B" w:rsidP="0078310B">
      <w:pPr>
        <w:widowControl w:val="0"/>
      </w:pPr>
    </w:p>
    <w:p w:rsidR="0078310B" w:rsidRDefault="0078310B" w:rsidP="0078310B">
      <w:pPr>
        <w:widowControl w:val="0"/>
        <w:spacing w:after="120"/>
        <w:ind w:firstLine="288"/>
        <w:jc w:val="both"/>
      </w:pPr>
      <w:r>
        <w:t xml:space="preserve">You learned in Part B. that </w:t>
      </w:r>
      <w:hyperlink r:id="rId820"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business. Thus, neither the land tilled by a farmer growing crops, the factory building in which widgets are manufactured, nor the widget-making machine in the factory are capital assets. Absent §§ 1231, 1245, and 1250, therefore,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rsidR="0078310B" w:rsidRPr="00B46BF8" w:rsidRDefault="0078310B" w:rsidP="0078310B">
      <w:pPr>
        <w:pStyle w:val="Heading3"/>
        <w:spacing w:before="0" w:beforeAutospacing="0" w:after="120" w:afterAutospacing="0"/>
        <w:rPr>
          <w:i/>
        </w:rPr>
      </w:pPr>
      <w:bookmarkStart w:id="285" w:name="_Toc395790581"/>
      <w:r w:rsidRPr="00B46BF8">
        <w:rPr>
          <w:i/>
        </w:rPr>
        <w:t>§ 1231 gains and losses</w:t>
      </w:r>
      <w:bookmarkEnd w:id="285"/>
    </w:p>
    <w:p w:rsidR="0078310B" w:rsidRDefault="0078310B" w:rsidP="0078310B">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497"/>
      </w:r>
      <w:r>
        <w:t xml:space="preserve"> Because very few taxpayers realized gains on the sale of such assets at this time in our history, § 1221(a)(2) operated chiefly to benefit taxpayers.  </w:t>
      </w:r>
    </w:p>
    <w:p w:rsidR="0078310B" w:rsidRDefault="0078310B" w:rsidP="0078310B">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rsidR="0078310B" w:rsidRDefault="0078310B" w:rsidP="0078310B">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dilemma by enacting § 1231, which gave these taxpayers essentially the best of both worlds. </w:t>
      </w:r>
    </w:p>
    <w:p w:rsidR="0078310B" w:rsidRDefault="002B3596" w:rsidP="0078310B">
      <w:pPr>
        <w:widowControl w:val="0"/>
        <w:spacing w:after="120"/>
        <w:ind w:firstLine="288"/>
        <w:jc w:val="both"/>
      </w:pPr>
      <w:hyperlink r:id="rId821" w:history="1">
        <w:r w:rsidR="0078310B" w:rsidRPr="002D2AF7">
          <w:rPr>
            <w:rStyle w:val="Hyperlink"/>
          </w:rPr>
          <w:t>Section 1231</w:t>
        </w:r>
      </w:hyperlink>
      <w:r w:rsidR="0078310B">
        <w:t>(b) generally defines § 1231 property with precisely the same words found in § 1221(a)(2) with the additional requirement that the property must be held for more than one year.</w:t>
      </w:r>
      <w:r w:rsidR="0078310B">
        <w:rPr>
          <w:rStyle w:val="FootnoteReference"/>
        </w:rPr>
        <w:footnoteReference w:id="498"/>
      </w:r>
      <w:r w:rsidR="0078310B">
        <w:t xml:space="preserve"> </w:t>
      </w:r>
      <w:r w:rsidR="0078310B" w:rsidRPr="004E1C50">
        <w:rPr>
          <w:b/>
        </w:rPr>
        <w:t>If the taxpayer’s realized and recognized § 1231 gains exceed the taxpayer’s realized and recognized § 1231 losses</w:t>
      </w:r>
      <w:r w:rsidR="0078310B">
        <w:rPr>
          <w:b/>
        </w:rPr>
        <w:t xml:space="preserve"> for the year</w:t>
      </w:r>
      <w:r w:rsidR="0078310B" w:rsidRPr="004E1C50">
        <w:rPr>
          <w:b/>
        </w:rPr>
        <w:t xml:space="preserve">, § 1231(a)(1) provides that the gains and losses are “treated” like long-term capital gains and losses—even though the assets are </w:t>
      </w:r>
      <w:r w:rsidR="0078310B" w:rsidRPr="004E1C50">
        <w:rPr>
          <w:b/>
          <w:i/>
        </w:rPr>
        <w:t xml:space="preserve">not </w:t>
      </w:r>
      <w:r w:rsidR="0078310B" w:rsidRPr="004E1C50">
        <w:rPr>
          <w:b/>
        </w:rPr>
        <w:t>capital assets (because described in § 1221(a)(2)).</w:t>
      </w:r>
      <w:r w:rsidR="0078310B">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0078310B" w:rsidRPr="00E942B4">
        <w:rPr>
          <w:b/>
        </w:rPr>
        <w:t>In contrast, if the taxpayer’s § 1231 losses equal or exceed the taxpayer’s § 1231 gains, § 1231(a)(2) provides that their real status as ordinary gains and losses will control.</w:t>
      </w:r>
      <w:r w:rsidR="0078310B">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rsidR="0078310B" w:rsidRDefault="0078310B" w:rsidP="0078310B">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broadly benefiting taxpayers is enacted, it is often very difficult to repeal. Hence, § 1231 lingers on. </w:t>
      </w:r>
    </w:p>
    <w:p w:rsidR="0078310B" w:rsidRDefault="0078310B" w:rsidP="0078310B">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 been “recaptured.” </w:t>
      </w:r>
    </w:p>
    <w:p w:rsidR="0078310B" w:rsidRDefault="0078310B" w:rsidP="0078310B">
      <w:pPr>
        <w:widowControl w:val="0"/>
        <w:spacing w:after="120"/>
        <w:ind w:firstLine="288"/>
        <w:jc w:val="both"/>
      </w:pPr>
      <w:r>
        <w:t xml:space="preserve">For example, assume that Craig realizes the following § 1231 gains and losses in Years 1 through 3 from the sale of assets used in his business, that additional inclusions not eligible for the favorable § 1(h) net capital gain rate would be taxed at 28%, and that Craig realizes no real capital gains or losses in any year. </w:t>
      </w:r>
    </w:p>
    <w:p w:rsidR="0078310B" w:rsidRPr="0016057E" w:rsidRDefault="0078310B" w:rsidP="0078310B">
      <w:pPr>
        <w:widowControl w:val="0"/>
        <w:spacing w:after="120"/>
        <w:jc w:val="both"/>
      </w:pPr>
      <w:r>
        <w:t xml:space="preserve">                                                        </w:t>
      </w:r>
      <w:r>
        <w:rPr>
          <w:u w:val="single"/>
        </w:rPr>
        <w:t>§ 1231 gains</w:t>
      </w:r>
      <w:r>
        <w:t xml:space="preserve">                     </w:t>
      </w:r>
      <w:r>
        <w:rPr>
          <w:u w:val="single"/>
        </w:rPr>
        <w:t>§ 1231 losses</w:t>
      </w:r>
    </w:p>
    <w:p w:rsidR="0078310B" w:rsidRPr="0016057E" w:rsidRDefault="0078310B" w:rsidP="0078310B">
      <w:pPr>
        <w:widowControl w:val="0"/>
        <w:jc w:val="both"/>
      </w:pPr>
      <w:r>
        <w:t xml:space="preserve">                            </w:t>
      </w:r>
      <w:r>
        <w:rPr>
          <w:b/>
        </w:rPr>
        <w:t>Year 1</w:t>
      </w:r>
      <w:r>
        <w:t xml:space="preserve">                    $20,000                             $15,000</w:t>
      </w:r>
    </w:p>
    <w:p w:rsidR="0078310B" w:rsidRPr="0016057E" w:rsidRDefault="0078310B" w:rsidP="0078310B">
      <w:pPr>
        <w:widowControl w:val="0"/>
        <w:jc w:val="both"/>
      </w:pPr>
      <w:r>
        <w:rPr>
          <w:b/>
        </w:rPr>
        <w:t xml:space="preserve">                            Year 2</w:t>
      </w:r>
      <w:r>
        <w:t xml:space="preserve">                      10,000                               17,000</w:t>
      </w:r>
    </w:p>
    <w:p w:rsidR="0078310B" w:rsidRDefault="0078310B" w:rsidP="0078310B">
      <w:pPr>
        <w:widowControl w:val="0"/>
        <w:spacing w:after="120"/>
        <w:jc w:val="both"/>
      </w:pPr>
      <w:r>
        <w:rPr>
          <w:b/>
        </w:rPr>
        <w:t xml:space="preserve">                            Year 3</w:t>
      </w:r>
      <w:r>
        <w:t xml:space="preserve">                      40,000                               10,000</w:t>
      </w:r>
    </w:p>
    <w:p w:rsidR="0078310B" w:rsidRDefault="0078310B" w:rsidP="0078310B">
      <w:pPr>
        <w:widowControl w:val="0"/>
        <w:spacing w:after="120"/>
        <w:ind w:firstLine="288"/>
        <w:jc w:val="both"/>
      </w:pPr>
      <w:r>
        <w:t xml:space="preserve">Under </w:t>
      </w:r>
      <w:hyperlink r:id="rId822" w:history="1">
        <w:r w:rsidRPr="002D2AF7">
          <w:rPr>
            <w:rStyle w:val="Hyperlink"/>
          </w:rPr>
          <w:t>§ 1231</w:t>
        </w:r>
      </w:hyperlink>
      <w:r>
        <w:t xml:space="preserve">(a)(1), Craig “treats” the $20,000 Year-1 gain as long-term capital gain and the $15,000 Year-1 loss as long-term capital loss because his § 1231 gains exceed his § 1231 losses for the year. Because Craig realizes no additional real capital gains or losses, we know that Craig can fully deduct his $15,000 loss, notwithstanding § 1211(b), and that Craig has net capital gain of $5,000 under § 1222(11), eligible for a reduced tax rate under § 1(h). </w:t>
      </w:r>
    </w:p>
    <w:p w:rsidR="0078310B" w:rsidRDefault="0078310B" w:rsidP="0078310B">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Thus, § 1211(b) does not apply, and Craig can fully deduct his $17,000 loss, effectively offsetting not only the $10,000 gain but also $7,000 of ordinary income from other sources. </w:t>
      </w:r>
    </w:p>
    <w:p w:rsidR="0078310B" w:rsidRDefault="0078310B" w:rsidP="0078310B">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rsidR="0078310B" w:rsidRDefault="0078310B" w:rsidP="0078310B">
      <w:pPr>
        <w:widowControl w:val="0"/>
        <w:spacing w:after="120"/>
        <w:ind w:firstLine="288"/>
        <w:jc w:val="both"/>
      </w:pPr>
      <w:r>
        <w:t xml:space="preserve">Finally, while rental property is often not considered “business”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499"/>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500"/>
      </w:r>
      <w:r>
        <w:t xml:space="preserve"> </w:t>
      </w:r>
    </w:p>
    <w:p w:rsidR="0078310B" w:rsidRPr="00B46BF8" w:rsidRDefault="0078310B" w:rsidP="0078310B">
      <w:pPr>
        <w:pStyle w:val="Heading3"/>
        <w:spacing w:before="0" w:beforeAutospacing="0" w:after="120" w:afterAutospacing="0"/>
        <w:rPr>
          <w:i/>
        </w:rPr>
      </w:pPr>
      <w:bookmarkStart w:id="286" w:name="_Toc395790582"/>
      <w:r w:rsidRPr="00B46BF8">
        <w:rPr>
          <w:i/>
        </w:rPr>
        <w:t>§§ 1245 and 1250 “depreciation recapture”</w:t>
      </w:r>
      <w:bookmarkEnd w:id="286"/>
    </w:p>
    <w:p w:rsidR="0078310B" w:rsidRDefault="0078310B" w:rsidP="0078310B">
      <w:pPr>
        <w:widowControl w:val="0"/>
        <w:spacing w:after="120"/>
        <w:ind w:firstLine="288"/>
        <w:jc w:val="both"/>
      </w:pPr>
      <w:r>
        <w:t>Sections 1245 and 1250 were enacted in 1962 and are commonly referred to as “depreciation recapture” provisions. They trump all other characterization provisions, including § 1231 and the capital gain provisions in §§ 1221 and 1222.</w:t>
      </w:r>
      <w:r>
        <w:rPr>
          <w:rStyle w:val="FootnoteReference"/>
        </w:rPr>
        <w:footnoteReference w:id="501"/>
      </w:r>
      <w:r>
        <w:t xml:space="preserve"> To the extent required under these provisions, realized gain on the sale of depreciable § 1231 property or a depreciable capital asset is treated as ordinary gain. Let’s consider § 1245 first, which is the much more powerful of the two provisions. </w:t>
      </w:r>
    </w:p>
    <w:p w:rsidR="0078310B" w:rsidRDefault="0078310B" w:rsidP="0078310B">
      <w:pPr>
        <w:widowControl w:val="0"/>
        <w:spacing w:after="120"/>
        <w:ind w:firstLine="288"/>
        <w:jc w:val="both"/>
      </w:pPr>
      <w:r>
        <w:t>Suppose that Jim purchases a wi</w:t>
      </w:r>
      <w:r w:rsidR="00570D57">
        <w:t>dget-making machine for $1 million</w:t>
      </w:r>
      <w:r>
        <w:t xml:space="preserve"> for use in h</w:t>
      </w:r>
      <w:r w:rsidR="00570D57">
        <w:t>is business, properly deducts $7</w:t>
      </w:r>
      <w:r>
        <w:t>00,000 in depreciation (re</w:t>
      </w:r>
      <w:r w:rsidR="00570D57">
        <w:t>ducing the machine’s basis to $3</w:t>
      </w:r>
      <w:r>
        <w:t>00,000 under § 1016(a)(2)), a</w:t>
      </w:r>
      <w:r w:rsidR="00570D57">
        <w:t>nd then sells the machine for $9</w:t>
      </w:r>
      <w:r>
        <w:t>00,000 in a later year. You learned in Chapter 14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property lost only $100,000 in valu</w:t>
      </w:r>
      <w:r w:rsidR="00570D57">
        <w:t>e, he was permitted to deduct $7</w:t>
      </w:r>
      <w:r>
        <w:t xml:space="preserve">00,000 during his ownership period. Nevertheless, the basis reduction required under § 1016(a)(2) ensures that the too-fast depreciation will result in realized § 1001 gain if the property is sold before being used up in Jim’s business. Thus, </w:t>
      </w:r>
      <w:r w:rsidR="00570D57">
        <w:t>Jim realizes and recognizes a $600,000 gain on the sale ($9</w:t>
      </w:r>
      <w:r>
        <w:t xml:space="preserve">00,000 A/R </w:t>
      </w:r>
      <w:r>
        <w:rPr>
          <w:i/>
        </w:rPr>
        <w:t>less</w:t>
      </w:r>
      <w:r w:rsidR="00570D57">
        <w:t xml:space="preserve"> $3</w:t>
      </w:r>
      <w:r>
        <w:t xml:space="preserve">00,000 A/B), an amount precisely equal to the excess of the depreciation allowed to Jim during his ownership years over the property’s loss in value. </w:t>
      </w:r>
    </w:p>
    <w:p w:rsidR="0078310B" w:rsidRDefault="0078310B" w:rsidP="0078310B">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w:t>
      </w:r>
      <w:r w:rsidR="00570D57">
        <w:t>le character arbitrage. Jim’s $6</w:t>
      </w:r>
      <w:r>
        <w:t xml:space="preserve">00,000 in excessive depreciation deductions were ordinary deductions, offsetting high-taxed ordinary income, while the property sale would (absent § 1245) produce § 1231 gain, which would be “treated” like long-term capital gain under § 1231(a)(1) if this is Jim’s only § 1231 transaction for the year. </w:t>
      </w:r>
    </w:p>
    <w:p w:rsidR="0078310B" w:rsidRDefault="0078310B" w:rsidP="0078310B">
      <w:pPr>
        <w:widowControl w:val="0"/>
        <w:spacing w:after="120"/>
        <w:ind w:firstLine="288"/>
        <w:jc w:val="both"/>
      </w:pPr>
      <w:r>
        <w:t xml:space="preserve">This is where </w:t>
      </w:r>
      <w:hyperlink r:id="rId823"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sidR="00056ED6">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A/B is ordinary gain. Recomputed basis, as defined in § 1245(a)(2), is the taxpayer’s original cost basis (</w:t>
      </w:r>
      <w:r>
        <w:rPr>
          <w:i/>
        </w:rPr>
        <w:t>i.e.,</w:t>
      </w:r>
      <w:r>
        <w:t xml:space="preserve"> his current basis </w:t>
      </w:r>
      <w:r>
        <w:rPr>
          <w:i/>
        </w:rPr>
        <w:t xml:space="preserve">plus </w:t>
      </w:r>
      <w:r>
        <w:t>all § 179 and depreciation deductions  taken during his ownership period). Thus, w</w:t>
      </w:r>
      <w:r w:rsidR="00384275">
        <w:t>hen Jim sells the machine for $9</w:t>
      </w:r>
      <w:r>
        <w:t>00,000, the low</w:t>
      </w:r>
      <w:r w:rsidR="00384275">
        <w:t>er of recomputed basis ($1 million</w:t>
      </w:r>
      <w:r>
        <w:t>) and amount realized ($</w:t>
      </w:r>
      <w:r w:rsidR="00384275">
        <w:t>9</w:t>
      </w:r>
      <w:r>
        <w:t>00,000) is the amount realize</w:t>
      </w:r>
      <w:r w:rsidR="00384275">
        <w:t>d. The excess of this figure ($9</w:t>
      </w:r>
      <w:r>
        <w:t>00</w:t>
      </w:r>
      <w:r w:rsidR="00384275">
        <w:t>,000) over the machine’s A/B ($300,000) is $6</w:t>
      </w:r>
      <w:r>
        <w:t>00,000, which must be treated as ordin</w:t>
      </w:r>
      <w:r w:rsidR="00384275">
        <w:t>ary gain. Thus, 100% of Jim’s $6</w:t>
      </w:r>
      <w:r>
        <w:t xml:space="preserve">00,000 realized § 1001 gain must be characterized as ordinary depreciation recapture gain under § 1245(a). </w:t>
      </w:r>
    </w:p>
    <w:p w:rsidR="0078310B" w:rsidRPr="006B537C" w:rsidRDefault="0078310B" w:rsidP="0078310B">
      <w:pPr>
        <w:widowControl w:val="0"/>
        <w:spacing w:after="120"/>
        <w:ind w:firstLine="288"/>
        <w:jc w:val="both"/>
      </w:pPr>
      <w:r>
        <w:t xml:space="preserve">Section 1245 can be thought of as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allowed (and the concomitant reduction in basis) in prior years. Thus,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rsidR="00287B6F">
        <w:t xml:space="preserve"> no realized gain on sale for $9</w:t>
      </w:r>
      <w:r w:rsidRPr="006B537C">
        <w:t xml:space="preserve">00,000. </w:t>
      </w:r>
    </w:p>
    <w:p w:rsidR="0078310B" w:rsidRPr="006B537C" w:rsidRDefault="0078310B" w:rsidP="0078310B">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 xml:space="preserve">n deductions </w:t>
      </w:r>
      <w:r w:rsidRPr="006B537C">
        <w:rPr>
          <w:spacing w:val="-2"/>
        </w:rPr>
        <w:t>were</w:t>
      </w:r>
      <w:r>
        <w:rPr>
          <w:spacing w:val="-2"/>
        </w:rPr>
        <w:t xml:space="preserve"> appropriate in the year taken in the sense that they were </w:t>
      </w:r>
      <w:r w:rsidRPr="006B537C">
        <w:rPr>
          <w:spacing w:val="-2"/>
        </w:rPr>
        <w:t xml:space="preserve">based on the expectation that the depreciated assets </w:t>
      </w:r>
      <w:r>
        <w:rPr>
          <w:spacing w:val="-2"/>
        </w:rPr>
        <w:t>would be used up in Jim’s business producing (o</w:t>
      </w:r>
      <w:r w:rsidR="0031365C">
        <w:rPr>
          <w:spacing w:val="-2"/>
        </w:rPr>
        <w:t xml:space="preserve">rdinary) business </w:t>
      </w:r>
      <w:r>
        <w:rPr>
          <w:spacing w:val="-2"/>
        </w:rPr>
        <w:t>income</w:t>
      </w:r>
      <w:r w:rsidRPr="006B537C">
        <w:rPr>
          <w:spacing w:val="-2"/>
        </w:rPr>
        <w:t>. When that</w:t>
      </w:r>
      <w:r>
        <w:rPr>
          <w:spacing w:val="-2"/>
        </w:rPr>
        <w:t xml:space="preserve"> expectation proves to be false </w:t>
      </w:r>
      <w:r w:rsidRPr="006B537C">
        <w:rPr>
          <w:spacing w:val="-2"/>
        </w:rPr>
        <w:t>because the asset is sold at a gain that can b</w:t>
      </w:r>
      <w:r>
        <w:rPr>
          <w:spacing w:val="-2"/>
        </w:rPr>
        <w:t>e taxed as capital gain (</w:t>
      </w:r>
      <w:r w:rsidRPr="006B537C">
        <w:rPr>
          <w:spacing w:val="-2"/>
        </w:rPr>
        <w:t xml:space="preserve">because the asset is </w:t>
      </w:r>
      <w:r>
        <w:rPr>
          <w:spacing w:val="-2"/>
        </w:rPr>
        <w:t xml:space="preserve">either </w:t>
      </w:r>
      <w:r w:rsidRPr="006B537C">
        <w:rPr>
          <w:spacing w:val="-2"/>
        </w:rPr>
        <w:t>a capital ass</w:t>
      </w:r>
      <w:r>
        <w:rPr>
          <w:spacing w:val="-2"/>
        </w:rPr>
        <w:t xml:space="preserve">et or a § 1231 asset),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sidR="0031365C">
        <w:rPr>
          <w:spacing w:val="-2"/>
        </w:rPr>
        <w:t xml:space="preserve"> only—known to be excessi</w:t>
      </w:r>
      <w:r>
        <w:rPr>
          <w:spacing w:val="-2"/>
        </w:rPr>
        <w:t xml:space="preserve">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as ordinary </w:t>
      </w:r>
      <w:r>
        <w:rPr>
          <w:spacing w:val="-2"/>
        </w:rPr>
        <w:t>gain</w:t>
      </w:r>
      <w:r w:rsidRPr="006B537C">
        <w:rPr>
          <w:spacing w:val="-2"/>
        </w:rPr>
        <w:t>.</w:t>
      </w:r>
      <w:r>
        <w:rPr>
          <w:rStyle w:val="FootnoteReference"/>
          <w:spacing w:val="-2"/>
        </w:rPr>
        <w:footnoteReference w:id="502"/>
      </w:r>
    </w:p>
    <w:p w:rsidR="0078310B" w:rsidRDefault="0078310B" w:rsidP="0078310B">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rsidR="0078310B" w:rsidRDefault="0078310B" w:rsidP="0078310B">
      <w:pPr>
        <w:widowControl w:val="0"/>
        <w:spacing w:after="120"/>
        <w:ind w:firstLine="288"/>
        <w:jc w:val="both"/>
      </w:pPr>
      <w:r>
        <w:t xml:space="preserve">For example, assume the same facts except that Jim is able </w:t>
      </w:r>
      <w:r w:rsidR="006E6A5D">
        <w:t>to sell the machine for $1,100,000 (instead of $9</w:t>
      </w:r>
      <w:r>
        <w:t>00</w:t>
      </w:r>
      <w:r w:rsidR="00446B0D">
        <w:t>,000), realizing a $8</w:t>
      </w:r>
      <w:r w:rsidR="006E6A5D">
        <w:t>00,000 gain under § 1001 ($1,100</w:t>
      </w:r>
      <w:r>
        <w:t xml:space="preserve">,000 A/R </w:t>
      </w:r>
      <w:r>
        <w:rPr>
          <w:i/>
        </w:rPr>
        <w:t>less</w:t>
      </w:r>
      <w:r w:rsidR="00446B0D">
        <w:t xml:space="preserve"> $3</w:t>
      </w:r>
      <w:r>
        <w:t>00,000 A/B). Now the lower of recomputed basis ($</w:t>
      </w:r>
      <w:r w:rsidR="00446B0D">
        <w:t>1 million) and amount realized ($1,10</w:t>
      </w:r>
      <w:r>
        <w:t xml:space="preserve">0,000) is </w:t>
      </w:r>
      <w:r w:rsidR="00446B0D">
        <w:t>the recomputed basis of $1 million</w:t>
      </w:r>
      <w:r>
        <w:t>. The excess of this figure ($</w:t>
      </w:r>
      <w:r w:rsidR="00446B0D">
        <w:t>1 million) over the machine’s $300,000 A/B is $700,000. Thus, only $7</w:t>
      </w:r>
      <w:r>
        <w:t>00,000 (equal to 100% of the prior deprecia</w:t>
      </w:r>
      <w:r w:rsidR="00446B0D">
        <w:t>tion deducted by Jim) of the $80</w:t>
      </w:r>
      <w:r>
        <w:t>0,000 realized gain is characterized as ordinary depreciation recapture under § 1245(a). The remain</w:t>
      </w:r>
      <w:r w:rsidR="00446B0D">
        <w:t>ing $10</w:t>
      </w:r>
      <w:r>
        <w:t xml:space="preserve">0,000 gain is § 1231 gain that will be “treated” like long-term capital gain under § 1231(a)(1) if this is Jim’s only § 1231 transaction for the year. </w:t>
      </w:r>
    </w:p>
    <w:p w:rsidR="0078310B" w:rsidRDefault="0078310B" w:rsidP="0078310B">
      <w:pPr>
        <w:widowControl w:val="0"/>
        <w:spacing w:after="120"/>
        <w:ind w:firstLine="288"/>
        <w:jc w:val="both"/>
      </w:pPr>
      <w:r>
        <w:t xml:space="preserve">While § 1245 is very powerful, § 1250 is </w:t>
      </w:r>
      <w:r w:rsidR="005A4EEE">
        <w:t xml:space="preserve">essentially </w:t>
      </w:r>
      <w:r>
        <w:t xml:space="preserve">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w:t>
      </w:r>
      <w:r w:rsidR="005A4EEE">
        <w:t>d $6</w:t>
      </w:r>
      <w:r>
        <w:t>00,000 using an accelerated depreciation method (re</w:t>
      </w:r>
      <w:r w:rsidR="005A4EEE">
        <w:t>ducing the factory’s basis to $4</w:t>
      </w:r>
      <w:r>
        <w:t>00,</w:t>
      </w:r>
      <w:r w:rsidR="00E8787B">
        <w:t>000), and sold the property in a later year</w:t>
      </w:r>
      <w:r w:rsidR="005A4EEE">
        <w:t xml:space="preserve"> for $900,000, realizing a $5</w:t>
      </w:r>
      <w:r>
        <w:t xml:space="preserve">00,000 gain ($900,000 A/R </w:t>
      </w:r>
      <w:r>
        <w:rPr>
          <w:i/>
        </w:rPr>
        <w:t>less</w:t>
      </w:r>
      <w:r w:rsidR="005A4EEE">
        <w:t xml:space="preserve"> $4</w:t>
      </w:r>
      <w:r>
        <w:t>00,000 A/B). Had the taxpayer depreciated the factory using the straight-line method, assume that that the taxpay</w:t>
      </w:r>
      <w:r w:rsidR="005A4EEE">
        <w:t>er would have deducted only $400,000 (instead of $6</w:t>
      </w:r>
      <w:r>
        <w:t>00,000).</w:t>
      </w:r>
      <w:r w:rsidR="005A4EEE">
        <w:t xml:space="preserve"> Under § 1250, the taxpayer’s $5</w:t>
      </w:r>
      <w:r w:rsidR="00E8787B">
        <w:t xml:space="preserve">00,000 realized gain </w:t>
      </w:r>
      <w:r>
        <w:t>would have been ord</w:t>
      </w:r>
      <w:r w:rsidR="005A4EEE">
        <w:t>inary only to the extent of $200</w:t>
      </w:r>
      <w:r>
        <w:t>,00</w:t>
      </w:r>
      <w:r w:rsidR="005A4EEE">
        <w:t>0, equal to the excess of the $6</w:t>
      </w:r>
      <w:r>
        <w:t>00,000 of depreciat</w:t>
      </w:r>
      <w:r w:rsidR="005A4EEE">
        <w:t>ion actually taken over the $400</w:t>
      </w:r>
      <w:r>
        <w:t>,000 that would have been taken using the straigh</w:t>
      </w:r>
      <w:r w:rsidR="005A4EEE">
        <w:t>t-line method. The remaining $300</w:t>
      </w:r>
      <w:r>
        <w:t xml:space="preserve">,000 of realized gain would have been § 1231 gain. </w:t>
      </w:r>
    </w:p>
    <w:p w:rsidR="0078310B" w:rsidRDefault="0078310B" w:rsidP="0078310B">
      <w:pPr>
        <w:widowControl w:val="0"/>
        <w:ind w:firstLine="288"/>
        <w:jc w:val="both"/>
      </w:pPr>
      <w:r>
        <w:t xml:space="preserve">One of the base-broadening measures adopted in 1986 to pay for the significant reduction in marginal rates was to require that all real estate be depreciated under the straight-line method, as described in Chapter 14. Moreover, real estate is not eligible for the § 179 deduction. Thus, § 1250 depreciation recapture is zero for virtually all real estate </w:t>
      </w:r>
      <w:r w:rsidR="00424B32">
        <w:t>today. Because § 1250 is basically deadwood</w:t>
      </w:r>
      <w:r>
        <w:t>, § 1231 has its greatest impact on the sale of real estate</w:t>
      </w:r>
      <w:r w:rsidR="00424B32">
        <w:t>, permitting rate arbitrage</w:t>
      </w:r>
      <w:r>
        <w:t xml:space="preserve">. </w:t>
      </w:r>
      <w:r w:rsidR="007E375D">
        <w:t>Many propose extending § 1245 to real estate,</w:t>
      </w:r>
      <w:r w:rsidR="007E375D">
        <w:rPr>
          <w:rStyle w:val="FootnoteReference"/>
        </w:rPr>
        <w:footnoteReference w:id="503"/>
      </w:r>
      <w:r w:rsidR="007E375D">
        <w:t xml:space="preserve"> but remember the strength of the real estate lobby!</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287" w:name="_Toc395790583"/>
      <w:r w:rsidRPr="00B46BF8">
        <w:rPr>
          <w:u w:val="single"/>
        </w:rPr>
        <w:t>Problems</w:t>
      </w:r>
      <w:bookmarkEnd w:id="287"/>
    </w:p>
    <w:p w:rsidR="0078310B" w:rsidRPr="00E16BFA"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In addition </w:t>
      </w:r>
      <w:r w:rsidRPr="00170678">
        <w:t xml:space="preserve">to each of the transactions described below, Rebecca, who is unmarried, has $100,000 of AGI consisting of ordinary income. </w:t>
      </w:r>
      <w:r>
        <w:t xml:space="preserve">Can her capital losses, if any, be fully deducted? Does she realize any net capital gain within the meaning of § 1222(11)? Notice that you must first analyze the tax consequences of each transaction individually. </w:t>
      </w:r>
    </w:p>
    <w:p w:rsidR="0078310B" w:rsidRDefault="0078310B" w:rsidP="0078310B">
      <w:pPr>
        <w:widowControl w:val="0"/>
        <w:spacing w:after="120"/>
        <w:ind w:left="288"/>
        <w:jc w:val="both"/>
      </w:pPr>
      <w:r>
        <w:rPr>
          <w:b/>
        </w:rPr>
        <w:t>a.</w:t>
      </w:r>
      <w:r>
        <w:t xml:space="preserve"> Rebecca sells stock of Gaggle, Inc., for $100,000, which </w:t>
      </w:r>
      <w:r w:rsidR="00DB2153">
        <w:t>she purchased 2 years ago for $9</w:t>
      </w:r>
      <w:r>
        <w:t>0,000.</w:t>
      </w:r>
    </w:p>
    <w:p w:rsidR="0078310B" w:rsidRDefault="0078310B" w:rsidP="0078310B">
      <w:pPr>
        <w:widowControl w:val="0"/>
        <w:spacing w:after="120"/>
        <w:ind w:left="288"/>
        <w:jc w:val="both"/>
      </w:pPr>
      <w:r>
        <w:rPr>
          <w:b/>
        </w:rPr>
        <w:t>b.</w:t>
      </w:r>
      <w:r>
        <w:t xml:space="preserve"> Rebecca sells stock of Blapple, Inc., for $20,000, which she purchased 3 years ago for $40,000.</w:t>
      </w:r>
    </w:p>
    <w:p w:rsidR="0078310B" w:rsidRDefault="0078310B" w:rsidP="0078310B">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rsidR="0078310B" w:rsidRPr="00097E5B" w:rsidRDefault="0078310B" w:rsidP="0078310B">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rsidR="0078310B" w:rsidRDefault="0078310B" w:rsidP="0078310B">
      <w:pPr>
        <w:widowControl w:val="0"/>
        <w:spacing w:after="120"/>
        <w:ind w:left="288"/>
        <w:jc w:val="both"/>
      </w:pPr>
      <w:r>
        <w:rPr>
          <w:b/>
        </w:rPr>
        <w:t>e.</w:t>
      </w:r>
      <w:r>
        <w:t xml:space="preserve"> Rebecca purchased equipment for use in her business 3 years ago for $900,000 and properly deducted $400,000 in depreciation before selling the equipment this year for $700,000. </w:t>
      </w:r>
    </w:p>
    <w:p w:rsidR="0078310B" w:rsidRDefault="0078310B" w:rsidP="0078310B">
      <w:pPr>
        <w:widowControl w:val="0"/>
        <w:ind w:left="288"/>
        <w:jc w:val="both"/>
      </w:pPr>
      <w:r>
        <w:rPr>
          <w:b/>
        </w:rPr>
        <w:t>f.</w:t>
      </w:r>
      <w:r>
        <w:t xml:space="preserve"> Two years ago, Rebecca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Rebecca agrees to Mark’s demand that she pay him $30,000 to clean up the sludge. </w:t>
      </w:r>
    </w:p>
    <w:p w:rsidR="0078310B" w:rsidRPr="00675626" w:rsidRDefault="0078310B" w:rsidP="0078310B">
      <w:pPr>
        <w:widowControl w:val="0"/>
        <w:ind w:left="288"/>
        <w:jc w:val="both"/>
      </w:pPr>
    </w:p>
    <w:p w:rsidR="0078310B" w:rsidRPr="00E16BFA" w:rsidRDefault="0078310B" w:rsidP="0078310B">
      <w:pPr>
        <w:pStyle w:val="Heading2"/>
        <w:spacing w:before="0"/>
        <w:rPr>
          <w:sz w:val="32"/>
          <w:szCs w:val="32"/>
          <w:u w:val="single"/>
        </w:rPr>
      </w:pPr>
      <w:bookmarkStart w:id="288" w:name="_Toc395790584"/>
      <w:r w:rsidRPr="00E16BFA">
        <w:rPr>
          <w:sz w:val="32"/>
          <w:szCs w:val="32"/>
          <w:u w:val="single"/>
        </w:rPr>
        <w:t>E. The § 1(h) rates applicable to “net capital gain”</w:t>
      </w:r>
      <w:bookmarkEnd w:id="288"/>
    </w:p>
    <w:p w:rsidR="0078310B" w:rsidRDefault="0078310B" w:rsidP="0078310B">
      <w:pPr>
        <w:widowControl w:val="0"/>
        <w:jc w:val="both"/>
      </w:pPr>
    </w:p>
    <w:p w:rsidR="0078310B" w:rsidRDefault="0078310B" w:rsidP="0078310B">
      <w:pPr>
        <w:widowControl w:val="0"/>
        <w:spacing w:after="120"/>
        <w:ind w:firstLine="288"/>
        <w:jc w:val="both"/>
      </w:pPr>
      <w:r>
        <w:t xml:space="preserve">I think that it is more important to know that “net capital gain” within the meaning of § 1222(11) is subject to a reduced tax rate than to know precisely what that reduced tax rate may be. Nevertheless, I highlight below a few of the more important rules. </w:t>
      </w:r>
    </w:p>
    <w:p w:rsidR="0078310B" w:rsidRDefault="0078310B" w:rsidP="0078310B">
      <w:pPr>
        <w:pStyle w:val="ListParagraph"/>
        <w:widowControl w:val="0"/>
        <w:numPr>
          <w:ilvl w:val="0"/>
          <w:numId w:val="39"/>
        </w:numPr>
        <w:spacing w:after="120"/>
        <w:contextualSpacing w:val="0"/>
        <w:jc w:val="both"/>
      </w:pPr>
      <w:r>
        <w:t xml:space="preserve">Unless </w:t>
      </w:r>
      <w:r w:rsidRPr="00F179DB">
        <w:t>otherwise provided below, most net capital gain is subject to a maximum tax rate of 20% to the extent falling within AGI exceeding $400,000 ($450,000 for a married couple filing jointly) and 15% to the extent falling within AGI below those thresholds. For e</w:t>
      </w:r>
      <w:r w:rsidR="00424B32">
        <w:t>xample, a married couple with $5</w:t>
      </w:r>
      <w:r w:rsidRPr="00F179DB">
        <w:t>00,000 of AGI</w:t>
      </w:r>
      <w:r w:rsidR="00424B32">
        <w:t xml:space="preserve">, consisting of $300,000 ordinary income and $200,000 </w:t>
      </w:r>
      <w:r w:rsidRPr="00F179DB">
        <w:t>net capital gain (none of which is unrecaptured § 1250 gain or collectibles gain) would have $150,000 of the net capital gain taxed at 15% and th</w:t>
      </w:r>
      <w:r>
        <w:t>e remaining $50,000 taxed at 20%.</w:t>
      </w:r>
    </w:p>
    <w:p w:rsidR="0078310B" w:rsidRDefault="0078310B" w:rsidP="0078310B">
      <w:pPr>
        <w:pStyle w:val="ListParagraph"/>
        <w:widowControl w:val="0"/>
        <w:numPr>
          <w:ilvl w:val="0"/>
          <w:numId w:val="16"/>
        </w:numPr>
        <w:spacing w:after="120"/>
        <w:ind w:left="648"/>
        <w:contextualSpacing w:val="0"/>
        <w:jc w:val="both"/>
      </w:pPr>
      <w:r>
        <w:t xml:space="preserve">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w:t>
      </w:r>
      <w:r w:rsidR="007E375D">
        <w:t>This special rate could be repealed if § 124</w:t>
      </w:r>
      <w:r w:rsidR="00424B32">
        <w:t>5 were extend</w:t>
      </w:r>
      <w:r w:rsidR="00D85EAA">
        <w:t>ed to real estate, as it should be.</w:t>
      </w:r>
    </w:p>
    <w:p w:rsidR="0078310B" w:rsidRDefault="0078310B" w:rsidP="0078310B">
      <w:pPr>
        <w:pStyle w:val="ListParagraph"/>
        <w:widowControl w:val="0"/>
        <w:numPr>
          <w:ilvl w:val="0"/>
          <w:numId w:val="16"/>
        </w:numPr>
        <w:spacing w:after="120"/>
        <w:ind w:left="648"/>
        <w:contextualSpacing w:val="0"/>
        <w:jc w:val="both"/>
      </w:pPr>
      <w:r>
        <w:t>Net capital gain attributable to the sale or exchange of “collectibles” is subject to a maximum tax rate of 28%.</w:t>
      </w:r>
    </w:p>
    <w:p w:rsidR="0078310B" w:rsidRPr="007F6A2F" w:rsidRDefault="0078310B" w:rsidP="0078310B">
      <w:pPr>
        <w:pStyle w:val="ListParagraph"/>
        <w:widowControl w:val="0"/>
        <w:numPr>
          <w:ilvl w:val="0"/>
          <w:numId w:val="16"/>
        </w:numPr>
        <w:spacing w:after="120"/>
        <w:ind w:left="648"/>
        <w:contextualSpacing w:val="0"/>
        <w:jc w:val="both"/>
      </w:pPr>
      <w:r>
        <w:t>Net capital gain otherwise falling in the 10% or 15% brackets is taxed at 0%, though empirical data show that vanishingly little net capital gain falls within the</w:t>
      </w:r>
      <w:r w:rsidR="007E375D">
        <w:t xml:space="preserve">se </w:t>
      </w:r>
      <w:r>
        <w:t xml:space="preserve">brackets. </w:t>
      </w:r>
    </w:p>
    <w:p w:rsidR="0078310B" w:rsidRPr="00B42FFD" w:rsidRDefault="0078310B" w:rsidP="0078310B">
      <w:pPr>
        <w:widowControl w:val="0"/>
        <w:ind w:firstLine="288"/>
        <w:rPr>
          <w:rFonts w:eastAsia="Times New Roman" w:cs="Times New Roman"/>
        </w:rPr>
      </w:pPr>
    </w:p>
    <w:p w:rsidR="0078310B" w:rsidRPr="00B42FFD" w:rsidRDefault="0078310B" w:rsidP="0078310B">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rsidR="0078310B" w:rsidRPr="00B42FFD" w:rsidRDefault="0078310B" w:rsidP="0078310B">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rsidR="0078310B" w:rsidRPr="00B42FFD"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rsidR="0078310B" w:rsidRDefault="0078310B" w:rsidP="0078310B">
      <w:pPr>
        <w:widowControl w:val="0"/>
        <w:sectPr w:rsidR="0078310B" w:rsidSect="005337BA">
          <w:headerReference w:type="default" r:id="rId824"/>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E16BFA" w:rsidRDefault="0078310B" w:rsidP="0078310B">
      <w:pPr>
        <w:pStyle w:val="Heading2"/>
        <w:spacing w:before="0"/>
        <w:rPr>
          <w:sz w:val="36"/>
          <w:szCs w:val="36"/>
          <w:u w:val="single"/>
        </w:rPr>
      </w:pPr>
      <w:bookmarkStart w:id="289" w:name="_Toc395790585"/>
      <w:r w:rsidRPr="00E16BFA">
        <w:rPr>
          <w:sz w:val="36"/>
          <w:szCs w:val="36"/>
          <w:u w:val="single"/>
        </w:rPr>
        <w:t>Chapter 16: Tax Shelters</w:t>
      </w:r>
      <w:bookmarkEnd w:id="289"/>
    </w:p>
    <w:p w:rsidR="0078310B" w:rsidRDefault="0078310B" w:rsidP="0078310B">
      <w:pPr>
        <w:widowControl w:val="0"/>
        <w:spacing w:after="120"/>
        <w:ind w:firstLine="288"/>
        <w:jc w:val="both"/>
      </w:pPr>
    </w:p>
    <w:p w:rsidR="0078310B" w:rsidRPr="00AE7F18" w:rsidRDefault="0078310B" w:rsidP="0078310B">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rsidR="0078310B" w:rsidRDefault="0078310B" w:rsidP="0078310B">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504"/>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rsidR="0078310B" w:rsidRPr="0087763D" w:rsidRDefault="0078310B" w:rsidP="0078310B">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duction in the SHS sense means—in particular—a</w:t>
      </w:r>
      <w:r w:rsidRPr="00450276">
        <w:rPr>
          <w:b/>
        </w:rPr>
        <w:t xml:space="preserve">n 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rsidR="0078310B" w:rsidRDefault="0078310B" w:rsidP="0078310B">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state and local income and real property taxes—all examined in Chapter 18. Similarly, the amount of wages received in the form of employer-provided health insurance is excludable from Gross Income, also discussed in Chapter 18,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of a substantial gift or bequest 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12 that untaxed borrowed principal can create basis immediately under </w:t>
      </w:r>
      <w:r>
        <w:rPr>
          <w:i/>
        </w:rPr>
        <w:t xml:space="preserve">Crane </w:t>
      </w:r>
      <w:r>
        <w:t>that can generate depreciation deductions of before-tax (rather than after-tax) dollars—thus allowing a double tax benefit for the same dollars to the same taxpayer (both exclusion and deduction) between the time that the deductions are taken and the principal is repaid with after-tax dollars. You also learned in Chapter 14 that statutory depreciation under current law is allowed at a rate that is much faster than economic depreciation. Each of these examples represents a permissible mismeasurement of SHS income, in the sense that it is clearly intended by Congress.</w:t>
      </w:r>
    </w:p>
    <w:p w:rsidR="0078310B" w:rsidRDefault="0078310B" w:rsidP="0078310B">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w:t>
      </w:r>
      <w:r w:rsidR="0029381E">
        <w:t xml:space="preserve"> (the realization requirement which ignores property appreciation during ownership, the deduction of pre-tax dollars when borrowed funds generate expense and depreciation deductions before principal repayment, and the front-loading of depreciation) </w:t>
      </w:r>
      <w:r>
        <w:t xml:space="preserve">has often resulted in deduction of significant </w:t>
      </w:r>
      <w:r w:rsidRPr="00561641">
        <w:rPr>
          <w:i/>
        </w:rPr>
        <w:t>non-economic losses</w:t>
      </w:r>
      <w:r>
        <w:t>, resulting in both common law challenges and statutory amendment.</w:t>
      </w:r>
    </w:p>
    <w:p w:rsidR="0078310B" w:rsidRPr="00872042" w:rsidRDefault="0078310B" w:rsidP="0078310B">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(high-taxed) labor income. In Chapter 15, for example, you learned that the sale of a patent by the creator of the patented invention will generate capital gain under § 1235, that the music composer can elect, if she wishes, to have the gain realized on the sale of the composition treated as capital gain under § 1221(b)(3), but that the painter, sculptor, and author are out of luck under § 1221(a)(3)(A). (Go figure ….) We can now add additional examples to our list. </w:t>
      </w:r>
    </w:p>
    <w:p w:rsidR="0078310B" w:rsidRPr="0060380E" w:rsidRDefault="0078310B" w:rsidP="0078310B">
      <w:pPr>
        <w:widowControl w:val="0"/>
        <w:spacing w:after="120"/>
        <w:ind w:firstLine="288"/>
        <w:jc w:val="both"/>
      </w:pPr>
      <w:r w:rsidRPr="00872042">
        <w:t xml:space="preserve">The gain realized </w:t>
      </w:r>
      <w:r>
        <w:t xml:space="preserve">by an entrepreneur who sells founders shares with a zero basis at a large gain (while paying himself a low salary until then) reflects much of his personal work effort. Yet, the sale gain is entirely capital gain. </w:t>
      </w:r>
    </w:p>
    <w:p w:rsidR="0078310B" w:rsidRDefault="0078310B" w:rsidP="0078310B">
      <w:pPr>
        <w:widowControl w:val="0"/>
        <w:spacing w:after="120"/>
        <w:ind w:firstLine="288"/>
        <w:jc w:val="both"/>
      </w:pPr>
      <w:r>
        <w:t xml:space="preserve">Another example that has been much </w:t>
      </w:r>
      <w:r w:rsidR="007D3D6B">
        <w:t xml:space="preserve">in the popular press in recent years </w:t>
      </w:r>
      <w:r>
        <w:t>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505"/>
      </w:r>
      <w:r>
        <w:t xml:space="preserve">—notwithstanding that </w:t>
      </w:r>
      <w:r>
        <w:rPr>
          <w:i/>
        </w:rPr>
        <w:t xml:space="preserve">both </w:t>
      </w:r>
      <w:r>
        <w:t xml:space="preserve">components are used mainly as benchmarks in valuing the </w:t>
      </w:r>
      <w:r w:rsidRPr="00290A34">
        <w:rPr>
          <w:i/>
        </w:rPr>
        <w:t>services that they perform for the fund</w:t>
      </w:r>
      <w:r>
        <w:t>. In contrast, a corporate executive whose bonus is determined by how much the corporation’s share price increases realizes ordinary income (whether paid in cash or in corporate shares under § 83). Why should private equity fund managers be treated differently?</w:t>
      </w:r>
      <w:r>
        <w:rPr>
          <w:rStyle w:val="FootnoteReference"/>
        </w:rPr>
        <w:footnoteReference w:id="506"/>
      </w:r>
      <w:r>
        <w:t xml:space="preserve"> The example exploits the failure to adequately differentiate between a return on human capital (a labor return) and a return on conventional capital. Many have called for reforms, but thus far none has been enacted. </w:t>
      </w:r>
    </w:p>
    <w:p w:rsidR="0078310B" w:rsidRDefault="0078310B" w:rsidP="0078310B">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ostensibly convert high-taxed ordinary income into low-taxed net capital gain or that permits gain to go unrecognized for tax purposes even though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my metaphors).</w:t>
      </w:r>
    </w:p>
    <w:p w:rsidR="0078310B" w:rsidRPr="00257D0C" w:rsidRDefault="0078310B" w:rsidP="0078310B">
      <w:pPr>
        <w:pStyle w:val="Heading3"/>
        <w:spacing w:before="0" w:beforeAutospacing="0" w:after="120" w:afterAutospacing="0"/>
        <w:rPr>
          <w:i/>
        </w:rPr>
      </w:pPr>
      <w:bookmarkStart w:id="290" w:name="_Toc395790586"/>
      <w:r w:rsidRPr="00257D0C">
        <w:rPr>
          <w:i/>
        </w:rPr>
        <w:t>Policy concerns</w:t>
      </w:r>
      <w:bookmarkEnd w:id="290"/>
    </w:p>
    <w:p w:rsidR="0078310B" w:rsidRDefault="0078310B" w:rsidP="0078310B">
      <w:pPr>
        <w:widowControl w:val="0"/>
        <w:spacing w:after="120"/>
        <w:ind w:firstLine="288"/>
        <w:jc w:val="both"/>
      </w:pPr>
      <w:r>
        <w:t xml:space="preserve">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and, thus, best represent the taxpayer’s ability to contribute to the fisc.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thus diminishing aggregate societal wealth. </w:t>
      </w:r>
    </w:p>
    <w:p w:rsidR="0078310B" w:rsidRPr="00AE7F18" w:rsidRDefault="0078310B" w:rsidP="0078310B">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rsidR="0078310B" w:rsidRDefault="0078310B" w:rsidP="0078310B">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rsidR="0078310B" w:rsidRDefault="0078310B" w:rsidP="0078310B">
      <w:pPr>
        <w:widowControl w:val="0"/>
        <w:ind w:firstLine="288"/>
        <w:jc w:val="both"/>
      </w:pPr>
      <w:r>
        <w:t>Many tax shelters involve the corporate, partnership, or international tax provisions of the Internal Revenue Code and thus are not easy to discuss in a course focused on taxation of the individual.</w:t>
      </w:r>
      <w:r>
        <w:rPr>
          <w:rStyle w:val="FootnoteReference"/>
        </w:rPr>
        <w:footnoteReference w:id="507"/>
      </w:r>
      <w:r>
        <w:t xml:space="preserve"> This chapter nevertheless begins with an early tax shelter case involving an individual 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rsidR="0078310B" w:rsidRDefault="0078310B" w:rsidP="0078310B">
      <w:pPr>
        <w:widowControl w:val="0"/>
        <w:ind w:firstLine="288"/>
        <w:jc w:val="both"/>
      </w:pPr>
    </w:p>
    <w:p w:rsidR="0078310B" w:rsidRPr="00E16BFA" w:rsidRDefault="0078310B" w:rsidP="0078310B">
      <w:pPr>
        <w:pStyle w:val="Heading2"/>
        <w:spacing w:before="0"/>
        <w:rPr>
          <w:sz w:val="32"/>
          <w:szCs w:val="32"/>
          <w:u w:val="single"/>
        </w:rPr>
      </w:pPr>
      <w:bookmarkStart w:id="291" w:name="_Toc395790587"/>
      <w:r w:rsidRPr="00E16BFA">
        <w:rPr>
          <w:sz w:val="32"/>
          <w:szCs w:val="32"/>
          <w:u w:val="single"/>
        </w:rPr>
        <w:t>A. Common law doctrines used in tax shelter litigation</w:t>
      </w:r>
      <w:bookmarkEnd w:id="291"/>
    </w:p>
    <w:p w:rsidR="0078310B" w:rsidRDefault="0078310B" w:rsidP="0078310B">
      <w:pPr>
        <w:pStyle w:val="Heading3"/>
        <w:spacing w:before="0" w:beforeAutospacing="0" w:after="0" w:afterAutospacing="0"/>
        <w:ind w:firstLine="288"/>
        <w:rPr>
          <w:b w:val="0"/>
        </w:rPr>
      </w:pPr>
      <w:bookmarkStart w:id="292" w:name="_Toc395790588"/>
    </w:p>
    <w:p w:rsidR="0078310B" w:rsidRPr="00257D0C" w:rsidRDefault="0078310B" w:rsidP="0078310B">
      <w:pPr>
        <w:pStyle w:val="Heading3"/>
        <w:spacing w:before="0" w:beforeAutospacing="0" w:after="120" w:afterAutospacing="0"/>
        <w:rPr>
          <w:i/>
        </w:rPr>
      </w:pPr>
      <w:r w:rsidRPr="00257D0C">
        <w:rPr>
          <w:i/>
        </w:rPr>
        <w:t>Sham debt</w:t>
      </w:r>
      <w:bookmarkEnd w:id="292"/>
    </w:p>
    <w:p w:rsidR="0078310B" w:rsidRPr="007213A0" w:rsidRDefault="0078310B" w:rsidP="0078310B">
      <w:pPr>
        <w:widowControl w:val="0"/>
        <w:spacing w:after="120"/>
        <w:ind w:firstLine="288"/>
        <w:jc w:val="both"/>
      </w:pPr>
      <w:r>
        <w:rPr>
          <w:rFonts w:cs="Times New Roman"/>
        </w:rPr>
        <w:t xml:space="preserve">Quoting the late Boris Bittker of Yale Law School, the </w:t>
      </w:r>
      <w:r>
        <w:t xml:space="preserve">Supreme Court noted in the first sentence of footnote 7 of </w:t>
      </w:r>
      <w:r>
        <w:rPr>
          <w:i/>
        </w:rPr>
        <w:t>Tufts</w:t>
      </w:r>
      <w:r>
        <w:t xml:space="preserve"> in Chapter 12: “</w:t>
      </w:r>
      <w:r w:rsidRPr="005752A9">
        <w:t xml:space="preserve">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rsidR="0078310B" w:rsidRPr="002C30F9" w:rsidRDefault="0078310B" w:rsidP="0078310B">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most often goes untaxed until realized. For all of these reasons, the taxpayers attempting to take these deductions have often not actually suffered a </w:t>
      </w:r>
      <w:r w:rsidRPr="002E697A">
        <w:rPr>
          <w:i/>
        </w:rPr>
        <w:t>real</w:t>
      </w:r>
      <w:r>
        <w:t xml:space="preserve"> SH</w:t>
      </w:r>
      <w:r w:rsidR="002C30F9">
        <w:t xml:space="preserve">S wealth decrease in substance, </w:t>
      </w:r>
      <w:r w:rsidR="002C30F9">
        <w:rPr>
          <w:i/>
        </w:rPr>
        <w:t>i.e.</w:t>
      </w:r>
      <w:r w:rsidR="002C30F9">
        <w:t xml:space="preserve">, have not suffered an </w:t>
      </w:r>
      <w:r w:rsidR="002C30F9">
        <w:rPr>
          <w:i/>
        </w:rPr>
        <w:t xml:space="preserve">economic </w:t>
      </w:r>
      <w:r w:rsidR="002C30F9">
        <w:t>loss.</w:t>
      </w:r>
    </w:p>
    <w:p w:rsidR="0078310B" w:rsidRDefault="0078310B" w:rsidP="0078310B">
      <w:pPr>
        <w:widowControl w:val="0"/>
        <w:ind w:firstLine="288"/>
        <w:jc w:val="both"/>
        <w:rPr>
          <w:rFonts w:cs="Times New Roman"/>
        </w:rPr>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w:t>
      </w:r>
      <w:r w:rsidRPr="004D1528">
        <w:rPr>
          <w:rFonts w:cs="Times New Roman"/>
        </w:rPr>
        <w:t>her than an independent</w:t>
      </w:r>
      <w:r>
        <w:rPr>
          <w:rFonts w:cs="Times New Roman"/>
        </w:rP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rsidR="0078310B" w:rsidRPr="00F01891" w:rsidRDefault="0078310B" w:rsidP="0078310B">
      <w:pPr>
        <w:widowControl w:val="0"/>
        <w:ind w:firstLine="288"/>
        <w:jc w:val="both"/>
      </w:pPr>
    </w:p>
    <w:p w:rsidR="0078310B" w:rsidRPr="00F01891" w:rsidRDefault="0078310B" w:rsidP="0078310B">
      <w:pPr>
        <w:pStyle w:val="Heading3"/>
        <w:spacing w:before="0" w:beforeAutospacing="0" w:after="120" w:afterAutospacing="0"/>
        <w:jc w:val="center"/>
      </w:pPr>
      <w:bookmarkStart w:id="293" w:name="_Toc395790589"/>
      <w:r w:rsidRPr="00F01891">
        <w:t>KNETSCH v. UNITED STATES</w:t>
      </w:r>
      <w:bookmarkEnd w:id="293"/>
    </w:p>
    <w:p w:rsidR="0078310B" w:rsidRPr="00F01891" w:rsidRDefault="0078310B" w:rsidP="0078310B">
      <w:pPr>
        <w:widowControl w:val="0"/>
        <w:jc w:val="center"/>
      </w:pPr>
      <w:r w:rsidRPr="00F01891">
        <w:t>364 U.S. 361 (1960)</w:t>
      </w:r>
    </w:p>
    <w:p w:rsidR="0078310B" w:rsidRPr="00F01891" w:rsidRDefault="0078310B" w:rsidP="0078310B">
      <w:pPr>
        <w:pStyle w:val="BodyText"/>
        <w:widowControl w:val="0"/>
        <w:spacing w:line="240" w:lineRule="auto"/>
        <w:rPr>
          <w:smallCaps/>
          <w:sz w:val="24"/>
          <w:szCs w:val="24"/>
        </w:rPr>
      </w:pPr>
    </w:p>
    <w:p w:rsidR="0078310B" w:rsidRPr="00F01891" w:rsidRDefault="0078310B" w:rsidP="0078310B">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825"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826" w:history="1">
        <w:r w:rsidRPr="00F01891">
          <w:rPr>
            <w:i/>
            <w:sz w:val="24"/>
            <w:szCs w:val="24"/>
          </w:rPr>
          <w:t>United States v. Bond</w:t>
        </w:r>
        <w:r w:rsidRPr="00F01891">
          <w:rPr>
            <w:sz w:val="24"/>
            <w:szCs w:val="24"/>
          </w:rPr>
          <w:t>, 258 F.2d 577</w:t>
        </w:r>
      </w:hyperlink>
      <w:r>
        <w:rPr>
          <w:sz w:val="24"/>
          <w:szCs w:val="24"/>
        </w:rPr>
        <w:t>, we granted certiorari.</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827" w:history="1">
        <w:r>
          <w:rPr>
            <w:sz w:val="24"/>
            <w:szCs w:val="24"/>
          </w:rPr>
          <w:t>§ 163</w:t>
        </w:r>
        <w:r w:rsidRPr="00F01891">
          <w:rPr>
            <w:sz w:val="24"/>
            <w:szCs w:val="24"/>
          </w:rPr>
          <w:t>(a)</w:t>
        </w:r>
      </w:hyperlink>
      <w:r w:rsidRPr="00F01891">
        <w:rPr>
          <w:sz w:val="24"/>
          <w:szCs w:val="24"/>
        </w:rPr>
        <w:t xml:space="preserve"> of the 1954 Code.</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828"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rsidR="0078310B" w:rsidRPr="00F01891" w:rsidRDefault="0078310B" w:rsidP="0078310B">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829"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830"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rsidR="0078310B" w:rsidRPr="00F01891" w:rsidRDefault="0078310B" w:rsidP="00623311">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831"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832" w:history="1">
        <w:r w:rsidRPr="00F01891">
          <w:rPr>
            <w:sz w:val="24"/>
            <w:szCs w:val="24"/>
          </w:rPr>
          <w:t>§ 23(b)</w:t>
        </w:r>
      </w:hyperlink>
      <w:r w:rsidRPr="00F01891">
        <w:rPr>
          <w:sz w:val="24"/>
          <w:szCs w:val="24"/>
        </w:rPr>
        <w:t xml:space="preserve"> of the 1939 Code and </w:t>
      </w:r>
      <w:hyperlink r:id="rId833" w:history="1">
        <w:r w:rsidRPr="00F01891">
          <w:rPr>
            <w:sz w:val="24"/>
            <w:szCs w:val="24"/>
          </w:rPr>
          <w:t>§ 163(a)</w:t>
        </w:r>
      </w:hyperlink>
      <w:r w:rsidRPr="00F01891">
        <w:rPr>
          <w:sz w:val="24"/>
          <w:szCs w:val="24"/>
        </w:rPr>
        <w:t xml:space="preserve"> of the 1954 Code. But this one is a sham.</w:t>
      </w:r>
    </w:p>
    <w:p w:rsidR="0078310B" w:rsidRPr="00F01891" w:rsidRDefault="0078310B" w:rsidP="0078310B">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rsidR="0078310B" w:rsidRPr="00F01891" w:rsidRDefault="0078310B" w:rsidP="0078310B">
      <w:pPr>
        <w:pStyle w:val="BodyText"/>
        <w:widowControl w:val="0"/>
        <w:spacing w:line="240" w:lineRule="auto"/>
        <w:rPr>
          <w:sz w:val="24"/>
          <w:szCs w:val="24"/>
        </w:rPr>
      </w:pPr>
    </w:p>
    <w:p w:rsidR="0078310B" w:rsidRPr="00F01891" w:rsidRDefault="0078310B" w:rsidP="0078310B">
      <w:pPr>
        <w:widowControl w:val="0"/>
        <w:spacing w:after="120"/>
        <w:ind w:firstLine="288"/>
        <w:jc w:val="both"/>
      </w:pPr>
      <w:r w:rsidRPr="00F01891">
        <w:t>Mr. Knetsch borrowe</w:t>
      </w:r>
      <w:r w:rsidR="00623311">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w:t>
      </w:r>
      <w:r w:rsidR="00623311">
        <w:t>½% interest to purchase</w:t>
      </w:r>
      <w:r>
        <w:t xml:space="preserve"> an investment paying a 2</w:t>
      </w:r>
      <w:r w:rsidRPr="00F01891">
        <w:t xml:space="preserve">½% return? Taxes aside, this investment is a sure </w:t>
      </w:r>
      <w:r w:rsidRPr="00F01891">
        <w:rPr>
          <w:i/>
        </w:rPr>
        <w:t>economic</w:t>
      </w:r>
      <w:r w:rsidRPr="00F01891">
        <w:t xml:space="preserve"> loser!</w:t>
      </w:r>
    </w:p>
    <w:p w:rsidR="0078310B" w:rsidRDefault="00841180" w:rsidP="0078310B">
      <w:pPr>
        <w:widowControl w:val="0"/>
        <w:spacing w:after="120"/>
        <w:ind w:firstLine="288"/>
        <w:jc w:val="both"/>
      </w:pPr>
      <w:r>
        <w:t xml:space="preserve">If the scheme worked, </w:t>
      </w:r>
      <w:r w:rsidR="0078310B" w:rsidRPr="00F01891">
        <w:t>Mr. Knetsch’s before-tax sure loser would turn into an after-tax big winner, with the “profit” coming entirely from the Treasury (</w:t>
      </w:r>
      <w:r w:rsidR="0078310B" w:rsidRPr="00F01891">
        <w:rPr>
          <w:i/>
        </w:rPr>
        <w:t>i.e.</w:t>
      </w:r>
      <w:r w:rsidR="0078310B"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0078310B" w:rsidRPr="00F56E34">
        <w:t>at 91%.</w:t>
      </w:r>
      <w:r w:rsidR="0024595C">
        <w:t xml:space="preserve"> (T</w:t>
      </w:r>
      <w:r w:rsidR="0078310B" w:rsidRPr="00F01891">
        <w:t xml:space="preserve">he top marginal tax rate in 1953 and 1954 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rsidR="0078310B">
        <w:t xml:space="preserve">as of Year 1. Under the present </w:t>
      </w:r>
      <w:r w:rsidR="0078310B" w:rsidRPr="00F01891">
        <w:t>value table in Chapter 1, the Year-1 present value of the Year-2 tax savings using a 3% discount rate (interest rates were relatively low in</w:t>
      </w:r>
      <w:r w:rsidR="0078310B">
        <w:t xml:space="preserve"> these years) would have been $129,984 ($133,866 x .971). Thus, measured as of Year 1, the present value of Mr. Knetsch’s tax savings would have totaled $260,537 ($130,553 </w:t>
      </w:r>
      <w:r w:rsidR="0078310B">
        <w:rPr>
          <w:i/>
        </w:rPr>
        <w:t>plus</w:t>
      </w:r>
      <w:r w:rsidR="0078310B">
        <w:t xml:space="preserve"> $129,984). After subtracting his $91,570 cash investment, he would have earned an after-tax profit of $168,967, measured as of Year 1—a rate of return of 185% on his $91,570 cash investment! </w:t>
      </w:r>
    </w:p>
    <w:p w:rsidR="0078310B" w:rsidRPr="002F0160" w:rsidRDefault="0078310B" w:rsidP="0078310B">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annuity’s increase in value nor the “borrowed”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rsidR="001D7EF1">
        <w:t>le interest payments owed</w:t>
      </w:r>
      <w:r w:rsidRPr="002F0160">
        <w:t xml:space="preserve"> to the insurance company (the other party to the transaction</w:t>
      </w:r>
      <w:r w:rsidR="001D7EF1">
        <w:t xml:space="preserve"> in this 2-party debt scenario</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rsidR="001D7EF1">
        <w:t xml:space="preserve"> wealth reduction</w:t>
      </w:r>
      <w:r w:rsidRPr="002F0160">
        <w:t xml:space="preserve">—all at no economic risk to him. </w:t>
      </w:r>
    </w:p>
    <w:p w:rsidR="0078310B" w:rsidRPr="002F0160" w:rsidRDefault="0078310B" w:rsidP="0078310B">
      <w:pPr>
        <w:pStyle w:val="BodyText"/>
        <w:widowControl w:val="0"/>
        <w:spacing w:after="120" w:line="240" w:lineRule="auto"/>
        <w:ind w:firstLine="288"/>
        <w:rPr>
          <w:sz w:val="24"/>
          <w:szCs w:val="24"/>
        </w:rPr>
      </w:pPr>
      <w:r w:rsidRPr="002F0160">
        <w:rPr>
          <w:sz w:val="24"/>
          <w:szCs w:val="24"/>
        </w:rPr>
        <w:t xml:space="preserve">Mr. Knetsch is a “rentier,” whose “investment”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real, productive activity, thus increasing GDP. </w:t>
      </w:r>
    </w:p>
    <w:p w:rsidR="0078310B" w:rsidRPr="002F0160" w:rsidRDefault="00810292" w:rsidP="0078310B">
      <w:pPr>
        <w:pStyle w:val="BodyText"/>
        <w:widowControl w:val="0"/>
        <w:spacing w:after="120" w:line="240" w:lineRule="auto"/>
        <w:ind w:firstLine="288"/>
        <w:rPr>
          <w:sz w:val="24"/>
          <w:szCs w:val="24"/>
        </w:rPr>
      </w:pPr>
      <w:r>
        <w:rPr>
          <w:sz w:val="24"/>
          <w:szCs w:val="24"/>
        </w:rPr>
        <w:t>T</w:t>
      </w:r>
      <w:r w:rsidR="0078310B" w:rsidRPr="002F0160">
        <w:rPr>
          <w:sz w:val="24"/>
          <w:szCs w:val="24"/>
        </w:rPr>
        <w:t xml:space="preserve">he Supreme Court recited the lower court’s holding that “there was no commercial economic substance to </w:t>
      </w:r>
      <w:r>
        <w:rPr>
          <w:sz w:val="24"/>
          <w:szCs w:val="24"/>
        </w:rPr>
        <w:t xml:space="preserve">the … transaction,” but the </w:t>
      </w:r>
      <w:r w:rsidR="0078310B" w:rsidRPr="002F0160">
        <w:rPr>
          <w:sz w:val="24"/>
          <w:szCs w:val="24"/>
        </w:rPr>
        <w:t>Court appeare</w:t>
      </w:r>
      <w:r w:rsidR="0078310B">
        <w:rPr>
          <w:sz w:val="24"/>
          <w:szCs w:val="24"/>
        </w:rPr>
        <w:t xml:space="preserve">d to rely primarily on the sham </w:t>
      </w:r>
      <w:r w:rsidR="0078310B" w:rsidRPr="002F0160">
        <w:rPr>
          <w:sz w:val="24"/>
          <w:szCs w:val="24"/>
        </w:rPr>
        <w:t>debt doctrine (rather than the economic substan</w:t>
      </w:r>
      <w:r>
        <w:rPr>
          <w:sz w:val="24"/>
          <w:szCs w:val="24"/>
        </w:rPr>
        <w:t>ce doctrine, described below) in</w:t>
      </w:r>
      <w:r w:rsidR="0078310B" w:rsidRPr="002F0160">
        <w:rPr>
          <w:sz w:val="24"/>
          <w:szCs w:val="24"/>
        </w:rPr>
        <w:t xml:space="preserve"> concluding that the nonrecourse debt, which was extended by the tax shelter seller, </w:t>
      </w:r>
      <w:r w:rsidR="0078310B" w:rsidRPr="002F0160">
        <w:rPr>
          <w:i/>
          <w:sz w:val="24"/>
          <w:szCs w:val="24"/>
        </w:rPr>
        <w:t>i.e.</w:t>
      </w:r>
      <w:r w:rsidR="0078310B" w:rsidRPr="002F0160">
        <w:rPr>
          <w:sz w:val="24"/>
          <w:szCs w:val="24"/>
        </w:rPr>
        <w:t>, the insurance company, was a sham—not real debt. Because there was no real debt, there could be no interest to deduct in substance.</w:t>
      </w:r>
    </w:p>
    <w:p w:rsidR="0078310B" w:rsidRDefault="0078310B" w:rsidP="0078310B">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below. Those of you who go on to study the taxation of business enterprises will learn that partnerships and LLCs are transparent entities for tax purposes, meaning that the entity is not subject to tax, itself</w:t>
      </w:r>
      <w:r w:rsidR="008B62DD">
        <w:t xml:space="preserve"> (as are so-called C corporations)</w:t>
      </w:r>
      <w:r>
        <w:t xml:space="preserve">.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income from unrelated wages or other profitable investments on each owner’s individual tax return. Moreover, because of the nature of limited partnership and LLC interests, the partners’ or LLC owners’ exposure to real economic risk of loss is limited. </w:t>
      </w:r>
    </w:p>
    <w:p w:rsidR="0078310B" w:rsidRDefault="0078310B" w:rsidP="0078310B">
      <w:pPr>
        <w:widowControl w:val="0"/>
        <w:ind w:firstLine="288"/>
        <w:jc w:val="both"/>
      </w:pPr>
      <w:r>
        <w:rPr>
          <w:rFonts w:cs="Times New Roman"/>
        </w:rPr>
        <w:t xml:space="preserve">As in </w:t>
      </w:r>
      <w:r>
        <w:rPr>
          <w:rFonts w:cs="Times New Roman"/>
          <w:i/>
        </w:rPr>
        <w:t>Knetsch</w:t>
      </w:r>
      <w:r>
        <w:t xml:space="preserve">, the property seller in </w:t>
      </w:r>
      <w:r>
        <w:rPr>
          <w:i/>
        </w:rPr>
        <w:t>Estate of Franklin</w:t>
      </w:r>
      <w:r>
        <w:t xml:space="preserve"> was also the nonrecourse lender that financed the sale to the buyer, where—as indicated above—the potential for abuse is highest. A</w:t>
      </w:r>
      <w:r w:rsidR="00D76424">
        <w:rPr>
          <w:rFonts w:cs="Times New Roman"/>
        </w:rPr>
        <w:t xml:space="preserve"> </w:t>
      </w:r>
      <w:r>
        <w:rPr>
          <w:rFonts w:cs="Times New Roman"/>
        </w:rPr>
        <w:t xml:space="preserve">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thus creating (depreciable) basis under </w:t>
      </w:r>
      <w:r>
        <w:rPr>
          <w:rFonts w:cs="Times New Roman"/>
          <w:i/>
        </w:rPr>
        <w:t>Crane</w:t>
      </w:r>
      <w:r>
        <w:rPr>
          <w:rFonts w:cs="Times New Roman"/>
        </w:rP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rFonts w:cs="Times New Roman"/>
          <w:i/>
        </w:rPr>
        <w:t>Tufts</w:t>
      </w:r>
      <w:r>
        <w:t>,</w:t>
      </w:r>
      <w:r>
        <w:rPr>
          <w:rStyle w:val="FootnoteReference"/>
        </w:rPr>
        <w:footnoteReference w:id="508"/>
      </w:r>
      <w:r>
        <w:t xml:space="preserve"> as you learned in Chapter 12, the resulting gain may well be low-taxed capital gain or § 1231 gain, while the prior inflated depreciation and interest deductions were ordinary, offsetting high-taxed income. This state of nirvana occurs, however, only if the tax shelter transaction is respected. </w:t>
      </w:r>
    </w:p>
    <w:p w:rsidR="0078310B" w:rsidRPr="005333ED"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294" w:name="_Toc395790590"/>
      <w:r>
        <w:t>ESTATE OF FRANKLIN v. COMMISSIONER</w:t>
      </w:r>
      <w:bookmarkEnd w:id="294"/>
    </w:p>
    <w:p w:rsidR="0078310B" w:rsidRDefault="0078310B" w:rsidP="0078310B">
      <w:pPr>
        <w:widowControl w:val="0"/>
        <w:jc w:val="center"/>
      </w:pPr>
      <w:r>
        <w:t>544 F.2d 1045 (9</w:t>
      </w:r>
      <w:r w:rsidRPr="00E21F6F">
        <w:rPr>
          <w:vertAlign w:val="superscript"/>
        </w:rPr>
        <w:t>th</w:t>
      </w:r>
      <w:r>
        <w:t xml:space="preserve"> Cir. 1976)</w:t>
      </w:r>
    </w:p>
    <w:p w:rsidR="0078310B" w:rsidRDefault="0078310B" w:rsidP="0078310B">
      <w:pPr>
        <w:widowControl w:val="0"/>
        <w:jc w:val="center"/>
      </w:pPr>
    </w:p>
    <w:p w:rsidR="0078310B" w:rsidRDefault="0078310B" w:rsidP="0078310B">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rsidR="0078310B" w:rsidRDefault="0078310B" w:rsidP="0078310B">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rsidR="0078310B" w:rsidRDefault="0078310B" w:rsidP="0078310B">
      <w:pPr>
        <w:widowControl w:val="0"/>
        <w:spacing w:after="120"/>
        <w:ind w:firstLine="288"/>
        <w:jc w:val="both"/>
      </w:pPr>
      <w:r>
        <w:t>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rsidR="0078310B" w:rsidRDefault="0078310B" w:rsidP="0078310B">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rsidR="0078310B" w:rsidRDefault="0078310B" w:rsidP="0078310B">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rsidR="0078310B" w:rsidRDefault="0078310B" w:rsidP="0078310B">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509"/>
        <w:t>[2]</w:t>
      </w:r>
      <w:r>
        <w:t xml:space="preserve"> The Tax Court further justified its “option” characterization by reference to the nonrecourse nature of the purchase money debt and the nice balance between the rental and purchase money payments.</w:t>
      </w:r>
    </w:p>
    <w:p w:rsidR="0078310B" w:rsidRDefault="0078310B" w:rsidP="0078310B">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Manuel D. Mayerson</w:t>
      </w:r>
      <w:r w:rsidRPr="00251F57">
        <w:t>, 47 T.C. 340 (1966)</w:t>
      </w:r>
      <w:r>
        <w:t>.</w:t>
      </w:r>
    </w:p>
    <w:p w:rsidR="0078310B" w:rsidRDefault="0078310B" w:rsidP="0078310B">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510"/>
        <w:t>[4]</w:t>
      </w:r>
      <w:r>
        <w:t xml:space="preserve"> In our view this defect in the taxpayer’s proof is fatal.</w:t>
      </w:r>
    </w:p>
    <w:p w:rsidR="0078310B" w:rsidRDefault="0078310B" w:rsidP="0078310B">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rsidR="0078310B" w:rsidRDefault="0078310B" w:rsidP="0078310B">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rsidR="0078310B" w:rsidRDefault="0078310B" w:rsidP="0078310B">
      <w:pPr>
        <w:widowControl w:val="0"/>
        <w:spacing w:after="120"/>
        <w:ind w:firstLine="288"/>
        <w:jc w:val="both"/>
      </w:pPr>
      <w:r>
        <w:t xml:space="preserve">Authority also supports our perception. It is fundamental that “depreciation is not predicated 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rsidR="0078310B" w:rsidRDefault="0078310B" w:rsidP="0078310B">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511"/>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rsidR="0078310B" w:rsidRDefault="0078310B" w:rsidP="0078310B">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rsidR="0078310B" w:rsidRPr="00251F57" w:rsidRDefault="0078310B" w:rsidP="0078310B">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rsidR="0078310B" w:rsidRPr="00251F57" w:rsidRDefault="0078310B" w:rsidP="0078310B">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rsidR="0078310B" w:rsidRDefault="0078310B" w:rsidP="0078310B">
      <w:pPr>
        <w:widowControl w:val="0"/>
        <w:jc w:val="center"/>
      </w:pPr>
      <w:r>
        <w:t>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What tax consequences were the parties hoping to create in </w:t>
      </w:r>
      <w:r>
        <w:rPr>
          <w:i/>
        </w:rPr>
        <w:t>Estate of Franklin</w:t>
      </w:r>
      <w:r>
        <w:t>?</w:t>
      </w:r>
      <w:r>
        <w:rPr>
          <w:i/>
        </w:rPr>
        <w:t xml:space="preserve"> </w:t>
      </w:r>
      <w:r>
        <w:t xml:space="preserve">Please do not be intimidated by the math to follow, which I use only to illustrate roughly what the parties were attempting to accomplish. </w:t>
      </w:r>
    </w:p>
    <w:p w:rsidR="0078310B" w:rsidRDefault="0078310B" w:rsidP="0078310B">
      <w:pPr>
        <w:widowControl w:val="0"/>
        <w:spacing w:after="120"/>
        <w:ind w:firstLine="288"/>
        <w:jc w:val="both"/>
      </w:pPr>
      <w:r>
        <w:t>Footnote 4 of the case tells us that Wayne and Joan Romney</w:t>
      </w:r>
      <w:r>
        <w:rPr>
          <w:rStyle w:val="FootnoteReference"/>
        </w:rPr>
        <w:footnoteReference w:id="512"/>
      </w:r>
      <w:r>
        <w:t xml:space="preserve"> had purchased the motel (in part with borrowed money) for $660,000</w:t>
      </w:r>
      <w:r>
        <w:rPr>
          <w:rStyle w:val="FootnoteReference"/>
        </w:rPr>
        <w:footnoteReference w:id="513"/>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rsidR="0078310B" w:rsidRDefault="0078310B" w:rsidP="0078310B">
      <w:pPr>
        <w:widowControl w:val="0"/>
        <w:spacing w:after="120"/>
        <w:ind w:firstLine="288"/>
        <w:jc w:val="both"/>
      </w:pPr>
      <w:r>
        <w:t xml:space="preserve">Frankly, the Romneys would have been better off to negotiate with Associates to characterize that 1968 payment of $75,000 as a down payment in their contract rather than as prepaid interest. Let’s see why. </w:t>
      </w:r>
    </w:p>
    <w:p w:rsidR="0078310B" w:rsidRDefault="0078310B" w:rsidP="0078310B">
      <w:pPr>
        <w:widowControl w:val="0"/>
        <w:spacing w:after="120"/>
        <w:ind w:firstLine="288"/>
        <w:jc w:val="both"/>
      </w:pPr>
      <w:r>
        <w:t xml:space="preserve">Under the § 453 installment sale rules that you studied in Chapter 13,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rsidR="0078310B" w:rsidRDefault="0078310B" w:rsidP="0078310B">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78310B" w:rsidRPr="009C00A7" w:rsidRDefault="0078310B" w:rsidP="0078310B">
      <w:pPr>
        <w:widowControl w:val="0"/>
        <w:spacing w:after="120"/>
        <w:jc w:val="both"/>
      </w:pPr>
      <w:r>
        <w:t xml:space="preserve">                                                                                    Total Contract P</w:t>
      </w:r>
      <w:r w:rsidRPr="009C00A7">
        <w:t>rice</w:t>
      </w:r>
    </w:p>
    <w:p w:rsidR="0078310B" w:rsidRDefault="0078310B" w:rsidP="0078310B">
      <w:pPr>
        <w:widowControl w:val="0"/>
        <w:spacing w:after="120"/>
        <w:jc w:val="both"/>
      </w:pPr>
      <w:r>
        <w:t>Thus, if the $75,000 that the Romneys received in 1968 were a down payment (rather than prepaid interest), they would have recognized a portion of their §1001 realized gain equal to:</w:t>
      </w:r>
    </w:p>
    <w:p w:rsidR="0078310B" w:rsidRPr="007443FE" w:rsidRDefault="0078310B" w:rsidP="0078310B">
      <w:pPr>
        <w:widowControl w:val="0"/>
        <w:jc w:val="both"/>
      </w:pPr>
      <w:r>
        <w:t xml:space="preserve">                                          $75,000     x</w:t>
      </w:r>
      <w:r w:rsidRPr="009C00A7">
        <w:t xml:space="preserve">   </w:t>
      </w:r>
      <w:r>
        <w:t xml:space="preserve">     </w:t>
      </w:r>
      <w:r w:rsidRPr="009E2AC2">
        <w:rPr>
          <w:u w:val="single"/>
        </w:rPr>
        <w:t>$624,000</w:t>
      </w:r>
      <w:r>
        <w:t xml:space="preserve">        =        $38,235</w:t>
      </w:r>
    </w:p>
    <w:p w:rsidR="0078310B" w:rsidRDefault="0078310B" w:rsidP="0078310B">
      <w:pPr>
        <w:widowControl w:val="0"/>
        <w:spacing w:after="120"/>
        <w:jc w:val="both"/>
      </w:pPr>
      <w:r>
        <w:t xml:space="preserve">                                                                    $1,224,000</w:t>
      </w:r>
    </w:p>
    <w:p w:rsidR="0078310B" w:rsidRDefault="0078310B" w:rsidP="0078310B">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11)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Thus, the Romneys’ after-tax profit for this deal—measured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t</w:t>
      </w:r>
      <w:r w:rsidR="00FC053E">
        <w:t>hat figure is approximately $430,000 in 2016</w:t>
      </w:r>
      <w:r>
        <w:t xml:space="preserve"> dollars. </w:t>
      </w:r>
    </w:p>
    <w:p w:rsidR="0078310B" w:rsidRDefault="0078310B" w:rsidP="0078310B">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w:t>
      </w:r>
      <w:r w:rsidR="00801091">
        <w:t>hat figure is approximately $156,000 in 2016</w:t>
      </w:r>
      <w:r>
        <w:t xml:space="preserve"> dollars—not nearly as favorable.</w:t>
      </w:r>
      <w:r>
        <w:rPr>
          <w:rStyle w:val="FootnoteReference"/>
        </w:rPr>
        <w:footnoteReference w:id="514"/>
      </w:r>
      <w:r>
        <w:t xml:space="preserve"> But Associates was better off characterizing the $75,000 payment as “prepaid interest” rather than as a down payment because the interest would have been deductible under § 163(a), whereas the down payment would not, and Associates probably had more bargaining power (or more sophisticated advice). </w:t>
      </w:r>
    </w:p>
    <w:p w:rsidR="0078310B" w:rsidRDefault="0078310B" w:rsidP="0078310B">
      <w:pPr>
        <w:widowControl w:val="0"/>
        <w:spacing w:after="120"/>
        <w:ind w:firstLine="288"/>
        <w:jc w:val="both"/>
      </w:pPr>
      <w:r>
        <w:t xml:space="preserve">Associates immediately leased the property back to the Romneys in a “net lease” arrangement, under which the lessee (rather than the lessor) is responsible for the insurance, real estate taxes, utility costs, maintenance of the property, </w:t>
      </w:r>
      <w:r>
        <w:rPr>
          <w:i/>
        </w:rPr>
        <w:t>etc.</w:t>
      </w:r>
      <w:r>
        <w:t xml:space="preserve"> 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year under § 162(a). Thus, the only tax consequences arising for the Romneys from this sale/leaseback transaction, if respected, would have been the ones described above. </w:t>
      </w:r>
    </w:p>
    <w:p w:rsidR="0078310B" w:rsidRDefault="0078310B" w:rsidP="0078310B">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the depreciation of the $1,244,000 basis created under </w:t>
      </w:r>
      <w:r>
        <w:rPr>
          <w:i/>
        </w:rPr>
        <w:t>Crane</w:t>
      </w:r>
      <w:r>
        <w:t xml:space="preserve">! </w:t>
      </w:r>
    </w:p>
    <w:p w:rsidR="0078310B" w:rsidRDefault="0078310B" w:rsidP="0078310B">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14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15"/>
      </w:r>
    </w:p>
    <w:p w:rsidR="0078310B" w:rsidRDefault="0078310B" w:rsidP="0078310B">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however. </w:t>
      </w:r>
    </w:p>
    <w:p w:rsidR="0078310B" w:rsidRDefault="0078310B" w:rsidP="0078310B">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16"/>
      </w:r>
      <w:r>
        <w:t xml:space="preserve"> Add to that figure the $52,500 tax saved in Year 1 from deducting the $75,000 in prepaid interest ($75,000 x .70), and Associates realized total tax savings of $696,385, measured as of Year 1. </w:t>
      </w:r>
    </w:p>
    <w:p w:rsidR="0078310B" w:rsidRDefault="0078310B" w:rsidP="0078310B">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deal equals $465,937—more than $3</w:t>
      </w:r>
      <w:r w:rsidR="005A3C56">
        <w:t>.2 million in 2016</w:t>
      </w:r>
      <w:r>
        <w:t xml:space="preserve"> dollars. That figure represents a rate of return of more than 620% on their $75,000 cash investment—even better than what Mr. Knetsch attempted to obtain!</w:t>
      </w:r>
    </w:p>
    <w:p w:rsidR="0078310B" w:rsidRDefault="0078310B" w:rsidP="0078310B">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significant wealth decreases. Thus, the Ninth Circuit Court of Appeals relied on the sham debt doctrine in holding that no sale actually occurred by focusing on the substantially overstated purchase price.</w:t>
      </w:r>
    </w:p>
    <w:p w:rsidR="0078310B" w:rsidRPr="00257D0C" w:rsidRDefault="0078310B" w:rsidP="0078310B">
      <w:pPr>
        <w:pStyle w:val="Heading3"/>
        <w:spacing w:before="0" w:beforeAutospacing="0" w:after="120" w:afterAutospacing="0"/>
        <w:rPr>
          <w:i/>
        </w:rPr>
      </w:pPr>
      <w:bookmarkStart w:id="295" w:name="_Toc395790591"/>
      <w:r w:rsidRPr="00257D0C">
        <w:rPr>
          <w:i/>
        </w:rPr>
        <w:t>Tax ownership</w:t>
      </w:r>
      <w:bookmarkEnd w:id="295"/>
    </w:p>
    <w:p w:rsidR="0078310B" w:rsidRDefault="0078310B" w:rsidP="0078310B">
      <w:pPr>
        <w:widowControl w:val="0"/>
        <w:spacing w:after="120"/>
        <w:ind w:firstLine="288"/>
        <w:jc w:val="both"/>
      </w:pPr>
      <w:r>
        <w:t xml:space="preserve">What if the purchase price in </w:t>
      </w:r>
      <w:r>
        <w:rPr>
          <w:i/>
        </w:rPr>
        <w:t xml:space="preserve">Estate of Franklin </w:t>
      </w:r>
      <w:r>
        <w:t xml:space="preserve">had equaled the actual FMV of the property 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highly inflated? </w:t>
      </w:r>
    </w:p>
    <w:p w:rsidR="0078310B" w:rsidRDefault="0078310B" w:rsidP="0078310B">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“tax”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17"/>
      </w:r>
      <w:r>
        <w:t xml:space="preserve"> If the leaseback to the Romneys was for a term equal to the entire remaining useful life of the property, would the benefits and burdens of ownership really have shifted to Associates? No. They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rsidR="0078310B" w:rsidRDefault="0078310B" w:rsidP="0078310B">
      <w:pPr>
        <w:widowControl w:val="0"/>
        <w:spacing w:after="120"/>
        <w:ind w:firstLine="288"/>
        <w:jc w:val="both"/>
      </w:pPr>
      <w:r>
        <w:t>Revenue Procedure 2001-28</w:t>
      </w:r>
      <w:r>
        <w:rPr>
          <w:rStyle w:val="FootnoteReference"/>
        </w:rPr>
        <w:footnoteReference w:id="518"/>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which requires that the purported owner/lessor reasonably anticipate realizing an overall </w:t>
      </w:r>
      <w:r>
        <w:rPr>
          <w:i/>
        </w:rPr>
        <w:t xml:space="preserve">economic </w:t>
      </w:r>
      <w:r>
        <w:t xml:space="preserve">profit from its ownership, as well as a positive cash flow. </w:t>
      </w:r>
    </w:p>
    <w:p w:rsidR="0078310B" w:rsidRPr="00257D0C" w:rsidRDefault="0078310B" w:rsidP="0078310B">
      <w:pPr>
        <w:pStyle w:val="Heading3"/>
        <w:spacing w:before="0" w:beforeAutospacing="0" w:after="120" w:afterAutospacing="0"/>
        <w:rPr>
          <w:i/>
        </w:rPr>
      </w:pPr>
      <w:bookmarkStart w:id="296" w:name="_Toc395790592"/>
      <w:r w:rsidRPr="00257D0C">
        <w:rPr>
          <w:i/>
        </w:rPr>
        <w:t>The business purpose doctrine</w:t>
      </w:r>
      <w:bookmarkEnd w:id="296"/>
    </w:p>
    <w:p w:rsidR="0078310B" w:rsidRDefault="0078310B" w:rsidP="0078310B">
      <w:pPr>
        <w:widowControl w:val="0"/>
        <w:spacing w:after="120"/>
        <w:ind w:firstLine="288"/>
        <w:jc w:val="both"/>
      </w:pPr>
      <w:r>
        <w:t xml:space="preserve">The case of </w:t>
      </w:r>
      <w:r>
        <w:rPr>
          <w:i/>
        </w:rPr>
        <w:t>Gregory v. Helvering</w:t>
      </w:r>
      <w:r w:rsidRPr="00B50B0D">
        <w:rPr>
          <w:rStyle w:val="FootnoteReference"/>
        </w:rPr>
        <w:footnoteReference w:id="519"/>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high-taxed ordinary income into low-taxed capital gain (along with some tax-free recovery of basis, to boot) and was thwarted in her attempt in a case that produced the business purpose doctrine. </w:t>
      </w:r>
    </w:p>
    <w:p w:rsidR="0078310B" w:rsidRDefault="0078310B" w:rsidP="0078310B">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MSC stock and found a buyer for it. How could Mrs. Gregory obtain the MSC stock from her corporation in order to sell it? As sole owner of the corporation that held the MSC stock,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(high-taxed) ordinary income. Mrs. Gregory wanted low-taxed capital gain (and some tax-free recovery of basis). Thus,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low-taxed capital gain (and even some tax-free recovery of basis, to boot). </w:t>
      </w:r>
    </w:p>
    <w:p w:rsidR="0078310B" w:rsidRDefault="0078310B" w:rsidP="0078310B">
      <w:pPr>
        <w:widowControl w:val="0"/>
        <w:spacing w:after="120"/>
        <w:ind w:firstLine="288"/>
        <w:jc w:val="both"/>
      </w:pPr>
      <w:r>
        <w:t xml:space="preserve">Judge Learned Hand of the Second Circuit Court of Appeals penned the language that tax shelter purveyors have quoted ever since: </w:t>
      </w:r>
    </w:p>
    <w:p w:rsidR="0078310B" w:rsidRPr="00B50B0D" w:rsidRDefault="0078310B" w:rsidP="0078310B">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20"/>
      </w:r>
    </w:p>
    <w:p w:rsidR="0078310B" w:rsidRDefault="0078310B" w:rsidP="0078310B">
      <w:pPr>
        <w:widowControl w:val="0"/>
        <w:spacing w:after="120"/>
        <w:jc w:val="both"/>
      </w:pPr>
      <w:r>
        <w:t xml:space="preserve">What the purveyors typically downplay is that Judge Hand ruled </w:t>
      </w:r>
      <w:r>
        <w:rPr>
          <w:i/>
        </w:rPr>
        <w:t>against</w:t>
      </w:r>
      <w:r>
        <w:t xml:space="preserve"> Mrs. Gregory, and the Supreme Court affirmed. Moreover, Judge Hand was referring to </w:t>
      </w:r>
      <w:r w:rsidRPr="00A36C6B">
        <w:rPr>
          <w:i/>
        </w:rPr>
        <w:t>substantively</w:t>
      </w:r>
      <w:r>
        <w:t xml:space="preserve"> arranging one’s own economic affairs (</w:t>
      </w:r>
      <w:r>
        <w:rPr>
          <w:i/>
        </w:rPr>
        <w:t>e.g.</w:t>
      </w:r>
      <w:r>
        <w:t xml:space="preserve">, waiting to sell appreciated stock until Day 366 of the ownership period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the low-taxed capital gain and tax-free basis recovery that Mrs. Gregory wanted, both the Second Circuit Court of Appeals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The reason for rejecting the taxpayer’s chosen form was the lack of business purpose for structuring the transaction in that form.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rsidR="0078310B" w:rsidRPr="00257D0C" w:rsidRDefault="0078310B" w:rsidP="0078310B">
      <w:pPr>
        <w:pStyle w:val="Heading3"/>
        <w:spacing w:before="0" w:beforeAutospacing="0" w:after="120" w:afterAutospacing="0"/>
        <w:rPr>
          <w:i/>
        </w:rPr>
      </w:pPr>
      <w:bookmarkStart w:id="297" w:name="_Toc395790593"/>
      <w:r w:rsidRPr="00257D0C">
        <w:rPr>
          <w:i/>
        </w:rPr>
        <w:t>The economic substance doctrine</w:t>
      </w:r>
      <w:bookmarkEnd w:id="297"/>
    </w:p>
    <w:p w:rsidR="0078310B" w:rsidRPr="00EF47E3" w:rsidRDefault="0078310B" w:rsidP="0078310B">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often litigates the transactions and often invokes the economic substance doctrine.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that is useful in illustrating</w:t>
      </w:r>
      <w:r w:rsidRPr="00EF47E3">
        <w:t xml:space="preserve"> t</w:t>
      </w:r>
      <w:r>
        <w:t xml:space="preserve">he economic substance doctrine and which involved </w:t>
      </w:r>
      <w:r w:rsidRPr="00EF47E3">
        <w:t xml:space="preserve">an individual </w:t>
      </w:r>
      <w:r>
        <w:t xml:space="preserve">who attempted, in effect, tax rate manipulation. </w:t>
      </w:r>
    </w:p>
    <w:p w:rsidR="0078310B" w:rsidRDefault="0078310B" w:rsidP="0078310B">
      <w:pPr>
        <w:widowControl w:val="0"/>
        <w:spacing w:after="120"/>
        <w:ind w:firstLine="288"/>
        <w:jc w:val="both"/>
      </w:pPr>
      <w:r>
        <w:t xml:space="preserve">In </w:t>
      </w:r>
      <w:r w:rsidRPr="00EF47E3">
        <w:rPr>
          <w:i/>
        </w:rPr>
        <w:t>Goldstein v. Commissioner</w:t>
      </w:r>
      <w:r>
        <w:t>,</w:t>
      </w:r>
      <w:r w:rsidRPr="00EF47E3">
        <w:rPr>
          <w:rStyle w:val="FootnoteReference"/>
        </w:rPr>
        <w:footnoteReference w:id="521"/>
      </w:r>
      <w:r>
        <w:rPr>
          <w:i/>
        </w:rPr>
        <w:t xml:space="preserve"> </w:t>
      </w:r>
      <w:r>
        <w:t xml:space="preserve">Tillie Goldstein and her husband were retired and living on his pension of approximately $780 per year and $125 in interest from savings accounts when Tillie won $140,218.75 in the </w:t>
      </w:r>
      <w:r w:rsidR="00B47421">
        <w:t>Irish Sweepstakes in 1958 ($1.17 million in 2016</w:t>
      </w:r>
      <w:r>
        <w:t xml:space="preserve">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22"/>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23"/>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rsidR="0078310B" w:rsidRDefault="0078310B" w:rsidP="0078310B">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24"/>
      </w:r>
      <w:r>
        <w:t xml:space="preserve"> </w:t>
      </w:r>
      <w:r w:rsidRPr="00EF47E3">
        <w:t xml:space="preserve">But what did Tillie then do? </w:t>
      </w:r>
      <w:r>
        <w:t xml:space="preserve">In 1958—the same year in which she included the sweepstakes winnings in her Gross Income—she used the remainder of her winnings to prepay the interest due for the next 1½ years on one loan and for nearly 3 years on the other, deducting the $81,396.61 aggregate amount of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25"/>
      </w:r>
      <w:r>
        <w:t xml:space="preserve"> Thus,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rsidR="0078310B" w:rsidRDefault="0078310B" w:rsidP="0078310B">
      <w:pPr>
        <w:widowControl w:val="0"/>
        <w:spacing w:after="120"/>
        <w:ind w:firstLine="288"/>
        <w:jc w:val="both"/>
      </w:pPr>
      <w:r>
        <w:t>The Second Circuit considered the debts to be bona fide</w:t>
      </w:r>
      <w:r w:rsidRPr="00EF47E3">
        <w:t xml:space="preserve"> and not a “sham”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Appeals affirmed the Tax Court’s denial of Tillie’s prepaid interest deduction </w:t>
      </w:r>
      <w:r w:rsidRPr="00EF47E3">
        <w:t>under what has come to be known a</w:t>
      </w:r>
      <w:r>
        <w:t xml:space="preserve">s the economic substance doctrine. </w:t>
      </w:r>
    </w:p>
    <w:p w:rsidR="0078310B" w:rsidRDefault="0078310B" w:rsidP="0078310B">
      <w:pPr>
        <w:widowControl w:val="0"/>
        <w:spacing w:after="120"/>
        <w:ind w:left="720" w:right="720"/>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rsidR="0078310B" w:rsidRDefault="0078310B" w:rsidP="0078310B">
      <w:pPr>
        <w:widowControl w:val="0"/>
        <w:ind w:left="720" w:right="720"/>
        <w:jc w:val="both"/>
      </w:pPr>
      <w:r>
        <w:t>We hold … that Section 163(a) … does not permit a deduction for interest paid or accrued in loan arrangements like those before us that cannot with reason be said to have purpose, substance, or utility apart from their anticipated tax consequences.</w:t>
      </w:r>
    </w:p>
    <w:p w:rsidR="0078310B" w:rsidRDefault="0078310B" w:rsidP="0078310B">
      <w:pPr>
        <w:widowControl w:val="0"/>
        <w:spacing w:after="120"/>
        <w:ind w:left="720" w:right="720"/>
        <w:jc w:val="both"/>
      </w:pPr>
      <w:r>
        <w:t>…</w:t>
      </w:r>
    </w:p>
    <w:p w:rsidR="0078310B" w:rsidRDefault="0078310B" w:rsidP="0078310B">
      <w:pPr>
        <w:widowControl w:val="0"/>
        <w:spacing w:after="120"/>
        <w:ind w:left="720" w:right="720"/>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rsidR="0078310B" w:rsidRPr="005163FC" w:rsidRDefault="0078310B" w:rsidP="0078310B">
      <w:pPr>
        <w:widowControl w:val="0"/>
        <w:spacing w:after="120"/>
        <w:ind w:left="720" w:right="720"/>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26"/>
      </w:r>
    </w:p>
    <w:p w:rsidR="0078310B" w:rsidRPr="00EF47E3" w:rsidRDefault="0078310B" w:rsidP="0078310B">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most of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rsidR="0078310B" w:rsidRDefault="0078310B" w:rsidP="0078310B">
      <w:pPr>
        <w:widowControl w:val="0"/>
        <w:spacing w:after="120"/>
        <w:ind w:firstLine="288"/>
        <w:jc w:val="both"/>
      </w:pPr>
      <w:r>
        <w:t xml:space="preserve">Congress codified the economic substance doctrine in 2010 when it enacted </w:t>
      </w:r>
      <w:hyperlink r:id="rId834" w:history="1">
        <w:r w:rsidRPr="00770642">
          <w:rPr>
            <w:rStyle w:val="Hyperlink"/>
          </w:rPr>
          <w:t>§ 7701</w:t>
        </w:r>
      </w:hyperlink>
      <w:r>
        <w:t xml:space="preserve">(o). Under § 7701(o), a transaction must satisfy a two-pronged, conjunctive test to qualify as having economic 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w:t>
      </w:r>
    </w:p>
    <w:p w:rsidR="0078310B" w:rsidRDefault="0078310B" w:rsidP="0078310B">
      <w:pPr>
        <w:widowControl w:val="0"/>
        <w:spacing w:after="120"/>
        <w:ind w:firstLine="288"/>
        <w:jc w:val="both"/>
      </w:pPr>
      <w:r>
        <w:t xml:space="preserve">So why did Congress enact it? In the same legislation, Congress adopted a strict liability penalty in </w:t>
      </w:r>
      <w:hyperlink r:id="rId835" w:history="1">
        <w:r w:rsidRPr="00770642">
          <w:rPr>
            <w:rStyle w:val="Hyperlink"/>
          </w:rPr>
          <w:t>§ 6662</w:t>
        </w:r>
      </w:hyperlink>
      <w:r>
        <w:t xml:space="preserve">(b)(6) that applies to transactions that lack economic substance within the meaning of § 7701(o). So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In other words,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xml:space="preserve">, allowing it to count (in addition to the new revenue obtained under the new penalty) toward paying for revenue-losing amendments to the Code. </w:t>
      </w:r>
    </w:p>
    <w:p w:rsidR="0078310B" w:rsidRDefault="0078310B" w:rsidP="0078310B">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rsidR="0078310B" w:rsidRDefault="0078310B" w:rsidP="0078310B">
      <w:pPr>
        <w:widowControl w:val="0"/>
        <w:spacing w:after="120"/>
        <w:ind w:firstLine="288"/>
        <w:jc w:val="both"/>
      </w:pPr>
      <w:r>
        <w:t xml:space="preserve">One of the most common tax penalties is the 20% penalty imposed under </w:t>
      </w:r>
      <w:hyperlink r:id="rId836" w:history="1">
        <w:r w:rsidRPr="00770642">
          <w:rPr>
            <w:rStyle w:val="Hyperlink"/>
          </w:rPr>
          <w:t>§ 6662</w:t>
        </w:r>
      </w:hyperlink>
      <w:r>
        <w:t>(a)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27"/>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w:t>
      </w:r>
      <w:hyperlink r:id="rId837" w:history="1">
        <w:r w:rsidRPr="00770642">
          <w:rPr>
            <w:rStyle w:val="Hyperlink"/>
          </w:rPr>
          <w:t>§ 6664</w:t>
        </w:r>
      </w:hyperlink>
      <w:r>
        <w:t xml:space="preserve">(c)(1) excuses the 20% penalty if the taxpayer can show that “there was a reasonable cause” for the understatement and that “the taxpayer acted in good faith.” </w:t>
      </w:r>
    </w:p>
    <w:p w:rsidR="0078310B" w:rsidRDefault="0078310B" w:rsidP="0078310B">
      <w:pPr>
        <w:widowControl w:val="0"/>
        <w:spacing w:after="120"/>
        <w:ind w:firstLine="288"/>
        <w:jc w:val="both"/>
      </w:pPr>
      <w:r>
        <w:t>These rules go out the window for any transaction that fails the economic substance test under § 7701(o). First, § 6662(b)(6) subjects any transaction failing § 7701(o) “or failing to meet the 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rsidR="0078310B" w:rsidRPr="00AB04D3" w:rsidRDefault="0078310B" w:rsidP="0078310B">
      <w:pPr>
        <w:widowControl w:val="0"/>
        <w:spacing w:after="120"/>
        <w:ind w:firstLine="288"/>
        <w:jc w:val="both"/>
        <w:rPr>
          <w:rFonts w:eastAsia="Times New Roman" w:cs="Times New Roman"/>
        </w:rPr>
      </w:pPr>
      <w:r>
        <w:t>Because of the significance of this new penalty regime imposed by Congress, the IRS announced in 2010</w:t>
      </w:r>
      <w:r>
        <w:rPr>
          <w:rStyle w:val="FootnoteReference"/>
        </w:rPr>
        <w:footnoteReference w:id="528"/>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29"/>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cs="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rsidR="0078310B" w:rsidRDefault="0078310B" w:rsidP="0078310B">
      <w:pPr>
        <w:widowControl w:val="0"/>
        <w:ind w:firstLine="288"/>
        <w:jc w:val="both"/>
      </w:pPr>
      <w:r>
        <w:t>Because of the prospective effective date of § 7701(o), no decided cases have yet applied the codified economic substance doctrine. Cases dealing with pre-2010 transactions continue to apply the common law doctrine, as well as the penalty analysis that pre-dated enactment of § 7701(o). It will be interesting to see how, if at all, codification of the doctrine will affect tax shelter litigation, including whether codification will bring greater uniformity among the courts in its application.</w:t>
      </w:r>
    </w:p>
    <w:p w:rsidR="0078310B" w:rsidRDefault="0078310B" w:rsidP="0078310B">
      <w:pPr>
        <w:widowControl w:val="0"/>
        <w:ind w:firstLine="288"/>
        <w:jc w:val="both"/>
      </w:pPr>
    </w:p>
    <w:p w:rsidR="0078310B" w:rsidRPr="00E16BFA" w:rsidRDefault="0078310B" w:rsidP="0078310B">
      <w:pPr>
        <w:pStyle w:val="Heading2"/>
        <w:spacing w:before="0"/>
        <w:rPr>
          <w:sz w:val="32"/>
          <w:szCs w:val="32"/>
          <w:u w:val="single"/>
        </w:rPr>
      </w:pPr>
      <w:bookmarkStart w:id="298" w:name="_Toc395790594"/>
      <w:r w:rsidRPr="00E16BFA">
        <w:rPr>
          <w:sz w:val="32"/>
          <w:szCs w:val="32"/>
          <w:u w:val="single"/>
        </w:rPr>
        <w:t>B. Statutory tools in combatting tax shelters</w:t>
      </w:r>
      <w:bookmarkEnd w:id="298"/>
    </w:p>
    <w:p w:rsidR="0078310B" w:rsidRPr="00872042" w:rsidRDefault="0078310B" w:rsidP="0078310B">
      <w:pPr>
        <w:widowControl w:val="0"/>
        <w:ind w:firstLine="288"/>
      </w:pPr>
    </w:p>
    <w:p w:rsidR="0078310B" w:rsidRDefault="0078310B" w:rsidP="0078310B">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38"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rsidR="0078310B" w:rsidRDefault="0078310B" w:rsidP="0078310B">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39" w:history="1">
        <w:r w:rsidRPr="00AC4E5A">
          <w:rPr>
            <w:rStyle w:val="Hyperlink"/>
          </w:rPr>
          <w:t>§ 461</w:t>
        </w:r>
      </w:hyperlink>
      <w:r>
        <w:t>(g). In essence, § 461(g) accurately characterizes prepaid interest as a nondeductible capital expenditure, the basis of which must be properly amortized over the term of the loan. If 461(g) had been operative in 1958, Tillie’s tax shelt</w:t>
      </w:r>
      <w:r w:rsidR="00AC4E5A">
        <w:t>er would have been unsuccessful</w:t>
      </w:r>
      <w:r>
        <w:t xml:space="preserve"> without regard to the economic substance doctrine. </w:t>
      </w:r>
    </w:p>
    <w:p w:rsidR="0078310B" w:rsidRPr="00400DCB" w:rsidRDefault="0078310B" w:rsidP="0078310B">
      <w:pPr>
        <w:widowControl w:val="0"/>
        <w:spacing w:after="120"/>
        <w:ind w:firstLine="288"/>
        <w:jc w:val="both"/>
      </w:pPr>
      <w:r>
        <w:t xml:space="preserve">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 </w:t>
      </w:r>
    </w:p>
    <w:p w:rsidR="0078310B" w:rsidRPr="00257D0C" w:rsidRDefault="0078310B" w:rsidP="0078310B">
      <w:pPr>
        <w:pStyle w:val="Heading3"/>
        <w:spacing w:before="0" w:beforeAutospacing="0" w:after="120" w:afterAutospacing="0"/>
        <w:rPr>
          <w:i/>
        </w:rPr>
      </w:pPr>
      <w:bookmarkStart w:id="299" w:name="_Toc395790595"/>
      <w:r w:rsidRPr="00257D0C">
        <w:rPr>
          <w:i/>
        </w:rPr>
        <w:t>The § 46</w:t>
      </w:r>
      <w:r>
        <w:rPr>
          <w:i/>
        </w:rPr>
        <w:t>5</w:t>
      </w:r>
      <w:r w:rsidRPr="00257D0C">
        <w:rPr>
          <w:i/>
        </w:rPr>
        <w:t xml:space="preserve"> at-risk rules and § 469 passive activity loss rules</w:t>
      </w:r>
      <w:bookmarkEnd w:id="299"/>
    </w:p>
    <w:p w:rsidR="0078310B" w:rsidRDefault="0078310B" w:rsidP="0078310B">
      <w:pPr>
        <w:widowControl w:val="0"/>
        <w:spacing w:after="120"/>
        <w:ind w:firstLine="288"/>
        <w:jc w:val="both"/>
      </w:pPr>
      <w:r>
        <w:t xml:space="preserve">Aside from the sale/leaseback transaction described in Part A., the combination of </w:t>
      </w:r>
      <w:r>
        <w:rPr>
          <w:i/>
        </w:rPr>
        <w:t>Crane</w:t>
      </w:r>
      <w:r>
        <w:t>, nonrecourse debt (limiting the taxpayer’s economic risk of loss), accelerated depreciation (which offset</w:t>
      </w:r>
      <w:r w:rsidR="00EA2AB1">
        <w:t>s</w:t>
      </w:r>
      <w:r>
        <w:t xml:space="preserve"> high-taxed ordinary income while generating low-taxed capital or § 1231 gain on later disposition), the realization requirement (ignoring property appreciation until realized), and limited partnerships (allowing both the easy sharing of net losses and the easy sale of ownership interests) made the broad marketing of real estate and other tax shelters a growing problem in the 1970s and early1980s.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interests, the buyer’s economic risk was limited to the cash that he or she invested.</w:t>
      </w:r>
      <w:r>
        <w:rPr>
          <w:rStyle w:val="FootnoteReference"/>
        </w:rPr>
        <w:footnoteReference w:id="530"/>
      </w:r>
      <w:r>
        <w:t xml:space="preserve"> The net losses allocated to the limited partners consisted mainly of interest and other expense deductions, as well as depreciation created with before-tax </w:t>
      </w:r>
      <w:r>
        <w:rPr>
          <w:i/>
        </w:rPr>
        <w:t xml:space="preserve">Crane </w:t>
      </w:r>
      <w:r>
        <w:t xml:space="preserve">basis, in excess of the Gross Income generated by the property. Common examples include real estate, oil and gas wells, even the making of bad B movies (which could be amortized really quickly at the time). </w:t>
      </w:r>
    </w:p>
    <w:p w:rsidR="0078310B" w:rsidRDefault="0078310B" w:rsidP="0078310B">
      <w:pPr>
        <w:widowControl w:val="0"/>
        <w:spacing w:after="120"/>
        <w:ind w:firstLine="288"/>
        <w:jc w:val="both"/>
      </w:pPr>
      <w:r>
        <w:t xml:space="preserve">Congress reacted to this phenomenon first by enacting the § 465 at-risk rules in 1976 and then, ten years later, enacting the § 469 passive activity loss rules in 1986. Note that neither section </w:t>
      </w:r>
      <w:r>
        <w:rPr>
          <w:i/>
        </w:rPr>
        <w:t xml:space="preserve">authorizes </w:t>
      </w:r>
      <w:r>
        <w:t xml:space="preserve">the taking of deductions, as neither contains those magic words discussed in Chapter 1: “there shall be allowed as a deduction.” Rather, these sections, like § 1211 in the case of otherwise deductible (under § 165) capital losses, are sections that </w:t>
      </w:r>
      <w:r w:rsidRPr="005B4B3A">
        <w:rPr>
          <w:i/>
        </w:rPr>
        <w:t>limit otherwise allowable</w:t>
      </w:r>
      <w:r>
        <w:rPr>
          <w:i/>
        </w:rPr>
        <w:t xml:space="preserve"> </w:t>
      </w:r>
      <w:r w:rsidRPr="00BD53BB">
        <w:t>deductions</w:t>
      </w:r>
      <w:r>
        <w:t xml:space="preserve"> (authorized under other Code sections that do contain those magic words). </w:t>
      </w:r>
    </w:p>
    <w:p w:rsidR="0078310B" w:rsidRDefault="0078310B" w:rsidP="0078310B">
      <w:pPr>
        <w:widowControl w:val="0"/>
        <w:spacing w:after="120"/>
        <w:ind w:firstLine="288"/>
        <w:jc w:val="both"/>
      </w:pPr>
      <w:r w:rsidRPr="007A67B0">
        <w:rPr>
          <w:b/>
        </w:rPr>
        <w:t>Under §</w:t>
      </w:r>
      <w:hyperlink r:id="rId840"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31"/>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rsidR="0078310B" w:rsidRDefault="0078310B" w:rsidP="0078310B">
      <w:pPr>
        <w:widowControl w:val="0"/>
        <w:spacing w:after="120"/>
        <w:ind w:firstLine="288"/>
        <w:jc w:val="both"/>
      </w:pPr>
      <w:r>
        <w:t xml:space="preserve"> Assume, for example, that Michael is a professional baseball player who plays outfield for a major league team (go Tribe!) and who earns $10 million each year. Michael also owns a substantial investment portfolio of stocks and bonds that generates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rsidR="0078310B" w:rsidRDefault="0078310B" w:rsidP="0078310B">
      <w:pPr>
        <w:widowControl w:val="0"/>
        <w:spacing w:after="120"/>
        <w:ind w:firstLine="288"/>
        <w:jc w:val="both"/>
      </w:pPr>
      <w:r>
        <w:t xml:space="preserve">If Michael had to worry only about </w:t>
      </w:r>
      <w:hyperlink r:id="rId841"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rsidR="0078310B" w:rsidRDefault="0078310B" w:rsidP="0078310B">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rsidR="0078310B" w:rsidRDefault="0078310B" w:rsidP="0078310B">
      <w:pPr>
        <w:widowControl w:val="0"/>
        <w:spacing w:after="120"/>
        <w:ind w:firstLine="288"/>
        <w:jc w:val="both"/>
      </w:pPr>
      <w:r>
        <w:t xml:space="preserve">Enter </w:t>
      </w:r>
      <w:hyperlink r:id="rId842" w:history="1">
        <w:r w:rsidRPr="008A4C40">
          <w:rPr>
            <w:rStyle w:val="Hyperlink"/>
          </w:rPr>
          <w:t>§ 465</w:t>
        </w:r>
      </w:hyperlink>
      <w:r>
        <w:t>(b)(6). The 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Because </w:t>
      </w:r>
      <w:r>
        <w:t>Michael</w:t>
      </w:r>
      <w:r w:rsidRPr="007A67B0">
        <w:t xml:space="preserve">’s loan was extended by National Bank, his nonrecourse debt would satisfy the definition, and </w:t>
      </w:r>
      <w:r>
        <w:t>§ 465 would not bar Michael</w:t>
      </w:r>
      <w:r w:rsidRPr="007A67B0">
        <w:t>’s net los</w:t>
      </w:r>
      <w:r>
        <w:t xml:space="preserve">ses from sheltering unrelated income. In short, “qualified nonrecourse financing” is treated as though it were recourse debt for purposes of determining the amount “at risk” in the activity. </w:t>
      </w:r>
    </w:p>
    <w:p w:rsidR="0078310B" w:rsidRPr="007A67B0" w:rsidRDefault="0078310B" w:rsidP="0078310B">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(and required </w:t>
      </w:r>
      <w:r w:rsidRPr="007A67B0">
        <w:t>real estate to be depreciated using the straight-line metho</w:t>
      </w:r>
      <w:r>
        <w:t>d over longer periods of time) in 1986.</w:t>
      </w:r>
    </w:p>
    <w:p w:rsidR="0078310B" w:rsidRDefault="002B3596" w:rsidP="0078310B">
      <w:pPr>
        <w:widowControl w:val="0"/>
        <w:spacing w:after="120"/>
        <w:ind w:firstLine="288"/>
        <w:jc w:val="both"/>
      </w:pPr>
      <w:hyperlink r:id="rId843" w:history="1">
        <w:r w:rsidR="0078310B" w:rsidRPr="00E855BD">
          <w:rPr>
            <w:rStyle w:val="Hyperlink"/>
          </w:rPr>
          <w:t>Treas. Reg. § 1.469-2T</w:t>
        </w:r>
      </w:hyperlink>
      <w:r w:rsidR="0078310B" w:rsidRPr="007A67B0">
        <w:t xml:space="preserve">(d)(6) provides that § 465 applies before § 469, but § </w:t>
      </w:r>
      <w:r w:rsidR="0078310B">
        <w:t xml:space="preserve">465 did not limit Michael’s ability to fully deduct the real estate net losses against unrelated income. Thus, we finally need to move on to § 469. </w:t>
      </w:r>
      <w:r w:rsidR="0078310B" w:rsidRPr="007A67B0">
        <w:t xml:space="preserve">Let’s drive along the </w:t>
      </w:r>
      <w:r w:rsidR="0078310B" w:rsidRPr="00E855BD">
        <w:t>§ 469</w:t>
      </w:r>
      <w:r w:rsidR="0078310B" w:rsidRPr="007A67B0">
        <w:t xml:space="preserve"> roadmap to see how it affects </w:t>
      </w:r>
      <w:r w:rsidR="0078310B">
        <w:t>Michael</w:t>
      </w:r>
      <w:r w:rsidR="0078310B" w:rsidRPr="007A67B0">
        <w:t xml:space="preserve">. </w:t>
      </w:r>
    </w:p>
    <w:p w:rsidR="0078310B" w:rsidRDefault="002B3596" w:rsidP="0078310B">
      <w:pPr>
        <w:widowControl w:val="0"/>
        <w:spacing w:after="120"/>
        <w:ind w:firstLine="288"/>
        <w:jc w:val="both"/>
      </w:pPr>
      <w:hyperlink r:id="rId844" w:history="1">
        <w:r w:rsidR="0078310B" w:rsidRPr="00E855BD">
          <w:rPr>
            <w:rStyle w:val="Hyperlink"/>
            <w:b/>
          </w:rPr>
          <w:t>Sections 469</w:t>
        </w:r>
      </w:hyperlink>
      <w:r w:rsidR="0078310B" w:rsidRPr="00357E1C">
        <w:rPr>
          <w:b/>
        </w:rPr>
        <w:t>(a)(1)(A) and (2) deny individuals and closely held C corporations the ability to deduct any “passive activity loss,” or PAL, arising in the year.</w:t>
      </w:r>
      <w:r w:rsidR="0078310B">
        <w:t xml:space="preserve"> What is a PAL? Under § 469(d)(1), a </w:t>
      </w:r>
      <w:r w:rsidR="0078310B">
        <w:rPr>
          <w:b/>
        </w:rPr>
        <w:t xml:space="preserve">PAL </w:t>
      </w:r>
      <w:r w:rsidR="0078310B">
        <w:t xml:space="preserve">is defined, in essence, as </w:t>
      </w:r>
      <w:r w:rsidR="0078310B" w:rsidRPr="007A67B0">
        <w:rPr>
          <w:b/>
        </w:rPr>
        <w:t>the excess of passive activity deductions</w:t>
      </w:r>
      <w:r w:rsidR="0078310B">
        <w:rPr>
          <w:b/>
        </w:rPr>
        <w:t xml:space="preserve"> over </w:t>
      </w:r>
      <w:r w:rsidR="0078310B" w:rsidRPr="007A67B0">
        <w:rPr>
          <w:b/>
        </w:rPr>
        <w:t xml:space="preserve">passive activity </w:t>
      </w:r>
      <w:r w:rsidR="0078310B">
        <w:rPr>
          <w:b/>
        </w:rPr>
        <w:t>Gross Income</w:t>
      </w:r>
      <w:r w:rsidR="0078310B" w:rsidRPr="007A67B0">
        <w:rPr>
          <w:b/>
        </w:rPr>
        <w:t xml:space="preserve"> </w:t>
      </w:r>
      <w:r w:rsidR="0078310B">
        <w:rPr>
          <w:b/>
        </w:rPr>
        <w:t xml:space="preserve">arising in all of the taxpayer’s passive activities. </w:t>
      </w:r>
      <w:r w:rsidR="0078310B">
        <w:t xml:space="preserve">In other words, like § 465, § 469 does </w:t>
      </w:r>
      <w:r w:rsidR="0078310B" w:rsidRPr="00C47DE6">
        <w:t>not</w:t>
      </w:r>
      <w:r w:rsidR="0078310B">
        <w:rPr>
          <w:i/>
        </w:rPr>
        <w:t xml:space="preserve"> </w:t>
      </w:r>
      <w:r w:rsidR="0078310B">
        <w:t xml:space="preserve">deny </w:t>
      </w:r>
      <w:r w:rsidR="0078310B" w:rsidRPr="00C47DE6">
        <w:rPr>
          <w:i/>
        </w:rPr>
        <w:t>all deductions</w:t>
      </w:r>
      <w:r w:rsidR="0078310B">
        <w:t xml:space="preserve"> but rather prevents only the sheltering effect—the ability of the </w:t>
      </w:r>
      <w:r w:rsidR="0078310B" w:rsidRPr="004243D6">
        <w:rPr>
          <w:i/>
        </w:rPr>
        <w:t>net loss</w:t>
      </w:r>
      <w:r w:rsidR="0078310B">
        <w:t xml:space="preserve"> (the excess of deductions over Gross Income) to shelter income from other sources. Thus,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w:t>
      </w:r>
      <w:r w:rsidR="00E855BD">
        <w:t xml:space="preserve">(the excess deductions) </w:t>
      </w:r>
      <w:r w:rsidR="0078310B">
        <w:t>to shelt</w:t>
      </w:r>
      <w:r w:rsidR="00E855BD">
        <w:t>er his unrelated income</w:t>
      </w:r>
      <w:r w:rsidR="0078310B">
        <w:t xml:space="preserve">. </w:t>
      </w:r>
    </w:p>
    <w:p w:rsidR="0078310B" w:rsidRDefault="0078310B" w:rsidP="0078310B">
      <w:pPr>
        <w:widowControl w:val="0"/>
        <w:spacing w:after="120"/>
        <w:ind w:firstLine="288"/>
        <w:jc w:val="both"/>
      </w:pPr>
      <w:r>
        <w:t>What is a “passive activity”—an oxymoron if ever I heard one? Subject to important exceptions noted below, §</w:t>
      </w:r>
      <w:hyperlink r:id="rId845" w:history="1">
        <w:r w:rsidRPr="007B7E8B">
          <w:rPr>
            <w:rStyle w:val="Hyperlink"/>
          </w:rPr>
          <w:t>§ 469</w:t>
        </w:r>
      </w:hyperlink>
      <w:r>
        <w:t xml:space="preserve">(c)(1) and (6) provide that a passive activity is any business or investment activity in which the taxpayer does not “materially participate,” and § 469(h)(1) defines material participation as involvement that is “regular, continuous, and substantial.” Treas. Reg. </w:t>
      </w:r>
      <w:hyperlink r:id="rId846" w:history="1">
        <w:r w:rsidRPr="007B7E8B">
          <w:rPr>
            <w:rStyle w:val="Hyperlink"/>
          </w:rPr>
          <w:t>§ 1.469-5T</w:t>
        </w:r>
      </w:hyperlink>
      <w:r>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Moreover, §§ 469(c)(2) and (4) provide that a rental real estate activity (even if held directly rather than through a limited partnership) is also generally </w:t>
      </w:r>
      <w:r>
        <w:rPr>
          <w:i/>
        </w:rPr>
        <w:t xml:space="preserve">per se </w:t>
      </w:r>
      <w:r>
        <w:t xml:space="preserve">passive. These last two  rules reflect the central place that both real estate tax shelters and limited partnerships had in driving enactment of § 469. Full-time real estate professionals, such as Donald Trump, were incensed that no exception was made for real estate professionals, and Congress added (c)(7) in 1993 in response. Under it, real estate activities will not be considered </w:t>
      </w:r>
      <w:r>
        <w:rPr>
          <w:i/>
        </w:rPr>
        <w:t xml:space="preserve">per se </w:t>
      </w:r>
      <w:r>
        <w:t>passive if both (1) more than one-half of the taxpayer’s work hours for the year are performed in real estate business activities in which the taxpayer “materially participates” and (2) more than 750 hours are spent in such activities in the year</w:t>
      </w:r>
    </w:p>
    <w:p w:rsidR="0078310B" w:rsidRDefault="0078310B" w:rsidP="0078310B">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Does not the $50,000 in interest, dividends, and capital gains that he realizes each year with respect to his investment portfolio constitute passive Gross Income, which can absorb the remaining $40,000 in passive deductions, thus preventing the creation of any nondeductible PAL?” No. Read </w:t>
      </w:r>
      <w:hyperlink r:id="rId847" w:history="1">
        <w:r w:rsidRPr="007B7E8B">
          <w:rPr>
            <w:rStyle w:val="Hyperlink"/>
          </w:rPr>
          <w:t>§ 469</w:t>
        </w:r>
      </w:hyperlink>
      <w:r>
        <w:t xml:space="preserve">(e)(1).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Thus, for purposes of § 469, interest, dividends, annuities, royalties, and § 1001 gain arising on the sale or exchange of property producing such income are not considered “passive.” </w:t>
      </w:r>
    </w:p>
    <w:p w:rsidR="0078310B" w:rsidRDefault="0078310B" w:rsidP="0078310B">
      <w:pPr>
        <w:widowControl w:val="0"/>
        <w:spacing w:after="120"/>
        <w:ind w:firstLine="288"/>
        <w:jc w:val="both"/>
      </w:pPr>
      <w:r>
        <w:t xml:space="preserve">Michael does not lose his $40,000 net loss, however. Under § 469(b), Michael carries forward his nondeductible PAL each year until either (1) he earns sufficient passive net income (excess of passive Gross Income over passive deductions for the year) to absorb it or (2) he disposes of the tax shelter in a taxable sale or exchange under § 469(g). </w:t>
      </w:r>
    </w:p>
    <w:p w:rsidR="0078310B" w:rsidRPr="00633166" w:rsidRDefault="0078310B" w:rsidP="0078310B">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12), likely producing a sizable § 1001 gain.</w:t>
      </w:r>
      <w:r>
        <w:rPr>
          <w:rStyle w:val="FootnoteReference"/>
        </w:rPr>
        <w:footnoteReference w:id="532"/>
      </w:r>
      <w:r>
        <w:t xml:space="preserve"> This § 1001 gain will be passive gain (because it does not arise from the sale of property 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rsidR="0078310B" w:rsidRDefault="0078310B" w:rsidP="0078310B">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does operate on an activity-by-activity basis. Thus, taxpayers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rsidR="0078310B" w:rsidRDefault="0078310B" w:rsidP="0078310B">
      <w:pPr>
        <w:widowControl w:val="0"/>
        <w:spacing w:after="120"/>
        <w:ind w:firstLine="288"/>
        <w:jc w:val="both"/>
      </w:pPr>
      <w:r>
        <w:t xml:space="preserve">One final provision is worthy of mention: </w:t>
      </w:r>
      <w:hyperlink r:id="rId848"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33"/>
      </w:r>
      <w:r>
        <w:t xml:space="preserve"> To limit the provision to the small investor § 469(i)(3) reduces the $25,000 allowable PAL by 50% of the excess of the taxpayer’s AGI over $100,000, so taxpayers with an AGI of at least $150,000 (including Michael) lose all benefit from § 469(i). </w:t>
      </w:r>
    </w:p>
    <w:p w:rsidR="0078310B" w:rsidRDefault="0078310B" w:rsidP="0078310B">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deductions not exceeding passive Gross Income are allowable without regard to § 469, as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49" w:history="1">
        <w:r w:rsidRPr="00B81176">
          <w:rPr>
            <w:rStyle w:val="Hyperlink"/>
          </w:rPr>
          <w:t>§ 62</w:t>
        </w:r>
      </w:hyperlink>
      <w:r>
        <w:t xml:space="preserve">(a)(4). Thus,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rsidR="0078310B" w:rsidRDefault="0078310B" w:rsidP="0078310B">
      <w:pPr>
        <w:widowControl w:val="0"/>
        <w:spacing w:after="120"/>
        <w:ind w:firstLine="288"/>
        <w:jc w:val="both"/>
      </w:pPr>
      <w:r>
        <w:t xml:space="preserve">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Thus, Michael’s AGI is </w:t>
      </w:r>
      <w:r w:rsidRPr="00140970">
        <w:rPr>
          <w:i/>
        </w:rPr>
        <w:t>still</w:t>
      </w:r>
      <w:r>
        <w:t xml:space="preserve"> $120,000 before determining how § 469(i) applies to the $20,000 PAL. </w:t>
      </w:r>
    </w:p>
    <w:p w:rsidR="0078310B" w:rsidRDefault="0078310B" w:rsidP="0078310B">
      <w:pPr>
        <w:widowControl w:val="0"/>
        <w:ind w:firstLine="288"/>
        <w:jc w:val="both"/>
      </w:pPr>
      <w:r>
        <w:t xml:space="preserve">Absent § 469(i), Michael would have to carry his $20,000 PAL forward under § 469(b). Because Michael satisfies the more lenient “active participation” test in § 469(i)(1), however, he can potentially deduct all or a portion of his $20,000 PAL because it is less than the $25,000 ceiling in § 469(i)(2). But that $25,000 ceiling is reduced by $10,000, which is 50% of the amount by which Michael’s AGI before applying § 469(i) ($120,000) exceeds $100,000.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00" w:name="_Toc395790596"/>
      <w:r w:rsidRPr="00257D0C">
        <w:rPr>
          <w:u w:val="single"/>
        </w:rPr>
        <w:t>Problems</w:t>
      </w:r>
      <w:bookmarkEnd w:id="300"/>
    </w:p>
    <w:p w:rsidR="0078310B" w:rsidRPr="00E16BFA"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 xml:space="preserve">In each of the problems below, advise your clients regarding the extent to which they can currently deduct in each of Years 1 and 2 the described amounts. </w:t>
      </w:r>
    </w:p>
    <w:p w:rsidR="0078310B" w:rsidRDefault="0078310B" w:rsidP="0078310B">
      <w:pPr>
        <w:widowControl w:val="0"/>
        <w:ind w:firstLine="288"/>
        <w:jc w:val="both"/>
      </w:pPr>
    </w:p>
    <w:p w:rsidR="0078310B" w:rsidRDefault="0078310B" w:rsidP="0078310B">
      <w:pPr>
        <w:widowControl w:val="0"/>
        <w:spacing w:after="120"/>
        <w:ind w:firstLine="288"/>
        <w:jc w:val="both"/>
      </w:pPr>
      <w:r>
        <w:rPr>
          <w:b/>
        </w:rPr>
        <w:t>1.</w:t>
      </w:r>
      <w:r>
        <w:t xml:space="preserve"> Monica is a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mountain range.</w:t>
      </w:r>
    </w:p>
    <w:p w:rsidR="0078310B" w:rsidRPr="00270A77" w:rsidRDefault="0078310B" w:rsidP="0078310B">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rsidR="0078310B" w:rsidRDefault="0078310B" w:rsidP="0078310B">
      <w:pPr>
        <w:widowControl w:val="0"/>
        <w:ind w:firstLine="288"/>
        <w:jc w:val="both"/>
      </w:pPr>
    </w:p>
    <w:p w:rsidR="0078310B" w:rsidRDefault="0078310B" w:rsidP="0078310B">
      <w:pPr>
        <w:widowControl w:val="0"/>
        <w:spacing w:after="120"/>
        <w:ind w:firstLine="288"/>
        <w:jc w:val="both"/>
      </w:pPr>
      <w:r>
        <w:rPr>
          <w:b/>
        </w:rPr>
        <w:t>2.</w:t>
      </w:r>
      <w:r>
        <w:t xml:space="preserve"> Jim is an electrical engineer living in Ohio who has an AGI, without regard to the investment described here, of $140,000 each year. On January 1 of Year 1, Jim buys a duplex for $300,000, paying $50,000 in cash and borrowing $250,000 from National Bank on a nonrecourse basis (using 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w:t>
      </w:r>
      <w:r w:rsidR="00F461FA">
        <w:t xml:space="preserve">suitable </w:t>
      </w:r>
      <w:r>
        <w:t xml:space="preserve">new tenant, decreasing Jim’s aggregate rent receipts for the year. </w:t>
      </w:r>
    </w:p>
    <w:p w:rsidR="0078310B" w:rsidRDefault="0078310B" w:rsidP="0078310B">
      <w:pPr>
        <w:widowControl w:val="0"/>
        <w:spacing w:after="120"/>
        <w:ind w:firstLine="288"/>
        <w:jc w:val="both"/>
      </w:pPr>
      <w:r>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34"/>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rsidR="0078310B" w:rsidRDefault="0078310B" w:rsidP="0078310B">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rsidR="0078310B" w:rsidRDefault="0078310B" w:rsidP="0078310B">
      <w:pPr>
        <w:widowControl w:val="0"/>
        <w:jc w:val="center"/>
      </w:pPr>
      <w:r>
        <w:t>____________________________________</w:t>
      </w:r>
    </w:p>
    <w:p w:rsidR="0078310B" w:rsidRDefault="0078310B" w:rsidP="0078310B">
      <w:pPr>
        <w:pStyle w:val="Heading3"/>
        <w:spacing w:before="0" w:beforeAutospacing="0" w:after="0" w:afterAutospacing="0"/>
        <w:ind w:firstLine="288"/>
        <w:rPr>
          <w:b w:val="0"/>
        </w:rPr>
      </w:pPr>
      <w:bookmarkStart w:id="301" w:name="_Toc395790597"/>
    </w:p>
    <w:p w:rsidR="0078310B" w:rsidRPr="00257D0C" w:rsidRDefault="0078310B" w:rsidP="0078310B">
      <w:pPr>
        <w:pStyle w:val="Heading3"/>
        <w:spacing w:before="0" w:beforeAutospacing="0" w:after="120" w:afterAutospacing="0"/>
        <w:rPr>
          <w:i/>
        </w:rPr>
      </w:pPr>
      <w:r w:rsidRPr="00257D0C">
        <w:rPr>
          <w:i/>
        </w:rPr>
        <w:t>The § 163(d) investment interest deduction rules</w:t>
      </w:r>
      <w:bookmarkEnd w:id="301"/>
    </w:p>
    <w:p w:rsidR="0078310B" w:rsidRDefault="0078310B" w:rsidP="0078310B">
      <w:pPr>
        <w:widowControl w:val="0"/>
        <w:spacing w:after="120"/>
        <w:ind w:firstLine="288"/>
        <w:jc w:val="both"/>
      </w:pPr>
      <w:r>
        <w:t xml:space="preserve">Before examining § 163(d), let’s first review a topic that you first explored in Chapter 2. </w:t>
      </w:r>
    </w:p>
    <w:p w:rsidR="0078310B" w:rsidRDefault="0078310B" w:rsidP="0078310B">
      <w:pPr>
        <w:widowControl w:val="0"/>
        <w:spacing w:after="120"/>
        <w:ind w:firstLine="288"/>
        <w:jc w:val="both"/>
      </w:pPr>
      <w:r>
        <w:t xml:space="preserve">Suppose that Emma borrows $50,000 from National Bank to buy $50,000 of </w:t>
      </w:r>
      <w:hyperlink r:id="rId850" w:history="1">
        <w:r w:rsidRPr="0009792B">
          <w:rPr>
            <w:rStyle w:val="Hyperlink"/>
          </w:rPr>
          <w:t>§ 103</w:t>
        </w:r>
      </w:hyperlink>
      <w:r>
        <w:t xml:space="preserve"> bonds issued by the state of Ohio, the interest on which is excludable from Emma’s Gross Income. In addition to the excludable § 103 interest, Emma also realizes includable interest (from corporate bonds that she owns), dividends (on stock), and capital gain from the sale of stock. Can Emma deduct the interest that she pays to National Bank with respect to her loan under </w:t>
      </w:r>
      <w:hyperlink r:id="rId851" w:history="1">
        <w:r w:rsidRPr="0009792B">
          <w:rPr>
            <w:rStyle w:val="Hyperlink"/>
          </w:rPr>
          <w:t>§ 163</w:t>
        </w:r>
      </w:hyperlink>
      <w:r>
        <w:t xml:space="preserve">(a)? While Emma is borrowing from a third party (rather than from the issuer of the bonds) and thus need not worry about a possible sham debt challenge to her interest deductions </w:t>
      </w:r>
      <w:r w:rsidRPr="008F563D">
        <w:rPr>
          <w:rFonts w:cs="Times New Roman"/>
          <w:i/>
        </w:rPr>
        <w:t>à</w:t>
      </w:r>
      <w:r w:rsidRPr="008F563D">
        <w:rPr>
          <w:i/>
        </w:rPr>
        <w:t xml:space="preserve"> la</w:t>
      </w:r>
      <w:r>
        <w:rPr>
          <w:i/>
        </w:rPr>
        <w:t xml:space="preserve"> </w:t>
      </w:r>
      <w:r>
        <w:t xml:space="preserve">Mr. Knetsch, she nevertheless is denied her § 163 interest deduction under </w:t>
      </w:r>
      <w:hyperlink r:id="rId852" w:history="1">
        <w:r w:rsidRPr="0009792B">
          <w:rPr>
            <w:rStyle w:val="Hyperlink"/>
          </w:rPr>
          <w:t>§ 265</w:t>
        </w:r>
      </w:hyperlink>
      <w:r>
        <w:t xml:space="preserve">(a)(2). </w:t>
      </w:r>
    </w:p>
    <w:p w:rsidR="0078310B" w:rsidRDefault="0078310B" w:rsidP="0078310B">
      <w:pPr>
        <w:widowControl w:val="0"/>
        <w:spacing w:after="120"/>
        <w:ind w:firstLine="288"/>
        <w:jc w:val="both"/>
      </w:pPr>
      <w:r>
        <w:t xml:space="preserve">As you learned in Chapter 2, the exclusion of § 103 interest is a consumption tax provision of the wage tax variety. Recall that, under a wage tax, only labor income is included in the tax base, capital returns are excluded, and </w:t>
      </w:r>
      <w:r w:rsidRPr="002368A4">
        <w:rPr>
          <w:i/>
        </w:rPr>
        <w:t>no business or investment deductions associated with capital returns are permitted</w:t>
      </w:r>
      <w:r>
        <w:t>.</w:t>
      </w:r>
      <w:r>
        <w:rPr>
          <w:rStyle w:val="FootnoteReference"/>
        </w:rPr>
        <w:footnoteReference w:id="535"/>
      </w:r>
      <w:r>
        <w:t xml:space="preserve"> Because the capital return (in the form of interest) on the § 103 bonds is excluded from Gross Income, § 265(a)(2) properly denies the deduction of the expense that Emma incurs to produce it—the interest with respect to the National Bank loan that might otherwise be deductible under § 163(a). If § 265(a)(2) did not deny Emma her interest deduction, the deduction would necessarily offset (shelter) income from other sources because the § 103 bond purchased with the borrowed cash does not  produce includable Gross Income. </w:t>
      </w:r>
    </w:p>
    <w:p w:rsidR="0078310B" w:rsidRDefault="0078310B" w:rsidP="0078310B">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To be specific, the interest deductions, if allowed, would necessarily shelter income from other sources, such as her wages. </w:t>
      </w:r>
    </w:p>
    <w:p w:rsidR="0078310B" w:rsidRDefault="0078310B" w:rsidP="0078310B">
      <w:pPr>
        <w:widowControl w:val="0"/>
        <w:spacing w:after="120"/>
        <w:ind w:firstLine="288"/>
        <w:jc w:val="both"/>
      </w:pPr>
      <w:r>
        <w:t xml:space="preserve">Enter </w:t>
      </w:r>
      <w:hyperlink r:id="rId853" w:history="1">
        <w:r w:rsidRPr="0009792B">
          <w:rPr>
            <w:rStyle w:val="Hyperlink"/>
          </w:rPr>
          <w:t>§ 163</w:t>
        </w:r>
      </w:hyperlink>
      <w:r>
        <w:t xml:space="preserve">(d). The general approach taken in § 163(d) is similar to that taken in §§ 465 and 469 in that net losses (the excess of deductions over Gross Income) are deferred to future years to prevent a sheltering effect. To be specific, § 163(d)(1) permits the deduction of “investment interest” in any year </w:t>
      </w:r>
      <w:r w:rsidRPr="00880135">
        <w:rPr>
          <w:i/>
        </w:rPr>
        <w:t>only</w:t>
      </w:r>
      <w:r>
        <w:t xml:space="preserve"> to the extent of “net investment income” for the year, with the excess (net loss) carried over to future years under § 163(d)(2). “Investment interest” is identified under rather elaborate tracing rules in Treas. Reg. § 1.163-8T. In essence, if the amount borrowed was used to purchase investment property, the interest is investment interest. Section 163(d)(3)(B) specifically excepts interest used to purchase a personal residence in which the taxpayer resides (which is governed by § 163(h)(3), studied in Chapter 18) and interest incurred in any passive activity, which is governed by § 469, instead. Similarly, § 163(d)(4)(D) excludes passive income and deductions from being taken into account in determining “net investment income.” In short, income and deductions (including interest) arising in a passive activity are </w:t>
      </w:r>
      <w:r w:rsidRPr="006A4F07">
        <w:rPr>
          <w:i/>
        </w:rPr>
        <w:t>wholly</w:t>
      </w:r>
      <w:r>
        <w:t xml:space="preserve"> governed by § 469, with § 163(d) having no effect. (These rules explain why we never mentioned § 163(d) when we analyzed Jim’s payment of interest in connection with his rental property in Problem 2.) But remember that, under § 469(e)(1), interest, dividends, annuities, royalties, and § 1001 gain arising on the sale or exchange of property producing such income are not considered “passive.” It is with respect to </w:t>
      </w:r>
      <w:r>
        <w:rPr>
          <w:i/>
        </w:rPr>
        <w:t xml:space="preserve">these </w:t>
      </w:r>
      <w:r>
        <w:t xml:space="preserve">kinds of income (and interest incurred on debt used to purchase property producing these kinds of income) that § 163(d) applies, made explicit by the cross-reference to </w:t>
      </w:r>
      <w:hyperlink r:id="rId854" w:history="1">
        <w:r w:rsidRPr="0009792B">
          <w:rPr>
            <w:rStyle w:val="Hyperlink"/>
          </w:rPr>
          <w:t>§ 469</w:t>
        </w:r>
      </w:hyperlink>
      <w:r>
        <w:t xml:space="preserve">(e)(1) in </w:t>
      </w:r>
      <w:hyperlink r:id="rId855" w:history="1">
        <w:r w:rsidRPr="0009792B">
          <w:rPr>
            <w:rStyle w:val="Hyperlink"/>
          </w:rPr>
          <w:t>§ 163</w:t>
        </w:r>
      </w:hyperlink>
      <w:r>
        <w:t xml:space="preserve">(d)(5)(A)(i). </w:t>
      </w:r>
    </w:p>
    <w:p w:rsidR="0078310B" w:rsidRDefault="0078310B" w:rsidP="0078310B">
      <w:pPr>
        <w:widowControl w:val="0"/>
        <w:spacing w:after="120"/>
        <w:ind w:firstLine="288"/>
        <w:jc w:val="both"/>
      </w:pPr>
      <w:r>
        <w:t>A significant exception applies, however, to the information provided in the last two sentences. Net capital gain and qualified dividends</w:t>
      </w:r>
      <w:r>
        <w:rPr>
          <w:rStyle w:val="FootnoteReference"/>
        </w:rPr>
        <w:footnoteReference w:id="536"/>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(d)(4)(B). The purpose of the election is to prevent the taxpayer from engaging in tax-rate arbitrage by simultaneously claiming that the net capital gain and</w:t>
      </w:r>
      <w:r>
        <w:t xml:space="preserve"> qualified dividends are </w:t>
      </w:r>
      <w:r w:rsidRPr="00872042">
        <w:t xml:space="preserve">offset by interest deductions </w:t>
      </w:r>
      <w:r>
        <w:t xml:space="preserve">under § 163(d) </w:t>
      </w:r>
      <w:r w:rsidRPr="00872042">
        <w:t xml:space="preserve">and, at the same time, survive </w:t>
      </w:r>
      <w:r>
        <w:t xml:space="preserve">intact </w:t>
      </w:r>
      <w:r w:rsidRPr="00872042">
        <w:t xml:space="preserve">to be taxed at a reduced rate under § 1(h). </w:t>
      </w:r>
    </w:p>
    <w:p w:rsidR="0078310B" w:rsidRPr="00872042" w:rsidRDefault="0078310B" w:rsidP="0078310B">
      <w:pPr>
        <w:widowControl w:val="0"/>
        <w:spacing w:after="120"/>
        <w:ind w:firstLine="288"/>
        <w:jc w:val="both"/>
      </w:pPr>
      <w:r>
        <w:t xml:space="preserve">Assume, for example, that Mary, whose marginal ordinary income is otherwise taxed at 28%,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interest expense is deductible against her 28% taxed income, such as her wages (saving $140 in tax), she would realize an after-tax profit of $65,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rsidR="0078310B" w:rsidRPr="00872042" w:rsidRDefault="0078310B" w:rsidP="0078310B">
      <w:pPr>
        <w:widowControl w:val="0"/>
        <w:spacing w:after="120"/>
        <w:ind w:firstLine="288"/>
        <w:jc w:val="both"/>
      </w:pPr>
      <w:r>
        <w:t>Let’s illustrate these rules with an example. A</w:t>
      </w:r>
      <w:r w:rsidRPr="00872042">
        <w:t>ssume that Eli borrows $100,000 at 5% interest in Year 1 to pu</w:t>
      </w:r>
      <w:r>
        <w:t>rchase various investment assets</w:t>
      </w:r>
      <w:r w:rsidRPr="00872042">
        <w:t>, including stocks, bonds</w:t>
      </w:r>
      <w:r>
        <w:t xml:space="preserve"> (none of which are § 103 bonds)</w:t>
      </w:r>
      <w:r w:rsidRPr="00872042">
        <w:t>, annuities</w:t>
      </w:r>
      <w:r>
        <w:t>,</w:t>
      </w:r>
      <w:r w:rsidRPr="00872042">
        <w:t xml:space="preserve"> and a patent (which produces royalty income). In Year 1, he pays $5,000 in interest and $500 in investment advisory fees that are deductible under </w:t>
      </w:r>
      <w:r>
        <w:t>§ 212. In Year 1, he receives $2</w:t>
      </w:r>
      <w:r w:rsidRPr="00872042">
        <w:t>,000 in interest with respect to his bonds and annuities, $1,000 in royalties, and $</w:t>
      </w:r>
      <w:r>
        <w:t>1,</w:t>
      </w:r>
      <w:r w:rsidRPr="00872042">
        <w:t>700 in dividends on his stocks. He sells none of the stocks, thus realizing no § 1001 gains or losses. In Year 2, Eli pays the same $5,000 in interest</w:t>
      </w:r>
      <w:r>
        <w:t xml:space="preserve"> on the loan but no</w:t>
      </w:r>
      <w:r w:rsidRPr="00872042">
        <w:t xml:space="preserve"> investment a</w:t>
      </w:r>
      <w:r>
        <w:t xml:space="preserve">dvisory fees. He realizes $2,000 in interest, $6,000 in royalties, and </w:t>
      </w:r>
      <w:r w:rsidRPr="00872042">
        <w:t>no dividends or §1001 gains or losses. How much of his $5,000 in interest payments can Eli deduct in each of Years 1 and 2?</w:t>
      </w:r>
    </w:p>
    <w:p w:rsidR="0078310B" w:rsidRDefault="0078310B" w:rsidP="0078310B">
      <w:pPr>
        <w:widowControl w:val="0"/>
        <w:spacing w:after="120"/>
        <w:ind w:firstLine="288"/>
        <w:jc w:val="both"/>
      </w:pPr>
      <w:r w:rsidRPr="00872042">
        <w:t xml:space="preserve">In Year 1, Eli’s “net investment income” is either $4,200 </w:t>
      </w:r>
      <w:r>
        <w:t xml:space="preserve">($4,700 </w:t>
      </w:r>
      <w:r>
        <w:rPr>
          <w:i/>
        </w:rPr>
        <w:t xml:space="preserve">less </w:t>
      </w:r>
      <w:r>
        <w:t>the $500 in investment advisory fees) or $2</w:t>
      </w:r>
      <w:r w:rsidRPr="00872042">
        <w:t>,500</w:t>
      </w:r>
      <w:r>
        <w:t xml:space="preserve"> ($3,000 </w:t>
      </w:r>
      <w:r>
        <w:rPr>
          <w:i/>
        </w:rPr>
        <w:t>less</w:t>
      </w:r>
      <w:r>
        <w:t xml:space="preserve"> $500)</w:t>
      </w:r>
      <w:r w:rsidRPr="00872042">
        <w:t>, dependin</w:t>
      </w:r>
      <w:r>
        <w:t>g on whether Eli elects under § 163(d)(4)(B)</w:t>
      </w:r>
      <w:r w:rsidRPr="00872042">
        <w:t xml:space="preserve"> to treat his </w:t>
      </w:r>
      <w:r>
        <w:t xml:space="preserve">$1,700 in </w:t>
      </w:r>
      <w:r w:rsidRPr="00872042">
        <w:t>dividend income as investment income for purposes of § 163(d), thus giving up the reduced tax rate that could otherwise apply to that income under § 1(h)(11)(D</w:t>
      </w:r>
      <w:r>
        <w:t xml:space="preserve">). Should he make the election? If he does, he can deduct $4,200 of his $5,000 in investment interest, carrying forward $800 to Year 2 under § 163(d)(2). If he does not, he can deduct only $2,500 of his $5,000 interest, carrying forward $2,500. Eli would have to weigh the time-value-of-money cost of deferring $1,700 of his interest deduction to a future year with the preferential 15% rate that he would surrender if he uses this otherwise low-taxed income to absorb his ordinary interest deduction this year. That interest deduction would be better used to offset high-taxed interest or royalty income (or short-term capital gain). In other words, the planning considerations are similar to those we considered in the last chapter regarding the timing of capital loss realizations. How good is Eli’s crystal ball? </w:t>
      </w:r>
    </w:p>
    <w:p w:rsidR="0078310B" w:rsidRDefault="0078310B" w:rsidP="0078310B">
      <w:pPr>
        <w:widowControl w:val="0"/>
        <w:ind w:firstLine="288"/>
        <w:jc w:val="both"/>
      </w:pPr>
      <w:r>
        <w:t xml:space="preserve">Let’s suppose that Eli knew in Year 1 that he would be receiving a considerably larger (high-taxed) royalty payment in Year 2, so he decides </w:t>
      </w:r>
      <w:r>
        <w:rPr>
          <w:i/>
        </w:rPr>
        <w:t xml:space="preserve">not </w:t>
      </w:r>
      <w:r>
        <w:t>to make the election to treat his qualified dividend income as “investment income” for purposes of § 163(d). Eli deducts only $2,500 of his $5,000 interest, carrying forward the remaining $2,500 to Year 2, and he would enjoy the low 15% tax rate on his $1,700 in dividen</w:t>
      </w:r>
      <w:r w:rsidR="0009792B">
        <w:t>d income. In Year 2, he deducts</w:t>
      </w:r>
      <w:r>
        <w:t xml:space="preserve"> the entire $7,500 of interest (both the $5,000 paid in Year 2 and the $2,500 carried forward from Year 1) against high-taxed interest and royalty income because $7,500 is less than his $8,000 in net investment income.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02" w:name="_Toc395790598"/>
      <w:r w:rsidRPr="00257D0C">
        <w:rPr>
          <w:u w:val="single"/>
        </w:rPr>
        <w:t>Problem</w:t>
      </w:r>
      <w:bookmarkEnd w:id="302"/>
    </w:p>
    <w:p w:rsidR="0078310B" w:rsidRPr="00E16BFA"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56" w:history="1">
        <w:r w:rsidRPr="00953D90">
          <w:rPr>
            <w:rStyle w:val="Hyperlink"/>
          </w:rPr>
          <w:t>§ 103</w:t>
        </w:r>
      </w:hyperlink>
      <w:r>
        <w:t xml:space="preserve"> bond</w:t>
      </w:r>
      <w:r w:rsidR="00972D4D">
        <w:t xml:space="preserve"> from the city of Cleveland</w:t>
      </w:r>
      <w:r>
        <w:t xml:space="preserve">,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57" w:history="1">
        <w:r w:rsidRPr="00972D4D">
          <w:rPr>
            <w:rStyle w:val="Hyperlink"/>
          </w:rPr>
          <w:t>§ 163</w:t>
        </w:r>
      </w:hyperlink>
      <w:r>
        <w:t>(d)(4)(B)(iii) and the sentence following it.</w:t>
      </w:r>
    </w:p>
    <w:p w:rsidR="0078310B" w:rsidRDefault="0078310B" w:rsidP="0078310B">
      <w:pPr>
        <w:widowControl w:val="0"/>
      </w:pPr>
      <w:r w:rsidRPr="00D753C1">
        <w:rPr>
          <w:b/>
          <w:u w:val="single"/>
        </w:rPr>
        <w:t>Year 1</w:t>
      </w:r>
      <w:r>
        <w:rPr>
          <w:b/>
        </w:rPr>
        <w:t>:</w:t>
      </w:r>
      <w:r>
        <w:t xml:space="preserve"> $800 in interest from the Cleveland bonds</w:t>
      </w:r>
    </w:p>
    <w:p w:rsidR="0078310B" w:rsidRDefault="0078310B" w:rsidP="0078310B">
      <w:pPr>
        <w:widowControl w:val="0"/>
        <w:ind w:firstLine="288"/>
        <w:jc w:val="both"/>
      </w:pPr>
      <w:r>
        <w:t xml:space="preserve">         $3,600 in interest on the corporate bonds</w:t>
      </w:r>
    </w:p>
    <w:p w:rsidR="0078310B" w:rsidRDefault="0078310B" w:rsidP="0078310B">
      <w:pPr>
        <w:widowControl w:val="0"/>
        <w:spacing w:after="120"/>
        <w:ind w:firstLine="288"/>
        <w:jc w:val="both"/>
      </w:pPr>
      <w:r>
        <w:t xml:space="preserve">         $1,000 in “qualified dividends” received on the corporate stock</w:t>
      </w:r>
    </w:p>
    <w:p w:rsidR="0078310B" w:rsidRDefault="0078310B" w:rsidP="0078310B">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rsidR="0078310B" w:rsidRDefault="0078310B" w:rsidP="0078310B">
      <w:pPr>
        <w:widowControl w:val="0"/>
      </w:pPr>
      <w:r>
        <w:rPr>
          <w:b/>
          <w:u w:val="single"/>
        </w:rPr>
        <w:t>Year 2</w:t>
      </w:r>
      <w:r>
        <w:rPr>
          <w:b/>
        </w:rPr>
        <w:t xml:space="preserve">: </w:t>
      </w:r>
      <w:r>
        <w:t>$800 in interest from the Cleveland bonds</w:t>
      </w:r>
    </w:p>
    <w:p w:rsidR="0078310B" w:rsidRDefault="0078310B" w:rsidP="0078310B">
      <w:pPr>
        <w:widowControl w:val="0"/>
        <w:ind w:firstLine="288"/>
      </w:pPr>
      <w:r>
        <w:t xml:space="preserve">         $3,600 in interest on the corporate bonds</w:t>
      </w:r>
    </w:p>
    <w:p w:rsidR="0078310B" w:rsidRDefault="0078310B" w:rsidP="0078310B">
      <w:pPr>
        <w:widowControl w:val="0"/>
        <w:ind w:firstLine="288"/>
      </w:pPr>
      <w:r>
        <w:t xml:space="preserve">         $2,000 in net capital gain from the sale of corporate stock</w:t>
      </w:r>
    </w:p>
    <w:p w:rsidR="0078310B" w:rsidRDefault="0078310B" w:rsidP="0078310B">
      <w:pPr>
        <w:widowControl w:val="0"/>
        <w:ind w:firstLine="288"/>
      </w:pPr>
      <w:r>
        <w:t xml:space="preserve">         $1,000 in royalty income</w:t>
      </w:r>
    </w:p>
    <w:p w:rsidR="0078310B" w:rsidRDefault="0078310B" w:rsidP="0078310B">
      <w:pPr>
        <w:widowControl w:val="0"/>
        <w:sectPr w:rsidR="0078310B" w:rsidSect="005337BA">
          <w:headerReference w:type="even" r:id="rId858"/>
          <w:headerReference w:type="default" r:id="rId859"/>
          <w:footerReference w:type="even" r:id="rId860"/>
          <w:headerReference w:type="first" r:id="rId861"/>
          <w:footerReference w:type="first" r:id="rId862"/>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Default="0078310B" w:rsidP="0078310B">
      <w:pPr>
        <w:pStyle w:val="Heading1"/>
        <w:spacing w:before="0"/>
        <w:rPr>
          <w:b w:val="0"/>
          <w:sz w:val="40"/>
          <w:szCs w:val="40"/>
          <w:u w:val="none"/>
        </w:rPr>
      </w:pPr>
      <w:bookmarkStart w:id="303" w:name="_Toc395790599"/>
      <w:r w:rsidRPr="003A1368">
        <w:rPr>
          <w:sz w:val="40"/>
          <w:szCs w:val="40"/>
          <w:u w:val="none"/>
        </w:rPr>
        <w:t>Unit VI</w:t>
      </w:r>
      <w:r>
        <w:rPr>
          <w:sz w:val="40"/>
          <w:szCs w:val="40"/>
          <w:u w:val="none"/>
        </w:rPr>
        <w:t>:</w:t>
      </w:r>
    </w:p>
    <w:p w:rsidR="0078310B" w:rsidRPr="003A1368" w:rsidRDefault="0078310B" w:rsidP="0078310B">
      <w:pPr>
        <w:rPr>
          <w:sz w:val="36"/>
          <w:szCs w:val="36"/>
        </w:rPr>
      </w:pPr>
    </w:p>
    <w:p w:rsidR="0078310B" w:rsidRPr="003A1368" w:rsidRDefault="0078310B" w:rsidP="0078310B">
      <w:pPr>
        <w:pStyle w:val="Heading1"/>
        <w:spacing w:before="0"/>
        <w:rPr>
          <w:sz w:val="36"/>
          <w:szCs w:val="36"/>
          <w:u w:val="none"/>
        </w:rPr>
      </w:pPr>
      <w:r w:rsidRPr="003A1368">
        <w:rPr>
          <w:sz w:val="36"/>
          <w:szCs w:val="36"/>
          <w:u w:val="none"/>
        </w:rPr>
        <w:t>Distinguishing Between Income-</w:t>
      </w:r>
    </w:p>
    <w:p w:rsidR="0078310B" w:rsidRPr="003A1368" w:rsidRDefault="0078310B" w:rsidP="0078310B">
      <w:pPr>
        <w:pStyle w:val="Heading1"/>
        <w:spacing w:before="0"/>
        <w:rPr>
          <w:sz w:val="36"/>
          <w:szCs w:val="36"/>
          <w:u w:val="none"/>
        </w:rPr>
      </w:pPr>
      <w:r w:rsidRPr="003A1368">
        <w:rPr>
          <w:sz w:val="36"/>
          <w:szCs w:val="36"/>
          <w:u w:val="none"/>
        </w:rPr>
        <w:t xml:space="preserve">Producing Activities and Personal Consumption </w:t>
      </w:r>
    </w:p>
    <w:p w:rsidR="0078310B" w:rsidRPr="003A1368" w:rsidRDefault="0078310B" w:rsidP="0078310B">
      <w:pPr>
        <w:pStyle w:val="Heading1"/>
        <w:spacing w:before="0"/>
        <w:rPr>
          <w:sz w:val="36"/>
          <w:szCs w:val="36"/>
        </w:rPr>
      </w:pPr>
      <w:r w:rsidRPr="003A1368">
        <w:rPr>
          <w:sz w:val="36"/>
          <w:szCs w:val="36"/>
        </w:rPr>
        <w:t>and the Personal Consumption Tax Expenditures</w:t>
      </w:r>
      <w:bookmarkEnd w:id="303"/>
    </w:p>
    <w:p w:rsidR="0078310B" w:rsidRDefault="0078310B" w:rsidP="0078310B">
      <w:pPr>
        <w:widowControl w:val="0"/>
        <w:spacing w:after="120"/>
        <w:jc w:val="center"/>
      </w:pPr>
    </w:p>
    <w:p w:rsidR="0078310B" w:rsidRDefault="0078310B" w:rsidP="0078310B">
      <w:pPr>
        <w:pStyle w:val="Heading2"/>
        <w:spacing w:before="0"/>
        <w:rPr>
          <w:b w:val="0"/>
        </w:rPr>
      </w:pPr>
      <w:bookmarkStart w:id="304" w:name="_Toc395790600"/>
      <w:r w:rsidRPr="009C0895">
        <w:rPr>
          <w:u w:val="single"/>
        </w:rPr>
        <w:t>Introduction to Chapters 17 through 20</w:t>
      </w:r>
      <w:bookmarkEnd w:id="304"/>
    </w:p>
    <w:p w:rsidR="0078310B" w:rsidRPr="00594157" w:rsidRDefault="0078310B" w:rsidP="0078310B"/>
    <w:p w:rsidR="0078310B" w:rsidRPr="00B11704" w:rsidRDefault="0078310B" w:rsidP="0078310B">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rsidR="0078310B" w:rsidRDefault="0078310B" w:rsidP="0078310B">
      <w:pPr>
        <w:widowControl w:val="0"/>
        <w:spacing w:after="120"/>
        <w:ind w:firstLine="288"/>
        <w:jc w:val="both"/>
      </w:pPr>
      <w:r>
        <w:t>Chapter 17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expenditures”—that allow personal consumption outlays to reduce the tax base through deductions, credits, or gross income exclusions that are inconsistent with either an SHS income tax base or a consumption tax base, resulting in nearly $1 trillion of lost revenue each year and, thus, marginal tax rates that are higher than they would otherwise need to be to raise the same</w:t>
      </w:r>
      <w:r w:rsidRPr="0002772D">
        <w:rPr>
          <w:i/>
        </w:rPr>
        <w:t xml:space="preserve"> $X</w:t>
      </w:r>
      <w:r w:rsidR="0082571E">
        <w:t xml:space="preserve"> in revenue. Si</w:t>
      </w:r>
      <w:r>
        <w:t>gnificant tax exp</w:t>
      </w:r>
      <w:r w:rsidR="0082571E">
        <w:t xml:space="preserve">enditures </w:t>
      </w:r>
      <w:r>
        <w:t xml:space="preserve">are </w:t>
      </w:r>
      <w:r w:rsidR="0082571E">
        <w:t xml:space="preserve">found </w:t>
      </w:r>
      <w:r>
        <w:t>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rsidR="0078310B" w:rsidRDefault="0078310B" w:rsidP="0078310B">
      <w:pPr>
        <w:widowControl w:val="0"/>
        <w:spacing w:after="120"/>
        <w:ind w:firstLine="288"/>
        <w:jc w:val="both"/>
      </w:pPr>
      <w:r>
        <w:t xml:space="preserve">Chapter 18 examines the major personal tax expenditures surrounding home ownership, personal casualty losses, health care, charitable contributions, and more. </w:t>
      </w:r>
    </w:p>
    <w:p w:rsidR="0078310B" w:rsidRDefault="0078310B" w:rsidP="0078310B">
      <w:pPr>
        <w:widowControl w:val="0"/>
        <w:spacing w:after="120"/>
        <w:ind w:firstLine="288"/>
        <w:jc w:val="both"/>
      </w:pPr>
      <w:r>
        <w:t>Chapter 19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rsidR="0078310B" w:rsidRDefault="0078310B" w:rsidP="0078310B">
      <w:pPr>
        <w:widowControl w:val="0"/>
        <w:spacing w:after="120"/>
        <w:ind w:firstLine="288"/>
        <w:jc w:val="both"/>
      </w:pPr>
      <w:r>
        <w:t xml:space="preserve">Chapter 20 explores a slightly different issue from that considered in Chapter 19. Even when there is no doubt that an activity rises to the level of a trade or business, which outlays should be allocated to that business, and which should be allocated to the taxpayer’s personal sphere? This chapter considers, for example, business travel expenses, entertainment expenses incurred in a business context, so-called home office deductions, and similar issues. </w:t>
      </w:r>
    </w:p>
    <w:p w:rsidR="0078310B" w:rsidRDefault="0078310B" w:rsidP="0078310B">
      <w:pPr>
        <w:widowControl w:val="0"/>
        <w:sectPr w:rsidR="0078310B" w:rsidSect="005337BA">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sectPr w:rsidR="0078310B" w:rsidSect="005337BA">
          <w:footerReference w:type="first" r:id="rId863"/>
          <w:footnotePr>
            <w:numRestart w:val="eachSect"/>
          </w:footnotePr>
          <w:pgSz w:w="12240" w:h="15840" w:code="1"/>
          <w:pgMar w:top="1440" w:right="1440" w:bottom="1440" w:left="1440" w:header="1008" w:footer="720" w:gutter="0"/>
          <w:cols w:space="720"/>
          <w:titlePg/>
          <w:docGrid w:linePitch="360"/>
        </w:sectPr>
      </w:pPr>
    </w:p>
    <w:p w:rsidR="0078310B" w:rsidRPr="000E1E12" w:rsidRDefault="0078310B" w:rsidP="0078310B">
      <w:pPr>
        <w:pStyle w:val="Heading2"/>
        <w:rPr>
          <w:sz w:val="36"/>
          <w:szCs w:val="36"/>
          <w:u w:val="single"/>
        </w:rPr>
      </w:pPr>
      <w:bookmarkStart w:id="305" w:name="_Toc395790601"/>
      <w:r w:rsidRPr="000E1E12">
        <w:rPr>
          <w:sz w:val="36"/>
          <w:szCs w:val="36"/>
          <w:u w:val="single"/>
        </w:rPr>
        <w:t>Chapter 17: On Human Capital</w:t>
      </w:r>
      <w:bookmarkEnd w:id="305"/>
    </w:p>
    <w:p w:rsidR="0078310B" w:rsidRDefault="0078310B" w:rsidP="0078310B">
      <w:pPr>
        <w:widowControl w:val="0"/>
        <w:spacing w:after="120"/>
      </w:pPr>
    </w:p>
    <w:p w:rsidR="0078310B" w:rsidRDefault="0078310B" w:rsidP="0078310B">
      <w:pPr>
        <w:widowControl w:val="0"/>
        <w:spacing w:after="120"/>
        <w:ind w:firstLine="288"/>
        <w:jc w:val="both"/>
      </w:pPr>
      <w:r w:rsidRPr="002C3DA5">
        <w:t>What is “human capital”</w:t>
      </w:r>
      <w:r>
        <w:t xml:space="preserve"> and how do we distinguish it from other forms of capital, such as financial capital (</w:t>
      </w:r>
      <w:r>
        <w:rPr>
          <w:i/>
        </w:rPr>
        <w:t>e.g.</w:t>
      </w:r>
      <w:r>
        <w:t>, shares of stock in a corporation or a corporate bond) or tangible capital (</w:t>
      </w:r>
      <w:r>
        <w:rPr>
          <w:i/>
        </w:rPr>
        <w:t>e.g.</w:t>
      </w:r>
      <w:r>
        <w:t>, plants and equipment)</w:t>
      </w:r>
      <w:r w:rsidRPr="002C3DA5">
        <w:t xml:space="preserve">? </w:t>
      </w:r>
      <w:r>
        <w:t xml:space="preserve">Just as financial capital and physical capital can earn a return, so can human capital—in the form of labor income, </w:t>
      </w:r>
      <w:r>
        <w:rPr>
          <w:i/>
        </w:rPr>
        <w:t>i.e.</w:t>
      </w:r>
      <w:r>
        <w:t xml:space="preserve">, a return earned on one’s personal effort.  </w:t>
      </w:r>
    </w:p>
    <w:p w:rsidR="0078310B" w:rsidRDefault="0078310B" w:rsidP="0078310B">
      <w:pPr>
        <w:widowControl w:val="0"/>
        <w:spacing w:after="120"/>
        <w:ind w:firstLine="288"/>
        <w:jc w:val="both"/>
        <w:rPr>
          <w:spacing w:val="-2"/>
        </w:rPr>
      </w:pPr>
      <w:r>
        <w:rPr>
          <w:spacing w:val="-2"/>
        </w:rPr>
        <w:t xml:space="preserve">“Human capital” refers literally to the human body and </w:t>
      </w:r>
      <w:r w:rsidRPr="002C3DA5">
        <w:rPr>
          <w:spacing w:val="-2"/>
        </w:rPr>
        <w:t>all of the attributes of an indiv</w:t>
      </w:r>
      <w:r>
        <w:rPr>
          <w:spacing w:val="-2"/>
        </w:rPr>
        <w:t xml:space="preserve">idual that allow him or her </w:t>
      </w:r>
      <w:r w:rsidRPr="002C3DA5">
        <w:rPr>
          <w:spacing w:val="-2"/>
        </w:rPr>
        <w:t>to ear</w:t>
      </w:r>
      <w:r>
        <w:rPr>
          <w:spacing w:val="-2"/>
        </w:rPr>
        <w:t xml:space="preserve">n services income. Much human capital is inherited through good genes, such as an able body, physical attractiveness, height (with research showing that the more attractive and taller earn more than the less attractive and shorter), and a functioning mind. </w:t>
      </w:r>
      <w:r>
        <w:t>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w:t>
      </w:r>
      <w:r>
        <w:rPr>
          <w:spacing w:val="-2"/>
        </w:rPr>
        <w:t xml:space="preserve">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A831BC">
        <w:rPr>
          <w:i/>
          <w:spacing w:val="-2"/>
        </w:rPr>
        <w:t>purchased</w:t>
      </w:r>
      <w:r>
        <w:rPr>
          <w:spacing w:val="-2"/>
        </w:rPr>
        <w:t xml:space="preserve">, with the most important of these examples being education and skills training. </w:t>
      </w:r>
      <w:r w:rsidRPr="002C3DA5">
        <w:rPr>
          <w:i/>
          <w:spacing w:val="-2"/>
        </w:rPr>
        <w:t>All</w:t>
      </w:r>
      <w:r>
        <w:rPr>
          <w:spacing w:val="-2"/>
        </w:rPr>
        <w:t xml:space="preserve"> of these facets </w:t>
      </w:r>
      <w:r w:rsidRPr="002C3DA5">
        <w:rPr>
          <w:spacing w:val="-2"/>
        </w:rPr>
        <w:t>contribute to allowing the person to earn personal servi</w:t>
      </w:r>
      <w:r>
        <w:rPr>
          <w:spacing w:val="-2"/>
        </w:rPr>
        <w:t xml:space="preserve">ces income. </w:t>
      </w:r>
    </w:p>
    <w:p w:rsidR="0078310B" w:rsidRDefault="0078310B" w:rsidP="0078310B">
      <w:pPr>
        <w:widowControl w:val="0"/>
        <w:spacing w:after="120"/>
        <w:ind w:firstLine="288"/>
        <w:jc w:val="both"/>
      </w:pPr>
      <w:r>
        <w:rPr>
          <w:spacing w:val="-2"/>
        </w:rPr>
        <w:t xml:space="preserve">How do we distinguish between </w:t>
      </w:r>
      <w:r w:rsidRPr="002C3DA5">
        <w:rPr>
          <w:spacing w:val="-2"/>
        </w:rPr>
        <w:t>human capi</w:t>
      </w:r>
      <w:r>
        <w:rPr>
          <w:spacing w:val="-2"/>
        </w:rPr>
        <w:t>tal and other forms of capital</w:t>
      </w:r>
      <w:r w:rsidRPr="002C3DA5">
        <w:rPr>
          <w:spacing w:val="-2"/>
        </w:rPr>
        <w:t xml:space="preserve">? </w:t>
      </w:r>
      <w:r w:rsidRPr="003656E6">
        <w:rPr>
          <w:b/>
          <w:i/>
          <w:iCs/>
          <w:spacing w:val="-2"/>
        </w:rPr>
        <w:t>You cannot s</w:t>
      </w:r>
      <w:r>
        <w:rPr>
          <w:b/>
          <w:i/>
          <w:iCs/>
          <w:spacing w:val="-2"/>
        </w:rPr>
        <w:t xml:space="preserve">ell your human capital and thereby </w:t>
      </w:r>
      <w:r w:rsidRPr="003656E6">
        <w:rPr>
          <w:b/>
          <w:i/>
          <w:iCs/>
          <w:spacing w:val="-2"/>
        </w:rPr>
        <w:t>divest yourself of it</w:t>
      </w:r>
      <w:r w:rsidRPr="002C3DA5">
        <w:t>, as you can with non-human capital, such a</w:t>
      </w:r>
      <w:r>
        <w:t>s business equipment or corporate stock</w:t>
      </w:r>
      <w:r w:rsidRPr="002C3DA5">
        <w:t xml:space="preserve">. </w:t>
      </w:r>
      <w:r>
        <w:t xml:space="preserve">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rsidR="0078310B" w:rsidRDefault="0078310B" w:rsidP="0078310B">
      <w:pPr>
        <w:widowControl w:val="0"/>
        <w:spacing w:after="120"/>
        <w:ind w:firstLine="288"/>
        <w:jc w:val="both"/>
      </w:pPr>
      <w: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w:t>
      </w:r>
    </w:p>
    <w:p w:rsidR="0078310B" w:rsidRDefault="0078310B" w:rsidP="0078310B">
      <w:pPr>
        <w:widowControl w:val="0"/>
        <w:ind w:firstLine="288"/>
        <w:jc w:val="both"/>
      </w:pPr>
      <w:r>
        <w:t xml:space="preserve">Part B. will explore the tax consequences of receiving a settlement or jury award on account of the loss of human capital. </w:t>
      </w:r>
    </w:p>
    <w:p w:rsidR="0078310B" w:rsidRDefault="0078310B" w:rsidP="0078310B">
      <w:pPr>
        <w:widowControl w:val="0"/>
      </w:pPr>
    </w:p>
    <w:p w:rsidR="0078310B" w:rsidRPr="000E1E12" w:rsidRDefault="0078310B" w:rsidP="0078310B">
      <w:pPr>
        <w:pStyle w:val="Heading2"/>
        <w:spacing w:before="0"/>
        <w:rPr>
          <w:sz w:val="32"/>
          <w:szCs w:val="32"/>
          <w:u w:val="single"/>
        </w:rPr>
      </w:pPr>
      <w:bookmarkStart w:id="306" w:name="_Toc395790602"/>
      <w:r w:rsidRPr="000E1E12">
        <w:rPr>
          <w:sz w:val="32"/>
          <w:szCs w:val="32"/>
          <w:u w:val="single"/>
        </w:rPr>
        <w:t>A. Education costs</w:t>
      </w:r>
      <w:bookmarkEnd w:id="306"/>
    </w:p>
    <w:p w:rsidR="0078310B" w:rsidRDefault="0078310B" w:rsidP="0078310B">
      <w:pPr>
        <w:widowControl w:val="0"/>
      </w:pPr>
    </w:p>
    <w:p w:rsidR="0078310B" w:rsidRDefault="0078310B" w:rsidP="0078310B">
      <w:pPr>
        <w:widowControl w:val="0"/>
        <w:spacing w:after="120"/>
        <w:ind w:firstLine="288"/>
        <w:jc w:val="both"/>
      </w:pPr>
      <w: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implicate the line between an income-producing activity (deductions are allowed) and personal consumption (no deductions in a pure SHS income tax or pure consumption tax). </w:t>
      </w:r>
    </w:p>
    <w:p w:rsidR="0078310B" w:rsidRDefault="0078310B" w:rsidP="0078310B">
      <w:pPr>
        <w:widowControl w:val="0"/>
        <w:spacing w:after="120"/>
        <w:ind w:firstLine="288"/>
        <w:jc w:val="both"/>
      </w:pPr>
      <w:r w:rsidRPr="008A3837">
        <w:rPr>
          <w:b/>
        </w:rPr>
        <w:t>Human capital acquisition costs are generally relegated to the personal sphere, including education costs, because the acquisition of human capital is inextricably intertwined with the taxpayer’s personal life.</w:t>
      </w:r>
      <w: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Pr>
          <w:i/>
        </w:rPr>
        <w:t>etc.</w:t>
      </w:r>
      <w:r>
        <w:t xml:space="preserve"> Research shows that education even contributes significantly toward one’s ability to meet a life mate. Thus, many of the tax-reducing provisions attributable to education costs in the Internal Revenue Code are properly categorized as “tax expenditures,” a concept that you first lear</w:t>
      </w:r>
      <w:r w:rsidR="006D5547">
        <w:t>ned about in Chapter 3, Part B</w:t>
      </w:r>
      <w:r>
        <w:t xml:space="preserve">. </w:t>
      </w:r>
    </w:p>
    <w:p w:rsidR="0078310B" w:rsidRDefault="0078310B" w:rsidP="0078310B">
      <w:pPr>
        <w:widowControl w:val="0"/>
        <w:spacing w:after="120"/>
        <w:ind w:firstLine="288"/>
        <w:jc w:val="both"/>
      </w:pPr>
      <w:r>
        <w:t xml:space="preserve">Because tax expenditures are not normative income tax provisions, </w:t>
      </w:r>
      <w:r>
        <w:rPr>
          <w:i/>
        </w:rPr>
        <w:t>i.e.</w:t>
      </w:r>
      <w:r>
        <w:t>, they are not necessary to measure “income” accurately, how do we evaluate the wisdom or folly of a particular tax expenditure or evaluate its efficacy as a policy matter? The answer: cost-benefit analysis, which is not an easy task. In a 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 Moreover, some of these provisions are delivered in the form of an Itemized Deduction, which is worthless to the approximately 70% of filers that take the Standard Deduction, as described in Chapter 1, Part B. If the tax system is going to be used, is the goal with respect to a higher education tax expenditure to provide a subsidy (to those having trouble financing education) or to change behavior (to increase the number of students attending college)? In either case, how should the provision be str</w:t>
      </w:r>
      <w:r w:rsidR="0066402E">
        <w:t xml:space="preserve">uctured to deliver the </w:t>
      </w:r>
      <w:r>
        <w:t xml:space="preserve">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which is the flip side of the coin of tax “incidence,” </w:t>
      </w:r>
      <w:r w:rsidR="0066402E">
        <w:t xml:space="preserve">also </w:t>
      </w:r>
      <w:r>
        <w:t xml:space="preserve">discussed in Chapter 3. </w:t>
      </w:r>
    </w:p>
    <w:p w:rsidR="0078310B" w:rsidRDefault="0078310B" w:rsidP="0078310B">
      <w:pPr>
        <w:widowControl w:val="0"/>
        <w:spacing w:after="120"/>
        <w:ind w:firstLine="288"/>
        <w:jc w:val="both"/>
      </w:pPr>
      <w:r>
        <w:t xml:space="preserve">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property taxes under § 164(a)(1) (also discussed in the next chapter) are each aimed at the home owner. And so on. These tax benefits, however, can often be captured by other actors in the marketplace through the price mechanism. </w:t>
      </w:r>
      <w:r w:rsidRPr="00710673">
        <w:rPr>
          <w:i/>
        </w:rPr>
        <w:t>The more broadly available a tax expenditure, the more easily it can be captured by raising the price of the purchased asset or service at large.</w:t>
      </w:r>
      <w:r>
        <w:t xml:space="preserve"> If a tax benefit is limited to a small, select population, providers find it difficult to raise prices generally. </w:t>
      </w:r>
    </w:p>
    <w:p w:rsidR="0078310B" w:rsidRDefault="0078310B" w:rsidP="0078310B">
      <w:pPr>
        <w:widowControl w:val="0"/>
        <w:ind w:firstLine="288"/>
        <w:jc w:val="both"/>
      </w:pPr>
      <w:r>
        <w:t xml:space="preserve">In the context of the education tax expenditures, capture can mean that universities are able to raise tuition to higher levels than they would be able to charge absent the tax expenditure. When the Hope Credit was enacted in 1997, for example, California community colleges charged an average annual tuition of less than $1,500, and they immediately raised their tuition to the $1,500 that could be credited each year under § 25A.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E65AF5">
        <w:rPr>
          <w:i/>
        </w:rPr>
        <w:t>status quo</w:t>
      </w:r>
      <w:r>
        <w:t xml:space="preserve">. If it uses the increased tuition to provide more scholarship dollars to needy students, perhaps the capture is a good thing. If it uses the increased tuition to raise professors’ salaries, perhaps not so much….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rPr>
          <w:b w:val="0"/>
        </w:rPr>
      </w:pPr>
      <w:bookmarkStart w:id="307" w:name="_Toc395790603"/>
      <w:r>
        <w:t>Tax Incentives for Education: Not Making the Grade</w:t>
      </w:r>
      <w:r w:rsidRPr="000E1E12">
        <w:rPr>
          <w:rStyle w:val="FootnoteReference"/>
          <w:b w:val="0"/>
        </w:rPr>
        <w:footnoteReference w:id="537"/>
      </w:r>
      <w:r w:rsidRPr="000E1E12">
        <w:rPr>
          <w:b w:val="0"/>
        </w:rPr>
        <w:t xml:space="preserve"> </w:t>
      </w:r>
    </w:p>
    <w:p w:rsidR="0078310B" w:rsidRDefault="0078310B" w:rsidP="0078310B">
      <w:pPr>
        <w:pStyle w:val="Heading3"/>
        <w:spacing w:before="0" w:beforeAutospacing="0" w:after="0" w:afterAutospacing="0"/>
        <w:jc w:val="center"/>
        <w:rPr>
          <w:b w:val="0"/>
        </w:rPr>
      </w:pPr>
      <w:r w:rsidRPr="009C0895">
        <w:rPr>
          <w:b w:val="0"/>
        </w:rPr>
        <w:t>Marie Sapirie</w:t>
      </w:r>
      <w:bookmarkEnd w:id="307"/>
    </w:p>
    <w:p w:rsidR="0078310B" w:rsidRPr="00653676" w:rsidRDefault="0078310B" w:rsidP="0078310B">
      <w:pPr>
        <w:pStyle w:val="Heading3"/>
        <w:spacing w:before="0" w:beforeAutospacing="0" w:after="0" w:afterAutospacing="0"/>
        <w:jc w:val="center"/>
      </w:pPr>
    </w:p>
    <w:p w:rsidR="0078310B" w:rsidRDefault="0078310B" w:rsidP="0078310B">
      <w:pPr>
        <w:widowControl w:val="0"/>
        <w:spacing w:after="120"/>
        <w:ind w:firstLine="288"/>
        <w:jc w:val="both"/>
      </w:pPr>
      <w:r>
        <w:t>Do education tax benefits produce more educated Americans? Congress has no idea.</w:t>
      </w:r>
    </w:p>
    <w:p w:rsidR="0078310B" w:rsidRDefault="0078310B" w:rsidP="0078310B">
      <w:pPr>
        <w:widowControl w:val="0"/>
        <w:spacing w:after="120"/>
        <w:ind w:firstLine="288"/>
        <w:jc w:val="both"/>
      </w:pPr>
      <w:r>
        <w:t>That was the conclusion drawn by witnesses at a July 25 Senate Finance Committee hearing on education tax incentives. It is a critical question, because tax benefits have become a secondary conduit for education financing, possibly to the detriment of students.</w:t>
      </w:r>
    </w:p>
    <w:p w:rsidR="0078310B" w:rsidRDefault="0078310B" w:rsidP="0078310B">
      <w:pPr>
        <w:widowControl w:val="0"/>
        <w:spacing w:after="120"/>
        <w:ind w:firstLine="288"/>
        <w:jc w:val="both"/>
      </w:pPr>
      <w:r>
        <w:t>At the hearing, James White, director of tax issues for the Government Accountability Office, said Congress lacks basic information about how education tax incentives affect tuition costs, enrollment and graduation rates, follow-up resulting in postsecondary education, and related issues….</w:t>
      </w:r>
    </w:p>
    <w:p w:rsidR="0078310B" w:rsidRDefault="0078310B" w:rsidP="0078310B">
      <w:pPr>
        <w:widowControl w:val="0"/>
        <w:spacing w:after="120"/>
        <w:ind w:firstLine="288"/>
        <w:jc w:val="both"/>
      </w:pPr>
      <w:r>
        <w:t>As the costs of postsecondary education have increased, Federal tax expenditures on higher education, as well as the number of education-related tax provisions, have grown significantly. In a recent report to Congress on education tax benefits, the Joint Committee on Taxation noted that while the average tuition, fees, and room and board at a public institution for the 1986-1987 school year cost $7,414 in constant 2009-2010 dollars, the price in 2010-2011 was $13,297. Costs at private institutions rose from $18,854 to $31,395 over the same period, according to the report….</w:t>
      </w:r>
    </w:p>
    <w:p w:rsidR="0078310B" w:rsidRDefault="0078310B" w:rsidP="0078310B">
      <w:pPr>
        <w:widowControl w:val="0"/>
        <w:spacing w:after="120"/>
        <w:ind w:firstLine="288"/>
        <w:jc w:val="both"/>
      </w:pPr>
      <w:r>
        <w:t>The JCT estimates that the revenue forgone from all the education tax incentives will total $78.4 billion between 2011 and 2015. By comparison, the mortgage interest deduction is estimated to cost about $84 billion in 2012 alone. Of course, with complexity come additional costs for the IRS and taxpayers. There is an increased risk of error and fraud with the recent advent of refundable education tax credits.</w:t>
      </w:r>
    </w:p>
    <w:p w:rsidR="0078310B" w:rsidRDefault="0078310B" w:rsidP="0078310B">
      <w:pPr>
        <w:widowControl w:val="0"/>
        <w:spacing w:after="120"/>
        <w:ind w:firstLine="288"/>
        <w:jc w:val="both"/>
      </w:pPr>
      <w:r>
        <w:t>The GAO reported that in 2009, 12.8 million students received Title IV aid, and about 18 million return filers claimed a higher education tax benefit for current expenses.</w:t>
      </w:r>
    </w:p>
    <w:p w:rsidR="0078310B" w:rsidRDefault="0078310B" w:rsidP="0078310B">
      <w:pPr>
        <w:widowControl w:val="0"/>
        <w:spacing w:after="120"/>
        <w:ind w:firstLine="288"/>
        <w:jc w:val="both"/>
      </w:pPr>
      <w:r>
        <w:t>There are four main types of education tax incentives: benefits for current expenses, benefits for saving for education expenses, benefits related to past expenses, and benefits for educational institutions. Within those categories are about 18 different provisions, ranging from the charitable deduction for education to the exclusion of interest earned on education savings bonds.</w:t>
      </w:r>
    </w:p>
    <w:p w:rsidR="0078310B" w:rsidRDefault="0078310B" w:rsidP="0078310B">
      <w:pPr>
        <w:widowControl w:val="0"/>
        <w:spacing w:after="120"/>
        <w:ind w:firstLine="288"/>
        <w:jc w:val="both"/>
      </w:pPr>
      <w:r>
        <w:t>The tax benefits, as well as other government spending on education, are intended to remedy a perceived market failure. The JCT said in its report that “because an individual chooses to invest in education based on the private benefits he expects to accrue, in the absence of government intervention he may choose a level of investment that is lower than socially optimal.”</w:t>
      </w:r>
    </w:p>
    <w:p w:rsidR="0078310B" w:rsidRDefault="0078310B" w:rsidP="0078310B">
      <w:pPr>
        <w:widowControl w:val="0"/>
        <w:spacing w:after="120"/>
        <w:ind w:firstLine="288"/>
        <w:jc w:val="both"/>
        <w:rPr>
          <w:b/>
          <w:bCs/>
        </w:rPr>
      </w:pPr>
      <w:r>
        <w:rPr>
          <w:b/>
          <w:bCs/>
        </w:rPr>
        <w:t>Roll Call</w:t>
      </w:r>
    </w:p>
    <w:p w:rsidR="0078310B" w:rsidRDefault="0078310B" w:rsidP="0078310B">
      <w:pPr>
        <w:widowControl w:val="0"/>
        <w:spacing w:after="120"/>
        <w:ind w:firstLine="288"/>
        <w:jc w:val="both"/>
      </w:pPr>
      <w:r>
        <w:t>The following is an overview of [some of] the current tax benefits available for education, with descriptions and explanations from the JCT and GAO reports. The benefits are listed in order of estimated cost. [Editor’s note: In the interest of space, I did not reprint descriptions of some provisions.]</w:t>
      </w:r>
    </w:p>
    <w:p w:rsidR="0078310B" w:rsidRDefault="0078310B" w:rsidP="0078310B">
      <w:pPr>
        <w:widowControl w:val="0"/>
        <w:spacing w:after="120"/>
        <w:ind w:firstLine="288"/>
        <w:jc w:val="both"/>
        <w:rPr>
          <w:b/>
          <w:bCs/>
        </w:rPr>
      </w:pPr>
      <w:r>
        <w:rPr>
          <w:b/>
          <w:bCs/>
        </w:rPr>
        <w:t>Charitable Contributions to Education</w:t>
      </w:r>
    </w:p>
    <w:p w:rsidR="0078310B" w:rsidRDefault="0078310B" w:rsidP="0078310B">
      <w:pPr>
        <w:widowControl w:val="0"/>
        <w:spacing w:after="120"/>
        <w:ind w:firstLine="288"/>
        <w:jc w:val="both"/>
      </w:pPr>
      <w:r>
        <w:t>The JCT estimates that the deduction for charitable contributions to education will cost the government $ 32.4 billion between fiscal 2011 and 2015.</w:t>
      </w:r>
    </w:p>
    <w:p w:rsidR="0078310B" w:rsidRDefault="0078310B" w:rsidP="0078310B">
      <w:pPr>
        <w:widowControl w:val="0"/>
        <w:spacing w:after="120"/>
        <w:ind w:firstLine="288"/>
        <w:jc w:val="both"/>
        <w:rPr>
          <w:b/>
          <w:bCs/>
        </w:rPr>
      </w:pPr>
      <w:r>
        <w:rPr>
          <w:b/>
          <w:bCs/>
        </w:rPr>
        <w:t>HOPE Credit/American Opportunity Credit</w:t>
      </w:r>
    </w:p>
    <w:p w:rsidR="0078310B" w:rsidRDefault="0078310B" w:rsidP="0078310B">
      <w:pPr>
        <w:widowControl w:val="0"/>
        <w:spacing w:after="120"/>
        <w:ind w:firstLine="288"/>
        <w:jc w:val="both"/>
      </w:pPr>
      <w:r>
        <w:t>President Clinton introduced the HOPE scholarship credit in 1997 with the intent of helping low- to middle-income families. It is one of the two largest expenditures for education, totaling $24.4 billion for fiscal 2011-2015, and it has the lowest income phase-out among education tax benefits. It is not refundable. When the HOPE credit was temporarily replaced by the partially refundable American opportunity tax credit (AOTC) for tax years 2009-2012, the annual limit was raised from $1,800 to $2,500 and the income phase-out was significantly increased. Also, the credit applied to the first four years of undergraduate education rather than just the first two, and it was expanded to cover not just tuition and fees, but also supplies and books.</w:t>
      </w:r>
    </w:p>
    <w:p w:rsidR="0078310B" w:rsidRDefault="0078310B" w:rsidP="0078310B">
      <w:pPr>
        <w:widowControl w:val="0"/>
        <w:spacing w:after="120"/>
        <w:ind w:firstLine="288"/>
        <w:jc w:val="both"/>
      </w:pPr>
      <w:r>
        <w:t xml:space="preserve">The HOPE credit income phase-out was between $53,000 and $63,000 in 2008 dollars for individuals, and $106,000 and $126,000 for married joint filers. If it is reinstated by the expiration of the AOTC on December 31, 2012, the thresholds will be adjusted for inflation. By contrast, the AOTC phases out for individuals with income between $80,000 and $90,000, and for married couples filing joint tax returns with income between $160,000 and $180,000. Inflation does not account for the differences in income levels. The Urban-Brookings Tax Policy Center noted that most students qualify for the AOTC and that extending the credit would cost an estimated $137.4 billion over the next 10 years. </w:t>
      </w:r>
    </w:p>
    <w:p w:rsidR="0078310B" w:rsidRDefault="0078310B" w:rsidP="0078310B">
      <w:pPr>
        <w:widowControl w:val="0"/>
        <w:spacing w:after="120"/>
        <w:ind w:firstLine="288"/>
        <w:jc w:val="both"/>
      </w:pPr>
      <w:r>
        <w:t>President Obama proposed making the AOTC permanent in his fiscal 2013 budget and indexing for inflation both the maximum expenditures eligible for the credit and the income phase-out thresholds.</w:t>
      </w:r>
    </w:p>
    <w:p w:rsidR="0078310B" w:rsidRDefault="0078310B" w:rsidP="0078310B">
      <w:pPr>
        <w:widowControl w:val="0"/>
        <w:spacing w:after="120"/>
        <w:ind w:firstLine="288"/>
        <w:jc w:val="both"/>
        <w:rPr>
          <w:b/>
          <w:bCs/>
        </w:rPr>
      </w:pPr>
      <w:r>
        <w:rPr>
          <w:b/>
          <w:bCs/>
        </w:rPr>
        <w:t>Parental Exemption for Students</w:t>
      </w:r>
    </w:p>
    <w:p w:rsidR="0078310B" w:rsidRDefault="0078310B" w:rsidP="0078310B">
      <w:pPr>
        <w:widowControl w:val="0"/>
        <w:spacing w:after="120"/>
        <w:ind w:firstLine="288"/>
        <w:jc w:val="both"/>
      </w:pPr>
      <w:r>
        <w:t>Parents of full-time students who are between the ages of 19 and 23 may take a dependency exemption for their children. Starting in 2013, the deductions for personal exemptions will be phased out for higher incomes.</w:t>
      </w:r>
    </w:p>
    <w:p w:rsidR="0078310B" w:rsidRDefault="0078310B" w:rsidP="0078310B">
      <w:pPr>
        <w:widowControl w:val="0"/>
        <w:spacing w:after="120"/>
        <w:ind w:firstLine="288"/>
        <w:jc w:val="both"/>
      </w:pPr>
      <w:r>
        <w:t>The parental exemption is estimated by the JCT to cost $13.1 billion between 2011 and 2015. The GAO estimates that 50 percent of the benefit of the exemption goes to taxpayers with incomes greater than $100,000.</w:t>
      </w:r>
    </w:p>
    <w:p w:rsidR="0078310B" w:rsidRDefault="0078310B" w:rsidP="0078310B">
      <w:pPr>
        <w:widowControl w:val="0"/>
        <w:spacing w:after="120"/>
        <w:ind w:firstLine="288"/>
        <w:jc w:val="both"/>
        <w:rPr>
          <w:b/>
          <w:bCs/>
        </w:rPr>
      </w:pPr>
      <w:r>
        <w:rPr>
          <w:b/>
          <w:bCs/>
        </w:rPr>
        <w:t>Lifetime Learning Credit</w:t>
      </w:r>
    </w:p>
    <w:p w:rsidR="0078310B" w:rsidRDefault="0078310B" w:rsidP="0078310B">
      <w:pPr>
        <w:widowControl w:val="0"/>
        <w:spacing w:after="120"/>
        <w:ind w:firstLine="288"/>
        <w:jc w:val="both"/>
      </w:pPr>
      <w:r>
        <w:t xml:space="preserve">The lifetime learning credit under </w:t>
      </w:r>
      <w:r w:rsidRPr="00653676">
        <w:t>section 25A</w:t>
      </w:r>
      <w:r>
        <w:t xml:space="preserve"> allows eligible taxpayers to claim a credit of 20 percent of qualified tuition and related expenses incurred during the tax year by the taxpayer or his spouse or dependents. The maximum credit per return is $2,000, and the credit is nonrefundable. The credit begins to phase out at $52,000 for individuals and $104,000 for joint filers. Taxpayers can claim the credit for an unlimited number of tax years but they cannot claim both the lifetime learning credit and either the HOPE credit or the AOTC for the same student for the same year.</w:t>
      </w:r>
    </w:p>
    <w:p w:rsidR="0078310B" w:rsidRDefault="0078310B" w:rsidP="0078310B">
      <w:pPr>
        <w:widowControl w:val="0"/>
        <w:spacing w:after="120"/>
        <w:ind w:firstLine="288"/>
        <w:jc w:val="both"/>
      </w:pPr>
      <w:r>
        <w:t>The lifetime learning credit will cost $12.9 billion between 2011 and 2015, according to the JCT.</w:t>
      </w:r>
    </w:p>
    <w:p w:rsidR="0078310B" w:rsidRDefault="0078310B" w:rsidP="0078310B">
      <w:pPr>
        <w:widowControl w:val="0"/>
        <w:spacing w:after="120"/>
        <w:ind w:firstLine="288"/>
        <w:jc w:val="both"/>
        <w:rPr>
          <w:b/>
          <w:bCs/>
        </w:rPr>
      </w:pPr>
      <w:r>
        <w:rPr>
          <w:b/>
          <w:bCs/>
        </w:rPr>
        <w:t>Scholarship and Fellowship Income</w:t>
      </w:r>
    </w:p>
    <w:p w:rsidR="0078310B" w:rsidRDefault="0078310B" w:rsidP="0078310B">
      <w:pPr>
        <w:widowControl w:val="0"/>
        <w:spacing w:after="120"/>
        <w:ind w:firstLine="288"/>
        <w:jc w:val="both"/>
      </w:pPr>
      <w:r>
        <w:t xml:space="preserve">Qualified scholarships and fellowships are excluded from Gross Income under </w:t>
      </w:r>
      <w:r w:rsidRPr="00653676">
        <w:t>section 117</w:t>
      </w:r>
      <w:r>
        <w:t>. The JCT estimates that the exclusion will cost $12.6 billion between 2011 and 2015.</w:t>
      </w:r>
    </w:p>
    <w:p w:rsidR="0078310B" w:rsidRDefault="0078310B" w:rsidP="0078310B">
      <w:pPr>
        <w:widowControl w:val="0"/>
        <w:spacing w:after="120"/>
        <w:ind w:firstLine="288"/>
        <w:jc w:val="both"/>
        <w:rPr>
          <w:b/>
          <w:bCs/>
        </w:rPr>
      </w:pPr>
      <w:r>
        <w:rPr>
          <w:b/>
          <w:bCs/>
        </w:rPr>
        <w:t>Employer-Provided Education Benefits</w:t>
      </w:r>
    </w:p>
    <w:p w:rsidR="0078310B" w:rsidRDefault="0078310B" w:rsidP="0078310B">
      <w:pPr>
        <w:widowControl w:val="0"/>
        <w:spacing w:after="120"/>
        <w:ind w:firstLine="288"/>
        <w:jc w:val="both"/>
      </w:pPr>
      <w:r>
        <w:t xml:space="preserve">Employees can exclude up to $5,250 of education assistance from their employers per year if the employer has a program that meets the requirements under </w:t>
      </w:r>
      <w:r w:rsidRPr="00653676">
        <w:t>section 127</w:t>
      </w:r>
      <w:r>
        <w:t>. The provision was initially temporary, but it was extended and is now subject to the December 31, 2012, sunset provision of the Economic Growth and Tax Relief Reconciliation Act of 2001. The JCT estimates that it will cost $4.7 billion between 2011 and 2015.</w:t>
      </w:r>
    </w:p>
    <w:p w:rsidR="0078310B" w:rsidRDefault="0078310B" w:rsidP="0078310B">
      <w:pPr>
        <w:widowControl w:val="0"/>
        <w:spacing w:after="120"/>
        <w:ind w:firstLine="288"/>
        <w:jc w:val="both"/>
        <w:rPr>
          <w:b/>
          <w:bCs/>
        </w:rPr>
      </w:pPr>
      <w:r>
        <w:rPr>
          <w:b/>
          <w:bCs/>
        </w:rPr>
        <w:t>Deduction for Interest on Student Loans</w:t>
      </w:r>
    </w:p>
    <w:p w:rsidR="0078310B" w:rsidRDefault="0078310B" w:rsidP="0078310B">
      <w:pPr>
        <w:widowControl w:val="0"/>
        <w:spacing w:after="120"/>
        <w:ind w:firstLine="288"/>
        <w:jc w:val="both"/>
      </w:pPr>
      <w:r w:rsidRPr="00653676">
        <w:t>Section 221</w:t>
      </w:r>
      <w:r>
        <w:t xml:space="preserve"> provides an above-the-line deduction for interest on qualified education loans. There is a maximum annual deduction of $2,500 and an income phase-out starting at $60,000 for individuals and $125,000 for married joint filers. The JCT estimates that the deduction will cost $4.1 billion between 2011 and 2015.</w:t>
      </w:r>
    </w:p>
    <w:p w:rsidR="0078310B" w:rsidRDefault="0078310B" w:rsidP="0078310B">
      <w:pPr>
        <w:widowControl w:val="0"/>
        <w:spacing w:after="120"/>
        <w:ind w:firstLine="288"/>
        <w:jc w:val="both"/>
        <w:rPr>
          <w:b/>
          <w:bCs/>
        </w:rPr>
      </w:pPr>
      <w:r w:rsidRPr="00653676">
        <w:rPr>
          <w:b/>
          <w:bCs/>
        </w:rPr>
        <w:t>Section 529</w:t>
      </w:r>
      <w:r>
        <w:rPr>
          <w:b/>
          <w:bCs/>
        </w:rPr>
        <w:t xml:space="preserve"> Plans</w:t>
      </w:r>
    </w:p>
    <w:p w:rsidR="0078310B" w:rsidRDefault="0078310B" w:rsidP="0078310B">
      <w:pPr>
        <w:widowControl w:val="0"/>
        <w:spacing w:after="120"/>
        <w:ind w:firstLine="288"/>
        <w:jc w:val="both"/>
      </w:pPr>
      <w:r w:rsidRPr="00653676">
        <w:t>Section 529</w:t>
      </w:r>
      <w:r>
        <w:t xml:space="preserve"> plans, also called qualified tuition programs, were added to the code in 1996. </w:t>
      </w:r>
      <w:r w:rsidRPr="00653676">
        <w:t>Section 529</w:t>
      </w:r>
      <w:r>
        <w:t xml:space="preserve"> authorizes states to set up programs that allow taxpayers to create accounts on behalf of a designated beneficiary. The income earned in the accounts accumulates tax free, and contributions qualify for the gift tax annual exclusion. There are no income caps on contributors to 529 plans.</w:t>
      </w:r>
    </w:p>
    <w:p w:rsidR="0078310B" w:rsidRDefault="0078310B" w:rsidP="0078310B">
      <w:pPr>
        <w:widowControl w:val="0"/>
        <w:spacing w:after="120"/>
        <w:ind w:firstLine="288"/>
        <w:jc w:val="both"/>
      </w:pPr>
      <w:r>
        <w:t>The JCT reported that the tax-preferred savings accounts for education have grown substantially in recent years, particularly under the qualified tuition programs. In 2011, 10.7 million qualified tuition program accounts held $164.9 billion in assets, up from 4.4 million accounts holding $26.8 billion in 2002. The estimated cost of the plans is $3.6 billion between 2011 and 2015. The GAO reported that in 2006, 4.2 million households with a median Gross Income of $122,400 had a 529 plan or a Coverdell account.</w:t>
      </w:r>
    </w:p>
    <w:p w:rsidR="0078310B" w:rsidRDefault="0078310B" w:rsidP="0078310B">
      <w:pPr>
        <w:widowControl w:val="0"/>
        <w:spacing w:after="120"/>
        <w:ind w:firstLine="288"/>
        <w:jc w:val="both"/>
        <w:rPr>
          <w:b/>
          <w:bCs/>
        </w:rPr>
      </w:pPr>
      <w:r>
        <w:rPr>
          <w:b/>
          <w:bCs/>
        </w:rPr>
        <w:t>Other Benefits</w:t>
      </w:r>
    </w:p>
    <w:p w:rsidR="0078310B" w:rsidRDefault="0078310B" w:rsidP="0078310B">
      <w:pPr>
        <w:widowControl w:val="0"/>
        <w:spacing w:after="120"/>
        <w:ind w:firstLine="288"/>
        <w:jc w:val="both"/>
      </w:pPr>
      <w:r>
        <w:t>… The JCT estimates that between 2011 and 2015, the [§ 222] deduction for higher education expenses will cost $1 billion. The GAO report found that for 2009, 1.7 million taxpayers with a median income of $73,277 received the deduction.</w:t>
      </w:r>
    </w:p>
    <w:p w:rsidR="0078310B" w:rsidRDefault="0078310B" w:rsidP="0078310B">
      <w:pPr>
        <w:widowControl w:val="0"/>
        <w:spacing w:after="120"/>
        <w:ind w:firstLine="288"/>
        <w:jc w:val="both"/>
      </w:pPr>
      <w:r>
        <w:t>About 45 percent of the benefit of the tuition and fees deduction went to taxpayers with incomes greater than $100,000 in 2009, while about 34 percent went to taxpayers with incomes less than $60,000, according to the GAO’s estimate. The tuition and fees deduction is mutually exclusive in its application with the AOTC and the lifetime learning credit, which may explain some of the regressivity.</w:t>
      </w:r>
    </w:p>
    <w:p w:rsidR="0078310B" w:rsidRDefault="0078310B" w:rsidP="0078310B">
      <w:pPr>
        <w:widowControl w:val="0"/>
        <w:spacing w:after="120"/>
        <w:ind w:firstLine="288"/>
        <w:jc w:val="both"/>
      </w:pPr>
      <w:r>
        <w:t xml:space="preserve">Another benefit that is designed to help save for education expenses is the Coverdell account. </w:t>
      </w:r>
      <w:r w:rsidRPr="00653676">
        <w:t>Section 530</w:t>
      </w:r>
      <w:r>
        <w:t xml:space="preserve"> allows taxpayers to open an education savings account to pay for a designated beneficiary’s qualified education expenses, which include elementary and secondary education expenses as well as higher education expenses. The JCT reported that in 2009, 644,000 taxpayers contributed more than $718 million to Coverdell accounts.</w:t>
      </w:r>
    </w:p>
    <w:p w:rsidR="0078310B" w:rsidRDefault="0078310B" w:rsidP="0078310B">
      <w:pPr>
        <w:widowControl w:val="0"/>
        <w:spacing w:after="120"/>
        <w:ind w:firstLine="288"/>
        <w:jc w:val="both"/>
      </w:pPr>
      <w:r>
        <w:t>There are also … employer-provided tuition reduction benefits, and income attributable to the discharge of some student loan debt; … and a deduction for classroom expenses incurred by teachers.</w:t>
      </w:r>
    </w:p>
    <w:p w:rsidR="0078310B" w:rsidRDefault="0078310B" w:rsidP="0078310B">
      <w:pPr>
        <w:widowControl w:val="0"/>
        <w:spacing w:after="120"/>
        <w:ind w:firstLine="288"/>
        <w:jc w:val="both"/>
        <w:rPr>
          <w:b/>
          <w:bCs/>
        </w:rPr>
      </w:pPr>
      <w:r>
        <w:rPr>
          <w:b/>
          <w:bCs/>
        </w:rPr>
        <w:t>Honor Roll</w:t>
      </w:r>
    </w:p>
    <w:p w:rsidR="0078310B" w:rsidRDefault="0078310B" w:rsidP="0078310B">
      <w:pPr>
        <w:widowControl w:val="0"/>
        <w:spacing w:after="120"/>
        <w:ind w:firstLine="288"/>
        <w:jc w:val="both"/>
      </w:pPr>
      <w:r>
        <w:t>Some of the education tax benefits have income caps that are designed to direct the benefits toward the taxpayers who need them most. For example, when the HOPE credit was introduced, it targeted students from low-income families.</w:t>
      </w:r>
    </w:p>
    <w:p w:rsidR="0078310B" w:rsidRDefault="0078310B" w:rsidP="0078310B">
      <w:pPr>
        <w:widowControl w:val="0"/>
        <w:spacing w:after="120"/>
        <w:ind w:firstLine="288"/>
        <w:jc w:val="both"/>
      </w:pPr>
      <w:r>
        <w:t>The education savings plans are meant to encourage families to save for college. Assets under management in 529 and Coverdell accounts are increasing, indicating that the programs might be succeeding in that goal.</w:t>
      </w:r>
    </w:p>
    <w:p w:rsidR="0078310B" w:rsidRDefault="0078310B" w:rsidP="0078310B">
      <w:pPr>
        <w:widowControl w:val="0"/>
        <w:spacing w:after="120"/>
        <w:ind w:firstLine="288"/>
        <w:jc w:val="both"/>
      </w:pPr>
      <w:r>
        <w:t>However, for families to save for college, they need discretionary income. Not surprisingly, the Coverdell accounts and 529 plans are used primarily by households with incomes greater than the national median, according to the GAO. Among the sobering findings from the GAO’s study are that in 2007, households with Coverdell and 529 accounts had a median income of $122,400, whereas households without them had a median income of $43,400. The GAO found that 12 percent of households with incomes greater than $100,000 held Coverdell or 529 accounts, but that about 4 percent of households with incomes from $50,001 to $100,000 and about 1 percent of households with incomes less than $50,000 held them.</w:t>
      </w:r>
    </w:p>
    <w:p w:rsidR="0078310B" w:rsidRDefault="0078310B" w:rsidP="0078310B">
      <w:pPr>
        <w:widowControl w:val="0"/>
        <w:spacing w:after="120"/>
        <w:ind w:firstLine="288"/>
        <w:jc w:val="both"/>
      </w:pPr>
      <w:r>
        <w:t xml:space="preserve">One education tax incentive that benefits higher-income taxpayers in the short run is worth keeping because of the external benefits it produces. Even if Congress doesn’t know what it’s getting out of most of its education tax initiatives, the beneficiaries of the charitable deduction do. Many </w:t>
      </w:r>
      <w:r>
        <w:rPr>
          <w:i/>
          <w:iCs/>
        </w:rPr>
        <w:t>Tax Notes</w:t>
      </w:r>
      <w:r>
        <w:t xml:space="preserve"> readers are familiar with the glossy alumni magazines that universities send out and other aggressive fundraising campaigns by postsecondary institutions. Private elementary and secondary schools actively seek donations and publicize their tax-exempt status. But public K-12 institutions also enjoy the generosity encouraged by the charitable donation. For example, the public schools in Fairfax County, Va., receive donations of—among many other things—about 400 cars a year for the use of high school students studying automotive technology. Last year the students made 170 of the vehicles road-worthy and sold them. The proceeds were funneled back into their courses, scholarships, and fees for the student-operated dealership. (For more on this program, see </w:t>
      </w:r>
      <w:r w:rsidRPr="00653676">
        <w:t>www.fatefacts.org/Student_Auto_Sales.php</w:t>
      </w:r>
      <w:r>
        <w:t>.)</w:t>
      </w:r>
    </w:p>
    <w:p w:rsidR="0078310B" w:rsidRDefault="0078310B" w:rsidP="0078310B">
      <w:pPr>
        <w:widowControl w:val="0"/>
        <w:spacing w:after="120"/>
        <w:ind w:firstLine="288"/>
        <w:jc w:val="both"/>
      </w:pPr>
      <w:r>
        <w:t xml:space="preserve">To be sure, Fairfax County is the third richest county in the United States, according to </w:t>
      </w:r>
      <w:r>
        <w:rPr>
          <w:i/>
          <w:iCs/>
        </w:rPr>
        <w:t>Forbes</w:t>
      </w:r>
      <w:r>
        <w:t>, and its donation program is well organized, so the number of public-school benefactors in the county may be larger than is typical. Jay Garant, coordinator of business and community partnerships for Fairfax County Public Schools, said that individual donations have ranged from $50 to $800,000. At a time of declining state and local tax revenue for many areas, private contributions are an important resource.</w:t>
      </w:r>
    </w:p>
    <w:p w:rsidR="0078310B" w:rsidRDefault="0078310B" w:rsidP="0078310B">
      <w:pPr>
        <w:widowControl w:val="0"/>
        <w:spacing w:after="120"/>
        <w:ind w:firstLine="288"/>
        <w:jc w:val="both"/>
        <w:rPr>
          <w:b/>
          <w:bCs/>
        </w:rPr>
      </w:pPr>
      <w:r>
        <w:rPr>
          <w:b/>
          <w:bCs/>
        </w:rPr>
        <w:t>Needs Improvement</w:t>
      </w:r>
    </w:p>
    <w:p w:rsidR="0078310B" w:rsidRDefault="0078310B" w:rsidP="0078310B">
      <w:pPr>
        <w:widowControl w:val="0"/>
        <w:spacing w:after="120"/>
        <w:ind w:firstLine="288"/>
        <w:jc w:val="both"/>
      </w:pPr>
      <w:r>
        <w:t>Education tax incentives have some serious problems. They are generally too complex, likely encourage institutions to raise tuition and fees, and frequently have higher than necessary income caps.</w:t>
      </w:r>
    </w:p>
    <w:p w:rsidR="0078310B" w:rsidRDefault="0078310B" w:rsidP="0078310B">
      <w:pPr>
        <w:widowControl w:val="0"/>
        <w:spacing w:after="120"/>
        <w:ind w:firstLine="288"/>
        <w:jc w:val="both"/>
      </w:pPr>
      <w:r>
        <w:t xml:space="preserve">A good way to ensure that even the most well-intentioned incentives don’t work properly is to make them complex. Unfortunately, complexity is a common feature of many education tax benefits. IRS Publication 970, </w:t>
      </w:r>
      <w:r>
        <w:rPr>
          <w:i/>
          <w:iCs/>
        </w:rPr>
        <w:t>Tax Benefits for Education</w:t>
      </w:r>
      <w:r>
        <w:t>, is 83 pages long. Form 8863, “Education Credits (American Opportunity and Lifetime Learning Credits),” and Form 8917, “Tuition and Fees Deduction,” appear fairly straightforward, but they are still susceptible to taxpayer error because taxpayers must decide which of the forms to file. The AOTC and the lifetime learning credit are also mutually exclusive, but both are claimed on Form 8863.</w:t>
      </w:r>
    </w:p>
    <w:p w:rsidR="0078310B" w:rsidRDefault="0078310B" w:rsidP="0078310B">
      <w:pPr>
        <w:widowControl w:val="0"/>
        <w:spacing w:after="120"/>
        <w:ind w:firstLine="288"/>
        <w:jc w:val="both"/>
      </w:pPr>
      <w:r>
        <w:t>So it is unsurprising that in analyzing IRS data for 2009 for selected returns, the GAO found that return filers do not always choose tax expenditures that maximize their potential tax benefits. “We found about 14 percent of filers (1.5 million of almost 11 million eligible returns) failed to claim a credit or deduction for which they appear eligible,” it wrote.</w:t>
      </w:r>
    </w:p>
    <w:p w:rsidR="0078310B" w:rsidRDefault="0078310B" w:rsidP="0078310B">
      <w:pPr>
        <w:widowControl w:val="0"/>
        <w:spacing w:after="120"/>
        <w:ind w:firstLine="288"/>
        <w:jc w:val="both"/>
      </w:pPr>
      <w:r>
        <w:t>The dismal report card on complexity has changed little in the last 10 years. In 2001 the JCT proposed simplifications such as establishing a uniform definition of qualified higher education expenses and combining the HOPE and lifetime learning credits. Congress has done neither.</w:t>
      </w:r>
    </w:p>
    <w:p w:rsidR="0078310B" w:rsidRDefault="0078310B" w:rsidP="0078310B">
      <w:pPr>
        <w:widowControl w:val="0"/>
        <w:spacing w:after="120"/>
        <w:ind w:firstLine="288"/>
        <w:jc w:val="both"/>
      </w:pPr>
      <w:r>
        <w:t>The JCT also recommended that Congress consider the advantages and disadvantages of deferral or exclusion from income, income limits, and transition issues. The report notes: “Although the existence of a variety of tax incentives for education may mean that more taxpayers are able to take advantage of one or more education incentives, understanding the tax benefits provided by the different provisions, the various eligibility requirements, the interaction between different incentives and provisions within each incentive, as well as the recordkeeping and reporting requirements, may be time consuming and confusing for taxpayers who are interested in reducing their current educational expenses or saving for future expenses.</w:t>
      </w:r>
    </w:p>
    <w:p w:rsidR="0078310B" w:rsidRDefault="0078310B" w:rsidP="0078310B">
      <w:pPr>
        <w:widowControl w:val="0"/>
        <w:spacing w:after="120"/>
        <w:ind w:firstLine="288"/>
        <w:jc w:val="both"/>
      </w:pPr>
      <w:r>
        <w:t>For taxpayers to take advantage of incentives, they must know about and understand them. In addition to being simplified, the incentives should be permanent, because temporary provisions, like the AOTC, are more difficult to plan for….</w:t>
      </w:r>
    </w:p>
    <w:p w:rsidR="0078310B" w:rsidRDefault="0078310B" w:rsidP="0078310B">
      <w:pPr>
        <w:widowControl w:val="0"/>
        <w:spacing w:after="120"/>
        <w:ind w:firstLine="288"/>
        <w:jc w:val="both"/>
      </w:pPr>
      <w:r>
        <w:t>Education is expensive, but the Federal government can make it even more so. Tax benefits for individuals may be reduced or even canceled out by educational institutions through higher tuition and fees, a result that undermines the legislative goal of making higher education more accessible.</w:t>
      </w:r>
    </w:p>
    <w:p w:rsidR="0078310B" w:rsidRDefault="0078310B" w:rsidP="0078310B">
      <w:pPr>
        <w:widowControl w:val="0"/>
        <w:spacing w:after="120"/>
        <w:ind w:firstLine="288"/>
        <w:jc w:val="both"/>
      </w:pPr>
      <w:r>
        <w:t>For their part, colleges maintain that they need more money because their costs are increasing. MIT President L. Rafael Reif said in his inaugural address earlier this year that intensive, hands-on science and engineering research requires MIT “to invest more than three times as much to educate our undergraduates as we receive in net tuition—that is, tuition minus financial aid.” MIT estimates its 2012-2013 cost of attendance for undergraduates at $57,010. Thanks to a $10.3 billion endowment from its enterprising alumni base, MIT has no liquidity problems….</w:t>
      </w:r>
    </w:p>
    <w:p w:rsidR="0078310B" w:rsidRDefault="0078310B" w:rsidP="0078310B">
      <w:pPr>
        <w:widowControl w:val="0"/>
        <w:spacing w:after="120"/>
        <w:ind w:firstLine="288"/>
        <w:jc w:val="both"/>
      </w:pPr>
      <w:r>
        <w:t>For other schools, the picture is different. The 2012 JCT report says that raising tuition “may be particularly attractive to community colleges that charge less than the amount of the subsidy provided by a Federal education credit, because tuition can be raised to the amount of the credit without requiring the student to pay more out-of-pocket on an after-tax basis, provided the student or parent has tax liability to offset.” That distortion in the price of higher education could eliminate much of the incentive that benefits like the AOTC are supposed to provide at the margin.</w:t>
      </w:r>
    </w:p>
    <w:p w:rsidR="0078310B" w:rsidRDefault="0078310B" w:rsidP="0078310B">
      <w:pPr>
        <w:widowControl w:val="0"/>
        <w:spacing w:after="120"/>
        <w:ind w:firstLine="288"/>
        <w:jc w:val="both"/>
      </w:pPr>
      <w:r>
        <w:t>A problem with the increasing income phase-outs is that they introduce regressivity. The GAO reported that with the introduction of the AOTC, the distribution of benefits among taxpayers in the lowest and highest income categories changed. Between 2008 and 2009, the percentage of return filers with incomes less than $20,000 claiming the AOTC increased from 14 percent to 28 percent and the percentage of total benefits those filers received rose from 6 percent to 15 percent. But during that same period, the percentage of AOTC filers making more than $100,000 rose from 5 percent to 16 percent of all AOTC filers, and their percentage of the benefits rose from 4 percent to 22 percent.</w:t>
      </w:r>
    </w:p>
    <w:p w:rsidR="0078310B" w:rsidRDefault="0078310B" w:rsidP="0078310B">
      <w:pPr>
        <w:widowControl w:val="0"/>
        <w:spacing w:after="120"/>
        <w:ind w:firstLine="288"/>
        <w:jc w:val="both"/>
      </w:pPr>
      <w:r>
        <w:t>Other unintended consequences of education tax credits could include decreased donations and reduced state and local funds being allocated to public education. However, the JCT noted that while private contributions decrease in response to increases in public contributions, the reduction is less than 100 percent of the Federal support.</w:t>
      </w:r>
    </w:p>
    <w:p w:rsidR="0078310B" w:rsidRDefault="0078310B" w:rsidP="0078310B">
      <w:pPr>
        <w:widowControl w:val="0"/>
        <w:spacing w:after="120"/>
        <w:ind w:firstLine="288"/>
        <w:jc w:val="both"/>
      </w:pPr>
      <w:r>
        <w:t>The statutory income caps on many of the education tax provisions get a mention in the failing-grade category, too, because many of them are high enough to funnel benefits to families with six-figure incomes. Even accounting for regional cost of living differences, families with incomes greater than $100,000 are probably not in the subset of the population that is likely to be motivated to pursue higher education as a result of tax incentives.</w:t>
      </w:r>
    </w:p>
    <w:p w:rsidR="0078310B" w:rsidRDefault="0078310B" w:rsidP="0078310B">
      <w:pPr>
        <w:widowControl w:val="0"/>
        <w:spacing w:after="120"/>
        <w:ind w:firstLine="288"/>
        <w:jc w:val="both"/>
        <w:rPr>
          <w:b/>
          <w:bCs/>
        </w:rPr>
      </w:pPr>
      <w:r>
        <w:rPr>
          <w:b/>
          <w:bCs/>
        </w:rPr>
        <w:t>Tax Reform</w:t>
      </w:r>
    </w:p>
    <w:p w:rsidR="0078310B" w:rsidRDefault="0078310B" w:rsidP="0078310B">
      <w:pPr>
        <w:widowControl w:val="0"/>
        <w:spacing w:after="120"/>
        <w:ind w:firstLine="288"/>
        <w:jc w:val="both"/>
      </w:pPr>
      <w:r>
        <w:t>Finance Committee Chair Max Baucus, D-Mont., recently said, “Many tax benefits, including for education, currently give the most help to those who already have the most opportunities. . . . We should ensure more students get more education.” He added that “promoting education and opportunity will pay dividends. We can accomplish all of this with tax reform.” But before the government “invests” more in education, it should figure out exactly what it is buying with taxpayer funds, because it is not at all clear that the benefits are reaching the people who need them the most.</w:t>
      </w:r>
    </w:p>
    <w:p w:rsidR="0078310B" w:rsidRDefault="0078310B" w:rsidP="0078310B">
      <w:pPr>
        <w:widowControl w:val="0"/>
        <w:spacing w:after="120"/>
        <w:ind w:firstLine="288"/>
        <w:jc w:val="both"/>
      </w:pPr>
      <w:r>
        <w:t>It seems likely that education tax incentives do more than just influence behavior, heightening the need for them to be scrutinized as a part of reform. In 2001 the JCT noted that “it is possible to create inefficient outcomes by over-subsidizing a good that produces positive externalities. Given that the United States already provides substantial subsidies to post-secondary education, it is not possible to say whether such subsidies would increase or decrease economic efficiency without some empirical analysis of the social benefits that would arise from creating new subsidies.”</w:t>
      </w:r>
    </w:p>
    <w:p w:rsidR="0078310B" w:rsidRDefault="0078310B" w:rsidP="0078310B">
      <w:pPr>
        <w:widowControl w:val="0"/>
        <w:spacing w:after="120"/>
        <w:ind w:firstLine="288"/>
        <w:jc w:val="both"/>
      </w:pPr>
      <w:r>
        <w:t>Obama’s National Commission on Fiscal Responsibility and Reform recommended eliminating most tax expenditures, which would appear to include almost all of the education tax incentives. It also proposed turning the tax deduction for charitable giving into a tax credit, with the goal of giving all donors the same level of tax benefit. The proposal limited the credit to donations worth more than 2 percent of a taxpayer’s adjusted Gross Income. Obama effectively rejected the proposal.</w:t>
      </w:r>
    </w:p>
    <w:p w:rsidR="0078310B" w:rsidRDefault="0078310B" w:rsidP="0078310B">
      <w:pPr>
        <w:widowControl w:val="0"/>
        <w:ind w:firstLine="288"/>
        <w:jc w:val="both"/>
      </w:pPr>
      <w:r>
        <w:t>Using the tax code for education initiatives, instead of the loan and grant programs already administered by the Department of Education, adds unnecessary complexity for students and their families, as well as the IRS. Moreover, Federal initiatives might be contributing to the cost of tuition for students and the families that are funding their educational pursuits. It would be worthwhile for Congress to consider which provisions should be discarded or at least reformed.</w:t>
      </w:r>
    </w:p>
    <w:p w:rsidR="0078310B" w:rsidRDefault="0078310B" w:rsidP="0078310B">
      <w:pPr>
        <w:widowControl w:val="0"/>
        <w:jc w:val="center"/>
      </w:pPr>
      <w:r>
        <w:t>_____________________________________</w:t>
      </w:r>
    </w:p>
    <w:p w:rsidR="0078310B" w:rsidRDefault="0078310B" w:rsidP="0078310B">
      <w:pPr>
        <w:widowControl w:val="0"/>
        <w:ind w:firstLine="288"/>
        <w:jc w:val="both"/>
      </w:pPr>
    </w:p>
    <w:p w:rsidR="0078310B" w:rsidRDefault="00783146" w:rsidP="0078310B">
      <w:pPr>
        <w:widowControl w:val="0"/>
        <w:spacing w:after="120"/>
        <w:ind w:firstLine="288"/>
        <w:jc w:val="both"/>
      </w:pPr>
      <w:r>
        <w:t>The American Opportunity Tax Credit (AOTC)</w:t>
      </w:r>
      <w:r w:rsidR="0078310B">
        <w:t xml:space="preserve">, which was scheduled to expire at the end of 2012, was extended for five years as part of the American Taxpayer Relief Act of 2012. The Protecting Americans from Tax Hikes Act </w:t>
      </w:r>
      <w:r w:rsidR="00B23853">
        <w:t>of 2015 made the AOTC permanent, effectively replacing the Hope Credit.</w:t>
      </w:r>
    </w:p>
    <w:p w:rsidR="0078310B" w:rsidRDefault="0078310B" w:rsidP="0078310B">
      <w:pPr>
        <w:widowControl w:val="0"/>
        <w:spacing w:after="120"/>
        <w:ind w:firstLine="288"/>
        <w:jc w:val="both"/>
      </w:pPr>
      <w:r>
        <w:t xml:space="preserve">Recall that, under a pure SHS income tax, borrowed principal is excluded from Gross Income, repaid principal is not deducted, and personal consumption interest is not deductible. The </w:t>
      </w:r>
      <w:hyperlink r:id="rId864" w:history="1">
        <w:r w:rsidRPr="00955AFF">
          <w:rPr>
            <w:rStyle w:val="Hyperlink"/>
          </w:rPr>
          <w:t>§ 221</w:t>
        </w:r>
      </w:hyperlink>
      <w:r>
        <w:t xml:space="preserve"> deduction for interest on education loans (taken above the line under </w:t>
      </w:r>
      <w:hyperlink r:id="rId865" w:history="1">
        <w:r w:rsidRPr="00955AFF">
          <w:rPr>
            <w:rStyle w:val="Hyperlink"/>
          </w:rPr>
          <w:t>§ 62</w:t>
        </w:r>
      </w:hyperlink>
      <w:r>
        <w:t xml:space="preserve">(a)(17)) described in the above article is, thus, a tax expenditure. Recall also, however, that under a cash-flow consumption tax borrowed principal would be included, and </w:t>
      </w:r>
      <w:r w:rsidRPr="00B460A7">
        <w:rPr>
          <w:i/>
        </w:rPr>
        <w:t>repaid principal as well as interest would both be deducted</w:t>
      </w:r>
      <w:r>
        <w:t xml:space="preserve">.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 </w:t>
      </w:r>
    </w:p>
    <w:p w:rsidR="0078310B" w:rsidRDefault="0078310B" w:rsidP="0078310B">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38"/>
      </w:r>
      <w:r>
        <w:t xml:space="preserve"> Because they would include the borrowed principal in their low- or no-earning student years, perhaps much of the borrowed funds could be sheltered from taxation under the Standard Deduction and Personal Exemption and Dependent Deduction (if they are not claimed as a dependent of another) with the remainder falling in the lowest tax brackets. In their later, higher-earning years, they would be permitted to deduct not only the interest (as under current § 221, within limits) but also </w:t>
      </w:r>
      <w:r w:rsidRPr="0054358E">
        <w:rPr>
          <w:i/>
        </w:rPr>
        <w:t>repaid principal</w:t>
      </w:r>
      <w:r>
        <w:t xml:space="preserve">, offsetting Gross Income that would otherwise be taxed under higher marginal rates than applied in the earlier borrowing year, thus reducing the aggregate tax paid over time. In short, many students could benefit by shifting tax base inclusions from higher-bracket years to lower-bracket years by taxing at the </w:t>
      </w:r>
      <w:r w:rsidRPr="004156CD">
        <w:rPr>
          <w:i/>
        </w:rPr>
        <w:t xml:space="preserve">earlier </w:t>
      </w:r>
      <w:r>
        <w:t xml:space="preserve">of consumption (with borrowed funds) or income (the repayment of the borrowed funds), notwithstanding the time value of money. Currently, however, students are deprived of that choice and must exclude borrowed principal and not deduct repaid principal.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08" w:name="_Toc395790604"/>
      <w:r w:rsidRPr="001415E2">
        <w:rPr>
          <w:u w:val="single"/>
        </w:rPr>
        <w:t>Problems</w:t>
      </w:r>
      <w:bookmarkEnd w:id="308"/>
    </w:p>
    <w:p w:rsidR="0078310B" w:rsidRPr="000E1E12"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Read §</w:t>
      </w:r>
      <w:hyperlink r:id="rId866" w:history="1">
        <w:r w:rsidRPr="00955AFF">
          <w:rPr>
            <w:rStyle w:val="Hyperlink"/>
          </w:rPr>
          <w:t>§ 117</w:t>
        </w:r>
      </w:hyperlink>
      <w:r>
        <w:t xml:space="preserve">, </w:t>
      </w:r>
      <w:hyperlink r:id="rId867" w:history="1">
        <w:r w:rsidRPr="00955AFF">
          <w:rPr>
            <w:rStyle w:val="Hyperlink"/>
          </w:rPr>
          <w:t>127</w:t>
        </w:r>
      </w:hyperlink>
      <w:r>
        <w:t xml:space="preserve">, and </w:t>
      </w:r>
      <w:hyperlink r:id="rId868" w:history="1">
        <w:r w:rsidRPr="00955AFF">
          <w:rPr>
            <w:rStyle w:val="Hyperlink"/>
          </w:rPr>
          <w:t>25A</w:t>
        </w:r>
      </w:hyperlink>
      <w:r w:rsidR="00955AFF">
        <w:t xml:space="preserve"> (including the </w:t>
      </w:r>
      <w:r>
        <w:t xml:space="preserve">AOTC in § 25A(i), which effectively replaces the Hope Credit) and consider the extent to which they apply to John, Janice, or Jerry this year in each of the following problems. Notice that the AOTC phase-out threshold of $80,000 modified AGI ($160,000 for married taxpayers filing jointly) is not adjusted for inflation. The phase-out threshold for the Lifetime Learning Credit is lower than for the AOTC and, in contrast to the AOTC, is </w:t>
      </w:r>
      <w:r w:rsidR="00DB3EA6">
        <w:t>adjusted for inflation. For 2017</w:t>
      </w:r>
      <w:r>
        <w:t>, the threshold for the</w:t>
      </w:r>
      <w:r w:rsidR="00DB3EA6">
        <w:t xml:space="preserve"> Lifetime Learning Credit is $56,000 modified AGI ($112</w:t>
      </w:r>
      <w:r>
        <w:t>,000 for married taxpayers filing jointly). Helpful hint: Unlike the dollar-for-dollar phase-out rule that you encountered in §§ 179(b)(2) and 469(i), the phase-out rules for both the AOTC and Li</w:t>
      </w:r>
      <w:r w:rsidR="00E92426">
        <w:t>fetime Learning Credit decrease</w:t>
      </w:r>
      <w:r>
        <w:t xml:space="preserve"> the </w:t>
      </w:r>
      <w:r>
        <w:rPr>
          <w:i/>
        </w:rPr>
        <w:t xml:space="preserve">percentage </w:t>
      </w:r>
      <w:r>
        <w:t xml:space="preserve">of the credit available once the income threshold is exceeded. If relevant, assume that any educational institution is described in both § 170(b)(1)(A)(ii) and § 481 of the Higher Education Act of 1965. </w:t>
      </w:r>
    </w:p>
    <w:p w:rsidR="0078310B" w:rsidRDefault="0078310B" w:rsidP="0078310B">
      <w:pPr>
        <w:widowControl w:val="0"/>
        <w:ind w:firstLine="288"/>
        <w:jc w:val="both"/>
      </w:pPr>
    </w:p>
    <w:p w:rsidR="0078310B" w:rsidRDefault="0078310B" w:rsidP="0078310B">
      <w:pPr>
        <w:widowControl w:val="0"/>
        <w:ind w:firstLine="288"/>
        <w:jc w:val="both"/>
      </w:pPr>
      <w:r>
        <w:rPr>
          <w:b/>
        </w:rPr>
        <w:t>1.</w:t>
      </w:r>
      <w:r w:rsidR="00DB3EA6">
        <w:t xml:space="preserve"> It is December 2017</w:t>
      </w:r>
      <w: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Same as </w:t>
      </w:r>
      <w:r>
        <w:rPr>
          <w:b/>
        </w:rPr>
        <w:t>1.</w:t>
      </w:r>
      <w: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w:t>
      </w:r>
      <w:r w:rsidR="00860A2C">
        <w:t>pring and fall semesters in 2017</w:t>
      </w:r>
      <w:r>
        <w:t xml:space="preserve">, he thus would have been paid $2,800 if the work were not part of his scholarship conditions. </w:t>
      </w:r>
      <w:r>
        <w:rPr>
          <w:i/>
        </w:rPr>
        <w:t xml:space="preserve">See </w:t>
      </w:r>
      <w:hyperlink r:id="rId869" w:history="1">
        <w:r w:rsidRPr="00860A2C">
          <w:rPr>
            <w:rStyle w:val="Hyperlink"/>
          </w:rPr>
          <w:t>§ 117</w:t>
        </w:r>
      </w:hyperlink>
      <w:r>
        <w:t xml:space="preserve">(c). How should the institution draft the terms of the work requirement to maximize John’s exclusion? </w:t>
      </w:r>
    </w:p>
    <w:p w:rsidR="0078310B" w:rsidRDefault="0078310B" w:rsidP="0078310B">
      <w:pPr>
        <w:widowControl w:val="0"/>
        <w:ind w:firstLine="288"/>
        <w:jc w:val="both"/>
      </w:pPr>
    </w:p>
    <w:p w:rsidR="0078310B" w:rsidRPr="00DE3031" w:rsidRDefault="0078310B" w:rsidP="0078310B">
      <w:pPr>
        <w:widowControl w:val="0"/>
        <w:ind w:firstLine="288"/>
        <w:jc w:val="both"/>
      </w:pPr>
      <w:r>
        <w:rPr>
          <w:b/>
        </w:rPr>
        <w:t xml:space="preserve">3. </w:t>
      </w:r>
      <w:r>
        <w:t xml:space="preserve">Same as </w:t>
      </w:r>
      <w:r>
        <w:rPr>
          <w:b/>
        </w:rPr>
        <w:t>2.</w:t>
      </w:r>
      <w:r>
        <w:t xml:space="preserve">, except that John is offered only a full tuition scholarship valued at $50,000 (no room and board or books scholarship). How will </w:t>
      </w:r>
      <w:hyperlink r:id="rId870" w:history="1">
        <w:r w:rsidRPr="00860A2C">
          <w:rPr>
            <w:rStyle w:val="Hyperlink"/>
          </w:rPr>
          <w:t>§ 25A</w:t>
        </w:r>
      </w:hyperlink>
      <w:r>
        <w:t xml:space="preserve"> be relevant to these changed facts? Because John is a full-time student, his AGI is low (from a part-time job). </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Janice, who has an undergraduate degree in computer programming, works at High Tech Corp., which creates and sells sophisticated, individuali</w:t>
      </w:r>
      <w:r w:rsidR="00DB3EA6">
        <w:t>zed software to clients. In 2017</w:t>
      </w:r>
      <w:r>
        <w:t xml:space="preserve">,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Same as </w:t>
      </w:r>
      <w:r w:rsidR="00860A2C">
        <w:rPr>
          <w:b/>
        </w:rPr>
        <w:t>4</w:t>
      </w:r>
      <w:r>
        <w:rPr>
          <w:b/>
        </w:rPr>
        <w:t>.</w:t>
      </w:r>
      <w:r>
        <w:t xml:space="preserve">,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rsidR="0078310B" w:rsidRDefault="0078310B" w:rsidP="0078310B">
      <w:pPr>
        <w:widowControl w:val="0"/>
        <w:ind w:firstLine="288"/>
        <w:jc w:val="both"/>
      </w:pPr>
    </w:p>
    <w:p w:rsidR="0078310B" w:rsidRDefault="0078310B" w:rsidP="0078310B">
      <w:pPr>
        <w:widowControl w:val="0"/>
        <w:ind w:firstLine="288"/>
        <w:jc w:val="both"/>
      </w:pPr>
      <w:r>
        <w:rPr>
          <w:b/>
        </w:rPr>
        <w:t>6. </w:t>
      </w:r>
      <w:r>
        <w:t xml:space="preserve">Same as </w:t>
      </w:r>
      <w:r w:rsidR="00860A2C">
        <w:rPr>
          <w:b/>
        </w:rPr>
        <w:t>4</w:t>
      </w:r>
      <w:r>
        <w:rPr>
          <w:b/>
        </w:rPr>
        <w:t>.</w:t>
      </w:r>
      <w:r>
        <w:t>, except that Janice’s son, Jerry, is enrolled full-time at State U. Janice, who is a single mom</w:t>
      </w:r>
      <w:r w:rsidR="00DB3EA6">
        <w:t>, pays $8,000 in tuition in 2017</w:t>
      </w:r>
      <w:r>
        <w:t xml:space="preserve"> for Jerry: $4,000 in January for the spring semester of his junior year and $4,000 in August for the fall semester of his senior year. High Tech Corp. reimburses</w:t>
      </w:r>
      <w:r w:rsidR="00DB3EA6">
        <w:t xml:space="preserve"> Janice for $3,000 of these 2017</w:t>
      </w:r>
      <w:r>
        <w:t xml:space="preserve"> expenses.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Same as </w:t>
      </w:r>
      <w:r w:rsidR="00860A2C">
        <w:t>6</w:t>
      </w:r>
      <w:r>
        <w:rPr>
          <w:b/>
        </w:rPr>
        <w:t>.</w:t>
      </w:r>
      <w:r>
        <w:t xml:space="preserve">, except that Janice is married to Jerry’s dad (Jack), and together Janice and Jack have “modified AGI” of $150,000. </w:t>
      </w:r>
    </w:p>
    <w:p w:rsidR="0078310B" w:rsidRPr="00DE71C3" w:rsidRDefault="0078310B" w:rsidP="0078310B">
      <w:pPr>
        <w:widowControl w:val="0"/>
        <w:ind w:firstLine="288"/>
        <w:jc w:val="both"/>
      </w:pPr>
    </w:p>
    <w:p w:rsidR="0078310B" w:rsidRPr="001415E2" w:rsidRDefault="0078310B" w:rsidP="0078310B">
      <w:pPr>
        <w:pStyle w:val="Heading3"/>
        <w:spacing w:before="0" w:beforeAutospacing="0" w:after="120" w:afterAutospacing="0"/>
        <w:rPr>
          <w:i/>
        </w:rPr>
      </w:pPr>
      <w:bookmarkStart w:id="309" w:name="_Toc395790605"/>
      <w:r w:rsidRPr="001415E2">
        <w:rPr>
          <w:i/>
        </w:rPr>
        <w:t>Treas. Reg. § 1.162-5: education costs as deductible business expenses under § 162</w:t>
      </w:r>
      <w:bookmarkEnd w:id="309"/>
    </w:p>
    <w:p w:rsidR="0078310B" w:rsidRPr="0087052D" w:rsidRDefault="0078310B" w:rsidP="0078310B">
      <w:pPr>
        <w:widowControl w:val="0"/>
        <w:spacing w:after="120"/>
        <w:ind w:firstLine="288"/>
        <w:jc w:val="both"/>
      </w:pPr>
      <w:r w:rsidRPr="0087052D">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39"/>
      </w:r>
      <w:r w:rsidRPr="0087052D">
        <w:t xml:space="preserve"> Nevertheless, a narrow category of costs can be deducted as </w:t>
      </w:r>
      <w:r>
        <w:t>§ 162 business expenses</w:t>
      </w:r>
      <w:r w:rsidRPr="0087052D">
        <w:t xml:space="preserve"> if they satisfy the </w:t>
      </w:r>
      <w:r>
        <w:t xml:space="preserve">standards </w:t>
      </w:r>
      <w:r w:rsidRPr="0087052D">
        <w:t xml:space="preserve">in Treas. Reg. § 1.162-5. </w:t>
      </w:r>
    </w:p>
    <w:p w:rsidR="0078310B" w:rsidRPr="0087052D" w:rsidRDefault="00950571" w:rsidP="0078310B">
      <w:pPr>
        <w:widowControl w:val="0"/>
        <w:spacing w:after="120"/>
        <w:ind w:firstLine="288"/>
        <w:jc w:val="both"/>
      </w:pPr>
      <w:r>
        <w:t xml:space="preserve">These regulations use by analogy </w:t>
      </w:r>
      <w:r w:rsidR="0078310B" w:rsidRPr="0087052D">
        <w:t>the distinction explored in Chapter 4 between a “repair” expense (immediate</w:t>
      </w:r>
      <w:r w:rsidR="0078310B">
        <w:t>ly deductible) and an “</w:t>
      </w:r>
      <w:r w:rsidR="0078310B" w:rsidRPr="0087052D">
        <w:t>improvement or betterment” (nondeductible) under capitalization theory more generally</w:t>
      </w:r>
      <w:r w:rsidR="0078310B">
        <w:t>. That is to say, the</w:t>
      </w:r>
      <w:r w:rsidR="0078310B" w:rsidRPr="0087052D">
        <w:t>se regulations attempt to identify those costs that seek merely to repair education already in place (potentially deductible</w:t>
      </w:r>
      <w:r w:rsidR="0078310B">
        <w:t xml:space="preserve"> business expenses under § 162</w:t>
      </w:r>
      <w:r w:rsidR="0078310B" w:rsidRPr="0087052D">
        <w:t>) from those</w:t>
      </w:r>
      <w:r w:rsidR="0078310B">
        <w:t xml:space="preserve"> costs that create significant </w:t>
      </w:r>
      <w:r w:rsidR="0078310B" w:rsidRPr="0087052D">
        <w:t xml:space="preserve">new human capital (nondeductible). If an outlay merely repairs previously existing education used by </w:t>
      </w:r>
      <w:r w:rsidR="0078310B">
        <w:t xml:space="preserve">the </w:t>
      </w:r>
      <w:r w:rsidR="0078310B" w:rsidRPr="0087052D">
        <w:t xml:space="preserve">taxpayer in her business, the benefit to her business life can reasonably be considered primary, with the benefit to her personal life </w:t>
      </w:r>
      <w:r w:rsidR="0078310B">
        <w:t xml:space="preserve">(the acquisition of new human capital) </w:t>
      </w:r>
      <w:r w:rsidR="0078310B" w:rsidRPr="0087052D">
        <w:t xml:space="preserve">only incidental. </w:t>
      </w:r>
    </w:p>
    <w:p w:rsidR="0078310B" w:rsidRPr="0087052D" w:rsidRDefault="0078310B" w:rsidP="0078310B">
      <w:pPr>
        <w:widowControl w:val="0"/>
        <w:spacing w:after="120"/>
        <w:ind w:firstLine="288"/>
        <w:jc w:val="both"/>
      </w:pPr>
      <w:r w:rsidRPr="0087052D">
        <w:t xml:space="preserve">To be specific, </w:t>
      </w:r>
      <w:hyperlink r:id="rId871" w:history="1">
        <w:r w:rsidRPr="00950571">
          <w:rPr>
            <w:rStyle w:val="Hyperlink"/>
          </w:rPr>
          <w:t>Treas. Reg. § 1.162-5</w:t>
        </w:r>
      </w:hyperlink>
      <w:r w:rsidRPr="0087052D">
        <w:t xml:space="preserve">(a) requires that the education </w:t>
      </w:r>
      <w:r>
        <w:t xml:space="preserve">must </w:t>
      </w:r>
      <w:r w:rsidRPr="0087052D">
        <w:t>satisfy one of two alternative tests</w:t>
      </w:r>
      <w:r>
        <w:t xml:space="preserve"> to be potentially deductible as § 162 business expenses</w:t>
      </w:r>
      <w:r w:rsidRPr="0087052D">
        <w:t>. The education must</w:t>
      </w:r>
    </w:p>
    <w:p w:rsidR="0078310B" w:rsidRPr="0087052D" w:rsidRDefault="0078310B" w:rsidP="0078310B">
      <w:pPr>
        <w:widowControl w:val="0"/>
        <w:spacing w:after="120"/>
        <w:ind w:left="720" w:right="720"/>
        <w:jc w:val="both"/>
        <w:rPr>
          <w:b/>
        </w:rPr>
      </w:pPr>
      <w:r w:rsidRPr="0087052D">
        <w:rPr>
          <w:b/>
        </w:rPr>
        <w:t xml:space="preserve">(1) maintain or improve skills required by the individual in his employment or other trade or business, or </w:t>
      </w:r>
    </w:p>
    <w:p w:rsidR="0078310B" w:rsidRPr="0087052D" w:rsidRDefault="0078310B" w:rsidP="0078310B">
      <w:pPr>
        <w:widowControl w:val="0"/>
        <w:spacing w:after="120"/>
        <w:ind w:left="720" w:right="720"/>
        <w:jc w:val="both"/>
        <w:rPr>
          <w:b/>
        </w:rPr>
      </w:pPr>
      <w:r w:rsidRPr="0087052D">
        <w:rPr>
          <w:b/>
        </w:rPr>
        <w:t xml:space="preserve">(2) meet the express requirements of the individual’s employer, or the requirements of applicable law or regulations, imposed as a condition to the retention by the individual of an established employment relationship, status, or rate of compensation. </w:t>
      </w:r>
    </w:p>
    <w:p w:rsidR="0078310B" w:rsidRDefault="0078310B" w:rsidP="0078310B">
      <w:pPr>
        <w:widowControl w:val="0"/>
        <w:spacing w:after="120"/>
        <w:jc w:val="both"/>
      </w:pPr>
      <w:r w:rsidRPr="0087052D">
        <w:t>Such outlays are in the nature of a repair of skills already in place. If neither threshold test is satisfied, the analysis stops, and no deduction is allo</w:t>
      </w:r>
      <w:r>
        <w:t xml:space="preserve">wed. </w:t>
      </w:r>
    </w:p>
    <w:p w:rsidR="0078310B" w:rsidRPr="0087052D" w:rsidRDefault="0078310B" w:rsidP="0078310B">
      <w:pPr>
        <w:widowControl w:val="0"/>
        <w:spacing w:after="120"/>
        <w:ind w:firstLine="288"/>
        <w:jc w:val="both"/>
      </w:pPr>
      <w:r>
        <w:t>If one of the two tests above is</w:t>
      </w:r>
      <w:r w:rsidRPr="0087052D">
        <w:t xml:space="preserve"> met, the analysis proceeds to the next level, under which the deduction will nevertheless be disallowed if it is described in Treas. Reg. §</w:t>
      </w:r>
      <w:r>
        <w:t>§</w:t>
      </w:r>
      <w:r w:rsidRPr="0087052D">
        <w:t xml:space="preserve"> 1.162-5(b)(2) or </w:t>
      </w:r>
      <w:r>
        <w:t>(3). Thus, n</w:t>
      </w:r>
      <w:r w:rsidRPr="0087052D">
        <w:t xml:space="preserve">o deduction is allowed for education that meets one of the threshold tests if it also </w:t>
      </w:r>
    </w:p>
    <w:p w:rsidR="0078310B" w:rsidRPr="0087052D" w:rsidRDefault="0078310B" w:rsidP="0078310B">
      <w:pPr>
        <w:widowControl w:val="0"/>
        <w:spacing w:after="120"/>
        <w:ind w:left="720" w:right="720"/>
        <w:jc w:val="both"/>
        <w:rPr>
          <w:b/>
        </w:rPr>
      </w:pPr>
      <w:r w:rsidRPr="0087052D">
        <w:rPr>
          <w:b/>
        </w:rPr>
        <w:t xml:space="preserve">(1) is required in order to meet the minimum education requirements for qualification in the taxpayer’s employment or other trade or business, or </w:t>
      </w:r>
    </w:p>
    <w:p w:rsidR="0078310B" w:rsidRPr="0087052D" w:rsidRDefault="0078310B" w:rsidP="0078310B">
      <w:pPr>
        <w:widowControl w:val="0"/>
        <w:spacing w:after="120"/>
        <w:ind w:left="720" w:right="720"/>
        <w:jc w:val="both"/>
      </w:pPr>
      <w:r w:rsidRPr="0087052D">
        <w:rPr>
          <w:b/>
        </w:rPr>
        <w:t>(2) will lead to qualifying the taxpayer in a new trade or business.</w:t>
      </w:r>
    </w:p>
    <w:p w:rsidR="0078310B" w:rsidRPr="0087052D" w:rsidRDefault="0078310B" w:rsidP="0078310B">
      <w:pPr>
        <w:widowControl w:val="0"/>
        <w:spacing w:after="120"/>
        <w:jc w:val="both"/>
      </w:pPr>
      <w:r w:rsidRPr="0087052D">
        <w:t>Such outlays describe an acquisition of new human capital in the nature of a capital expenditure with a long life</w:t>
      </w:r>
      <w:r>
        <w:t>. For this reason, they</w:t>
      </w:r>
      <w:r w:rsidRPr="0087052D">
        <w:t xml:space="preserve"> are disallowed as </w:t>
      </w:r>
      <w:r>
        <w:t xml:space="preserve">primarily benefitting </w:t>
      </w:r>
      <w:r w:rsidR="00950571">
        <w:t>the taxpayer’s personal life (under the usual rule that education costs are placed in the taxpayer’s personal sphere).</w:t>
      </w:r>
    </w:p>
    <w:p w:rsidR="0078310B" w:rsidRPr="00696584" w:rsidRDefault="0078310B" w:rsidP="0078310B">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pPr>
      <w:r w:rsidRPr="0087052D">
        <w:t xml:space="preserve">Finally, even if the education satisfies one of the two threshold tests and does not run afoul of either disqualifying rule, the taxpayer must also satisfy the remaining requirements found in </w:t>
      </w:r>
      <w:hyperlink r:id="rId872" w:history="1">
        <w:r w:rsidRPr="00950571">
          <w:rPr>
            <w:rStyle w:val="Hyperlink"/>
          </w:rPr>
          <w:t>§ 162</w:t>
        </w:r>
      </w:hyperlink>
      <w:r w:rsidRPr="0087052D">
        <w:t>, including that the expense be incurred in “carrying on” a trade or business. Taxpayers who have not yet established themselves in business</w:t>
      </w:r>
      <w:r>
        <w:t>,</w:t>
      </w:r>
      <w:r>
        <w:rPr>
          <w:rStyle w:val="FootnoteReference"/>
        </w:rPr>
        <w:footnoteReference w:id="540"/>
      </w:r>
      <w:r>
        <w:t xml:space="preserve"> or who have left employment for a substantial period of time,</w:t>
      </w:r>
      <w:r w:rsidRPr="0087052D">
        <w:t xml:space="preserve"> cannot deduct business expenses. Nevertheless, it is well established that the deduction for education expenses is not limited to those who continue to work </w:t>
      </w:r>
      <w:r w:rsidRPr="00442751">
        <w:rPr>
          <w:i/>
        </w:rPr>
        <w:t>at the same time</w:t>
      </w:r>
      <w:r w:rsidRPr="0087052D">
        <w:t xml:space="preserve"> that they are incurring education costs (as, say, a part-time student). Once a taxpayer establishes herself in business, she can deduct education business expenses even if she quits her job and attends school on a full-time basis </w:t>
      </w:r>
      <w:r w:rsidR="000B34BC">
        <w:t xml:space="preserve">for a period of time </w:t>
      </w:r>
      <w:r w:rsidRPr="0087052D">
        <w:t>before returning to the same or similar employment</w:t>
      </w:r>
      <w:r>
        <w:t>.</w:t>
      </w:r>
      <w:r>
        <w:rPr>
          <w:rStyle w:val="FootnoteReference"/>
        </w:rPr>
        <w:footnoteReference w:id="541"/>
      </w:r>
      <w:r>
        <w:t xml:space="preserve"> In a sense, the taxpayer is deemed to continue “carrying on” her prior business during the hiatus for additional schooling. </w:t>
      </w:r>
    </w:p>
    <w:p w:rsidR="0078310B" w:rsidRDefault="0078310B" w:rsidP="0078310B">
      <w:pPr>
        <w:widowControl w:val="0"/>
        <w:spacing w:after="120"/>
        <w:ind w:firstLine="288"/>
        <w:jc w:val="both"/>
        <w:rPr>
          <w:spacing w:val="-2"/>
        </w:rPr>
      </w:pPr>
      <w:r w:rsidRPr="0087052D">
        <w:t xml:space="preserve">The </w:t>
      </w:r>
      <w:r>
        <w:t xml:space="preserve">one aspect of the </w:t>
      </w:r>
      <w:r w:rsidRPr="0087052D">
        <w:t xml:space="preserve">regulations </w:t>
      </w:r>
      <w:r>
        <w:t xml:space="preserve">described above </w:t>
      </w:r>
      <w:r w:rsidRPr="0087052D">
        <w:t xml:space="preserve">that has by far led to the most litigation is the rule denying deduction for education leading to qualifying the taxpayer for a </w:t>
      </w:r>
      <w:r>
        <w:t>“</w:t>
      </w:r>
      <w:r w:rsidRPr="0087052D">
        <w:t>new trade or business.</w:t>
      </w:r>
      <w:r>
        <w:t>”</w:t>
      </w:r>
      <w:r w:rsidRPr="0087052D">
        <w:t xml:space="preserve"> The authorities are inconsistent and constantly in flux.</w:t>
      </w:r>
      <w:r>
        <w:t xml:space="preserve"> The analysis </w:t>
      </w:r>
      <w:r w:rsidRPr="0087052D">
        <w:rPr>
          <w:spacing w:val="-2"/>
        </w:rPr>
        <w:t xml:space="preserve">depends on how </w:t>
      </w:r>
      <w:r w:rsidRPr="00696584">
        <w:rPr>
          <w:i/>
          <w:spacing w:val="-2"/>
        </w:rPr>
        <w:t>broadly</w:t>
      </w:r>
      <w:r>
        <w:rPr>
          <w:spacing w:val="-2"/>
        </w:rPr>
        <w:t xml:space="preserve"> one defines the scope of a particular </w:t>
      </w:r>
      <w:r w:rsidRPr="0087052D">
        <w:rPr>
          <w:spacing w:val="-2"/>
        </w:rPr>
        <w:t>“trade or business</w:t>
      </w:r>
      <w:r>
        <w:rPr>
          <w:spacing w:val="-2"/>
        </w:rPr>
        <w:t xml:space="preserve">” in the first place. Examples provided in the Treasury regulations imply that education leading merely to </w:t>
      </w:r>
      <w:r w:rsidRPr="00074DDD">
        <w:rPr>
          <w:spacing w:val="-2"/>
        </w:rPr>
        <w:t xml:space="preserve">specialization within a </w:t>
      </w:r>
      <w:r>
        <w:rPr>
          <w:spacing w:val="-2"/>
        </w:rPr>
        <w:t xml:space="preserve">larger field should </w:t>
      </w:r>
      <w:r w:rsidRPr="00A47CEF">
        <w:rPr>
          <w:i/>
          <w:spacing w:val="-2"/>
        </w:rPr>
        <w:t>not</w:t>
      </w:r>
      <w:r>
        <w:rPr>
          <w:spacing w:val="-2"/>
        </w:rPr>
        <w:t xml:space="preserve"> be considered as leading to a new </w:t>
      </w:r>
      <w:r w:rsidRPr="0087052D">
        <w:rPr>
          <w:spacing w:val="-2"/>
        </w:rPr>
        <w:t xml:space="preserve">trade or business. </w:t>
      </w:r>
      <w:r>
        <w:rPr>
          <w:spacing w:val="-2"/>
        </w:rPr>
        <w:t>Thus,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42"/>
      </w:r>
      <w:r>
        <w:rPr>
          <w:spacing w:val="-2"/>
        </w:rPr>
        <w:t xml:space="preserve"> Similarly, education allowing a psychiatrist to specialize in psychoanalysis does not lead to qualifying the psychiatrist for a new trade or business,</w:t>
      </w:r>
      <w:r>
        <w:rPr>
          <w:rStyle w:val="FootnoteReference"/>
          <w:spacing w:val="-2"/>
        </w:rPr>
        <w:footnoteReference w:id="543"/>
      </w:r>
      <w:r>
        <w:rPr>
          <w:spacing w:val="-2"/>
        </w:rPr>
        <w:t xml:space="preserve"> and education allowing a general dentist to specialize in orthodontia does not lead to qualifying the dentist for a new trade or business.</w:t>
      </w:r>
      <w:r>
        <w:rPr>
          <w:rStyle w:val="FootnoteReference"/>
          <w:spacing w:val="-2"/>
        </w:rPr>
        <w:footnoteReference w:id="544"/>
      </w:r>
      <w:r>
        <w:rPr>
          <w:spacing w:val="-2"/>
        </w:rPr>
        <w:t xml:space="preserve"> </w:t>
      </w:r>
    </w:p>
    <w:p w:rsidR="0078310B" w:rsidRDefault="0078310B" w:rsidP="0078310B">
      <w:pPr>
        <w:widowControl w:val="0"/>
        <w:spacing w:after="120"/>
        <w:ind w:firstLine="288"/>
        <w:jc w:val="both"/>
        <w:rPr>
          <w:spacing w:val="-2"/>
        </w:rPr>
      </w:pPr>
      <w:r>
        <w:rPr>
          <w:spacing w:val="-2"/>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w:t>
      </w:r>
      <w:r w:rsidRPr="0087052D">
        <w:rPr>
          <w:spacing w:val="-2"/>
        </w:rPr>
        <w:t xml:space="preserve"> </w:t>
      </w:r>
      <w:r>
        <w:rPr>
          <w:spacing w:val="-2"/>
        </w:rPr>
        <w:t xml:space="preserve">If, for example, the scope of the business is defined as “law,” education leading to specialization within that larger business of “law” should not be considered education leading to a new trade or business. If, on the other hand, tax law is considered to be a different trade or business from criminal law, education allowing a criminal law lawyer to change to a tax law specialization would be education qualifying the taxpayer for a new trade or business. </w:t>
      </w:r>
    </w:p>
    <w:p w:rsidR="0078310B" w:rsidRDefault="0078310B" w:rsidP="0078310B">
      <w:pPr>
        <w:widowControl w:val="0"/>
        <w:ind w:firstLine="288"/>
        <w:jc w:val="both"/>
      </w:pPr>
      <w:r>
        <w:rPr>
          <w:spacing w:val="-2"/>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Pr>
          <w:i/>
          <w:spacing w:val="-2"/>
        </w:rPr>
        <w:t>Sharon</w:t>
      </w:r>
      <w:r>
        <w:t>, below, the court does 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10" w:name="_Toc395790606"/>
      <w:r>
        <w:t>SHARON v. COMMISSIONER</w:t>
      </w:r>
      <w:bookmarkEnd w:id="310"/>
    </w:p>
    <w:p w:rsidR="0078310B" w:rsidRDefault="0078310B" w:rsidP="0078310B">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rsidR="0078310B" w:rsidRDefault="0078310B" w:rsidP="0078310B">
      <w:pPr>
        <w:widowControl w:val="0"/>
        <w:jc w:val="center"/>
      </w:pPr>
    </w:p>
    <w:p w:rsidR="0078310B" w:rsidRDefault="0078310B" w:rsidP="0078310B">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rsidR="0078310B" w:rsidRDefault="0078310B" w:rsidP="0078310B">
      <w:pPr>
        <w:widowControl w:val="0"/>
        <w:spacing w:after="120"/>
        <w:jc w:val="both"/>
      </w:pPr>
      <w:r>
        <w:t>FINDINGS OF FACT</w:t>
      </w:r>
    </w:p>
    <w:p w:rsidR="0078310B" w:rsidRDefault="0078310B" w:rsidP="0078310B">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rsidR="0078310B" w:rsidRDefault="0078310B" w:rsidP="0078310B">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rsidR="0078310B" w:rsidRDefault="0078310B" w:rsidP="0078310B">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rsidR="0078310B" w:rsidRDefault="0078310B" w:rsidP="00B74DDB">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w:t>
      </w:r>
      <w:r w:rsidR="00B74DDB">
        <w:t xml:space="preserve">[$801, including $230 for a California bar review course.] </w:t>
      </w:r>
    </w:p>
    <w:p w:rsidR="0078310B" w:rsidRDefault="0078310B" w:rsidP="0078310B">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rsidR="0078310B" w:rsidRDefault="0078310B" w:rsidP="0078310B">
      <w:pPr>
        <w:widowControl w:val="0"/>
        <w:spacing w:after="120"/>
        <w:ind w:firstLine="288"/>
        <w:jc w:val="both"/>
      </w:pPr>
      <w:r w:rsidRPr="00D63B3C">
        <w:rPr>
          <w:rFonts w:eastAsia="Times New Roman" w:cs="Times New Roman"/>
        </w:rPr>
        <w:t>In 1970, the petitioner incurred expenses in connection with his admi</w:t>
      </w:r>
      <w:r>
        <w:rPr>
          <w:rFonts w:eastAsia="Times New Roman" w:cs="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rsidR="0078310B" w:rsidRDefault="0078310B" w:rsidP="0078310B">
      <w:pPr>
        <w:widowControl w:val="0"/>
        <w:spacing w:after="120"/>
        <w:ind w:firstLine="288"/>
        <w:jc w:val="both"/>
      </w:pPr>
      <w:r>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rsidR="0078310B" w:rsidRDefault="0078310B" w:rsidP="0078310B">
      <w:pPr>
        <w:widowControl w:val="0"/>
        <w:spacing w:after="120"/>
      </w:pPr>
      <w:r>
        <w:t>OPINION</w:t>
      </w:r>
    </w:p>
    <w:p w:rsidR="0078310B" w:rsidRDefault="0078310B" w:rsidP="0078310B">
      <w:pPr>
        <w:widowControl w:val="0"/>
        <w:spacing w:after="120"/>
        <w:ind w:firstLine="288"/>
        <w:jc w:val="both"/>
        <w:rPr>
          <w:iCs/>
        </w:rPr>
      </w:pPr>
      <w:r>
        <w:rPr>
          <w:i/>
          <w:iCs/>
        </w:rPr>
        <w:t>Amortization of License to Practice Law in New York</w:t>
      </w:r>
    </w:p>
    <w:p w:rsidR="0078310B" w:rsidRDefault="0078310B" w:rsidP="0078310B">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rsidR="0078310B" w:rsidRDefault="0078310B" w:rsidP="0078310B">
      <w:pPr>
        <w:widowControl w:val="0"/>
        <w:spacing w:after="120"/>
        <w:ind w:firstLine="288"/>
        <w:jc w:val="both"/>
      </w:pPr>
      <w:r>
        <w:t xml:space="preserve">The petitioners rely upon </w:t>
      </w:r>
      <w:r w:rsidRPr="0081591D">
        <w:t>section 1.167(a)-3 of the Income Tax Regulations</w:t>
      </w:r>
      <w:r>
        <w:t>, which provides in part:</w:t>
      </w:r>
    </w:p>
    <w:p w:rsidR="0078310B" w:rsidRDefault="0078310B" w:rsidP="0078310B">
      <w:pPr>
        <w:widowControl w:val="0"/>
        <w:spacing w:after="120"/>
        <w:ind w:left="720" w:right="720"/>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rsidR="0078310B" w:rsidRDefault="0078310B" w:rsidP="0078310B">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profession. </w:t>
      </w:r>
      <w:r w:rsidRPr="0081591D">
        <w:rPr>
          <w:i/>
          <w:iCs/>
        </w:rPr>
        <w:t>William D. Glenn</w:t>
      </w:r>
      <w:r w:rsidRPr="0081591D">
        <w:t>, 62 T.C. 270, 274-276 (1974)</w:t>
      </w:r>
      <w:r>
        <w:t>.</w:t>
      </w:r>
    </w:p>
    <w:p w:rsidR="0078310B" w:rsidRDefault="0078310B" w:rsidP="0078310B">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rsidR="0078310B" w:rsidRDefault="0078310B" w:rsidP="0078310B">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rsidR="0078310B" w:rsidRDefault="0078310B" w:rsidP="0078310B">
      <w:pPr>
        <w:widowControl w:val="0"/>
        <w:spacing w:after="120"/>
        <w:ind w:firstLine="288"/>
        <w:jc w:val="both"/>
        <w:rPr>
          <w:iCs/>
        </w:rPr>
      </w:pPr>
      <w:r>
        <w:rPr>
          <w:i/>
          <w:iCs/>
        </w:rPr>
        <w:t>License to Practice Law in California</w:t>
      </w:r>
    </w:p>
    <w:p w:rsidR="0078310B" w:rsidRDefault="0078310B" w:rsidP="0078310B">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rsidR="0078310B" w:rsidRDefault="0078310B" w:rsidP="0078310B">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rsidR="0078310B" w:rsidRDefault="0078310B" w:rsidP="0078310B">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rsidR="0078310B" w:rsidRDefault="0078310B" w:rsidP="0078310B">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rsidR="0078310B" w:rsidRDefault="0078310B" w:rsidP="0078310B">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We find that the bar review course helped to qualify the petitioner for a new trade or business so that its costs are personal expenses.</w:t>
      </w:r>
    </w:p>
    <w:p w:rsidR="0078310B" w:rsidRDefault="0078310B" w:rsidP="0078310B">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rsidR="0078310B" w:rsidRDefault="0078310B" w:rsidP="0078310B">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rsidR="0078310B" w:rsidRDefault="0078310B" w:rsidP="0078310B">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rsidR="0078310B" w:rsidRDefault="0078310B" w:rsidP="0078310B">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revg. and remanding in part a Memorandum Opinion of this Court. We hold that the petitioner may treat the costs of acquiring his license to practice in California in a similar manner.</w:t>
      </w:r>
      <w:r w:rsidR="001D0F24">
        <w:t xml:space="preserve"> </w:t>
      </w:r>
      <w:r>
        <w:t>Although the petitioner testified that he would retire at age 65 if he were financially able to do so, such testimony is not sufficient to establish the shorter useful life for which he argues.</w:t>
      </w:r>
    </w:p>
    <w:p w:rsidR="0078310B" w:rsidRDefault="0078310B" w:rsidP="0078310B">
      <w:pPr>
        <w:widowControl w:val="0"/>
        <w:spacing w:after="120"/>
        <w:ind w:firstLine="288"/>
        <w:jc w:val="both"/>
        <w:rPr>
          <w:iCs/>
        </w:rPr>
      </w:pPr>
      <w:r>
        <w:rPr>
          <w:i/>
          <w:iCs/>
        </w:rPr>
        <w:t>Supreme Court Admission</w:t>
      </w:r>
    </w:p>
    <w:p w:rsidR="0078310B" w:rsidRDefault="0078310B" w:rsidP="0078310B">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rsidR="0078310B" w:rsidRDefault="0078310B" w:rsidP="0078310B">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w:t>
      </w:r>
      <w:r w:rsidR="009E7797">
        <w:t xml:space="preserve"> </w:t>
      </w:r>
      <w:r>
        <w:t>We find that the intangible asset acquired by becoming a member of such bar was used by the petitioner in 1970 and hold that he may amortize the costs of acquiring such asset over his life expectancy.</w:t>
      </w:r>
    </w:p>
    <w:p w:rsidR="0078310B" w:rsidRDefault="0078310B" w:rsidP="0078310B">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rsidR="0078310B" w:rsidRDefault="0078310B" w:rsidP="0078310B">
      <w:pPr>
        <w:widowControl w:val="0"/>
        <w:spacing w:after="120"/>
        <w:ind w:left="720" w:right="720"/>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rsidR="0078310B" w:rsidRDefault="0078310B" w:rsidP="0078310B">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rsidR="0078310B" w:rsidRDefault="0078310B" w:rsidP="0078310B">
      <w:pPr>
        <w:widowControl w:val="0"/>
        <w:jc w:val="center"/>
      </w:pPr>
      <w:r>
        <w:t>___________________________________</w:t>
      </w:r>
    </w:p>
    <w:p w:rsidR="0078310B" w:rsidRDefault="0078310B" w:rsidP="0078310B">
      <w:pPr>
        <w:pStyle w:val="BodyTextIndent2"/>
        <w:widowControl w:val="0"/>
        <w:spacing w:after="0" w:line="240" w:lineRule="auto"/>
        <w:ind w:left="0" w:firstLine="288"/>
        <w:jc w:val="both"/>
      </w:pPr>
    </w:p>
    <w:p w:rsidR="0078310B" w:rsidRDefault="0078310B" w:rsidP="0078310B">
      <w:pPr>
        <w:pStyle w:val="BodyTextIndent2"/>
        <w:widowControl w:val="0"/>
        <w:spacing w:line="240" w:lineRule="auto"/>
        <w:ind w:left="0" w:firstLine="288"/>
        <w:jc w:val="both"/>
        <w:rPr>
          <w:b/>
        </w:rPr>
      </w:pPr>
      <w: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73" w:history="1">
        <w:r w:rsidRPr="0079783A">
          <w:rPr>
            <w:rStyle w:val="Hyperlink"/>
          </w:rPr>
          <w:t>§ 197</w:t>
        </w:r>
      </w:hyperlink>
      <w:r>
        <w:t xml:space="preserve">(d)(1)(D), allowing such costs to be amortized over 15 years. If the lawyer is not an employee of another, the § 197 amortization deduction is a business deduction that is taken above the line under </w:t>
      </w:r>
      <w:hyperlink r:id="rId874" w:history="1">
        <w:r w:rsidRPr="0079783A">
          <w:rPr>
            <w:rStyle w:val="Hyperlink"/>
          </w:rPr>
          <w:t>§ 62</w:t>
        </w:r>
      </w:hyperlink>
      <w:r>
        <w:t xml:space="preserve">(a)(1), as you learned in Chapter 1, Part B. For the employee lawyer, however, the § 197 deduction is not listed in § 62 unless reimbursed, rendering it an Itemized Deduction and, because § 197 is also not listed in </w:t>
      </w:r>
      <w:hyperlink r:id="rId875" w:history="1">
        <w:r w:rsidRPr="0079783A">
          <w:rPr>
            <w:rStyle w:val="Hyperlink"/>
          </w:rPr>
          <w:t>§ 67</w:t>
        </w:r>
      </w:hyperlink>
      <w:r>
        <w:t xml:space="preserve">(b), a disfavored “miscellaneous itemized deductions” (or MID), as also described in Chapter 1, Part B. </w:t>
      </w:r>
    </w:p>
    <w:p w:rsidR="0078310B" w:rsidRDefault="0078310B" w:rsidP="0078310B">
      <w:pPr>
        <w:pStyle w:val="BodyTextIndent2"/>
        <w:widowControl w:val="0"/>
        <w:spacing w:line="240" w:lineRule="auto"/>
        <w:ind w:left="0" w:firstLine="288"/>
        <w:jc w:val="both"/>
        <w:rPr>
          <w:b/>
        </w:rPr>
      </w:pPr>
      <w:r>
        <w:t xml:space="preserve">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w:t>
      </w:r>
      <w:r w:rsidRPr="00915F92">
        <w:t xml:space="preserve">bar review </w:t>
      </w:r>
      <w:r>
        <w:t xml:space="preserve">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 tax lawyer in New York. Thus, the Tax Court appears to hold that education leading to a job that is </w:t>
      </w:r>
      <w:r w:rsidRPr="00E55A2F">
        <w:rPr>
          <w:i/>
        </w:rPr>
        <w:t>licensed</w:t>
      </w:r>
      <w:r>
        <w:t xml:space="preserve"> is automatically categorized as education leading to a new trade or business. Similarly, education leading to the J.D. degree leads to qualifying for </w:t>
      </w:r>
      <w:r w:rsidRPr="00915F92">
        <w:t xml:space="preserve">a new trade or business </w:t>
      </w:r>
      <w:r>
        <w:t xml:space="preserve">even </w:t>
      </w:r>
      <w:r w:rsidRPr="00915F92">
        <w:t xml:space="preserve">when undertaken by an accountant who </w:t>
      </w:r>
      <w:r>
        <w:t xml:space="preserve">has no intention of practicing law and who </w:t>
      </w:r>
      <w:r w:rsidRPr="00915F92">
        <w:t xml:space="preserve">performs similar tasks and activities </w:t>
      </w:r>
      <w:r>
        <w:t xml:space="preserve">after earning her J.D. </w:t>
      </w:r>
      <w:r w:rsidRPr="00915F92">
        <w:t>as she per</w:t>
      </w:r>
      <w:r>
        <w:t>formed before earning it.</w:t>
      </w:r>
      <w:r>
        <w:rPr>
          <w:rStyle w:val="FootnoteReference"/>
        </w:rPr>
        <w:footnoteReference w:id="545"/>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46"/>
      </w:r>
      <w:r>
        <w:t xml:space="preserve"> Why should licensure alter the analysis so dramatically? Is not a license merely a manifestation of the acquired human capital? </w:t>
      </w:r>
    </w:p>
    <w:p w:rsidR="0078310B" w:rsidRDefault="0078310B" w:rsidP="0078310B">
      <w:pPr>
        <w:pStyle w:val="BodyTextIndent2"/>
        <w:widowControl w:val="0"/>
        <w:spacing w:line="240" w:lineRule="auto"/>
        <w:ind w:left="0" w:firstLine="288"/>
        <w:jc w:val="both"/>
        <w:rPr>
          <w:b/>
        </w:rPr>
      </w:pPr>
      <w:r>
        <w:t>An LL.M. degree, which generally helps an attorney to advertise herself as specializing in an area of law, including tax law, does not involve licensure. Indeed, most tax lawyers do not have LL.M. degrees.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w:t>
      </w:r>
      <w:r w:rsidRPr="00915F92">
        <w:t xml:space="preserve">or example, the taxpayers won in </w:t>
      </w:r>
      <w:r>
        <w:rPr>
          <w:i/>
          <w:iCs/>
        </w:rPr>
        <w:t>Blair v. Commissione</w:t>
      </w:r>
      <w:r w:rsidRPr="00915F92">
        <w:rPr>
          <w:i/>
          <w:iCs/>
        </w:rPr>
        <w:t>r</w:t>
      </w:r>
      <w:r>
        <w:rPr>
          <w:rStyle w:val="FootnoteReference"/>
        </w:rPr>
        <w:footnoteReference w:id="547"/>
      </w:r>
      <w:r w:rsidRPr="00915F92">
        <w:t xml:space="preserve"> and </w:t>
      </w:r>
      <w:r w:rsidRPr="004E17F5">
        <w:rPr>
          <w:i/>
          <w:iCs/>
        </w:rPr>
        <w:t>Allemeier v. Commissioner</w:t>
      </w:r>
      <w:r>
        <w:rPr>
          <w:iCs/>
        </w:rPr>
        <w:t>,</w:t>
      </w:r>
      <w:r w:rsidRPr="004E17F5">
        <w:rPr>
          <w:rStyle w:val="FootnoteReference"/>
          <w:iCs/>
        </w:rPr>
        <w:footnoteReference w:id="548"/>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49"/>
      </w:r>
      <w:r>
        <w:t xml:space="preserve"> and PLR 9112003 (Dec. 18, 1990), each allowing deduction of </w:t>
      </w:r>
      <w:r w:rsidRPr="00915F92">
        <w:t>LL.M.</w:t>
      </w:r>
      <w:r>
        <w:t xml:space="preserve"> expenses</w:t>
      </w:r>
      <w:r w:rsidRPr="00915F92">
        <w:t xml:space="preserve">. </w:t>
      </w:r>
    </w:p>
    <w:p w:rsidR="0078310B" w:rsidRDefault="0078310B" w:rsidP="0078310B">
      <w:pPr>
        <w:pStyle w:val="BodyTextIndent2"/>
        <w:widowControl w:val="0"/>
        <w:spacing w:line="240" w:lineRule="auto"/>
        <w:ind w:left="0" w:firstLine="288"/>
        <w:jc w:val="both"/>
        <w:rPr>
          <w:b/>
        </w:rPr>
      </w:pPr>
      <w:r>
        <w:t>In other cases</w:t>
      </w:r>
      <w:r w:rsidRPr="00915F92">
        <w:t>, ho</w:t>
      </w:r>
      <w:r>
        <w:t xml:space="preserve">wever, the Tax Court appears to take a more </w:t>
      </w:r>
      <w:r w:rsidRPr="00915F92">
        <w:t xml:space="preserve">discerning approach to the “tasks and activities” test </w:t>
      </w:r>
      <w:r>
        <w:t>that downplays the inference drawn from the Treasury regulations that education leading to mere specialization within a larger field does not lead to a new trade or business. T</w:t>
      </w:r>
      <w:r w:rsidRPr="00915F92">
        <w:t>he Tax Court denied deduction of LL.M</w:t>
      </w:r>
      <w:r>
        <w:t>. expenses</w:t>
      </w:r>
      <w:r w:rsidRPr="00915F92">
        <w:t xml:space="preserve"> in </w:t>
      </w:r>
      <w:r>
        <w:rPr>
          <w:i/>
          <w:iCs/>
        </w:rPr>
        <w:t>Hudgens v. Commissione</w:t>
      </w:r>
      <w:r w:rsidRPr="00915F92">
        <w:rPr>
          <w:i/>
          <w:iCs/>
        </w:rPr>
        <w:t>r</w:t>
      </w:r>
      <w:r>
        <w:t>,</w:t>
      </w:r>
      <w:r>
        <w:rPr>
          <w:rStyle w:val="FootnoteReference"/>
        </w:rPr>
        <w:footnoteReference w:id="550"/>
      </w:r>
      <w:r>
        <w:t xml:space="preserve"> for example. After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t xml:space="preserve">ncillary to </w:t>
      </w:r>
      <w:r w:rsidRPr="00915F92">
        <w:t>managing client assets and acquiring new clients—a “new” trade or business.</w:t>
      </w:r>
    </w:p>
    <w:p w:rsidR="0078310B" w:rsidRDefault="00A63B56" w:rsidP="0078310B">
      <w:pPr>
        <w:pStyle w:val="BodyTextIndent2"/>
        <w:widowControl w:val="0"/>
        <w:spacing w:line="240" w:lineRule="auto"/>
        <w:ind w:left="0" w:firstLine="288"/>
        <w:jc w:val="both"/>
        <w:rPr>
          <w:b/>
        </w:rPr>
      </w:pPr>
      <w:r>
        <w:t>More recently, t</w:t>
      </w:r>
      <w:r w:rsidR="0078310B">
        <w:t xml:space="preserve">he Tax Court appeared to come to inconsistent conclusions in </w:t>
      </w:r>
      <w:r w:rsidR="0078310B" w:rsidRPr="004E17F5">
        <w:rPr>
          <w:i/>
          <w:iCs/>
        </w:rPr>
        <w:t>Foster v. Commissioner</w:t>
      </w:r>
      <w:r w:rsidR="0078310B">
        <w:rPr>
          <w:rStyle w:val="FootnoteReference"/>
        </w:rPr>
        <w:footnoteReference w:id="551"/>
      </w:r>
      <w:r w:rsidR="0078310B">
        <w:t xml:space="preserve"> a</w:t>
      </w:r>
      <w:r w:rsidR="0078310B" w:rsidRPr="002A76B6">
        <w:t>n</w:t>
      </w:r>
      <w:r w:rsidR="0078310B">
        <w:t>d</w:t>
      </w:r>
      <w:r w:rsidR="0078310B" w:rsidRPr="002A76B6">
        <w:t xml:space="preserve"> </w:t>
      </w:r>
      <w:r w:rsidR="0078310B" w:rsidRPr="002A76B6">
        <w:rPr>
          <w:i/>
        </w:rPr>
        <w:t>Sin</w:t>
      </w:r>
      <w:r w:rsidR="0078310B">
        <w:rPr>
          <w:i/>
        </w:rPr>
        <w:t>gleton-Clarke v. Commissione</w:t>
      </w:r>
      <w:r w:rsidR="0078310B" w:rsidRPr="002A76B6">
        <w:rPr>
          <w:i/>
        </w:rPr>
        <w:t>r</w:t>
      </w:r>
      <w:r w:rsidR="0078310B" w:rsidRPr="002A76B6">
        <w:t>,</w:t>
      </w:r>
      <w:r w:rsidR="0078310B">
        <w:rPr>
          <w:rStyle w:val="FootnoteReference"/>
        </w:rPr>
        <w:footnoteReference w:id="552"/>
      </w:r>
      <w:r w:rsidR="0078310B" w:rsidRPr="002A76B6">
        <w:t xml:space="preserve"> </w:t>
      </w:r>
      <w:r w:rsidR="0078310B">
        <w:t xml:space="preserve">both of which are </w:t>
      </w:r>
      <w:r w:rsidR="0078310B" w:rsidRPr="00915F92">
        <w:t>small tax case</w:t>
      </w:r>
      <w:r w:rsidR="0078310B">
        <w:t>s</w:t>
      </w:r>
      <w:r w:rsidR="0078310B" w:rsidRPr="00915F92">
        <w:t xml:space="preserve"> that cannot be cited as precedent unde</w:t>
      </w:r>
      <w:r w:rsidR="0078310B">
        <w:t xml:space="preserve">r § 7463(b) and both of which dealt with MBA costs. </w:t>
      </w:r>
      <w:r w:rsidR="0078310B" w:rsidRPr="00915F92">
        <w:t>Prior to obtaining her MBA at Harvard, M</w:t>
      </w:r>
      <w:r w:rsidR="0078310B">
        <w:t xml:space="preserve">s. Foster </w:t>
      </w:r>
      <w:r w:rsidR="0078310B" w:rsidRPr="00915F92">
        <w:t xml:space="preserve">worked for a beverage company “as a project manager on the upgrade of a milk factory” in Sydney, Australia. During her MBA studies, she worked at </w:t>
      </w:r>
      <w:r w:rsidR="0078310B">
        <w:t xml:space="preserve">the </w:t>
      </w:r>
      <w:r w:rsidR="0078310B" w:rsidRPr="00915F92">
        <w:t xml:space="preserve">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w:t>
      </w:r>
      <w:r w:rsidR="0078310B">
        <w:t xml:space="preserve">and that she worked as a corporate strategy consultant, including with respect to marketing projects, at a beverage company during her studies were </w:t>
      </w:r>
      <w:r w:rsidR="0078310B" w:rsidRPr="00915F92">
        <w:t xml:space="preserve">not sufficient to show that the MBA did not qualify her for a new trade or business. The Tax Court also upheld a § 6662 accuracy-related penalty. </w:t>
      </w:r>
    </w:p>
    <w:p w:rsidR="0078310B" w:rsidRDefault="0078310B" w:rsidP="0078310B">
      <w:pPr>
        <w:pStyle w:val="BodyTextIndent2"/>
        <w:widowControl w:val="0"/>
        <w:spacing w:line="240" w:lineRule="auto"/>
        <w:ind w:left="0" w:firstLine="288"/>
        <w:jc w:val="both"/>
      </w:pPr>
      <w:r w:rsidRPr="002A76B6">
        <w:t>Ms. Singleton-Clarke</w:t>
      </w:r>
      <w:r>
        <w:t>, on the other hand,</w:t>
      </w:r>
      <w:r w:rsidRPr="002A76B6">
        <w:t xml:space="preserve">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w:t>
      </w:r>
      <w:r>
        <w:t xml:space="preserve">in direct patient care and </w:t>
      </w:r>
      <w:r w:rsidRPr="002A76B6">
        <w:t>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w:t>
      </w:r>
      <w:r>
        <w:t>n qualifies the taxpayer for a new trade or business</w:t>
      </w:r>
      <w:r w:rsidRPr="002A76B6">
        <w:t xml:space="preserve"> for that reason alo</w:t>
      </w:r>
      <w:r>
        <w:t xml:space="preserve">ne. The Tax Court reviewed </w:t>
      </w:r>
      <w:r w:rsidRPr="002A76B6">
        <w:t xml:space="preserve">MBA </w:t>
      </w:r>
      <w:r>
        <w:t xml:space="preserve">cases that denied deduction as well as </w:t>
      </w:r>
      <w:r w:rsidRPr="002A76B6">
        <w:t>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improved petitioner’s preexisting skill set, but objectively, she was already performing the tasks and activities of her trade or business before commencing the MBA.”</w:t>
      </w:r>
    </w:p>
    <w:p w:rsidR="009B747C" w:rsidRPr="009B747C" w:rsidRDefault="009B747C" w:rsidP="0078310B">
      <w:pPr>
        <w:pStyle w:val="BodyTextIndent2"/>
        <w:widowControl w:val="0"/>
        <w:spacing w:line="240" w:lineRule="auto"/>
        <w:ind w:left="0" w:firstLine="288"/>
        <w:jc w:val="both"/>
      </w:pPr>
      <w:r>
        <w:t xml:space="preserve">The latest case was </w:t>
      </w:r>
      <w:r w:rsidR="00D02532">
        <w:t xml:space="preserve">also a </w:t>
      </w:r>
      <w:r>
        <w:t>taxpayer</w:t>
      </w:r>
      <w:r w:rsidR="00D02532">
        <w:t xml:space="preserve"> win</w:t>
      </w:r>
      <w:r>
        <w:t xml:space="preserve">. In </w:t>
      </w:r>
      <w:r>
        <w:rPr>
          <w:i/>
        </w:rPr>
        <w:t>Kopaigora v. Commissioner</w:t>
      </w:r>
      <w:r>
        <w:t>,</w:t>
      </w:r>
      <w:r>
        <w:rPr>
          <w:rStyle w:val="FootnoteReference"/>
        </w:rPr>
        <w:footnoteReference w:id="553"/>
      </w:r>
      <w:r>
        <w:t xml:space="preserve"> the taxpayer was employed as a senior assistant controller for the Marriott hotel in Los Angeles International Airport, where he managed 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w:t>
      </w:r>
      <w:r w:rsidR="00D02532">
        <w:t xml:space="preserve"> in 2012</w:t>
      </w:r>
      <w:r>
        <w:t xml:space="preserve">, he was hired as Vice President of Finance at Drivett Financial Services, where he supervised a team of employees </w:t>
      </w:r>
      <w:r w:rsidR="00D02532">
        <w:t>(including hiring and training activities) responsible for auditing, accounting for taxes, preparing reports, and enforcing internal controls. Applying the tasks and activities test, the Tax Court held that the EMBA did not lead to qualifying the taxpayer for a new trade or business.</w:t>
      </w:r>
    </w:p>
    <w:p w:rsidR="0078310B" w:rsidRDefault="0078310B" w:rsidP="0078310B">
      <w:pPr>
        <w:pStyle w:val="BodyTextIndent2"/>
        <w:widowControl w:val="0"/>
        <w:spacing w:line="240" w:lineRule="auto"/>
        <w:ind w:left="0" w:firstLine="288"/>
        <w:jc w:val="both"/>
        <w:rPr>
          <w:b/>
        </w:rPr>
      </w:pPr>
      <w:r>
        <w:t xml:space="preserve">Can you articulate a coherent principal underlying the Tax Court’s approach to “new trade or business” under Treas. Reg. § 1.162-5? </w:t>
      </w:r>
      <w:r w:rsidRPr="005B1D9C">
        <w:t xml:space="preserve">At the least, taxpayers wishing to deduct </w:t>
      </w:r>
      <w:r>
        <w:t xml:space="preserve">the costs of post-graduate education that does not lead to licensure </w:t>
      </w:r>
      <w:r w:rsidRPr="005B1D9C">
        <w:t>should be encouraged to return to the same job, or take a job as close as possible to the old job, for a period subsequent to completing the education.</w:t>
      </w:r>
    </w:p>
    <w:p w:rsidR="0078310B" w:rsidRDefault="0078310B" w:rsidP="0078310B">
      <w:pPr>
        <w:pStyle w:val="BodyTextIndent2"/>
        <w:widowControl w:val="0"/>
        <w:spacing w:after="0" w:line="240" w:lineRule="auto"/>
        <w:ind w:left="0" w:firstLine="288"/>
        <w:jc w:val="both"/>
      </w:pPr>
      <w:r>
        <w:t xml:space="preserve">Education costs that are deductible as business expenses encompass travel expenses, as well, under </w:t>
      </w:r>
      <w:hyperlink r:id="rId876" w:history="1">
        <w:r w:rsidRPr="00C019B8">
          <w:rPr>
            <w:rStyle w:val="Hyperlink"/>
          </w:rPr>
          <w:t>Treas. Reg. § 1.162-5</w:t>
        </w:r>
      </w:hyperlink>
      <w:r>
        <w:t>(e) if the education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 and 50% of meals.</w:t>
      </w:r>
      <w:r>
        <w:rPr>
          <w:rStyle w:val="FootnoteReference"/>
        </w:rPr>
        <w:footnoteReference w:id="554"/>
      </w:r>
      <w:r>
        <w:t xml:space="preserve"> If the taxpayer is an employee and her employer directly pays the costs to the educator (or reimburses these costs if initially paid by the employee), the employee can exclude the payment under either </w:t>
      </w:r>
      <w:hyperlink r:id="rId877" w:history="1">
        <w:r w:rsidRPr="00C019B8">
          <w:rPr>
            <w:rStyle w:val="Hyperlink"/>
          </w:rPr>
          <w:t>§ 132</w:t>
        </w:r>
      </w:hyperlink>
      <w:r>
        <w:t xml:space="preserve">(d) (as a working-condition fringe benefit) or under </w:t>
      </w:r>
      <w:hyperlink r:id="rId878" w:history="1">
        <w:r w:rsidRPr="00C019B8">
          <w:rPr>
            <w:rStyle w:val="Hyperlink"/>
          </w:rPr>
          <w:t>Treas. Reg. § 1.62-2</w:t>
        </w:r>
      </w:hyperlink>
      <w:r>
        <w:t xml:space="preserve">(c) (described in Chapter 1, Part B.), so long as the amount is otherwise deductible under Treas. Reg. § 1.162-5. </w:t>
      </w:r>
    </w:p>
    <w:p w:rsidR="0078310B" w:rsidRDefault="0078310B" w:rsidP="0078310B">
      <w:pPr>
        <w:pStyle w:val="BodyTextIndent2"/>
        <w:widowControl w:val="0"/>
        <w:spacing w:after="0" w:line="240" w:lineRule="auto"/>
        <w:ind w:left="0" w:firstLine="288"/>
        <w:jc w:val="both"/>
        <w:rPr>
          <w:b/>
        </w:rPr>
      </w:pPr>
    </w:p>
    <w:p w:rsidR="0078310B" w:rsidRDefault="0078310B" w:rsidP="0078310B">
      <w:pPr>
        <w:pStyle w:val="Heading3"/>
        <w:spacing w:before="0" w:beforeAutospacing="0" w:after="0" w:afterAutospacing="0"/>
        <w:jc w:val="center"/>
        <w:rPr>
          <w:b w:val="0"/>
        </w:rPr>
      </w:pPr>
      <w:bookmarkStart w:id="311" w:name="_Toc395790607"/>
      <w:r w:rsidRPr="001415E2">
        <w:rPr>
          <w:u w:val="single"/>
        </w:rPr>
        <w:t>Problems</w:t>
      </w:r>
      <w:bookmarkEnd w:id="311"/>
    </w:p>
    <w:p w:rsidR="0078310B" w:rsidRPr="000E1E12"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rPr>
          <w:b/>
        </w:rPr>
        <w:t>1.</w:t>
      </w:r>
      <w:r>
        <w:t xml:space="preserve"> Jonah, a California tax lawyer in solo practice, is in the 25% tax bracket. He attends the 3-day ABA Section of Taxation meeting in Washington, D.C., paying $250 in registration fees, $500 in air fare, $600 in hotel costs, $200 for meals, and $50 in taxi fares. What can Jonah deduct under Treas. Reg. § 1.162-5? </w:t>
      </w:r>
    </w:p>
    <w:p w:rsidR="0078310B" w:rsidRPr="004D0FF5" w:rsidRDefault="0078310B" w:rsidP="0078310B">
      <w:pPr>
        <w:widowControl w:val="0"/>
        <w:ind w:firstLine="288"/>
        <w:jc w:val="both"/>
      </w:pPr>
    </w:p>
    <w:p w:rsidR="0078310B" w:rsidRDefault="0078310B" w:rsidP="0078310B">
      <w:pPr>
        <w:widowControl w:val="0"/>
        <w:spacing w:after="120"/>
        <w:ind w:firstLine="288"/>
        <w:jc w:val="both"/>
      </w:pPr>
      <w:r>
        <w:rPr>
          <w:b/>
        </w:rPr>
        <w:t>2.</w:t>
      </w:r>
      <w:r>
        <w:t xml:space="preserve"> Jeanine can find no other work with her English major undergraduate degree than working the night shift at a convenience store as she contemplates whether she should attend graduate school. As a dog lover, she also earns extra money as a dog walker. She begins to advertise her services as a dog groomer, as well, and her client base expands sufficiently to enable her to quit her job at the convenience store and live solely on her dog-related earnings. Jeanine realizes that she needs more training, however, and (abandoning any thought of grad school) she enrolls in a course in which she learns advanced grooming techniques for show dogs, paying $1,000 for the 6-month course. Jeanine is in the 15% tax bracket this year. </w:t>
      </w:r>
    </w:p>
    <w:p w:rsidR="0078310B" w:rsidRDefault="0078310B" w:rsidP="0078310B">
      <w:pPr>
        <w:widowControl w:val="0"/>
        <w:spacing w:after="120"/>
        <w:ind w:left="288"/>
        <w:jc w:val="both"/>
      </w:pPr>
      <w:r>
        <w:rPr>
          <w:b/>
        </w:rPr>
        <w:t xml:space="preserve">a. </w:t>
      </w:r>
      <w:r>
        <w:t xml:space="preserve">What can she deduct under Treas. Reg. § 1.162-5? Should Jeanine take the </w:t>
      </w:r>
      <w:hyperlink r:id="rId879" w:history="1">
        <w:r w:rsidRPr="00C019B8">
          <w:rPr>
            <w:rStyle w:val="Hyperlink"/>
          </w:rPr>
          <w:t>§ 25A</w:t>
        </w:r>
      </w:hyperlink>
      <w:r>
        <w:t xml:space="preserve"> Lifetime Learning Credit, instead?  (Assume that the program is described in § 481 of the Higher Education Act of 1964.) </w:t>
      </w:r>
    </w:p>
    <w:p w:rsidR="0078310B" w:rsidRDefault="0078310B" w:rsidP="0078310B">
      <w:pPr>
        <w:widowControl w:val="0"/>
        <w:ind w:firstLine="288"/>
        <w:jc w:val="both"/>
      </w:pPr>
      <w:r>
        <w:rPr>
          <w:b/>
        </w:rPr>
        <w:t>b.</w:t>
      </w:r>
      <w:r>
        <w:t xml:space="preserve"> What if dog grooming is a licensed profession in Jeanine’s state?</w:t>
      </w:r>
    </w:p>
    <w:p w:rsidR="0078310B" w:rsidRDefault="0078310B" w:rsidP="0078310B">
      <w:pPr>
        <w:widowControl w:val="0"/>
        <w:ind w:firstLine="288"/>
        <w:jc w:val="both"/>
      </w:pPr>
    </w:p>
    <w:p w:rsidR="0078310B" w:rsidRPr="000E1E12" w:rsidRDefault="0078310B" w:rsidP="0078310B">
      <w:pPr>
        <w:pStyle w:val="Heading2"/>
        <w:spacing w:before="0"/>
        <w:rPr>
          <w:sz w:val="32"/>
          <w:szCs w:val="32"/>
          <w:u w:val="single"/>
        </w:rPr>
      </w:pPr>
      <w:bookmarkStart w:id="312" w:name="_Toc395790608"/>
      <w:r w:rsidRPr="000E1E12">
        <w:rPr>
          <w:sz w:val="32"/>
          <w:szCs w:val="32"/>
          <w:u w:val="single"/>
        </w:rPr>
        <w:t>B. Compensation received on account of the loss of human capital</w:t>
      </w:r>
      <w:bookmarkEnd w:id="312"/>
    </w:p>
    <w:p w:rsidR="0078310B" w:rsidRDefault="0078310B" w:rsidP="0078310B">
      <w:pPr>
        <w:widowControl w:val="0"/>
      </w:pPr>
    </w:p>
    <w:p w:rsidR="0078310B" w:rsidRDefault="0078310B" w:rsidP="0078310B">
      <w:pPr>
        <w:widowControl w:val="0"/>
        <w:spacing w:after="120"/>
        <w:ind w:firstLine="288"/>
        <w:jc w:val="both"/>
      </w:pPr>
      <w:r>
        <w:t>Recall that a cash receipt does not constitute a wealth accession within the meaning of § 61 to the extent that it represents tax-free basis (or “capital”) recovery. Assume, for example, that Mel destroys Meghan’s automobile, which Meghan had previously purchased for $20,000 but which was worth $8,000 when destroyed. Meghan sues Mel, and she receives $8,000 from Mel’s insurance company in settlement of her claim. The $8,000 that she receives is not a wealth accession, and thus not includable under § 61(a), but rather a tax-free recovery of the basis that was created when Meghan 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55"/>
      </w:r>
      <w:r>
        <w:t xml:space="preserve"> </w:t>
      </w:r>
    </w:p>
    <w:p w:rsidR="0078310B" w:rsidRDefault="0078310B" w:rsidP="0078310B">
      <w:pPr>
        <w:widowControl w:val="0"/>
        <w:spacing w:after="120"/>
        <w:ind w:firstLine="288"/>
        <w:jc w:val="both"/>
      </w:pPr>
      <w:r>
        <w:t>Alternatively, assume that Mel destroys an original Renoir painting that hung on Meghan’s living room wall. Meghan had purchased the Renoir for $1 million years earlier, but it was worth $2.5 million when destroyed by Mel.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56"/>
      </w:r>
      <w:r>
        <w:t xml:space="preserve"> </w:t>
      </w:r>
    </w:p>
    <w:p w:rsidR="0078310B" w:rsidRDefault="0078310B" w:rsidP="0078310B">
      <w:pPr>
        <w:widowControl w:val="0"/>
        <w:ind w:firstLine="288"/>
        <w:jc w:val="both"/>
      </w:pPr>
      <w:r>
        <w:t xml:space="preserve">What tax consequences arise if we move our inquiry from damaged tangible property to damaged human capital—a damaged body? Mel injures Meghan herself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13" w:name="_Toc395790609"/>
      <w:r>
        <w:rPr>
          <w:i/>
        </w:rPr>
        <w:t>Excerpt from</w:t>
      </w:r>
      <w:r>
        <w:t xml:space="preserve"> </w:t>
      </w:r>
      <w:r w:rsidRPr="00BD138A">
        <w:rPr>
          <w:i/>
        </w:rPr>
        <w:t>Murphy</w:t>
      </w:r>
      <w:r>
        <w:t xml:space="preserve"> and the Evolution of “Basis”</w:t>
      </w:r>
      <w:r w:rsidRPr="000E1E12">
        <w:rPr>
          <w:rStyle w:val="FootnoteReference"/>
          <w:b w:val="0"/>
        </w:rPr>
        <w:footnoteReference w:id="557"/>
      </w:r>
    </w:p>
    <w:p w:rsidR="0078310B" w:rsidRDefault="0078310B" w:rsidP="0078310B">
      <w:pPr>
        <w:pStyle w:val="Heading3"/>
        <w:spacing w:before="0" w:beforeAutospacing="0" w:after="0" w:afterAutospacing="0"/>
        <w:jc w:val="center"/>
        <w:rPr>
          <w:b w:val="0"/>
        </w:rPr>
      </w:pPr>
      <w:r w:rsidRPr="001415E2">
        <w:rPr>
          <w:b w:val="0"/>
        </w:rPr>
        <w:t>Deborah A. Geier</w:t>
      </w:r>
      <w:bookmarkEnd w:id="313"/>
    </w:p>
    <w:p w:rsidR="0078310B" w:rsidRDefault="0078310B" w:rsidP="0078310B">
      <w:pPr>
        <w:pStyle w:val="Heading3"/>
        <w:spacing w:before="0" w:beforeAutospacing="0" w:after="0" w:afterAutospacing="0"/>
        <w:jc w:val="center"/>
      </w:pPr>
    </w:p>
    <w:p w:rsidR="0078310B" w:rsidRDefault="0078310B" w:rsidP="0078310B">
      <w:pPr>
        <w:pStyle w:val="BodyTextIndent"/>
        <w:widowControl w:val="0"/>
        <w:ind w:left="0" w:firstLine="288"/>
        <w:jc w:val="both"/>
      </w:pPr>
      <w:r>
        <w:t xml:space="preserve">In the modern use of the term, “capital” (when it is used in connection with the income tax) is 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rsidR="0078310B" w:rsidRDefault="0078310B" w:rsidP="0078310B">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rsidR="0078310B" w:rsidRDefault="0078310B" w:rsidP="0078310B">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rsidR="0078310B" w:rsidRDefault="0078310B" w:rsidP="0078310B">
      <w:pPr>
        <w:pStyle w:val="BodyTextIndent"/>
        <w:widowControl w:val="0"/>
        <w:ind w:left="0" w:firstLine="288"/>
        <w:jc w:val="both"/>
      </w:pPr>
      <w:r>
        <w:t>[A] 1918 Opinion of the Attorney General</w:t>
      </w:r>
      <w:r>
        <w:rPr>
          <w:rStyle w:val="FootnoteReference"/>
        </w:rPr>
        <w:footnoteReference w:customMarkFollows="1" w:id="558"/>
        <w:t>[19]</w:t>
      </w:r>
      <w:r>
        <w:t xml:space="preserve"> and a subsequent Treasury Decision of the same year</w:t>
      </w:r>
      <w:r>
        <w:rPr>
          <w:rStyle w:val="FootnoteReference"/>
        </w:rPr>
        <w:footnoteReference w:customMarkFollows="1" w:id="559"/>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rsidR="0078310B" w:rsidRDefault="0078310B" w:rsidP="0078310B">
      <w:pPr>
        <w:pStyle w:val="BodyTextIndent"/>
        <w:widowControl w:val="0"/>
        <w:ind w:left="720" w:right="720"/>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78310B" w:rsidRDefault="0078310B" w:rsidP="0078310B">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60"/>
        <w:t>[21]</w:t>
      </w:r>
      <w:r>
        <w:t xml:space="preserve"> In short, the notion of “tax-free return of capital” was not yet well understood to mean a return of previously taxed dollars.</w:t>
      </w:r>
    </w:p>
    <w:p w:rsidR="0078310B" w:rsidRDefault="0078310B" w:rsidP="0078310B">
      <w:pPr>
        <w:pStyle w:val="BodyTextIndent"/>
        <w:widowControl w:val="0"/>
        <w:ind w:left="0" w:firstLine="288"/>
        <w:jc w:val="both"/>
      </w:pPr>
      <w:r>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rsidR="0078310B" w:rsidRDefault="0078310B" w:rsidP="0078310B">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61"/>
        <w:t>[22]</w:t>
      </w:r>
      <w:r>
        <w:t xml:space="preserve"> however, the Supreme Court upheld the constitutionality of the new basis rule that allowed basis to reflect </w:t>
      </w:r>
      <w:r>
        <w:rPr>
          <w:i/>
          <w:iCs/>
        </w:rPr>
        <w:t>only</w:t>
      </w:r>
      <w:r>
        <w:t xml:space="preserve"> previously taxed dollars, notwithstanding prior practice. </w:t>
      </w:r>
    </w:p>
    <w:p w:rsidR="0078310B" w:rsidRDefault="0078310B" w:rsidP="0078310B">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rsidR="0078310B" w:rsidRDefault="0078310B" w:rsidP="0078310B">
      <w:pPr>
        <w:pStyle w:val="BodyTextIndent"/>
        <w:widowControl w:val="0"/>
        <w:ind w:left="720" w:right="720"/>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62"/>
        <w:t>[23]</w:t>
      </w:r>
      <w:r>
        <w:t xml:space="preserve">  </w:t>
      </w:r>
    </w:p>
    <w:p w:rsidR="0078310B" w:rsidRDefault="0078310B" w:rsidP="0078310B">
      <w:pPr>
        <w:pStyle w:val="BodyTextIndent"/>
        <w:widowControl w:val="0"/>
        <w:ind w:left="0"/>
        <w:jc w:val="both"/>
      </w:pPr>
      <w:r>
        <w:t>And later:</w:t>
      </w:r>
    </w:p>
    <w:p w:rsidR="0078310B" w:rsidRDefault="0078310B" w:rsidP="0078310B">
      <w:pPr>
        <w:pStyle w:val="BodyTextIndent"/>
        <w:widowControl w:val="0"/>
        <w:ind w:left="720" w:right="720"/>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63"/>
        <w:t>[24]</w:t>
      </w:r>
      <w:r>
        <w:t xml:space="preserve">  </w:t>
      </w:r>
    </w:p>
    <w:p w:rsidR="0078310B" w:rsidRDefault="0078310B" w:rsidP="0078310B">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rsidR="0078310B" w:rsidRDefault="0078310B" w:rsidP="0078310B">
      <w:pPr>
        <w:widowControl w:val="0"/>
        <w:jc w:val="center"/>
      </w:pPr>
      <w:r>
        <w:t>___________________________________</w:t>
      </w:r>
    </w:p>
    <w:p w:rsidR="0078310B" w:rsidRDefault="0078310B" w:rsidP="0078310B">
      <w:pPr>
        <w:widowControl w:val="0"/>
      </w:pPr>
    </w:p>
    <w:p w:rsidR="0078310B" w:rsidRPr="00E043DE" w:rsidRDefault="0078310B" w:rsidP="0078310B">
      <w:pPr>
        <w:widowControl w:val="0"/>
        <w:spacing w:after="120"/>
        <w:ind w:firstLine="288"/>
        <w:jc w:val="both"/>
      </w:pPr>
      <w:r>
        <w:t xml:space="preserve">The early (though inconsistent) rulings concluding that personal injury awards did not constitute Gross Income led to the enactment of the predecessor to </w:t>
      </w:r>
      <w:hyperlink r:id="rId880" w:history="1">
        <w:r w:rsidRPr="00A54EBD">
          <w:rPr>
            <w:rStyle w:val="Hyperlink"/>
          </w:rPr>
          <w:t>§ 104</w:t>
        </w:r>
      </w:hyperlink>
      <w:r>
        <w:t xml:space="preserve">(a)(2) in 1918, which provided explicit statutory authority to exclude from Gross Income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64"/>
      </w:r>
      <w:r>
        <w:t xml:space="preserve"> As described in Chapter 6, </w:t>
      </w:r>
      <w:r>
        <w:rPr>
          <w:i/>
        </w:rPr>
        <w:t>Eisner v. Macomber</w:t>
      </w:r>
      <w:r>
        <w:t xml:space="preserve"> interpreted the residual clause to reach a receipt </w:t>
      </w:r>
      <w:r>
        <w:rPr>
          <w:i/>
        </w:rPr>
        <w:t xml:space="preserve">only </w:t>
      </w:r>
      <w:r>
        <w:t>if it could be traced back to labor, capital, or both combined. A personal injury award is not a return for services rendered (labor) or on invested capital (such as interest, rent, a royalty, or a capital gain on the sale of an asset). Thus, even in the absence of the § 104(a)(2) predecessor, personal injury awards were often not considered Gross Income under the § 61(a) residua</w:t>
      </w:r>
      <w:r w:rsidR="00A54EBD">
        <w:t xml:space="preserve">l clause, as narrowly interpreted </w:t>
      </w:r>
      <w:r>
        <w:t xml:space="preserve"> under the </w:t>
      </w:r>
      <w:r>
        <w:rPr>
          <w:i/>
        </w:rPr>
        <w:t xml:space="preserve">Macomber </w:t>
      </w:r>
      <w:r>
        <w:t>standard.</w:t>
      </w:r>
    </w:p>
    <w:p w:rsidR="0078310B" w:rsidRDefault="0078310B" w:rsidP="0078310B">
      <w:pPr>
        <w:widowControl w:val="0"/>
        <w:spacing w:after="120"/>
        <w:ind w:firstLine="288"/>
        <w:jc w:val="both"/>
      </w:pPr>
      <w:r>
        <w:t xml:space="preserve">All that changed in 1955, however, when </w:t>
      </w:r>
      <w:r>
        <w:rPr>
          <w:i/>
        </w:rPr>
        <w:t>Glenshaw Glass</w:t>
      </w:r>
      <w:r w:rsidRPr="00636B89">
        <w:rPr>
          <w:rStyle w:val="FootnoteReference"/>
        </w:rPr>
        <w:footnoteReference w:id="565"/>
      </w:r>
      <w:r>
        <w:rPr>
          <w:i/>
        </w:rPr>
        <w:t xml:space="preserve"> </w:t>
      </w:r>
      <w:r>
        <w:t xml:space="preserve">was decided. As recounted in Chapter 6, </w:t>
      </w:r>
      <w:r>
        <w:rPr>
          <w:i/>
        </w:rPr>
        <w:t xml:space="preserve">Glenshaw Glass </w:t>
      </w:r>
      <w:r>
        <w:t xml:space="preserve">replaced </w:t>
      </w:r>
      <w:r>
        <w:rPr>
          <w:i/>
        </w:rPr>
        <w:t>Macomber’</w:t>
      </w:r>
      <w:r>
        <w:t xml:space="preserve">s source-based interpretation of the scope of the residual clause with one more consistent with SHS principles. Instead of asking whether the receipt could be traced back to labor or capital, the </w:t>
      </w:r>
      <w:r>
        <w:rPr>
          <w:i/>
        </w:rPr>
        <w:t>Glenshaw Glass</w:t>
      </w:r>
      <w:r>
        <w:t xml:space="preserve"> Court asked only whether the taxpayer has been enriched by interpreting the residual clause to reach all </w:t>
      </w:r>
      <w:r w:rsidRPr="0053058D">
        <w:rPr>
          <w:i/>
        </w:rPr>
        <w:t>accessions to wealth</w:t>
      </w:r>
      <w:r>
        <w:t>, clearly realized, over which the taxpayer has complete dominion. Because of the absence of basis in one’s body, the cash personal injury award would, after 1955, be includable in Gross Income—</w:t>
      </w:r>
      <w:r w:rsidRPr="009E2159">
        <w:rPr>
          <w:i/>
        </w:rPr>
        <w:t>unless</w:t>
      </w:r>
      <w:r>
        <w:t xml:space="preserve"> the taxpayer could fit within the newly important longtime </w:t>
      </w:r>
      <w:r>
        <w:rPr>
          <w:i/>
        </w:rPr>
        <w:t xml:space="preserve">statutory </w:t>
      </w:r>
      <w:r>
        <w:t xml:space="preserve">exclusion in § 104(a)(2). Suddenly, litigation exploded as courts attempted to define the term “personal injuries or sickness.” </w:t>
      </w:r>
    </w:p>
    <w:p w:rsidR="0078310B" w:rsidRDefault="0078310B" w:rsidP="0078310B">
      <w:pPr>
        <w:widowControl w:val="0"/>
        <w:spacing w:after="120"/>
        <w:ind w:firstLine="288"/>
        <w:jc w:val="both"/>
      </w:pPr>
      <w:r>
        <w:t>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w:t>
      </w:r>
      <w:r>
        <w:rPr>
          <w:rStyle w:val="bodycopy9"/>
        </w:rPr>
        <w:t xml:space="preserve">tate government employees and others acting “under color of state law” for civil rights violations, </w:t>
      </w:r>
      <w:r>
        <w:rPr>
          <w:rStyle w:val="bodycopy9"/>
          <w:i/>
        </w:rPr>
        <w:t>etc.</w:t>
      </w:r>
      <w:r>
        <w:t xml:space="preserve"> The authorities were divergent and difficult to reconcile. The Supreme Court granted </w:t>
      </w:r>
      <w:r>
        <w:rPr>
          <w:i/>
        </w:rPr>
        <w:t xml:space="preserve">certiorari </w:t>
      </w:r>
      <w:r>
        <w:t xml:space="preserve">in 1992 in </w:t>
      </w:r>
      <w:r>
        <w:rPr>
          <w:i/>
        </w:rPr>
        <w:t>United States v. Burke</w:t>
      </w:r>
      <w:r>
        <w:t>,</w:t>
      </w:r>
      <w:r w:rsidRPr="00A719CC">
        <w:rPr>
          <w:rStyle w:val="FootnoteReference"/>
        </w:rPr>
        <w:footnoteReference w:id="566"/>
      </w:r>
      <w:r>
        <w:t xml:space="preserve"> a sex discrimination suit under the Civil Rights Act, in an attempt to bring order to the analysis and held that a statutory cause of action sounds in tort (and thus can generate excludable damages under § 104(a)(2)) if the statutory remedies are broad, as is common in a tort action. Because only back pay could be awarded in Ms. Burke’s statutory suit, the Court concluded it did not sound in tort, which meant that § 104(a)(2) exclusion was not available. </w:t>
      </w:r>
    </w:p>
    <w:p w:rsidR="0078310B" w:rsidRDefault="0078310B" w:rsidP="0078310B">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67"/>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68"/>
      </w:r>
      <w:r>
        <w:t xml:space="preserve"> that punitive damages could not be excluded even in a case sounding in tort because they were not awarded “on account of” the personal injury within the meaning of § 104(a)(2) but, rather, “on account of” the tortfeasor’s egregious conduct. </w:t>
      </w:r>
    </w:p>
    <w:p w:rsidR="0078310B" w:rsidRDefault="0078310B" w:rsidP="0078310B">
      <w:pPr>
        <w:widowControl w:val="0"/>
        <w:spacing w:after="120"/>
        <w:ind w:firstLine="288"/>
        <w:jc w:val="both"/>
      </w:pPr>
      <w:r>
        <w:t xml:space="preserve">Finally, Congress acted in 1996, amending </w:t>
      </w:r>
      <w:hyperlink r:id="rId881" w:history="1">
        <w:r w:rsidRPr="0014436B">
          <w:rPr>
            <w:rStyle w:val="Hyperlink"/>
          </w:rPr>
          <w:t>§ 104</w:t>
        </w:r>
      </w:hyperlink>
      <w:r>
        <w:t xml:space="preserve">(a)(2) in two significant ways. First, it essentially codified </w:t>
      </w:r>
      <w:r>
        <w:rPr>
          <w:i/>
        </w:rPr>
        <w:t>O’Gilvie</w:t>
      </w:r>
      <w:r>
        <w:t xml:space="preserve"> by inserting the parenthetical containing “other than punitive damages.” Second, it inserted the word “physical” twice. Today, § 104(a)(2) provides authority to exclude personal injury damages only if they are awarded on account of “</w:t>
      </w:r>
      <w:r w:rsidR="002C0AFA">
        <w:t xml:space="preserve">personal </w:t>
      </w:r>
      <w:r>
        <w:t>physical injuries or physical sickness.” The legislative history clarified the extent to which an injury could be considered “physical.”</w:t>
      </w:r>
      <w:r>
        <w:rPr>
          <w:rStyle w:val="FootnoteReference"/>
        </w:rPr>
        <w:footnoteReference w:id="569"/>
      </w:r>
      <w:r>
        <w:t xml:space="preserve"> </w:t>
      </w:r>
    </w:p>
    <w:p w:rsidR="0078310B" w:rsidRDefault="0078310B" w:rsidP="0078310B">
      <w:pPr>
        <w:widowControl w:val="0"/>
        <w:spacing w:after="120"/>
        <w:ind w:left="720" w:right="720"/>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rsidR="0078310B" w:rsidRDefault="0078310B" w:rsidP="0078310B">
      <w:pPr>
        <w:widowControl w:val="0"/>
        <w:spacing w:after="120"/>
        <w:ind w:left="720" w:right="720"/>
        <w:jc w:val="both"/>
      </w:pPr>
      <w:r>
        <w:t>The … bill also specifically provides that emotional distress is not considered a physical injury or physical sickness.</w:t>
      </w:r>
      <w:r>
        <w:rPr>
          <w:rStyle w:val="FootnoteReference"/>
        </w:rPr>
        <w:footnoteReference w:customMarkFollows="1" w:id="570"/>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rsidR="0078310B" w:rsidRDefault="0078310B" w:rsidP="0078310B">
      <w:pPr>
        <w:widowControl w:val="0"/>
        <w:spacing w:after="120"/>
        <w:ind w:firstLine="288"/>
        <w:jc w:val="both"/>
      </w:pPr>
      <w:r>
        <w:t>The matters described in the second quoted paragraph are found in the last two sentences in § 104 (in the paragraph appearing after subsection (5)), which you should read now.</w:t>
      </w:r>
      <w:r>
        <w:rPr>
          <w:rStyle w:val="FootnoteReference"/>
        </w:rPr>
        <w:footnoteReference w:id="571"/>
      </w:r>
      <w:r>
        <w:t xml:space="preserve"> 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such costs would qualify for deduction under § 213 as medical expenses. This provision was not in the original bill but rather was added only by the conference committee—likely because no part of the $10,000 would exceed the steep 10% floor found in </w:t>
      </w:r>
      <w:hyperlink r:id="rId882" w:history="1">
        <w:r w:rsidRPr="00BA37EE">
          <w:rPr>
            <w:rStyle w:val="Hyperlink"/>
          </w:rPr>
          <w:t>§ 213</w:t>
        </w:r>
      </w:hyperlink>
      <w:r>
        <w:t xml:space="preserve">(a) (discussed in the next chapter) for deduction in light of the substantial damage award itself. </w:t>
      </w:r>
    </w:p>
    <w:p w:rsidR="0078310B" w:rsidRDefault="0078310B" w:rsidP="0078310B">
      <w:pPr>
        <w:widowControl w:val="0"/>
        <w:spacing w:after="120"/>
        <w:ind w:firstLine="288"/>
        <w:jc w:val="both"/>
      </w:pPr>
      <w:r>
        <w:t xml:space="preserve">Moreover, new Treas. Reg. § 1.104-1(c)(2) confirms that whether the cause of action sounds in tort is now irrelevant, as is the scope of remedies, thus effectively interring the Supreme Court’s analysis in </w:t>
      </w:r>
      <w:r>
        <w:rPr>
          <w:i/>
        </w:rPr>
        <w:t>Burke</w:t>
      </w:r>
      <w:r>
        <w:t xml:space="preserve"> and </w:t>
      </w:r>
      <w:r>
        <w:rPr>
          <w:i/>
        </w:rPr>
        <w:t>Schleier</w:t>
      </w:r>
      <w:r>
        <w:t xml:space="preserve">. </w:t>
      </w:r>
    </w:p>
    <w:p w:rsidR="0078310B" w:rsidRDefault="0078310B" w:rsidP="0078310B">
      <w:pPr>
        <w:widowControl w:val="0"/>
        <w:spacing w:after="120"/>
        <w:ind w:firstLine="288"/>
        <w:jc w:val="both"/>
      </w:pPr>
      <w:r>
        <w:t>Finally, the IRS has withdrawn Revenue Ruling 74-77</w:t>
      </w:r>
      <w:r>
        <w:rPr>
          <w:rStyle w:val="FootnoteReference"/>
        </w:rPr>
        <w:footnoteReference w:id="572"/>
      </w:r>
      <w:r>
        <w:t xml:space="preserve"> as obsolete in Revenue Ruling 98-37.</w:t>
      </w:r>
      <w:r>
        <w:rPr>
          <w:rStyle w:val="FootnoteReference"/>
        </w:rPr>
        <w:footnoteReference w:id="573"/>
      </w:r>
      <w:r>
        <w:t xml:space="preserve"> The withdrawn ruling had previously concluded that amounts received as damages for alienation of affection or for surrender of custody of a child were </w:t>
      </w:r>
      <w:r w:rsidR="00A01B68">
        <w:t>not includable in Gross Income.</w:t>
      </w:r>
    </w:p>
    <w:p w:rsidR="0078310B" w:rsidRPr="001415E2" w:rsidRDefault="0078310B" w:rsidP="0078310B">
      <w:pPr>
        <w:pStyle w:val="Heading3"/>
        <w:spacing w:before="0" w:beforeAutospacing="0" w:after="120" w:afterAutospacing="0"/>
        <w:rPr>
          <w:i/>
        </w:rPr>
      </w:pPr>
      <w:bookmarkStart w:id="314" w:name="_Toc395790610"/>
      <w:r w:rsidRPr="001415E2">
        <w:rPr>
          <w:i/>
        </w:rPr>
        <w:t>§ 104(a)(2) as tax expenditure</w:t>
      </w:r>
      <w:bookmarkEnd w:id="314"/>
    </w:p>
    <w:p w:rsidR="0078310B" w:rsidRDefault="0078310B" w:rsidP="0078310B">
      <w:pPr>
        <w:widowControl w:val="0"/>
        <w:spacing w:after="120"/>
        <w:ind w:firstLine="288"/>
        <w:jc w:val="both"/>
      </w:pPr>
      <w:r>
        <w:t xml:space="preserve">As a cash receipt that does not represent basis recovery, personal injury awards would be includable under a pure SHS income tax. What justifies the § 104(a)(2) exclusion under the cost-benefit policy analysis relevant to a tax expenditure (described in Part A.)? A taxpayer who is physically injured by an uninsured party cannot deduct his lost past and future wages, for example, because (as discussed in Chapter 11, Part A.)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Thus, a taxpayer who is injured and receives compensation that is excludable under § 104(a)(2) is treated more favorably for tax purposes than the less fortunate injured party who fails to receive any compensation for her injuries. </w:t>
      </w:r>
    </w:p>
    <w:p w:rsidR="0078310B" w:rsidRDefault="0078310B" w:rsidP="0078310B">
      <w:pPr>
        <w:widowControl w:val="0"/>
        <w:spacing w:after="120"/>
        <w:ind w:firstLine="288"/>
        <w:jc w:val="both"/>
      </w:pPr>
      <w:r>
        <w:t xml:space="preserve">Moreover, who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because falling partly within the 28% bracket, partly within the 33% bracket, and partly within the 35% bracket.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rsidR="0078310B" w:rsidRDefault="0078310B" w:rsidP="0078310B">
      <w:pPr>
        <w:widowControl w:val="0"/>
        <w:spacing w:after="120"/>
        <w:ind w:firstLine="288"/>
        <w:jc w:val="both"/>
      </w:pPr>
      <w: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Pr>
          <w:rStyle w:val="FootnoteReference"/>
        </w:rPr>
        <w:footnoteReference w:id="574"/>
      </w:r>
    </w:p>
    <w:p w:rsidR="0078310B" w:rsidRPr="002306CF" w:rsidRDefault="0078310B" w:rsidP="0078310B">
      <w:pPr>
        <w:widowControl w:val="0"/>
        <w:spacing w:after="120"/>
        <w:ind w:left="720" w:right="720"/>
        <w:jc w:val="both"/>
      </w:pPr>
      <w:r>
        <w:t>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rsidR="0078310B" w:rsidRDefault="0078310B" w:rsidP="0078310B">
      <w:pPr>
        <w:widowControl w:val="0"/>
        <w:spacing w:after="120"/>
        <w:jc w:val="both"/>
      </w:pPr>
      <w:r>
        <w:t xml:space="preserve">Even though repeal could hurt tortfeasors more than their injured victims, the optics look bad to the general public not familiar, as you now are, with deeper policy analysis. </w:t>
      </w:r>
    </w:p>
    <w:p w:rsidR="0078310B" w:rsidRPr="001415E2" w:rsidRDefault="0078310B" w:rsidP="0078310B">
      <w:pPr>
        <w:pStyle w:val="Heading3"/>
        <w:spacing w:before="0" w:beforeAutospacing="0" w:after="120" w:afterAutospacing="0"/>
        <w:rPr>
          <w:i/>
        </w:rPr>
      </w:pPr>
      <w:bookmarkStart w:id="315" w:name="_Toc395790611"/>
      <w:r w:rsidRPr="001415E2">
        <w:rPr>
          <w:i/>
        </w:rPr>
        <w:t>Determining the excludable amount: deducted medical costs, structured settlements, prejudgment interest, and punitive damages</w:t>
      </w:r>
      <w:bookmarkEnd w:id="315"/>
    </w:p>
    <w:p w:rsidR="0078310B" w:rsidRDefault="0078310B" w:rsidP="0078310B">
      <w:pPr>
        <w:widowControl w:val="0"/>
        <w:spacing w:after="120"/>
        <w:ind w:firstLine="288"/>
        <w:jc w:val="both"/>
      </w:pPr>
      <w:r>
        <w:t xml:space="preserve">Suppose that (1) Mel physically injures Meghan in Year 1, (2) she incurs and pays $12,000 of uninsured medical expenses in Year 1 because of her injuries, (3) she is able to deduct only $2,000 of this amount under </w:t>
      </w:r>
      <w:hyperlink r:id="rId883" w:history="1">
        <w:r w:rsidRPr="00F90E4F">
          <w:rPr>
            <w:rStyle w:val="Hyperlink"/>
          </w:rPr>
          <w:t>§ 213</w:t>
        </w:r>
      </w:hyperlink>
      <w:r>
        <w:t xml:space="preserve"> (examined in more detail in the next chapter), equal to the portion of the $12,000 exceeding 10% of her $100,000 AGI, and (4) Meghan receives a settlement award in Year 3 of $200,000, which comprises, in part, a reimbursement of the $12,000 in medical expenses paid by Meghan in Year 1. </w:t>
      </w:r>
    </w:p>
    <w:p w:rsidR="0078310B" w:rsidRPr="00861A03" w:rsidRDefault="0078310B" w:rsidP="0078310B">
      <w:pPr>
        <w:widowControl w:val="0"/>
        <w:spacing w:after="120"/>
        <w:ind w:firstLine="288"/>
        <w:jc w:val="both"/>
      </w:pPr>
      <w:r>
        <w:t xml:space="preserve">Because Meghan’s injury is a physical one, § 104(a)(2) authorizes her exclusion of compensatory (but not punitive) damages. She is not, however, entitled to enjoy a double tax benefit—both deduction and exclusion—of the same dollars. Thus, the introductory language in </w:t>
      </w:r>
      <w:hyperlink r:id="rId884" w:history="1">
        <w:r w:rsidRPr="00F90E4F">
          <w:rPr>
            <w:rStyle w:val="Hyperlink"/>
          </w:rPr>
          <w:t>§ 104</w:t>
        </w:r>
      </w:hyperlink>
      <w:r>
        <w:t>(a) before paragraph (1) requires that Meghan include the first $2,000 of her award.</w:t>
      </w:r>
      <w:r>
        <w:rPr>
          <w:rStyle w:val="FootnoteReference"/>
        </w:rPr>
        <w:footnoteReference w:id="575"/>
      </w:r>
      <w:r>
        <w:t xml:space="preserve"> Even though Meghan must nominally 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6C49E0">
        <w:rPr>
          <w:i/>
        </w:rPr>
        <w:t>same taxable year</w:t>
      </w:r>
      <w:r>
        <w:t xml:space="preserve"> (rather than in different taxable years under the original facts), Meghan would have been denied a medical expense deduction under § 213(a) because her expenses would have been “compensated for by insurance </w:t>
      </w:r>
      <w:r>
        <w:rPr>
          <w:i/>
        </w:rPr>
        <w:t>or otherwise</w:t>
      </w:r>
      <w:r>
        <w:t>.” (Emphasis added.) Because she would have been denied a medical expense deduction, she would fully exclude under § 104(a)(2) the compensatory damages received in the same taxable year.</w:t>
      </w:r>
    </w:p>
    <w:p w:rsidR="0078310B" w:rsidRDefault="0078310B" w:rsidP="0078310B">
      <w:pPr>
        <w:widowControl w:val="0"/>
        <w:spacing w:after="120"/>
        <w:ind w:firstLine="288"/>
        <w:jc w:val="both"/>
      </w:pPr>
      <w:r>
        <w:t>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w:t>
      </w:r>
      <w:r w:rsidR="005366E6">
        <w:t xml:space="preserve">approximately $2,000 each month </w:t>
      </w:r>
      <w:r>
        <w:t xml:space="preserve">for the next 10 years. Over this period, Meghan will effectively receive under the annuity contract not only the original $200,000 annuity purchase price but also a 2% return (the same 2% return described above). On these changed facts, Meghan can exclude the </w:t>
      </w:r>
      <w:r w:rsidRPr="003B58A4">
        <w:rPr>
          <w:i/>
        </w:rPr>
        <w:t>entire</w:t>
      </w:r>
      <w:r>
        <w:t xml:space="preserve"> </w:t>
      </w:r>
      <w:r w:rsidR="005366E6">
        <w:t xml:space="preserve">amount </w:t>
      </w:r>
      <w:r>
        <w:t xml:space="preserve">received each </w:t>
      </w:r>
      <w:r w:rsidR="005366E6">
        <w:t>month (</w:t>
      </w:r>
      <w:r>
        <w:t>af</w:t>
      </w:r>
      <w:r w:rsidR="005366E6">
        <w:t xml:space="preserve">ter including the first $2,000, </w:t>
      </w:r>
      <w:r>
        <w:t>equal to the previously deducted medical expenses)—</w:t>
      </w:r>
      <w:r w:rsidRPr="00E265F6">
        <w:rPr>
          <w:i/>
        </w:rPr>
        <w:t>even to the extent of the implicit interest component</w:t>
      </w:r>
      <w:r>
        <w:t xml:space="preserve">. Her exclusion authority is the phrase “whether as lump sums </w:t>
      </w:r>
      <w:r w:rsidRPr="00754977">
        <w:rPr>
          <w:i/>
        </w:rPr>
        <w:t>or as periodic payments</w:t>
      </w:r>
      <w:r>
        <w:t xml:space="preserve">” in § 104(a)(2). </w:t>
      </w:r>
    </w:p>
    <w:p w:rsidR="0078310B" w:rsidRDefault="0078310B" w:rsidP="0078310B">
      <w:pPr>
        <w:widowControl w:val="0"/>
        <w:spacing w:after="120"/>
        <w:ind w:firstLine="288"/>
        <w:jc w:val="both"/>
      </w:pPr>
      <w:r>
        <w:t>This arrangement is called a “structured settlement” and, because of the ability to essentially 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76"/>
      </w:r>
      <w:r>
        <w:t xml:space="preserve"> </w:t>
      </w:r>
    </w:p>
    <w:p w:rsidR="0078310B" w:rsidRPr="00B44375" w:rsidRDefault="0078310B" w:rsidP="0078310B">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77"/>
      </w:r>
      <w:r>
        <w:t xml:space="preserve"> lawsuits can take many years before being reduced to judgment. In addition to any compensatory and punitive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78"/>
      </w:r>
    </w:p>
    <w:p w:rsidR="0078310B" w:rsidRDefault="0078310B" w:rsidP="0078310B">
      <w:pPr>
        <w:widowControl w:val="0"/>
        <w:spacing w:after="120"/>
        <w:ind w:firstLine="288"/>
        <w:jc w:val="both"/>
      </w:pPr>
      <w: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Thus, if a plaintiff requests </w:t>
      </w:r>
      <w:r w:rsidRPr="00B76C1A">
        <w:t xml:space="preserve">in his original complaint </w:t>
      </w:r>
      <w:r>
        <w:t>$1 million in compensatory damages for a physical injury and $2 million in punitive damages (twice the amount of compensatory damages), a settlement for, say, $600,000 that fails to state the nature of the settlement amount may be held to consist of $200,000 of compensatory damages and $400,000 of punitive damages in any later tax litigation.</w:t>
      </w:r>
      <w:r>
        <w:rPr>
          <w:rStyle w:val="FootnoteReference"/>
        </w:rPr>
        <w:footnoteReference w:id="579"/>
      </w:r>
      <w:r>
        <w:t xml:space="preserve"> At bottom, it is a factual issue in the later tax litigation.</w:t>
      </w:r>
    </w:p>
    <w:p w:rsidR="0078310B" w:rsidRDefault="0078310B" w:rsidP="0078310B">
      <w:pPr>
        <w:widowControl w:val="0"/>
        <w:spacing w:after="120"/>
        <w:ind w:firstLine="288"/>
        <w:jc w:val="both"/>
      </w:pPr>
      <w:r>
        <w:t xml:space="preserve">In </w:t>
      </w:r>
      <w:r>
        <w:rPr>
          <w:i/>
        </w:rPr>
        <w:t>Bagely v. Commissioner</w:t>
      </w:r>
      <w:r>
        <w:t>,</w:t>
      </w:r>
      <w:r>
        <w:rPr>
          <w:rStyle w:val="FootnoteReference"/>
        </w:rPr>
        <w:footnoteReference w:id="580"/>
      </w:r>
      <w:r>
        <w:t xml:space="preserve"> for example, a jury awarded to the plaintiff $1 million in compensatory damages and $1.725 million in punitive damages. After a motion for a new trial made by the defendant was granted, however, the parties settled for $1.5 million in damages, and the settlement agreement specifically stated that none of the $1.5 million constituted punitive damages. In the subsequent tax litigation, the Tax Court reasoned that the settlement included the 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rsidR="0078310B" w:rsidRPr="00EE392D" w:rsidRDefault="0078310B" w:rsidP="0078310B">
      <w:pPr>
        <w:widowControl w:val="0"/>
        <w:spacing w:after="120"/>
        <w:ind w:firstLine="288"/>
        <w:jc w:val="both"/>
      </w:pPr>
      <w:r>
        <w:t xml:space="preserve">In the more usual case in which a settlement is reached </w:t>
      </w:r>
      <w:r>
        <w:rPr>
          <w:i/>
        </w:rPr>
        <w:t xml:space="preserve">without </w:t>
      </w:r>
      <w:r>
        <w:t xml:space="preserve">a jury’s opinion regarding whether punitive damages are warranted under the particular facts at issue, however,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 </w:t>
      </w:r>
    </w:p>
    <w:p w:rsidR="0078310B" w:rsidRPr="001415E2" w:rsidRDefault="0078310B" w:rsidP="0078310B">
      <w:pPr>
        <w:pStyle w:val="Heading3"/>
        <w:spacing w:before="0" w:beforeAutospacing="0" w:after="120" w:afterAutospacing="0"/>
        <w:rPr>
          <w:i/>
        </w:rPr>
      </w:pPr>
      <w:bookmarkStart w:id="316" w:name="_Toc395790612"/>
      <w:r w:rsidRPr="001415E2">
        <w:rPr>
          <w:i/>
        </w:rPr>
        <w:t>The treatment of attorney fees</w:t>
      </w:r>
      <w:bookmarkEnd w:id="316"/>
    </w:p>
    <w:p w:rsidR="0078310B" w:rsidRDefault="0078310B" w:rsidP="0078310B">
      <w:pPr>
        <w:widowControl w:val="0"/>
        <w:spacing w:after="120"/>
        <w:ind w:firstLine="288"/>
        <w:jc w:val="both"/>
      </w:pPr>
      <w:r>
        <w:t xml:space="preserve">You learned in Chapters 2 and 16 that interest incurred on a loan used to buy § 103 bonds (which earn </w:t>
      </w:r>
      <w:r>
        <w:rPr>
          <w:i/>
        </w:rPr>
        <w:t xml:space="preserve">tax-exempt </w:t>
      </w:r>
      <w:r>
        <w:t xml:space="preserve">interest) is not deductible—even if the taxpayer has sufficient </w:t>
      </w:r>
      <w:r>
        <w:rPr>
          <w:i/>
        </w:rPr>
        <w:t>includable</w:t>
      </w:r>
      <w:r>
        <w:t xml:space="preserve"> investment income from other sources to otherwise allow the deduction under § 163(d)—because the interest is described in § 256(a)(2). Similarly, if compensatory damages are excludable under § 104(a)(2) because the award is made on account of physical injuries, no expense deduction for attorney fees is permissible, as the expense is described in </w:t>
      </w:r>
      <w:hyperlink r:id="rId885" w:history="1">
        <w:r w:rsidRPr="00A6405D">
          <w:rPr>
            <w:rStyle w:val="Hyperlink"/>
          </w:rPr>
          <w:t>§ 265</w:t>
        </w:r>
      </w:hyperlink>
      <w:r>
        <w:t xml:space="preserve">(a)(1) (rather than § 265(a)(2)). In each case, allowing the taxpayer to deduct costs incurred to produce tax-exempt income would allow him to enjoy a double tax benefit for the same dollars (exclusion of the return </w:t>
      </w:r>
      <w:r>
        <w:rPr>
          <w:i/>
        </w:rPr>
        <w:t>and</w:t>
      </w:r>
      <w:r>
        <w:t xml:space="preserve"> deduction of the costs incurred to produce that return). </w:t>
      </w:r>
    </w:p>
    <w:p w:rsidR="0078310B" w:rsidRDefault="0078310B" w:rsidP="0078310B">
      <w:pPr>
        <w:widowControl w:val="0"/>
        <w:spacing w:after="120"/>
        <w:ind w:firstLine="288"/>
        <w:jc w:val="both"/>
      </w:pPr>
      <w:r>
        <w:t xml:space="preserve">You also learned in Chapter 1, however, that the costs incurred to produce an </w:t>
      </w:r>
      <w:r>
        <w:rPr>
          <w:i/>
        </w:rPr>
        <w:t xml:space="preserve">includable </w:t>
      </w:r>
      <w:r>
        <w:t xml:space="preserve">return </w:t>
      </w:r>
      <w:r w:rsidR="00716998">
        <w:t xml:space="preserve">(such as a personal injury award that is not excludable under § 104(a)(2)) </w:t>
      </w:r>
      <w:r>
        <w:t xml:space="preserve">must reduce the tax base to ensure that the same dollars are not taxed twice to the same taxpayer. Sometimes this value is honored by allowing “basis” to offset a receipt so that only the net wealth accession enters § 61 “Gross Income” in the first place. For example, if Marcy purchases Blackacre for $100 (a nondeductible capital expenditure creating a $100 basis) and later sells it for $150, only the $50 portion of her $150 § 1001(b) amount realized that exceeds her basis is includable as “Gross Income” under §§ 1001 and 61(a)(3). Marcy is permitted to use her basis as an offset in determining § 61 Gross Income in the first place because her $100 outlay on purchasing Blackacre is so clearly and intimately associated </w:t>
      </w:r>
      <w:r w:rsidRPr="00B722C2">
        <w:rPr>
          <w:i/>
        </w:rPr>
        <w:t>solely</w:t>
      </w:r>
      <w:r>
        <w:t xml:space="preserve"> with the receipt of the later Blackacre sales proceeds. </w:t>
      </w:r>
    </w:p>
    <w:p w:rsidR="0078310B" w:rsidRDefault="0078310B" w:rsidP="0078310B">
      <w:pPr>
        <w:widowControl w:val="0"/>
        <w:spacing w:after="120"/>
        <w:ind w:firstLine="288"/>
        <w:jc w:val="both"/>
      </w:pPr>
      <w: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Thus, 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 and including only the “net” wealth accession in John’s “Gross Income” under § 61, John must include the </w:t>
      </w:r>
      <w:r w:rsidRPr="00B25ACF">
        <w:rPr>
          <w:i/>
        </w:rPr>
        <w:t>entire</w:t>
      </w:r>
      <w:r>
        <w:t xml:space="preserve"> amount received from the patient in his § 61 “Gross Income” 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thus ensuring that every dollar of his dental assistant’s salary expense will, in fact, reduce his § 61 Gross Income in reaching “Taxable Income.” </w:t>
      </w:r>
    </w:p>
    <w:p w:rsidR="0078310B" w:rsidRDefault="0078310B" w:rsidP="0078310B">
      <w:pPr>
        <w:widowControl w:val="0"/>
        <w:spacing w:after="120"/>
        <w:ind w:firstLine="288"/>
        <w:jc w:val="both"/>
      </w:pPr>
      <w: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investment purposes. While the $100 would be deductible under § 212(2) as an expense incurred “for the management, conservation, or maintenance of property held for the production of income,” this § 212 deduction is not listed in </w:t>
      </w:r>
      <w:hyperlink r:id="rId886" w:history="1">
        <w:r w:rsidRPr="00716998">
          <w:rPr>
            <w:rStyle w:val="Hyperlink"/>
          </w:rPr>
          <w:t>§ 62</w:t>
        </w:r>
      </w:hyperlink>
      <w:r>
        <w:t xml:space="preserve"> and thus is an Itemized Deduction. Moreover, it would also be a </w:t>
      </w:r>
      <w:hyperlink r:id="rId887" w:history="1">
        <w:r w:rsidRPr="00716998">
          <w:rPr>
            <w:rStyle w:val="Hyperlink"/>
          </w:rPr>
          <w:t>§ 67</w:t>
        </w:r>
      </w:hyperlink>
      <w:r>
        <w:t xml:space="preserve"> MID (because § 212 is not listed in § 67(b)), deductible for regular tax </w:t>
      </w:r>
      <w:r w:rsidRPr="00CE26BC">
        <w:t>purposes only</w:t>
      </w:r>
      <w:r>
        <w:rPr>
          <w:i/>
        </w:rPr>
        <w:t xml:space="preserve"> </w:t>
      </w:r>
      <w:r>
        <w:t>to the extent that it (along with any other MIDs) exceeds 2% of John’s AGI. Worse yet, MIDs are completely nondeductible for purposes of the Alternative Minimum Tax (AMT)</w:t>
      </w:r>
      <w:r w:rsidR="00716998">
        <w:t xml:space="preserve"> under </w:t>
      </w:r>
      <w:hyperlink r:id="rId888" w:history="1">
        <w:r w:rsidR="00716998" w:rsidRPr="00D7186E">
          <w:rPr>
            <w:rStyle w:val="Hyperlink"/>
          </w:rPr>
          <w:t>§ 56</w:t>
        </w:r>
      </w:hyperlink>
      <w:r w:rsidR="00716998">
        <w:t>(b)(1)(A)(i).</w:t>
      </w:r>
      <w:r>
        <w:t xml:space="preserve"> Review Chapter 1, Part B., if this analysis sounds unfamiliar to you. </w:t>
      </w:r>
    </w:p>
    <w:p w:rsidR="0078310B" w:rsidRDefault="0078310B" w:rsidP="0078310B">
      <w:pPr>
        <w:widowControl w:val="0"/>
        <w:spacing w:after="120"/>
        <w:ind w:firstLine="288"/>
        <w:jc w:val="both"/>
      </w:pPr>
      <w:r>
        <w:t xml:space="preserve">If the attorney fees incurred to produce an includable damage award are categorized as “expenses,”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fees—just as John deducted his dental assistant’s salary—under either § 162(a) (if incurred in connection with the plaintiff’s business) or </w:t>
      </w:r>
      <w:hyperlink r:id="rId889" w:history="1">
        <w:r w:rsidRPr="00D7186E">
          <w:rPr>
            <w:rStyle w:val="Hyperlink"/>
          </w:rPr>
          <w:t>§ 212</w:t>
        </w:r>
      </w:hyperlink>
      <w:r>
        <w:t xml:space="preserve">(1) (if the suit is unconnected to the plaintiff’s business). If, however, this § 212(1) deduction or § 162 deduction (as the case may be) is a MID and the plaintiff is subject to the AMT for the year, the attorney fees are effectively nondeductible under § 56(b)(1)(A)(i)! Indeed, the very denial of what would typically be a sizable deduction for the attorney fees is what likely makes the AMT tax liability larger than the individual’s “regular” tax liability. Thus, some plaintiffs began to argue that the portion of awards paid to their attorney was not includable in their § 61 Gross Incomes </w:t>
      </w:r>
      <w:r w:rsidRPr="00DF340C">
        <w:rPr>
          <w:i/>
        </w:rPr>
        <w:t>in the first place</w:t>
      </w:r>
      <w:r>
        <w:t xml:space="preserve">. Our dentist John cannot argue that he need not include a patient’s payment in his § 61 Gross Income just because he used the receipt to pay his (deductible) dental assistant’s salary, however. Are plaintiffs paying attorney fees on a different footing? </w:t>
      </w:r>
    </w:p>
    <w:p w:rsidR="0078310B" w:rsidRDefault="0078310B" w:rsidP="0078310B">
      <w:pPr>
        <w:widowControl w:val="0"/>
        <w:spacing w:after="120"/>
        <w:ind w:firstLine="288"/>
        <w:jc w:val="both"/>
      </w:pPr>
      <w:r>
        <w:t xml:space="preserve">In </w:t>
      </w:r>
      <w:r>
        <w:rPr>
          <w:i/>
        </w:rPr>
        <w:t>Commissioner v. Banks</w:t>
      </w:r>
      <w:r w:rsidRPr="00901DE2">
        <w:t>,</w:t>
      </w:r>
      <w:r>
        <w:rPr>
          <w:rStyle w:val="FootnoteReference"/>
        </w:rPr>
        <w:footnoteReference w:id="581"/>
      </w:r>
      <w:r>
        <w:t xml:space="preserve"> 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Instead of including the full award in Gross Income and then deducting the attorney fees under § 212(1), however, Mr. Banks included in the first instance only the $314,000 portion of the award that exceeded the attorney fee (and then did not deduct the fee under § 212) in order to avoid expense disallowance under § 56(b)(1)(A)(i) for AMT purposes.</w:t>
      </w:r>
    </w:p>
    <w:p w:rsidR="0078310B" w:rsidRDefault="0078310B" w:rsidP="0078310B">
      <w:pPr>
        <w:widowControl w:val="0"/>
        <w:spacing w:after="120"/>
        <w:ind w:firstLine="288"/>
        <w:jc w:val="both"/>
      </w:pPr>
      <w:r>
        <w:t xml:space="preserve">The taxpayer made several arguments for the proposition that the portion of the award paid to his attorney was not includable in his Gross Income in the first place, but the Supreme Court rejected them all. For example, the Court rejected the argument that the victim had created a “partnership” with his attorney with respect to the claim and that each partner was simply including his share of the partnership’s Gross Income. The Court also rejected the argument that state attorney lien laws effectively assigned the award to the attorney to the extent of his fees. The Court rejected these arguments because the cause of action belonged wholly to the injured plaintiff and could not be sold or assigned as a property right, either privately or by operation of state attorney lien statutes. With respect to the latter, the Court reasoned that state attorney lien statutes merely provide attorneys with a security interest in their clients’ awards in order to ensure prompt payment of their fees. Finally, the Court also rejected the argument that the fee arrangement resulted in a successful assignment of income under the assignment-of-income doctrine. Citing </w:t>
      </w:r>
      <w:r>
        <w:rPr>
          <w:i/>
          <w:iCs/>
        </w:rPr>
        <w:t>Lucas v. Earl</w:t>
      </w:r>
      <w:r>
        <w:t xml:space="preserve"> and </w:t>
      </w:r>
      <w:r>
        <w:rPr>
          <w:i/>
          <w:iCs/>
        </w:rPr>
        <w:t>Horst</w:t>
      </w:r>
      <w:r>
        <w:t xml:space="preserve">, among other cases that you studied in Chapter 8, the Court concluded that Mr. Banks “cannot exclude an economic gain from Gross Income by assigning the gain in advance to another party.” At bottom, the Court concluded that Mr. Banks merely paid his attorney for services rendered from his (100% includable) damage award, just as our dentist John paid his dental assistant for services rendered from his (100% includable) patient receipts. If these costs are categorized as “expenses,” neither Mr. Banks nor John can net together the inflow and outflow and include only the net profit as “Gross Income” in the first place. </w:t>
      </w:r>
    </w:p>
    <w:p w:rsidR="0078310B" w:rsidRDefault="0078310B" w:rsidP="0078310B">
      <w:pPr>
        <w:widowControl w:val="0"/>
        <w:spacing w:after="120"/>
        <w:ind w:firstLine="288"/>
        <w:jc w:val="both"/>
      </w:pPr>
      <w:r>
        <w:t xml:space="preserve">But is Mr. Banks and our dentist John really in the same position in view of Mr. Banks’s deduction denial under § 56(b)(1)(A)(i) of the AMT? After all, John can </w:t>
      </w:r>
      <w:r w:rsidR="00B878E7">
        <w:t xml:space="preserve">clearly </w:t>
      </w:r>
      <w:r>
        <w:t xml:space="preserve">fully deduct his dental assistant salary under § 162 </w:t>
      </w:r>
      <w:r w:rsidR="00B3540A">
        <w:t xml:space="preserve">(above the line under § 62) </w:t>
      </w:r>
      <w:r>
        <w:t xml:space="preserve">without limit. </w:t>
      </w:r>
    </w:p>
    <w:p w:rsidR="0078310B" w:rsidRDefault="0078310B" w:rsidP="0078310B">
      <w:pPr>
        <w:widowControl w:val="0"/>
        <w:spacing w:after="120"/>
        <w:ind w:firstLine="288"/>
        <w:jc w:val="both"/>
      </w:pPr>
      <w:r>
        <w:t xml:space="preserve">As a matter of SHS income tax theory, disallowance of Mr. Banks’s costs, which directly produced </w:t>
      </w:r>
      <w:r w:rsidRPr="00FC4A0A">
        <w:rPr>
          <w:i/>
        </w:rPr>
        <w:t>includable Gross Income</w:t>
      </w:r>
      <w: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FC4A0A">
        <w:rPr>
          <w:i/>
        </w:rPr>
        <w:t>fully</w:t>
      </w:r>
      <w:r>
        <w:t xml:space="preserve"> included in the tax base without an explicit deduction (or basis offset) that effectively reduces the amount taxed to a net profit. </w:t>
      </w:r>
    </w:p>
    <w:p w:rsidR="0078310B" w:rsidRDefault="0078310B" w:rsidP="0078310B">
      <w:pPr>
        <w:widowControl w:val="0"/>
        <w:spacing w:after="120"/>
        <w:ind w:firstLine="288"/>
        <w:jc w:val="both"/>
      </w:pPr>
      <w:r>
        <w:t xml:space="preserve">Congress could have cured this problem entirely in several ways. If the costs must be considered “expenses,” Congress could have either made all such expense deductions “above the line” under § 62 or, if they must be itemized, amended § 56(a)(1)(A) so that MIDs with a direct and clear connection to includable Gross Income are allowed under the AMT. </w:t>
      </w:r>
    </w:p>
    <w:p w:rsidR="0078310B" w:rsidRDefault="0078310B" w:rsidP="0078310B">
      <w:pPr>
        <w:widowControl w:val="0"/>
        <w:spacing w:after="120"/>
        <w:ind w:firstLine="288"/>
        <w:jc w:val="both"/>
      </w:pPr>
      <w:r>
        <w:t xml:space="preserve">There is another way to think about this issue, however. As a theoretical matter, an alternative analysis would categorize these attorney fees as capital expenditures that create basis in the (hoped-for) damage award, rather than as current expenses. By analogy, see </w:t>
      </w:r>
      <w:hyperlink r:id="rId890" w:history="1">
        <w:r w:rsidRPr="00857F58">
          <w:rPr>
            <w:rStyle w:val="Hyperlink"/>
          </w:rPr>
          <w:t>Treas. Reg. §§ 1.263(a)-2</w:t>
        </w:r>
      </w:hyperlink>
      <w:r>
        <w:t xml:space="preserve">(f)(3) and </w:t>
      </w:r>
      <w:hyperlink r:id="rId891" w:history="1">
        <w:r w:rsidRPr="00857F58">
          <w:rPr>
            <w:rStyle w:val="Hyperlink"/>
          </w:rPr>
          <w:t>-4</w:t>
        </w:r>
      </w:hyperlink>
      <w:r>
        <w:t xml:space="preserve">(e) (requiring certain transaction costs to be capitalized rather than treated as expenses). If the award comes to fruition, the basis would then offset the gross award, with only the </w:t>
      </w:r>
      <w:r w:rsidRPr="0056149A">
        <w:t>excess i</w:t>
      </w:r>
      <w:r>
        <w:t>ncluded in § 61 Gross Income—just as, on the sale of Blackacre described earlier, only the excess of the $150 amount realized over Blackacre’s $100 basis is includable in § 61 Gross Income in the first place. If the award does not come to fruition, any basis created by a payment of attorney fees (in the situation not involving a contingent fee arrangement, where the attorney can go entirely u</w:t>
      </w:r>
      <w:r w:rsidR="00857F58">
        <w:t>npaid in an unsuccessful suit) w</w:t>
      </w:r>
      <w:r>
        <w:t xml:space="preserve">ould be deducted as a “loss” under </w:t>
      </w:r>
      <w:hyperlink r:id="rId892" w:history="1">
        <w:r w:rsidRPr="00857F58">
          <w:rPr>
            <w:rStyle w:val="Hyperlink"/>
          </w:rPr>
          <w:t>§ 165</w:t>
        </w:r>
      </w:hyperlink>
      <w:r>
        <w:t xml:space="preserve">(c)(2). (Remember that a § 165 “loss” deduction </w:t>
      </w:r>
      <w:r w:rsidRPr="006225E3">
        <w:rPr>
          <w:i/>
        </w:rPr>
        <w:t>is</w:t>
      </w:r>
      <w:r>
        <w:t xml:space="preserve"> a deduction of unrecovered basis.)</w:t>
      </w:r>
    </w:p>
    <w:p w:rsidR="0078310B" w:rsidRDefault="0078310B" w:rsidP="0078310B">
      <w:pPr>
        <w:widowControl w:val="0"/>
        <w:spacing w:after="120"/>
        <w:ind w:firstLine="288"/>
        <w:jc w:val="both"/>
      </w:pPr>
      <w:r>
        <w:t xml:space="preserve">Because the outlay for attorney fees incurred because of a </w:t>
      </w:r>
      <w:r w:rsidRPr="00DF340C">
        <w:rPr>
          <w:i/>
        </w:rPr>
        <w:t>single litigated case</w:t>
      </w:r>
      <w:r>
        <w:t xml:space="preserve"> is so closely and intimately linked to </w:t>
      </w:r>
      <w:r w:rsidRPr="00DF340C">
        <w:rPr>
          <w:i/>
        </w:rPr>
        <w:t>that particular hoped-for receipt</w:t>
      </w:r>
      <w:r>
        <w:t xml:space="preserve">, this argument is entirely persuasive, in my view. These costs are unlike those incurred by John for his dental assistant’s salary, where the connection between a particular patient’s payment and the dental assistant’s salary is tenuous, making the “deduction” route (rather than the “basis offset” route) the only administratively feasible one. Unfortunately, this argument was not developed at the trial or Court of Appeals stage in </w:t>
      </w:r>
      <w:r>
        <w:rPr>
          <w:i/>
        </w:rPr>
        <w:t xml:space="preserve">Banks </w:t>
      </w:r>
      <w:r>
        <w:t xml:space="preserve">but was made in </w:t>
      </w:r>
      <w:r w:rsidRPr="00770C0F">
        <w:rPr>
          <w:i/>
        </w:rPr>
        <w:t>amicus</w:t>
      </w:r>
      <w:r>
        <w:t xml:space="preserve"> briefs for the first time only at the Supreme Court level, which is why the Court declined to consider it at that late date. </w:t>
      </w:r>
    </w:p>
    <w:p w:rsidR="0078310B" w:rsidRDefault="0078310B" w:rsidP="0078310B">
      <w:pPr>
        <w:widowControl w:val="0"/>
        <w:spacing w:after="120"/>
        <w:ind w:firstLine="288"/>
        <w:jc w:val="both"/>
      </w:pPr>
      <w:r>
        <w:t xml:space="preserve">Could a lower court adopt this reasoning now in a newly litigated case where the basis argument is well developed? Congress may have implicitly concluded that these outlays are “expenses” rather than “capital expenditures” creating basis in the future income stream as a matter of law when it amended </w:t>
      </w:r>
      <w:hyperlink r:id="rId893" w:history="1">
        <w:r w:rsidRPr="00621B3C">
          <w:rPr>
            <w:rStyle w:val="Hyperlink"/>
          </w:rPr>
          <w:t>§ 62</w:t>
        </w:r>
      </w:hyperlink>
      <w:r>
        <w:t xml:space="preserve"> by adding subsections (a)(20) and (e), providing that §§ 162 or 212 expense deductions for attorney fees incurred in certain types of cases are now deductible above the line, rather than as Itemized Deductions. These new provisions would solve the problem for Mr. Banks if his case arose today.</w:t>
      </w:r>
      <w:r>
        <w:rPr>
          <w:rStyle w:val="FootnoteReference"/>
        </w:rPr>
        <w:footnoteReference w:id="582"/>
      </w:r>
      <w:r>
        <w:t xml:space="preserve"> But this remedy is woefully incomplete. What about attorney fees paid in settlement of a suit for, say, personal defamation? Attorney fees allocable to </w:t>
      </w:r>
      <w:r w:rsidR="00621B3C">
        <w:t xml:space="preserve">the </w:t>
      </w:r>
      <w:r>
        <w:t xml:space="preserve">includable punitive damages </w:t>
      </w:r>
      <w:r w:rsidR="00621B3C">
        <w:t xml:space="preserve">portion </w:t>
      </w:r>
      <w:r>
        <w:t>in a physical injury case? Can a taxpayer develop the “basis offset” argument in a new case today, or is the § 62 amendment an implicit rejection of the “basis offset” argument in favor of an “expense deduction” approach? We have seen this “negative inference” problem—a common one in statutory interpretation—ma</w:t>
      </w:r>
      <w:r w:rsidR="00621B3C">
        <w:t>n</w:t>
      </w:r>
      <w:r>
        <w:t>y times before in this course.</w:t>
      </w:r>
    </w:p>
    <w:p w:rsidR="0078310B" w:rsidRDefault="0078310B" w:rsidP="0078310B">
      <w:pPr>
        <w:widowControl w:val="0"/>
        <w:ind w:firstLine="288"/>
        <w:jc w:val="both"/>
      </w:pPr>
      <w:r>
        <w:t>Before embarking on the case below, review</w:t>
      </w:r>
      <w:r w:rsidR="008F2466">
        <w:t xml:space="preserve"> the second paragraph under “Discussion” in </w:t>
      </w:r>
      <w:r>
        <w:rPr>
          <w:i/>
        </w:rPr>
        <w:t>Reynolds v. Commissioner</w:t>
      </w:r>
      <w:r w:rsidR="008F2466">
        <w:t xml:space="preserve">, found </w:t>
      </w:r>
      <w:r>
        <w:t xml:space="preserve">in Part C. of Chapter 9. </w:t>
      </w:r>
      <w:r w:rsidR="008F2466">
        <w:t xml:space="preserve">That paragraph </w:t>
      </w:r>
      <w:r>
        <w:t xml:space="preserve">provides that an initial consideration in determining the tax consequences of settlement proceeds is to determine the nature of the claim for which the settlement proceeds are received. In </w:t>
      </w:r>
      <w:r>
        <w:rPr>
          <w:i/>
        </w:rPr>
        <w:t>Amos</w:t>
      </w:r>
      <w:r>
        <w:t xml:space="preserve">, below, the court decided that the settlement was only partly received on account of the physical injury claim. What was the nature of the remaining payment? And how does the court allocate the settlement amount between these two components? </w:t>
      </w:r>
    </w:p>
    <w:p w:rsidR="0078310B" w:rsidRPr="005035B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17" w:name="_Toc395790613"/>
      <w:r>
        <w:t>AMOS v. COMMISSIONER</w:t>
      </w:r>
      <w:bookmarkEnd w:id="317"/>
    </w:p>
    <w:p w:rsidR="0078310B" w:rsidRDefault="0078310B" w:rsidP="0078310B">
      <w:pPr>
        <w:widowControl w:val="0"/>
        <w:jc w:val="center"/>
      </w:pPr>
      <w:r>
        <w:t>T.C. Memo. 2003-329</w:t>
      </w:r>
    </w:p>
    <w:p w:rsidR="0078310B" w:rsidRDefault="0078310B" w:rsidP="0078310B">
      <w:pPr>
        <w:widowControl w:val="0"/>
        <w:jc w:val="center"/>
      </w:pPr>
    </w:p>
    <w:p w:rsidR="0078310B" w:rsidRPr="00002E71" w:rsidRDefault="0078310B" w:rsidP="0078310B">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rsidR="0078310B" w:rsidRPr="00002E71" w:rsidRDefault="0078310B" w:rsidP="0078310B">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94"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rsidR="0078310B" w:rsidRPr="00002E71" w:rsidRDefault="0078310B" w:rsidP="0078310B">
      <w:pPr>
        <w:widowControl w:val="0"/>
        <w:spacing w:after="120"/>
        <w:jc w:val="both"/>
      </w:pPr>
      <w:r w:rsidRPr="00002E71">
        <w:t>FINDINGS OF FACT</w:t>
      </w:r>
    </w:p>
    <w:p w:rsidR="0078310B" w:rsidRPr="00002E71" w:rsidRDefault="0078310B" w:rsidP="0078310B">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rsidR="0078310B" w:rsidRPr="00002E71" w:rsidRDefault="0078310B" w:rsidP="0078310B">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rsidR="0078310B" w:rsidRPr="00002E71" w:rsidRDefault="0078310B" w:rsidP="0078310B">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rsidR="0078310B" w:rsidRPr="00002E71" w:rsidRDefault="0078310B" w:rsidP="0078310B">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rsidR="0078310B" w:rsidRPr="00002E71" w:rsidRDefault="0078310B" w:rsidP="0078310B">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rsidR="0078310B" w:rsidRPr="00002E71" w:rsidRDefault="0078310B" w:rsidP="0078310B">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rsidR="0078310B" w:rsidRPr="00002E71" w:rsidRDefault="0078310B" w:rsidP="0078310B">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rsidR="0078310B" w:rsidRPr="00002E71" w:rsidRDefault="0078310B" w:rsidP="0078310B">
      <w:pPr>
        <w:widowControl w:val="0"/>
        <w:spacing w:after="120"/>
        <w:ind w:left="720" w:right="720"/>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rsidR="0078310B" w:rsidRPr="00002E71" w:rsidRDefault="0078310B" w:rsidP="0078310B">
      <w:pPr>
        <w:widowControl w:val="0"/>
        <w:spacing w:after="120"/>
        <w:ind w:left="720" w:right="720"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rsidR="0078310B" w:rsidRPr="00002E71" w:rsidRDefault="0078310B" w:rsidP="0078310B">
      <w:pPr>
        <w:widowControl w:val="0"/>
        <w:spacing w:after="120"/>
        <w:ind w:left="720" w:right="720" w:firstLine="288"/>
        <w:jc w:val="both"/>
      </w:pPr>
      <w:r w:rsidRPr="00002E71">
        <w:t>           *   *   *   *   *   *   *</w:t>
      </w:r>
    </w:p>
    <w:p w:rsidR="0078310B" w:rsidRPr="00002E71" w:rsidRDefault="0078310B" w:rsidP="0078310B">
      <w:pPr>
        <w:widowControl w:val="0"/>
        <w:spacing w:after="120"/>
        <w:ind w:left="720" w:right="720"/>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rsidR="0078310B" w:rsidRPr="00002E71" w:rsidRDefault="0078310B" w:rsidP="0078310B">
      <w:pPr>
        <w:widowControl w:val="0"/>
        <w:spacing w:after="120"/>
        <w:ind w:left="720" w:right="720"/>
        <w:jc w:val="both"/>
      </w:pPr>
      <w:r w:rsidRPr="00002E71">
        <w:t>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rsidR="0078310B" w:rsidRPr="00002E71" w:rsidRDefault="0078310B" w:rsidP="0078310B">
      <w:pPr>
        <w:widowControl w:val="0"/>
        <w:spacing w:after="120"/>
        <w:ind w:left="720" w:right="720"/>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rsidR="0078310B" w:rsidRPr="00002E71" w:rsidRDefault="0078310B" w:rsidP="0078310B">
      <w:pPr>
        <w:widowControl w:val="0"/>
        <w:spacing w:after="120"/>
        <w:ind w:left="720" w:right="720"/>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rsidR="0078310B" w:rsidRPr="00002E71" w:rsidRDefault="0078310B" w:rsidP="0078310B">
      <w:pPr>
        <w:widowControl w:val="0"/>
        <w:spacing w:after="120"/>
        <w:ind w:left="720" w:right="720"/>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rsidR="0078310B" w:rsidRPr="00002E71" w:rsidRDefault="0078310B" w:rsidP="0078310B">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rsidR="0078310B" w:rsidRPr="00002E71" w:rsidRDefault="0078310B" w:rsidP="0078310B">
      <w:pPr>
        <w:widowControl w:val="0"/>
        <w:spacing w:after="120"/>
        <w:jc w:val="both"/>
      </w:pPr>
      <w:r w:rsidRPr="00002E71">
        <w:t>OPINION</w:t>
      </w:r>
    </w:p>
    <w:p w:rsidR="0078310B" w:rsidRPr="00002E71" w:rsidRDefault="0078310B" w:rsidP="0078310B">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95" w:history="1">
        <w:r w:rsidRPr="00002E71">
          <w:t>Rule 142(a)</w:t>
        </w:r>
      </w:hyperlink>
      <w:r w:rsidRPr="00002E71">
        <w:t xml:space="preserve">; </w:t>
      </w:r>
      <w:hyperlink r:id="rId896" w:history="1">
        <w:r w:rsidRPr="007A2DA7">
          <w:rPr>
            <w:i/>
          </w:rPr>
          <w:t>Welch v. Helvering</w:t>
        </w:r>
        <w:r w:rsidRPr="00002E71">
          <w:t>, 290 U.S. 111, 115, 78 L. Ed. 212, 54 S. Ct. 8 (1933)</w:t>
        </w:r>
      </w:hyperlink>
      <w:r w:rsidRPr="00002E71">
        <w:t>.</w:t>
      </w:r>
    </w:p>
    <w:p w:rsidR="0078310B" w:rsidRPr="00002E71" w:rsidRDefault="002B3596" w:rsidP="0078310B">
      <w:pPr>
        <w:widowControl w:val="0"/>
        <w:spacing w:after="120"/>
        <w:ind w:firstLine="288"/>
        <w:jc w:val="both"/>
      </w:pPr>
      <w:hyperlink r:id="rId897" w:history="1">
        <w:r w:rsidR="0078310B" w:rsidRPr="00002E71">
          <w:t>Section 61(a)</w:t>
        </w:r>
      </w:hyperlink>
      <w:r w:rsidR="0078310B" w:rsidRPr="00002E71">
        <w:t xml:space="preserve"> provides the following sweeping definition of the term “</w:t>
      </w:r>
      <w:r w:rsidR="0078310B">
        <w:t>Gross Income</w:t>
      </w:r>
      <w:r w:rsidR="0078310B" w:rsidRPr="00002E71">
        <w:t xml:space="preserve">”: “Except as otherwise provided in this subtitle, </w:t>
      </w:r>
      <w:r w:rsidR="0078310B">
        <w:t>Gross Income</w:t>
      </w:r>
      <w:r w:rsidR="0078310B" w:rsidRPr="00002E71">
        <w:t xml:space="preserve"> means all income from whatever source derived</w:t>
      </w:r>
      <w:r w:rsidR="0078310B">
        <w:t>.</w:t>
      </w:r>
      <w:r w:rsidR="0078310B" w:rsidRPr="00002E71">
        <w:t xml:space="preserve">” Not only is </w:t>
      </w:r>
      <w:hyperlink r:id="rId898" w:history="1">
        <w:r w:rsidR="0078310B" w:rsidRPr="00002E71">
          <w:t>section 61(a)</w:t>
        </w:r>
      </w:hyperlink>
      <w:r w:rsidR="0078310B" w:rsidRPr="00002E71">
        <w:t xml:space="preserve"> broad in its scope, </w:t>
      </w:r>
      <w:hyperlink r:id="rId899" w:history="1">
        <w:r w:rsidR="0078310B" w:rsidRPr="007A2DA7">
          <w:rPr>
            <w:i/>
          </w:rPr>
          <w:t>Commissioner v. Schleier</w:t>
        </w:r>
        <w:r w:rsidR="0078310B" w:rsidRPr="00002E71">
          <w:t>, 515 U.S. 323, 328, 132 L. Ed. 2d 294, 115 S. Ct. 2159 (1995)</w:t>
        </w:r>
      </w:hyperlink>
      <w:r w:rsidR="0078310B" w:rsidRPr="00002E71">
        <w:t xml:space="preserve">, exclusions from </w:t>
      </w:r>
      <w:r w:rsidR="0078310B">
        <w:t>Gross Income</w:t>
      </w:r>
      <w:r w:rsidR="0078310B" w:rsidRPr="00002E71">
        <w:t xml:space="preserve"> must be narrowly construed, </w:t>
      </w:r>
      <w:r w:rsidR="0078310B" w:rsidRPr="007A2DA7">
        <w:rPr>
          <w:i/>
        </w:rPr>
        <w:t>id.</w:t>
      </w:r>
      <w:r w:rsidR="0078310B" w:rsidRPr="00002E71">
        <w:t xml:space="preserve">; </w:t>
      </w:r>
      <w:hyperlink r:id="rId900" w:history="1">
        <w:r w:rsidR="0078310B">
          <w:rPr>
            <w:i/>
          </w:rPr>
          <w:t>U.S.</w:t>
        </w:r>
        <w:r w:rsidR="0078310B" w:rsidRPr="007A2DA7">
          <w:rPr>
            <w:i/>
          </w:rPr>
          <w:t xml:space="preserve"> v. Burke</w:t>
        </w:r>
        <w:r w:rsidR="0078310B" w:rsidRPr="00002E71">
          <w:t>, 504 U.S. 229, 248, 119 L. Ed. 2d 34, 112 S. Ct. 1867 (1992)</w:t>
        </w:r>
      </w:hyperlink>
      <w:r w:rsidR="0078310B" w:rsidRPr="00002E71">
        <w:t>.</w:t>
      </w:r>
    </w:p>
    <w:p w:rsidR="0078310B" w:rsidRPr="00002E71" w:rsidRDefault="002B3596" w:rsidP="0078310B">
      <w:pPr>
        <w:widowControl w:val="0"/>
        <w:spacing w:after="120"/>
        <w:ind w:firstLine="288"/>
        <w:jc w:val="both"/>
      </w:pPr>
      <w:hyperlink r:id="rId901" w:history="1">
        <w:r w:rsidR="0078310B" w:rsidRPr="00002E71">
          <w:t>Section 104(a)(2)</w:t>
        </w:r>
      </w:hyperlink>
      <w:r w:rsidR="0078310B" w:rsidRPr="00002E71">
        <w:t xml:space="preserve"> on which petitioner relies provides that </w:t>
      </w:r>
      <w:r w:rsidR="0078310B">
        <w:t>Gross Income</w:t>
      </w:r>
      <w:r w:rsidR="0078310B" w:rsidRPr="00002E71">
        <w:t xml:space="preserve"> does not include:</w:t>
      </w:r>
    </w:p>
    <w:p w:rsidR="0078310B" w:rsidRPr="00002E71" w:rsidRDefault="0078310B" w:rsidP="0078310B">
      <w:pPr>
        <w:widowControl w:val="0"/>
        <w:spacing w:after="120"/>
        <w:ind w:left="720" w:right="720"/>
        <w:jc w:val="both"/>
      </w:pPr>
      <w:r w:rsidRPr="00002E71">
        <w:t>(2) the amount of any damages (other than punitive damages) received (whether by suit or agreement and whether as lump sums or as periodic payments) on account of personal physical injuries or physical sickness;</w:t>
      </w:r>
    </w:p>
    <w:p w:rsidR="0078310B" w:rsidRPr="00002E71" w:rsidRDefault="0078310B" w:rsidP="0078310B">
      <w:pPr>
        <w:widowControl w:val="0"/>
        <w:spacing w:after="120"/>
        <w:ind w:firstLine="288"/>
        <w:jc w:val="both"/>
      </w:pPr>
      <w:r w:rsidRPr="00002E71">
        <w:t xml:space="preserve">Where damages are received pursuant to a settlement agreement, such as is the case here, the nature of the claim that was the actual basis for settlement controls whether such damages are excludable under </w:t>
      </w:r>
      <w:hyperlink r:id="rId902" w:history="1">
        <w:r w:rsidRPr="00002E71">
          <w:t>section 104(a)(2)</w:t>
        </w:r>
      </w:hyperlink>
      <w:r w:rsidRPr="00002E71">
        <w:t xml:space="preserve">. </w:t>
      </w:r>
      <w:hyperlink r:id="rId903"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904"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905" w:history="1">
        <w:r w:rsidRPr="00002E71">
          <w:t>70 F.3d 34 (5th Cir. 1995)</w:t>
        </w:r>
      </w:hyperlink>
      <w:r w:rsidRPr="00002E71">
        <w:t xml:space="preserve">; </w:t>
      </w:r>
      <w:hyperlink r:id="rId906"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907" w:history="1">
        <w:r>
          <w:rPr>
            <w:i/>
          </w:rPr>
          <w:t>Knuckles v. Comm’</w:t>
        </w:r>
        <w:r w:rsidRPr="007A2DA7">
          <w:rPr>
            <w:i/>
          </w:rPr>
          <w:t>r</w:t>
        </w:r>
        <w:r w:rsidRPr="00002E71">
          <w:t>, 349 F.2d 610, 613 (10th Cir. 1965)</w:t>
        </w:r>
      </w:hyperlink>
      <w:r w:rsidRPr="00002E71">
        <w:t xml:space="preserve">, affg. </w:t>
      </w:r>
      <w:hyperlink r:id="rId908"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909"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910" w:history="1">
        <w:r>
          <w:rPr>
            <w:i/>
          </w:rPr>
          <w:t>Agar v. Comm’</w:t>
        </w:r>
        <w:r w:rsidRPr="007A2DA7">
          <w:rPr>
            <w:i/>
          </w:rPr>
          <w:t>r</w:t>
        </w:r>
        <w:r w:rsidRPr="00002E71">
          <w:t>, 290 F.2d 283, 284 (2d Cir. 1961)</w:t>
        </w:r>
      </w:hyperlink>
      <w:r w:rsidRPr="00002E71">
        <w:t xml:space="preserve">, affg. per curiam </w:t>
      </w:r>
      <w:hyperlink r:id="rId911"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912" w:history="1">
        <w:r>
          <w:rPr>
            <w:i/>
          </w:rPr>
          <w:t>Agar v. Comm’</w:t>
        </w:r>
        <w:r w:rsidRPr="007A2DA7">
          <w:rPr>
            <w:i/>
          </w:rPr>
          <w:t>r</w:t>
        </w:r>
        <w:r w:rsidRPr="00002E71">
          <w:t xml:space="preserve">, </w:t>
        </w:r>
        <w:r w:rsidRPr="007A2DA7">
          <w:rPr>
            <w:i/>
          </w:rPr>
          <w:t>supra</w:t>
        </w:r>
      </w:hyperlink>
      <w:r w:rsidRPr="00002E71">
        <w:t xml:space="preserve">; </w:t>
      </w:r>
      <w:hyperlink r:id="rId913" w:history="1">
        <w:r>
          <w:rPr>
            <w:i/>
          </w:rPr>
          <w:t>Fono v. Comm’</w:t>
        </w:r>
        <w:r w:rsidRPr="007A2DA7">
          <w:rPr>
            <w:i/>
          </w:rPr>
          <w:t>r</w:t>
        </w:r>
        <w:r w:rsidRPr="00002E71">
          <w:t>, 79 T.C. 680, 696 (1982)</w:t>
        </w:r>
      </w:hyperlink>
      <w:r w:rsidRPr="00002E71">
        <w:t xml:space="preserve">, affd. without published opinion </w:t>
      </w:r>
      <w:hyperlink r:id="rId914" w:history="1">
        <w:r w:rsidRPr="00002E71">
          <w:t>749 F.2d 37 (9th Cir. 1984)</w:t>
        </w:r>
      </w:hyperlink>
      <w:r w:rsidRPr="00002E71">
        <w:t xml:space="preserve">. Whether the settlement payment is excludable from </w:t>
      </w:r>
      <w:r>
        <w:t>Gross Income</w:t>
      </w:r>
      <w:r w:rsidRPr="00002E71">
        <w:t xml:space="preserve"> under </w:t>
      </w:r>
      <w:hyperlink r:id="rId915"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916" w:history="1">
        <w:r>
          <w:rPr>
            <w:i/>
          </w:rPr>
          <w:t>Bent v. Comm’</w:t>
        </w:r>
        <w:r w:rsidRPr="007A2DA7">
          <w:rPr>
            <w:i/>
          </w:rPr>
          <w:t>r</w:t>
        </w:r>
        <w:r w:rsidRPr="00002E71">
          <w:t>, 87 T.C. 236, 244 (1986)</w:t>
        </w:r>
      </w:hyperlink>
      <w:r w:rsidRPr="00002E71">
        <w:t xml:space="preserve">, affd. </w:t>
      </w:r>
      <w:hyperlink r:id="rId917" w:history="1">
        <w:r w:rsidRPr="00002E71">
          <w:t>835 F.2d 67 (3d Cir. 1987)</w:t>
        </w:r>
      </w:hyperlink>
      <w:r w:rsidRPr="00002E71">
        <w:t xml:space="preserve">; </w:t>
      </w:r>
      <w:hyperlink r:id="rId918" w:history="1">
        <w:r>
          <w:rPr>
            <w:i/>
          </w:rPr>
          <w:t>Glynn v. Comm’</w:t>
        </w:r>
        <w:r w:rsidRPr="007A2DA7">
          <w:rPr>
            <w:i/>
          </w:rPr>
          <w:t>r</w:t>
        </w:r>
        <w:r w:rsidRPr="00002E71">
          <w:t>, 76 T.C. 116, 119 (1981)</w:t>
        </w:r>
      </w:hyperlink>
      <w:r w:rsidRPr="00002E71">
        <w:t xml:space="preserve">, affd. without published opinion </w:t>
      </w:r>
      <w:hyperlink r:id="rId919" w:history="1">
        <w:r w:rsidRPr="00002E71">
          <w:t>676 F.2d 682 (1st Cir. 1982)</w:t>
        </w:r>
      </w:hyperlink>
      <w:r w:rsidRPr="00002E71">
        <w:t xml:space="preserve">; </w:t>
      </w:r>
      <w:hyperlink r:id="rId920" w:history="1">
        <w:r w:rsidRPr="007A2DA7">
          <w:rPr>
            <w:i/>
          </w:rPr>
          <w:t>Seay v. C</w:t>
        </w:r>
        <w:r>
          <w:rPr>
            <w:i/>
          </w:rPr>
          <w:t>omm’</w:t>
        </w:r>
        <w:r w:rsidRPr="007A2DA7">
          <w:rPr>
            <w:i/>
          </w:rPr>
          <w:t>r</w:t>
        </w:r>
        <w:r w:rsidRPr="00002E71">
          <w:t xml:space="preserve">, </w:t>
        </w:r>
        <w:r w:rsidRPr="007A2DA7">
          <w:rPr>
            <w:i/>
          </w:rPr>
          <w:t>supra</w:t>
        </w:r>
        <w:r w:rsidRPr="00002E71">
          <w:t>.</w:t>
        </w:r>
      </w:hyperlink>
    </w:p>
    <w:p w:rsidR="0078310B" w:rsidRPr="00002E71" w:rsidRDefault="0078310B" w:rsidP="0078310B">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921"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rsidR="0078310B" w:rsidRPr="00002E71" w:rsidRDefault="0078310B" w:rsidP="0078310B">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rsidR="0078310B" w:rsidRPr="00002E71" w:rsidRDefault="0078310B" w:rsidP="0078310B">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922"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923" w:history="1">
        <w:r w:rsidRPr="00002E71">
          <w:t>section 104(a)(2)</w:t>
        </w:r>
      </w:hyperlink>
      <w:r w:rsidRPr="00002E71">
        <w:t xml:space="preserve">. </w:t>
      </w:r>
      <w:r w:rsidRPr="00742A65">
        <w:rPr>
          <w:i/>
        </w:rPr>
        <w:t>See</w:t>
      </w:r>
      <w:r w:rsidRPr="00002E71">
        <w:t xml:space="preserve"> </w:t>
      </w:r>
      <w:hyperlink r:id="rId924" w:history="1">
        <w:r>
          <w:rPr>
            <w:i/>
          </w:rPr>
          <w:t>Bent v. Comm’</w:t>
        </w:r>
        <w:r w:rsidRPr="00742A65">
          <w:rPr>
            <w:i/>
          </w:rPr>
          <w:t>r</w:t>
        </w:r>
        <w:r w:rsidRPr="00002E71">
          <w:t xml:space="preserve">, </w:t>
        </w:r>
        <w:r w:rsidRPr="00742A65">
          <w:rPr>
            <w:i/>
          </w:rPr>
          <w:t>supra</w:t>
        </w:r>
      </w:hyperlink>
      <w:r w:rsidRPr="00002E71">
        <w:t xml:space="preserve">; </w:t>
      </w:r>
      <w:hyperlink r:id="rId925" w:history="1">
        <w:r>
          <w:rPr>
            <w:i/>
          </w:rPr>
          <w:t>Glynn v. Comm’</w:t>
        </w:r>
        <w:r w:rsidRPr="00742A65">
          <w:rPr>
            <w:i/>
          </w:rPr>
          <w:t>r</w:t>
        </w:r>
        <w:r w:rsidRPr="00002E71">
          <w:t xml:space="preserve">, </w:t>
        </w:r>
        <w:r w:rsidRPr="00742A65">
          <w:rPr>
            <w:i/>
          </w:rPr>
          <w:t>supra</w:t>
        </w:r>
      </w:hyperlink>
      <w:r w:rsidRPr="00002E71">
        <w:t xml:space="preserve">; </w:t>
      </w:r>
      <w:hyperlink r:id="rId926"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rsidR="0078310B" w:rsidRPr="00002E71" w:rsidRDefault="0078310B" w:rsidP="0078310B">
      <w:pPr>
        <w:widowControl w:val="0"/>
        <w:spacing w:after="120"/>
        <w:ind w:firstLine="288"/>
        <w:jc w:val="both"/>
      </w:pPr>
      <w:r w:rsidRPr="00002E71">
        <w:t>With respect to respondent’s contention that Mr. Rodman did not intend to pay the settlement 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rsidR="0078310B" w:rsidRPr="00002E71" w:rsidRDefault="0078310B" w:rsidP="0078310B">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rsidR="0078310B" w:rsidRPr="00002E71" w:rsidRDefault="0078310B" w:rsidP="0078310B">
      <w:pPr>
        <w:widowControl w:val="0"/>
        <w:spacing w:after="120"/>
        <w:ind w:firstLine="288"/>
        <w:jc w:val="both"/>
      </w:pPr>
      <w:r w:rsidRPr="00002E71">
        <w:t>The settlement agreement expressly provided that Mr. Rodman’s payment of the settlement amount at issue</w:t>
      </w:r>
    </w:p>
    <w:p w:rsidR="0078310B" w:rsidRPr="00002E71" w:rsidRDefault="0078310B" w:rsidP="0078310B">
      <w:pPr>
        <w:widowControl w:val="0"/>
        <w:spacing w:after="120"/>
        <w:ind w:left="720" w:right="720"/>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rsidR="0078310B" w:rsidRPr="00002E71" w:rsidRDefault="0078310B" w:rsidP="0078310B">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rsidR="0078310B" w:rsidRPr="00002E71" w:rsidRDefault="0078310B" w:rsidP="0078310B">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rsidR="0078310B" w:rsidRPr="00002E71" w:rsidRDefault="0078310B" w:rsidP="0078310B">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issue and is required under section 61(a) to include in his </w:t>
      </w:r>
      <w:r>
        <w:t>Gross Income</w:t>
      </w:r>
      <w:r w:rsidRPr="00002E71">
        <w:t xml:space="preserve"> $80,000 of that amount.</w:t>
      </w:r>
    </w:p>
    <w:p w:rsidR="0078310B" w:rsidRDefault="0078310B" w:rsidP="0078310B">
      <w:pPr>
        <w:widowControl w:val="0"/>
        <w:jc w:val="center"/>
      </w:pPr>
      <w:r>
        <w:t>__________________________________</w:t>
      </w:r>
    </w:p>
    <w:p w:rsidR="0078310B" w:rsidRDefault="0078310B" w:rsidP="0078310B">
      <w:pPr>
        <w:pStyle w:val="Heading3"/>
        <w:spacing w:before="0" w:beforeAutospacing="0" w:after="0" w:afterAutospacing="0"/>
        <w:rPr>
          <w:b w:val="0"/>
        </w:rPr>
      </w:pPr>
      <w:bookmarkStart w:id="318" w:name="_Toc395790614"/>
    </w:p>
    <w:p w:rsidR="0078310B" w:rsidRDefault="0078310B" w:rsidP="0078310B">
      <w:pPr>
        <w:pStyle w:val="Heading3"/>
        <w:spacing w:before="0" w:beforeAutospacing="0" w:after="0" w:afterAutospacing="0"/>
        <w:jc w:val="center"/>
      </w:pPr>
      <w:r w:rsidRPr="001415E2">
        <w:rPr>
          <w:u w:val="single"/>
        </w:rPr>
        <w:t>Problems</w:t>
      </w:r>
      <w:bookmarkEnd w:id="318"/>
    </w:p>
    <w:p w:rsidR="0078310B" w:rsidRPr="00CF226B" w:rsidRDefault="0078310B" w:rsidP="0078310B">
      <w:pPr>
        <w:pStyle w:val="Heading3"/>
        <w:spacing w:before="0" w:beforeAutospacing="0" w:after="0" w:afterAutospacing="0"/>
      </w:pPr>
    </w:p>
    <w:p w:rsidR="0078310B" w:rsidRDefault="0078310B" w:rsidP="0078310B">
      <w:pPr>
        <w:widowControl w:val="0"/>
        <w:spacing w:after="120"/>
        <w:ind w:firstLine="288"/>
        <w:jc w:val="both"/>
      </w:pPr>
      <w:r>
        <w:rPr>
          <w:b/>
        </w:rPr>
        <w:t>1.</w:t>
      </w:r>
      <w:r>
        <w:t xml:space="preserve"> Confidentiality clauses like the one in </w:t>
      </w:r>
      <w:r>
        <w:rPr>
          <w:i/>
        </w:rPr>
        <w:t xml:space="preserve">Amos </w:t>
      </w:r>
      <w: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w:t>
      </w:r>
    </w:p>
    <w:p w:rsidR="0078310B" w:rsidRDefault="0078310B" w:rsidP="0078310B">
      <w:pPr>
        <w:widowControl w:val="0"/>
        <w:ind w:firstLine="288"/>
        <w:jc w:val="both"/>
      </w:pPr>
      <w:r>
        <w:t>In view of the Tax Court’s allocation, how would Mr. Amos have treated the amount paid to Ms. Pearson, his attorney, from the $200,000 award, which you should assume was 25% (or $50,000)? (As for Mr. Rodman’s possible business expense deduction for the $200,000 payment, stay tuned. We shall consider that issue in Chapter 20.) In particular, what would be the tax consequences if the attorney fee outlay is categorized as an “expense”? Review §</w:t>
      </w:r>
      <w:hyperlink r:id="rId927" w:history="1">
        <w:r w:rsidRPr="000E7BF8">
          <w:rPr>
            <w:rStyle w:val="Hyperlink"/>
          </w:rPr>
          <w:t>§ 162</w:t>
        </w:r>
      </w:hyperlink>
      <w:r>
        <w:t xml:space="preserve">(a), </w:t>
      </w:r>
      <w:hyperlink r:id="rId928" w:history="1">
        <w:r w:rsidRPr="000E7BF8">
          <w:rPr>
            <w:rStyle w:val="Hyperlink"/>
          </w:rPr>
          <w:t>212</w:t>
        </w:r>
      </w:hyperlink>
      <w:r>
        <w:t xml:space="preserve">(1), </w:t>
      </w:r>
      <w:hyperlink r:id="rId929" w:history="1">
        <w:r w:rsidRPr="000E7BF8">
          <w:rPr>
            <w:rStyle w:val="Hyperlink"/>
          </w:rPr>
          <w:t>62</w:t>
        </w:r>
      </w:hyperlink>
      <w:r>
        <w:t xml:space="preserve">(a)(20) and (e), </w:t>
      </w:r>
      <w:hyperlink r:id="rId930" w:history="1">
        <w:r w:rsidRPr="000E7BF8">
          <w:rPr>
            <w:rStyle w:val="Hyperlink"/>
          </w:rPr>
          <w:t>67</w:t>
        </w:r>
      </w:hyperlink>
      <w:r>
        <w:t xml:space="preserve">, </w:t>
      </w:r>
      <w:hyperlink r:id="rId931" w:history="1">
        <w:r w:rsidRPr="000E7BF8">
          <w:rPr>
            <w:rStyle w:val="Hyperlink"/>
          </w:rPr>
          <w:t>56</w:t>
        </w:r>
      </w:hyperlink>
      <w:r>
        <w:t xml:space="preserve">(b)(1)(A)(i), and </w:t>
      </w:r>
      <w:hyperlink r:id="rId932" w:history="1">
        <w:r w:rsidRPr="000E7BF8">
          <w:rPr>
            <w:rStyle w:val="Hyperlink"/>
          </w:rPr>
          <w:t>265</w:t>
        </w:r>
      </w:hyperlink>
      <w:r>
        <w:t xml:space="preserve">(a)(1). Alternatively, what would be the tax consequences of the attorney fee outlay if it is categorized as a nondeductible capital expenditure that creates basis, instead? </w:t>
      </w:r>
    </w:p>
    <w:p w:rsidR="0078310B" w:rsidRDefault="0078310B" w:rsidP="0078310B">
      <w:pPr>
        <w:widowControl w:val="0"/>
      </w:pPr>
    </w:p>
    <w:p w:rsidR="0078310B" w:rsidRDefault="0078310B" w:rsidP="0078310B">
      <w:pPr>
        <w:widowControl w:val="0"/>
        <w:spacing w:after="120"/>
        <w:ind w:firstLine="288"/>
        <w:jc w:val="both"/>
      </w:pPr>
      <w:r>
        <w:rPr>
          <w:b/>
        </w:rPr>
        <w:t>2.</w:t>
      </w:r>
      <w:r>
        <w:t xml:space="preserve"> Linda, a young business executive, is injured in Year 1 by a malfunctioning snow blower operated by her husband Larry.</w:t>
      </w:r>
      <w:r w:rsidR="000E7BF8">
        <w:t xml:space="preserve"> The blower’s blade flies</w:t>
      </w:r>
      <w:r>
        <w:t xml:space="preserve">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does suffer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w:t>
      </w:r>
    </w:p>
    <w:p w:rsidR="0078310B" w:rsidRDefault="0078310B" w:rsidP="0078310B">
      <w:pPr>
        <w:pStyle w:val="ListParagraph"/>
        <w:widowControl w:val="0"/>
        <w:numPr>
          <w:ilvl w:val="0"/>
          <w:numId w:val="42"/>
        </w:numPr>
        <w:ind w:left="648"/>
        <w:contextualSpacing w:val="0"/>
        <w:jc w:val="both"/>
      </w:pPr>
      <w:r>
        <w:t xml:space="preserve">$10 million in lost past and future income; </w:t>
      </w:r>
    </w:p>
    <w:p w:rsidR="0078310B" w:rsidRDefault="0078310B" w:rsidP="0078310B">
      <w:pPr>
        <w:pStyle w:val="ListParagraph"/>
        <w:widowControl w:val="0"/>
        <w:numPr>
          <w:ilvl w:val="0"/>
          <w:numId w:val="42"/>
        </w:numPr>
        <w:ind w:left="648"/>
        <w:contextualSpacing w:val="0"/>
        <w:jc w:val="both"/>
      </w:pPr>
      <w:r>
        <w:t xml:space="preserve">Reimbursement of $100,000 of medical expenses, $20,000 of which are properly deducted in Year 1 under § 213; </w:t>
      </w:r>
    </w:p>
    <w:p w:rsidR="0078310B" w:rsidRDefault="0078310B" w:rsidP="0078310B">
      <w:pPr>
        <w:pStyle w:val="ListParagraph"/>
        <w:widowControl w:val="0"/>
        <w:numPr>
          <w:ilvl w:val="0"/>
          <w:numId w:val="42"/>
        </w:numPr>
        <w:ind w:left="648"/>
        <w:contextualSpacing w:val="0"/>
        <w:jc w:val="both"/>
      </w:pPr>
      <w:r>
        <w:t xml:space="preserve">$20 million in pain and suffering; </w:t>
      </w:r>
    </w:p>
    <w:p w:rsidR="0078310B" w:rsidRDefault="0078310B" w:rsidP="0078310B">
      <w:pPr>
        <w:pStyle w:val="ListParagraph"/>
        <w:widowControl w:val="0"/>
        <w:numPr>
          <w:ilvl w:val="0"/>
          <w:numId w:val="42"/>
        </w:numPr>
        <w:ind w:left="648"/>
        <w:contextualSpacing w:val="0"/>
        <w:jc w:val="both"/>
      </w:pPr>
      <w:r>
        <w:t>$100,000 in loss of consortium for Larry; and</w:t>
      </w:r>
    </w:p>
    <w:p w:rsidR="0078310B" w:rsidRPr="00371571" w:rsidRDefault="0078310B" w:rsidP="0078310B">
      <w:pPr>
        <w:pStyle w:val="ListParagraph"/>
        <w:widowControl w:val="0"/>
        <w:numPr>
          <w:ilvl w:val="0"/>
          <w:numId w:val="42"/>
        </w:numPr>
        <w:spacing w:after="120"/>
        <w:ind w:left="648"/>
        <w:contextualSpacing w:val="0"/>
        <w:jc w:val="both"/>
      </w:pPr>
      <w:r>
        <w:t>$10 million in punitive damages.</w:t>
      </w:r>
    </w:p>
    <w:p w:rsidR="0078310B" w:rsidRDefault="0078310B" w:rsidP="0078310B">
      <w:pPr>
        <w:widowControl w:val="0"/>
        <w:jc w:val="both"/>
      </w:pPr>
      <w:r>
        <w:t xml:space="preserve">The case is tried before a jury in Year 3, which awards Linda and Larry $20 million in compensatory damages but no punitive damages. The manufacturer pays $15 million to Linda and Larry and $5 million to their lawyer under their contingent fee arrangement. Linda and Larry invest the $15 million in Treasury bonds maturing in 10 years, earning 2% annual interest. </w:t>
      </w:r>
    </w:p>
    <w:p w:rsidR="0078310B" w:rsidRDefault="0078310B" w:rsidP="0078310B">
      <w:pPr>
        <w:widowControl w:val="0"/>
      </w:pPr>
    </w:p>
    <w:p w:rsidR="0078310B" w:rsidRDefault="0078310B" w:rsidP="0078310B">
      <w:pPr>
        <w:widowControl w:val="0"/>
        <w:ind w:firstLine="288"/>
        <w:jc w:val="both"/>
      </w:pPr>
      <w:r>
        <w:rPr>
          <w:b/>
        </w:rPr>
        <w:t>3.</w:t>
      </w:r>
      <w:r>
        <w:t xml:space="preserve"> Same as </w:t>
      </w:r>
      <w:r>
        <w:rPr>
          <w:b/>
        </w:rPr>
        <w:t>2.</w:t>
      </w:r>
      <w:r>
        <w:t xml:space="preserve">, except that Linda and Larry settle with the manufacturer before trial for $20 million. Under their settlement agreement, (1) the entire amount is allocated to compensatory damages, with no part of the settlement allocated to punitive damages, (2) the manufacturer must pay $5 million of the $20 million to Linda and Larry’s lawyer, and (3) the manufacturer’s insurance company must purchase an annuity for $15 million, with Linda and Larry designated as the sole beneficiaries of the annuity, under which they will be paid annual payments for the next 10 years of approximately $1.67 million each year, reflecting a 2% return. </w:t>
      </w:r>
    </w:p>
    <w:p w:rsidR="0078310B" w:rsidRDefault="0078310B" w:rsidP="0078310B">
      <w:pPr>
        <w:widowControl w:val="0"/>
        <w:rPr>
          <w:b/>
        </w:rPr>
      </w:pPr>
    </w:p>
    <w:p w:rsidR="0078310B" w:rsidRDefault="0078310B" w:rsidP="0078310B">
      <w:pPr>
        <w:widowControl w:val="0"/>
        <w:ind w:firstLine="288"/>
        <w:jc w:val="both"/>
      </w:pPr>
      <w:r>
        <w:rPr>
          <w:b/>
        </w:rPr>
        <w:t>4.</w:t>
      </w:r>
      <w:r>
        <w:t xml:space="preserve"> Same as </w:t>
      </w:r>
      <w:r>
        <w:rPr>
          <w:b/>
        </w:rPr>
        <w:t>3.</w:t>
      </w:r>
      <w:r>
        <w:t>, except that the attorneys who drafted the settlement agreement fail to state that the settlement comprises entirely compensatory damages. What risk arises on this failure?</w:t>
      </w:r>
    </w:p>
    <w:p w:rsidR="0078310B" w:rsidRDefault="0078310B" w:rsidP="0078310B">
      <w:pPr>
        <w:widowControl w:val="0"/>
        <w:sectPr w:rsidR="0078310B" w:rsidSect="005337BA">
          <w:headerReference w:type="default" r:id="rId933"/>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CF226B" w:rsidRDefault="0078310B" w:rsidP="0078310B">
      <w:pPr>
        <w:pStyle w:val="Heading2"/>
        <w:spacing w:before="0"/>
        <w:rPr>
          <w:sz w:val="36"/>
          <w:szCs w:val="36"/>
          <w:u w:val="single"/>
        </w:rPr>
      </w:pPr>
      <w:bookmarkStart w:id="319" w:name="_Toc395790615"/>
      <w:r w:rsidRPr="00CF226B">
        <w:rPr>
          <w:sz w:val="36"/>
          <w:szCs w:val="36"/>
          <w:u w:val="single"/>
        </w:rPr>
        <w:t>Chapter 18: Homes, Health, Charity, and More</w:t>
      </w:r>
      <w:bookmarkEnd w:id="319"/>
    </w:p>
    <w:p w:rsidR="0078310B" w:rsidRDefault="0078310B" w:rsidP="0078310B">
      <w:pPr>
        <w:widowControl w:val="0"/>
        <w:spacing w:after="120"/>
      </w:pPr>
    </w:p>
    <w:p w:rsidR="0078310B" w:rsidRDefault="0078310B" w:rsidP="0078310B">
      <w:pPr>
        <w:widowControl w:val="0"/>
        <w:spacing w:after="120"/>
        <w:ind w:firstLine="288"/>
        <w:jc w:val="both"/>
      </w:pPr>
      <w:r>
        <w:t>This chapter considers a few of the largest and most important personal consumption tax expenditures that pertain to individuals. Below is the chart from Chapter 3, which lists a few of the more notable income tax expenditures aimed at individuals and their anticipated revenue costs for 2015 and from 2015-2019 (in billions).</w:t>
      </w:r>
      <w:r>
        <w:rPr>
          <w:rStyle w:val="FootnoteReference"/>
        </w:rPr>
        <w:footnoteReference w:id="583"/>
      </w:r>
    </w:p>
    <w:p w:rsidR="0078310B" w:rsidRDefault="0078310B" w:rsidP="0078310B">
      <w:pPr>
        <w:widowControl w:val="0"/>
        <w:spacing w:after="120"/>
        <w:ind w:firstLine="288"/>
        <w:jc w:val="both"/>
      </w:pPr>
      <w:r>
        <w:t xml:space="preserve">                                                                                                                   </w:t>
      </w:r>
      <w:r>
        <w:rPr>
          <w:u w:val="single"/>
        </w:rPr>
        <w:t>2015</w:t>
      </w:r>
      <w:r>
        <w:t xml:space="preserve">        </w:t>
      </w:r>
      <w:r>
        <w:rPr>
          <w:u w:val="single"/>
        </w:rPr>
        <w:t>2015-2019</w:t>
      </w:r>
    </w:p>
    <w:p w:rsidR="0078310B" w:rsidRDefault="0078310B" w:rsidP="0078310B">
      <w:pPr>
        <w:widowControl w:val="0"/>
        <w:jc w:val="both"/>
      </w:pPr>
      <w:r>
        <w:t>Employer-provided and individual retirement savings incentives               $149.4           $937.1</w:t>
      </w:r>
    </w:p>
    <w:p w:rsidR="0078310B" w:rsidRDefault="0078310B" w:rsidP="0078310B">
      <w:pPr>
        <w:widowControl w:val="0"/>
        <w:jc w:val="both"/>
      </w:pPr>
      <w:r>
        <w:t>Exclusion of employer-provided health care                                                 145.5             769.8</w:t>
      </w:r>
    </w:p>
    <w:p w:rsidR="0078310B" w:rsidRDefault="0078310B" w:rsidP="0078310B">
      <w:pPr>
        <w:widowControl w:val="0"/>
        <w:jc w:val="both"/>
      </w:pPr>
      <w:r>
        <w:t>Deductions for nonbusiness state income (or sales) and property taxes        133.2             762.1</w:t>
      </w:r>
    </w:p>
    <w:p w:rsidR="0078310B" w:rsidRDefault="0078310B" w:rsidP="0078310B">
      <w:pPr>
        <w:widowControl w:val="0"/>
        <w:jc w:val="both"/>
      </w:pPr>
      <w:r>
        <w:t>Reduced rate on net capital gain and qualified dividends                              131.7             689.6</w:t>
      </w:r>
    </w:p>
    <w:p w:rsidR="0078310B" w:rsidRDefault="0078310B" w:rsidP="0078310B">
      <w:pPr>
        <w:widowControl w:val="0"/>
        <w:jc w:val="both"/>
      </w:pPr>
      <w:r>
        <w:t>Deduction of mortgage interest on owner-occupied residences                      71.0              419.8</w:t>
      </w:r>
    </w:p>
    <w:p w:rsidR="0078310B" w:rsidRDefault="0078310B" w:rsidP="0078310B">
      <w:pPr>
        <w:widowControl w:val="0"/>
        <w:tabs>
          <w:tab w:val="left" w:pos="7200"/>
          <w:tab w:val="left" w:pos="8625"/>
        </w:tabs>
        <w:jc w:val="both"/>
      </w:pPr>
      <w:r>
        <w:t>Earned income tax credit                                                                                 72.7              371.4</w:t>
      </w:r>
    </w:p>
    <w:p w:rsidR="0078310B" w:rsidRDefault="0078310B" w:rsidP="0078310B">
      <w:pPr>
        <w:widowControl w:val="0"/>
        <w:tabs>
          <w:tab w:val="left" w:pos="7200"/>
          <w:tab w:val="left" w:pos="8625"/>
        </w:tabs>
        <w:jc w:val="both"/>
      </w:pPr>
      <w:r>
        <w:t>Step-up in basis at death                                                                                  32.4              171.3</w:t>
      </w:r>
    </w:p>
    <w:p w:rsidR="0078310B" w:rsidRDefault="0078310B" w:rsidP="0078310B">
      <w:pPr>
        <w:widowControl w:val="0"/>
        <w:tabs>
          <w:tab w:val="left" w:pos="7200"/>
          <w:tab w:val="left" w:pos="8625"/>
        </w:tabs>
        <w:jc w:val="both"/>
      </w:pPr>
      <w:r>
        <w:t>Capital gains exclusion for sales of primary residences                                  24.1              149.9</w:t>
      </w:r>
    </w:p>
    <w:p w:rsidR="0078310B" w:rsidRDefault="0078310B" w:rsidP="0078310B">
      <w:pPr>
        <w:widowControl w:val="0"/>
        <w:ind w:firstLine="288"/>
        <w:jc w:val="both"/>
      </w:pPr>
    </w:p>
    <w:p w:rsidR="0078310B" w:rsidRDefault="0078310B" w:rsidP="0078310B">
      <w:pPr>
        <w:widowControl w:val="0"/>
        <w:ind w:firstLine="288"/>
        <w:jc w:val="both"/>
      </w:pPr>
      <w:r>
        <w:t>The chart below, also from Chapter 3, shows the shares enjoyed by each income quintile of 10 of the major individual tax expenditures.</w:t>
      </w:r>
      <w:r>
        <w:rPr>
          <w:rStyle w:val="FootnoteReference"/>
        </w:rPr>
        <w:footnoteReference w:id="584"/>
      </w:r>
    </w:p>
    <w:p w:rsidR="0078310B" w:rsidRDefault="0078310B" w:rsidP="0078310B">
      <w:pPr>
        <w:widowControl w:val="0"/>
        <w:ind w:firstLine="288"/>
      </w:pPr>
    </w:p>
    <w:p w:rsidR="0078310B" w:rsidRDefault="0078310B" w:rsidP="0078310B">
      <w:pPr>
        <w:widowControl w:val="0"/>
        <w:jc w:val="center"/>
      </w:pPr>
      <w:r>
        <w:rPr>
          <w:noProof/>
        </w:rPr>
        <w:drawing>
          <wp:inline distT="0" distB="0" distL="0" distR="0" wp14:anchorId="32CECC79" wp14:editId="42871459">
            <wp:extent cx="5677141" cy="2466975"/>
            <wp:effectExtent l="0" t="0" r="0" b="0"/>
            <wp:docPr id="14" name="Picture 14" descr="P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4"/>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5680174" cy="2468293"/>
                    </a:xfrm>
                    <a:prstGeom prst="rect">
                      <a:avLst/>
                    </a:prstGeom>
                    <a:noFill/>
                    <a:ln>
                      <a:noFill/>
                    </a:ln>
                  </pic:spPr>
                </pic:pic>
              </a:graphicData>
            </a:graphic>
          </wp:inline>
        </w:drawing>
      </w:r>
    </w:p>
    <w:p w:rsidR="005864A5" w:rsidRDefault="005864A5" w:rsidP="005864A5">
      <w:pPr>
        <w:widowControl w:val="0"/>
        <w:spacing w:after="120"/>
        <w:ind w:firstLine="288"/>
        <w:jc w:val="both"/>
      </w:pPr>
      <w:r>
        <w:t xml:space="preserve">Most of the personal consumption tax expenditures that take the form of a deduction are categorized as Itemized Deductions, as described in Chapter 1, Part B., which means that those who take the Standard Deduction, instead, do not benefit from these deductions. </w:t>
      </w:r>
    </w:p>
    <w:p w:rsidR="0078310B" w:rsidRDefault="0078310B" w:rsidP="0078310B">
      <w:pPr>
        <w:widowControl w:val="0"/>
        <w:ind w:firstLine="288"/>
        <w:jc w:val="both"/>
      </w:pPr>
      <w:r>
        <w:t xml:space="preserve">As you consider each topic, remember the cost-benefit analysis that applies to tax expenditures described in Chapter 17,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w:t>
      </w:r>
    </w:p>
    <w:p w:rsidR="0078310B" w:rsidRPr="00C00F91" w:rsidRDefault="0078310B" w:rsidP="0078310B">
      <w:pPr>
        <w:widowControl w:val="0"/>
        <w:ind w:firstLine="288"/>
        <w:jc w:val="both"/>
      </w:pPr>
    </w:p>
    <w:p w:rsidR="0078310B" w:rsidRPr="00CF226B" w:rsidRDefault="0078310B" w:rsidP="0078310B">
      <w:pPr>
        <w:pStyle w:val="Heading2"/>
        <w:spacing w:before="0"/>
        <w:rPr>
          <w:sz w:val="32"/>
          <w:szCs w:val="32"/>
          <w:u w:val="single"/>
        </w:rPr>
      </w:pPr>
      <w:bookmarkStart w:id="320" w:name="_Toc395790616"/>
      <w:r w:rsidRPr="00CF226B">
        <w:rPr>
          <w:sz w:val="32"/>
          <w:szCs w:val="32"/>
          <w:u w:val="single"/>
        </w:rPr>
        <w:t>A. Owner-occupied housing</w:t>
      </w:r>
      <w:bookmarkEnd w:id="320"/>
    </w:p>
    <w:p w:rsidR="0078310B" w:rsidRPr="00C00F91" w:rsidRDefault="0078310B" w:rsidP="0078310B">
      <w:pPr>
        <w:widowControl w:val="0"/>
        <w:jc w:val="both"/>
      </w:pPr>
    </w:p>
    <w:p w:rsidR="0078310B" w:rsidRDefault="0078310B" w:rsidP="0078310B">
      <w:pPr>
        <w:widowControl w:val="0"/>
        <w:spacing w:after="120"/>
        <w:ind w:firstLine="288"/>
        <w:jc w:val="both"/>
      </w:pPr>
      <w:r w:rsidRPr="00C00F91">
        <w:t>Owner-occupied housing is one of the most tax-preferred i</w:t>
      </w:r>
      <w:r>
        <w:t>nvestments in the U.S. economy, encompassing (1) the ex</w:t>
      </w:r>
      <w:r w:rsidR="009A51EB">
        <w:t>clusion of imputed income</w:t>
      </w:r>
      <w:r>
        <w:t xml:space="preserve">, (2) the § 163(h)(3) deduction of qualified residence interest, (3) the § 164(a)(1) deduction of state and local real property taxes, even if unconnected to income-producing activity, </w:t>
      </w:r>
      <w:r w:rsidR="009A51EB">
        <w:t xml:space="preserve">and </w:t>
      </w:r>
      <w:r>
        <w:t xml:space="preserve">(4) the exclusion for gain realized on the sale or exchange of a </w:t>
      </w:r>
      <w:r w:rsidR="009A51EB">
        <w:t>principal residence under § 121.</w:t>
      </w:r>
    </w:p>
    <w:p w:rsidR="0078310B" w:rsidRPr="007A4C7A" w:rsidRDefault="0078310B" w:rsidP="0078310B">
      <w:pPr>
        <w:pStyle w:val="Heading3"/>
        <w:spacing w:before="0" w:beforeAutospacing="0" w:after="120" w:afterAutospacing="0"/>
        <w:rPr>
          <w:i/>
        </w:rPr>
      </w:pPr>
      <w:bookmarkStart w:id="321" w:name="_Toc395790617"/>
      <w:r w:rsidRPr="007A4C7A">
        <w:rPr>
          <w:i/>
        </w:rPr>
        <w:t>The exclusion of imputed income with respect to owner-occupied housing</w:t>
      </w:r>
      <w:bookmarkEnd w:id="321"/>
    </w:p>
    <w:p w:rsidR="0078310B" w:rsidRDefault="0078310B" w:rsidP="0078310B">
      <w:pPr>
        <w:widowControl w:val="0"/>
        <w:spacing w:after="120"/>
        <w:ind w:firstLine="288"/>
        <w:jc w:val="both"/>
      </w:pPr>
      <w:r>
        <w:t xml:space="preserve">While you may be somewhat familiar in your capacity as taxpayers with the deductions for qualified 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935"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w:t>
      </w:r>
    </w:p>
    <w:p w:rsidR="0078310B" w:rsidRDefault="0078310B" w:rsidP="0078310B">
      <w:pPr>
        <w:widowControl w:val="0"/>
        <w:spacing w:after="120"/>
        <w:ind w:firstLine="288"/>
        <w:jc w:val="both"/>
      </w:pPr>
      <w:r>
        <w:t>Here is a description from a recent CBO report:</w:t>
      </w:r>
      <w:r>
        <w:rPr>
          <w:rStyle w:val="FootnoteReference"/>
        </w:rPr>
        <w:footnoteReference w:id="585"/>
      </w:r>
    </w:p>
    <w:p w:rsidR="0078310B" w:rsidRPr="009F65FC" w:rsidRDefault="0078310B" w:rsidP="0078310B">
      <w:pPr>
        <w:widowControl w:val="0"/>
        <w:spacing w:after="120"/>
        <w:ind w:left="720" w:right="720" w:firstLine="288"/>
        <w:jc w:val="both"/>
        <w:rPr>
          <w:rStyle w:val="a"/>
        </w:rPr>
      </w:pPr>
      <w:r w:rsidRPr="009F65FC">
        <w:rPr>
          <w:rFonts w:eastAsia="Times New Roman" w:cs="Times New Roman"/>
          <w:b/>
        </w:rPr>
        <w:t xml:space="preserve">Net Imputed Rental Income. </w:t>
      </w:r>
      <w:r w:rsidRPr="009F65FC">
        <w:rPr>
          <w:rFonts w:eastAsia="Times New Roman" w:cs="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rsidR="0078310B" w:rsidRPr="0094737E" w:rsidRDefault="0078310B" w:rsidP="0078310B">
      <w:pPr>
        <w:widowControl w:val="0"/>
        <w:spacing w:after="120"/>
        <w:ind w:left="720" w:right="720"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rsidR="0078310B" w:rsidRPr="0094737E" w:rsidRDefault="0078310B" w:rsidP="0078310B">
      <w:pPr>
        <w:widowControl w:val="0"/>
        <w:spacing w:after="120"/>
        <w:ind w:left="720" w:right="720" w:firstLine="288"/>
        <w:jc w:val="both"/>
        <w:rPr>
          <w:rFonts w:eastAsia="Times New Roman" w:cs="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cs="Times New Roman"/>
        </w:rPr>
        <w:t xml:space="preserve"> </w:t>
      </w:r>
    </w:p>
    <w:p w:rsidR="0078310B" w:rsidRPr="0094737E" w:rsidRDefault="0078310B" w:rsidP="0078310B">
      <w:pPr>
        <w:widowControl w:val="0"/>
        <w:spacing w:after="120"/>
        <w:ind w:left="720" w:right="720"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Pr>
          <w:rStyle w:val="a"/>
        </w:rPr>
        <w:t>n, just as it is for landlords….</w:t>
      </w:r>
    </w:p>
    <w:p w:rsidR="0078310B" w:rsidRPr="0094737E" w:rsidRDefault="0078310B" w:rsidP="0078310B">
      <w:pPr>
        <w:widowControl w:val="0"/>
        <w:spacing w:after="120"/>
        <w:ind w:left="720" w:right="720" w:firstLine="288"/>
        <w:jc w:val="both"/>
        <w:rPr>
          <w:rFonts w:eastAsia="Times New Roman" w:cs="Times New Roman"/>
        </w:rPr>
      </w:pPr>
      <w:r w:rsidRPr="0094737E">
        <w:rPr>
          <w:rFonts w:eastAsia="Times New Roman" w:cs="Times New Roman"/>
          <w:b/>
        </w:rPr>
        <w:t xml:space="preserve">Deduction for Property Tax. </w:t>
      </w:r>
      <w:r w:rsidRPr="0094737E">
        <w:rPr>
          <w:rFonts w:eastAsia="Times New Roman" w:cs="Times New Roman"/>
        </w:rPr>
        <w:t xml:space="preserve">Homeowners who itemize are allowed to deduct property taxes levied by state and local governments. </w:t>
      </w:r>
      <w:r>
        <w:rPr>
          <w:rFonts w:eastAsia="Times New Roman" w:cs="Times New Roman"/>
        </w:rPr>
        <w:t xml:space="preserve">As with the deduction for mortgage interest, this </w:t>
      </w:r>
      <w:r w:rsidRPr="0094737E">
        <w:rPr>
          <w:rFonts w:eastAsia="Times New Roman" w:cs="Times New Roman"/>
        </w:rPr>
        <w:t>deduction would be a legitimate business expense rather than a tax expenditure if owners were</w:t>
      </w:r>
      <w:r>
        <w:rPr>
          <w:rFonts w:eastAsia="Times New Roman" w:cs="Times New Roman"/>
        </w:rPr>
        <w:t xml:space="preserve"> </w:t>
      </w:r>
      <w:r w:rsidRPr="0094737E">
        <w:rPr>
          <w:rFonts w:eastAsia="Times New Roman" w:cs="Times New Roman"/>
        </w:rPr>
        <w:t>required to include their imputed gross rent as income.</w:t>
      </w:r>
    </w:p>
    <w:p w:rsidR="0078310B" w:rsidRDefault="0078310B" w:rsidP="0078310B">
      <w:pPr>
        <w:widowControl w:val="0"/>
        <w:spacing w:after="120"/>
        <w:ind w:firstLine="288"/>
        <w:jc w:val="both"/>
      </w:pPr>
      <w:r>
        <w:t xml:space="preserve">Thus, compare Greg and Greta, each of whom live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in kind by living in the house herself (rather than renting it to a paying tenant). </w:t>
      </w:r>
    </w:p>
    <w:p w:rsidR="0078310B" w:rsidRPr="00DD7F94" w:rsidRDefault="0078310B" w:rsidP="0078310B">
      <w:pPr>
        <w:widowControl w:val="0"/>
        <w:spacing w:after="120"/>
        <w:jc w:val="both"/>
        <w:rPr>
          <w:b/>
          <w:i/>
        </w:rPr>
      </w:pPr>
      <w:r>
        <w:rPr>
          <w:b/>
          <w:i/>
        </w:rPr>
        <w:t>Tax policy critiques of the homeownership tax expenditures</w:t>
      </w:r>
    </w:p>
    <w:p w:rsidR="0078310B" w:rsidRDefault="0078310B" w:rsidP="0078310B">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86"/>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87"/>
      </w:r>
      <w:r>
        <w:t xml:space="preserve">  He notes that “[i]n a number of economic models, this is one of the larger sources of inefficiency arising from the income tax.”</w:t>
      </w:r>
      <w:r>
        <w:rPr>
          <w:rStyle w:val="FootnoteReference"/>
        </w:rPr>
        <w:footnoteReference w:id="588"/>
      </w:r>
      <w:r>
        <w:t xml:space="preserve"> Martin Sullivan is blunt when he says that “nowhere is the surrender of economic principles to political expediency more complete than in the U.S. tax policy for housing.”</w:t>
      </w:r>
      <w:r>
        <w:rPr>
          <w:rStyle w:val="FootnoteReference"/>
        </w:rPr>
        <w:footnoteReference w:id="589"/>
      </w:r>
      <w:r>
        <w:t xml:space="preserve"> The distortions are well known. As Sullivan pithily summarized them, while focusing in particular on the deduction for home mortgage interest:</w:t>
      </w:r>
    </w:p>
    <w:p w:rsidR="0078310B" w:rsidRDefault="0078310B" w:rsidP="0078310B">
      <w:pPr>
        <w:pStyle w:val="BodyTextIndent"/>
        <w:widowControl w:val="0"/>
        <w:ind w:left="720" w:right="720"/>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rsidR="0078310B" w:rsidRDefault="0078310B" w:rsidP="0078310B">
      <w:pPr>
        <w:pStyle w:val="BodyTextIndent"/>
        <w:widowControl w:val="0"/>
        <w:ind w:left="720" w:right="720"/>
        <w:jc w:val="both"/>
      </w:pPr>
      <w:r>
        <w:t>What does the economy get in return for its sacrifice?  For the most part, just bigger houses.</w:t>
      </w:r>
      <w:r>
        <w:rPr>
          <w:rStyle w:val="FootnoteReference"/>
        </w:rPr>
        <w:footnoteReference w:id="590"/>
      </w:r>
    </w:p>
    <w:p w:rsidR="0078310B" w:rsidRDefault="0078310B" w:rsidP="0078310B">
      <w:pPr>
        <w:widowControl w:val="0"/>
        <w:spacing w:after="120"/>
        <w:jc w:val="both"/>
      </w:pPr>
      <w:r>
        <w:t>A 2005 CBO study</w:t>
      </w:r>
      <w:r>
        <w:rPr>
          <w:rStyle w:val="FootnoteReference"/>
        </w:rPr>
        <w:footnoteReference w:id="591"/>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rsidR="0078310B" w:rsidRDefault="0078310B" w:rsidP="0078310B">
      <w:pPr>
        <w:widowControl w:val="0"/>
        <w:spacing w:after="12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92"/>
      </w:r>
      <w:r>
        <w:t>As phrased by Edward L. Glaeser and Jesse M. Shapiro, who published an extensive empirical study on the effects of the home mortgage deduction, “the home mortgage interest deduction is a particularly poor instrument for encouraging home ownership because it is targeted at the wealthy, who are almost always homeowners.”</w:t>
      </w:r>
      <w:r>
        <w:rPr>
          <w:rStyle w:val="FootnoteReference"/>
        </w:rPr>
        <w:footnoteReference w:id="593"/>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94"/>
      </w:r>
      <w:r>
        <w:t xml:space="preserve"> </w:t>
      </w:r>
    </w:p>
    <w:p w:rsidR="0078310B" w:rsidRDefault="0078310B" w:rsidP="0078310B">
      <w:pPr>
        <w:widowControl w:val="0"/>
        <w:spacing w:after="120"/>
        <w:ind w:firstLine="288"/>
        <w:jc w:val="both"/>
      </w:pPr>
      <w:r>
        <w:t xml:space="preserve">Glaeaer and Shapiro focus on both the positive and negative externalities of 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595"/>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596"/>
      </w:r>
    </w:p>
    <w:p w:rsidR="0078310B" w:rsidRDefault="0078310B" w:rsidP="0078310B">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Thus, another possible side effect of the tax subsidies for owner-occupied housing is that they artificially inflate the value of housing as the preferences get captured by sellers and lenders through higher home prices and higher before-tax interest rates. If only a small segment of buyers were accorded the tax expenditure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97"/>
      </w:r>
    </w:p>
    <w:p w:rsidR="0078310B" w:rsidRDefault="0078310B" w:rsidP="0078310B">
      <w:pPr>
        <w:widowControl w:val="0"/>
        <w:spacing w:after="120"/>
        <w:ind w:firstLine="288"/>
        <w:jc w:val="both"/>
      </w:pPr>
      <w:r>
        <w:t>Finally, the deduction for qualified residence interest, in particular, encourages mortgage debt or, stated differently, discourages the incentive to build equity (the excess of the home’s FMV over encumbering debt), as noted by Harris, Steuerle, and Eng.</w:t>
      </w:r>
    </w:p>
    <w:p w:rsidR="0078310B" w:rsidRDefault="0078310B" w:rsidP="0078310B">
      <w:pPr>
        <w:widowControl w:val="0"/>
        <w:spacing w:after="120"/>
        <w:ind w:left="720" w:right="720"/>
        <w:jc w:val="both"/>
      </w:pPr>
      <w:r>
        <w:t>The mortgage interest deduction reduces incentives to build equity in a home, with negative effects on housing stability and wealth accumulation. Poterba and Sinai … found that homeowners with sufficient financial assets to repay their mortgage still carry mortgages presumably because of the tax benefits of doing so. This design flaw was evident during the Great Recession, when underwater homeowners included not just those who had recently purchased homes but also long-time homeowners who had taken on new mortgages as the value of their homes increased. In effect, the design of the home mortgage interest deduction added to the risk that homeowners would have negative equity in their homes.</w:t>
      </w:r>
      <w:r>
        <w:rPr>
          <w:rStyle w:val="FootnoteReference"/>
        </w:rPr>
        <w:footnoteReference w:id="598"/>
      </w:r>
    </w:p>
    <w:p w:rsidR="0078310B" w:rsidRDefault="0078310B" w:rsidP="0078310B">
      <w:pPr>
        <w:widowControl w:val="0"/>
        <w:spacing w:after="120"/>
        <w:ind w:firstLine="288"/>
        <w:jc w:val="both"/>
      </w:pPr>
      <w:r>
        <w:t>The real estate industry has vociferously argued against reducing the tax preferences on the ground that housing prices would fall with repeal (indirect evidence of the capture problem), though most economists believe that the effect would be temporary and would result in a more efficient allocation of resources across the economy.</w:t>
      </w:r>
      <w:r>
        <w:rPr>
          <w:rStyle w:val="FootnoteReference"/>
        </w:rPr>
        <w:footnoteReference w:id="599"/>
      </w:r>
      <w:r>
        <w:t xml:space="preserve"> For example, England phased out its home mortgage interest deduction over a 12-year period ending in 2000, and housing prices did not dramatically fall. The move would undoubtedly disgruntle current homeowners, however, who tend to vote. </w:t>
      </w:r>
    </w:p>
    <w:p w:rsidR="0078310B" w:rsidRPr="007A4C7A" w:rsidRDefault="0078310B" w:rsidP="0078310B">
      <w:pPr>
        <w:pStyle w:val="Heading3"/>
        <w:spacing w:before="0" w:beforeAutospacing="0" w:after="120" w:afterAutospacing="0"/>
        <w:rPr>
          <w:i/>
        </w:rPr>
      </w:pPr>
      <w:bookmarkStart w:id="322" w:name="_Toc395790618"/>
      <w:r w:rsidRPr="007A4C7A">
        <w:rPr>
          <w:i/>
        </w:rPr>
        <w:t>The deduction for qualified residence interest under § 163(h)(3)</w:t>
      </w:r>
      <w:bookmarkEnd w:id="322"/>
    </w:p>
    <w:p w:rsidR="0078310B" w:rsidRDefault="0078310B" w:rsidP="0078310B">
      <w:pPr>
        <w:widowControl w:val="0"/>
        <w:spacing w:after="120"/>
        <w:ind w:firstLine="288"/>
        <w:jc w:val="both"/>
      </w:pPr>
      <w:r>
        <w:t xml:space="preserve">The current deduction for qualified residence interest can be seen as an accident of history. </w:t>
      </w:r>
    </w:p>
    <w:p w:rsidR="0078310B" w:rsidRDefault="0078310B" w:rsidP="0078310B">
      <w:pPr>
        <w:widowControl w:val="0"/>
        <w:spacing w:after="120"/>
        <w:ind w:left="720" w:right="720"/>
        <w:jc w:val="both"/>
      </w:pPr>
      <w:r>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600"/>
      </w:r>
    </w:p>
    <w:p w:rsidR="0078310B" w:rsidRPr="009C2A7A" w:rsidRDefault="0078310B" w:rsidP="0078310B">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rsidR="0078310B" w:rsidRDefault="0078310B" w:rsidP="0078310B">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16) that other subsections under § 163 reduce or eliminate the blanket § 163(a) language. </w:t>
      </w:r>
      <w:r w:rsidRPr="000D4676">
        <w:t>Here</w:t>
      </w:r>
      <w:r>
        <w:t xml:space="preserve">, we examine personal consumption interest (other than the § 221 deduction for certain student loan interest). </w:t>
      </w:r>
    </w:p>
    <w:p w:rsidR="0078310B" w:rsidRDefault="0078310B" w:rsidP="0078310B">
      <w:pPr>
        <w:widowControl w:val="0"/>
        <w:spacing w:after="120"/>
        <w:ind w:firstLine="288"/>
        <w:jc w:val="both"/>
      </w:pPr>
      <w:r>
        <w:t>Read §</w:t>
      </w:r>
      <w:hyperlink r:id="rId936"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xml:space="preserve">. The deduction is an Itemized Deduction (because not listed in § 62) but not a MID subject to the 2% floor (because listed in § 67(b)(1)). </w:t>
      </w:r>
    </w:p>
    <w:p w:rsidR="0078310B" w:rsidRDefault="0078310B" w:rsidP="0078310B">
      <w:pPr>
        <w:widowControl w:val="0"/>
        <w:spacing w:after="120"/>
        <w:ind w:firstLine="288"/>
        <w:jc w:val="both"/>
      </w:pPr>
      <w:r>
        <w:t xml:space="preserve">Under § 163(h)(3), interest is “qualified residence interest” only if it is paid on </w:t>
      </w:r>
      <w:r w:rsidRPr="000D4676">
        <w:t xml:space="preserve">one of two </w:t>
      </w:r>
      <w:r>
        <w:t xml:space="preserve">kinds of </w:t>
      </w:r>
      <w:r w:rsidRPr="000D4676">
        <w:t>debt—“acquisition indebtedness” or “home</w:t>
      </w:r>
      <w:r>
        <w:t xml:space="preserve"> </w:t>
      </w:r>
      <w:r w:rsidRPr="000D4676">
        <w:t>eq</w:t>
      </w:r>
      <w:r>
        <w:t xml:space="preserve">uity indebtedness”—and each is </w:t>
      </w:r>
      <w:r w:rsidRPr="000D4676">
        <w:t xml:space="preserve">defined </w:t>
      </w:r>
      <w:r>
        <w:t xml:space="preserve">in §§ 163(h)(3)(B) and (C), respectively. </w:t>
      </w:r>
    </w:p>
    <w:p w:rsidR="0078310B" w:rsidRPr="007C7E57" w:rsidRDefault="0078310B" w:rsidP="0078310B">
      <w:pPr>
        <w:widowControl w:val="0"/>
        <w:spacing w:after="120"/>
        <w:ind w:firstLine="288"/>
      </w:pPr>
      <w:r>
        <w:t>Under</w:t>
      </w:r>
      <w:r w:rsidRPr="000D4676">
        <w:t xml:space="preserve"> </w:t>
      </w:r>
      <w:r>
        <w:t>§ 163(h)(3)</w:t>
      </w:r>
      <w:r w:rsidRPr="000D4676">
        <w:t>(B),</w:t>
      </w:r>
      <w:r>
        <w:t xml:space="preserve"> “acquisition indebtedness” has (1) a use test, (2) </w:t>
      </w:r>
      <w:r w:rsidRPr="007C7E57">
        <w:t xml:space="preserve">a security test, and </w:t>
      </w:r>
      <w:r>
        <w:t xml:space="preserve">(3) </w:t>
      </w:r>
      <w:r w:rsidRPr="007C7E57">
        <w:t xml:space="preserve">a $1 million ceiling. </w:t>
      </w:r>
      <w:r>
        <w:t>Under</w:t>
      </w:r>
      <w:r w:rsidRPr="007C7E57">
        <w:t xml:space="preserve"> § 163(h)(3)(C),</w:t>
      </w:r>
      <w:r>
        <w:t xml:space="preserve"> “home equity indebtedness” must (1) </w:t>
      </w:r>
      <w:r w:rsidRPr="007C7E57">
        <w:t>not b</w:t>
      </w:r>
      <w:r>
        <w:t xml:space="preserve">e acquisition indebtedness, (2) satisfy the </w:t>
      </w:r>
      <w:r w:rsidRPr="007C7E57">
        <w:t xml:space="preserve">security test, and </w:t>
      </w:r>
      <w:r>
        <w:t xml:space="preserve">(3) not exceed </w:t>
      </w:r>
      <w:r w:rsidRPr="007C7E57">
        <w:t xml:space="preserve">a ceiling equal to the </w:t>
      </w:r>
      <w:r w:rsidRPr="005F086F">
        <w:rPr>
          <w:i/>
        </w:rPr>
        <w:t>lesser</w:t>
      </w:r>
      <w:r w:rsidRPr="007C7E57">
        <w:t xml:space="preserve"> of $100,0</w:t>
      </w:r>
      <w:r>
        <w:t xml:space="preserve">00 or, essentially, the taxpayer’s equity in the home (the excess of the home’s FMV over acquisition indebtedness). </w:t>
      </w:r>
    </w:p>
    <w:p w:rsidR="0078310B" w:rsidRDefault="0078310B" w:rsidP="0078310B">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601"/>
      </w:r>
      <w:r>
        <w:t xml:space="preserve"> While no Treasury Regulations tell us the meaning of “substantially improve” for this purpose, the IRS borrows from Treas. Reg. § 1.263(a)-3(d)—which you examined in Chapter 4 and which distinguishes between an “improvement” and a mere “repair”—and takes the position that a</w:t>
      </w:r>
      <w:r w:rsidRPr="00E845AB">
        <w:rPr>
          <w:rFonts w:eastAsia="Times New Roman" w:cs="Times New Roman"/>
        </w:rPr>
        <w:t>n im</w:t>
      </w:r>
      <w:r>
        <w:rPr>
          <w:rFonts w:eastAsia="Times New Roman" w:cs="Times New Roman"/>
        </w:rPr>
        <w:t xml:space="preserve">provement is substantial if it significantly adds to the value of the </w:t>
      </w:r>
      <w:r w:rsidRPr="00E845AB">
        <w:rPr>
          <w:rFonts w:eastAsia="Times New Roman" w:cs="Times New Roman"/>
        </w:rPr>
        <w:t>home,</w:t>
      </w:r>
      <w:r>
        <w:rPr>
          <w:rFonts w:eastAsia="Times New Roman" w:cs="Times New Roman"/>
        </w:rPr>
        <w:t xml:space="preserve"> prolongs the home’</w:t>
      </w:r>
      <w:r w:rsidRPr="00E845AB">
        <w:rPr>
          <w:rFonts w:eastAsia="Times New Roman" w:cs="Times New Roman"/>
        </w:rPr>
        <w:t>s useful life, or</w:t>
      </w:r>
      <w:r>
        <w:rPr>
          <w:rFonts w:eastAsia="Times New Roman" w:cs="Times New Roman"/>
        </w:rPr>
        <w:t xml:space="preserve"> adapts it to a new use. </w:t>
      </w:r>
      <w:bookmarkStart w:id="323" w:name="d0e2378"/>
      <w:bookmarkEnd w:id="323"/>
      <w:r w:rsidRPr="00E845AB">
        <w:rPr>
          <w:rFonts w:eastAsia="Times New Roman" w:cs="Times New Roman"/>
        </w:rPr>
        <w:t xml:space="preserve">Repairs </w:t>
      </w:r>
      <w:r>
        <w:rPr>
          <w:rFonts w:eastAsia="Times New Roman" w:cs="Times New Roman"/>
        </w:rPr>
        <w:t xml:space="preserve">that merely maintain the </w:t>
      </w:r>
      <w:r w:rsidRPr="00E845AB">
        <w:rPr>
          <w:rFonts w:eastAsia="Times New Roman" w:cs="Times New Roman"/>
        </w:rPr>
        <w:t>home in good con</w:t>
      </w:r>
      <w:r>
        <w:rPr>
          <w:rFonts w:eastAsia="Times New Roman" w:cs="Times New Roman"/>
        </w:rPr>
        <w:t xml:space="preserve">dition, such as repainting the </w:t>
      </w:r>
      <w:r w:rsidRPr="00E845AB">
        <w:rPr>
          <w:rFonts w:eastAsia="Times New Roman" w:cs="Times New Roman"/>
        </w:rPr>
        <w:t>home, are not subs</w:t>
      </w:r>
      <w:r>
        <w:rPr>
          <w:rFonts w:eastAsia="Times New Roman" w:cs="Times New Roman"/>
        </w:rPr>
        <w:t xml:space="preserve">tantial improvements. If, however, painting is part of a renovation that substantially improves the home, the painting costs can be considered part of the </w:t>
      </w:r>
      <w:r w:rsidRPr="00E845AB">
        <w:rPr>
          <w:rFonts w:eastAsia="Times New Roman" w:cs="Times New Roman"/>
        </w:rPr>
        <w:t>cost of the improvements.</w:t>
      </w:r>
      <w:r>
        <w:rPr>
          <w:rStyle w:val="FootnoteReference"/>
          <w:rFonts w:eastAsia="Times New Roman" w:cs="Times New Roman"/>
        </w:rPr>
        <w:footnoteReference w:id="602"/>
      </w:r>
      <w:r>
        <w:rPr>
          <w:rFonts w:eastAsia="Times New Roman" w:cs="Times New Roman"/>
        </w:rPr>
        <w:t xml:space="preserve"> </w:t>
      </w:r>
      <w:r>
        <w:t xml:space="preserve">Because home equity indebtedness has no use test, it can also be used to construct or acquire a home, as well, meaning that the </w:t>
      </w:r>
      <w:r w:rsidRPr="00586DAC">
        <w:t>effective</w:t>
      </w:r>
      <w:r>
        <w:t xml:space="preserve"> limit on the aggregate amount of purchase debt that can generate deductible interest is actually $1.1 million (rather than $1 million).</w:t>
      </w:r>
      <w:r>
        <w:rPr>
          <w:rStyle w:val="FootnoteReference"/>
        </w:rPr>
        <w:footnoteReference w:id="603"/>
      </w:r>
      <w:r>
        <w:t xml:space="preserve"> </w:t>
      </w:r>
    </w:p>
    <w:p w:rsidR="0078310B" w:rsidRPr="00CA3182" w:rsidRDefault="0078310B" w:rsidP="0078310B">
      <w:pPr>
        <w:widowControl w:val="0"/>
        <w:spacing w:after="120"/>
        <w:ind w:firstLine="288"/>
        <w:jc w:val="both"/>
      </w:pPr>
      <w:r>
        <w:t xml:space="preserve">In </w:t>
      </w:r>
      <w:r>
        <w:rPr>
          <w:i/>
        </w:rPr>
        <w:t>Voss v. Commissioner</w:t>
      </w:r>
      <w:r>
        <w:t>,</w:t>
      </w:r>
      <w:r>
        <w:rPr>
          <w:rStyle w:val="FootnoteReference"/>
        </w:rPr>
        <w:footnoteReference w:id="604"/>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interest paid on $1.1 million of indebtedness (a total of $2.2 million</w:t>
      </w:r>
      <w:r w:rsidR="00D42A73">
        <w:t xml:space="preserve"> of debt</w:t>
      </w:r>
      <w:r>
        <w:t>) used to purchase the homes, but the IRS claimed that the $1.1 million cap applied on a per-residence basis (not per taxpayer). While the Tax Court agreed with the government, the 9</w:t>
      </w:r>
      <w:r w:rsidRPr="00CA3182">
        <w:rPr>
          <w:vertAlign w:val="superscript"/>
        </w:rPr>
        <w:t>th</w:t>
      </w:r>
      <w:r>
        <w:t xml:space="preserve"> Circuit Court of Appeals reversed, noting that the statute reduced the $1 million and $100,000 caps to $500,000 and $50,000, respectively, for married couples filing separate returns, which would have been unnecessary if the $1 million and $100,000 caps applied per residence rather than per taxpayer. In addition the § 36 first-time home buyer credit (now expired) of $8,000 was similarly reduced to $4,000 for married couples filing separately, but § 36 went on to provide that unmarried co-owners must allocate the $8,000 between them on their separate returns. No such similar language appears for unma</w:t>
      </w:r>
      <w:r w:rsidR="00AC36DA">
        <w:t xml:space="preserve">rried co-owners in § 163(h)(3). </w:t>
      </w:r>
    </w:p>
    <w:p w:rsidR="0078310B" w:rsidRDefault="0078310B" w:rsidP="0078310B">
      <w:pPr>
        <w:widowControl w:val="0"/>
        <w:spacing w:after="120"/>
        <w:ind w:firstLine="288"/>
        <w:jc w:val="both"/>
      </w:pPr>
      <w:r>
        <w:t xml:space="preserve">To illustrate the mechanics of the cap in the context of a married couple filing jointly, assume that Sara and Jonathan are married and purchase a home in which they will live on January 1 of Year 1 for $1.5 million, paying $200,000 in cash and borrowing $1.3 million, which is secured by the home. They make 11 monthly payments in Year 1 (consisting in part of principal repayment and in part of interest), reducing their principal balance to $1.2 million by the end of Year 1. Because no more than $1.1 million can qualify as indebtedness creating “qualified residence interest,” Jonathan and Sara cannot deduct the small portion of their aggregate interest payment allocable to the loan principal that exceeds $1.1 million. Thus, Sara and Jonathan must complete a worksheet provided by the IRS to determine this amount. In figuring out the loan amount that exceeds the $1.1 million cap, Jonathan and Sara can, if they wish to keep their calculations simple, use their loan’s </w:t>
      </w:r>
      <w:r>
        <w:rPr>
          <w:i/>
        </w:rPr>
        <w:t xml:space="preserve">highest </w:t>
      </w:r>
      <w:r>
        <w:t xml:space="preserve">balance during the year ($1.3 million in their case), but they are also permitted to use their </w:t>
      </w:r>
      <w:r>
        <w:rPr>
          <w:i/>
        </w:rPr>
        <w:t xml:space="preserve">average </w:t>
      </w:r>
      <w:r>
        <w:t>balance, which will allow them to deduct more of their interest in Year 1 because each monthly payment reduces their principal balance in the most common form of level-payment loan.</w:t>
      </w:r>
      <w:r>
        <w:rPr>
          <w:rStyle w:val="FootnoteReference"/>
        </w:rPr>
        <w:footnoteReference w:id="605"/>
      </w:r>
      <w:r>
        <w:t xml:space="preserve"> Once their loan balance is reduced to $1.1 million, 100% of the interest will thereafter satisfy the definition of qualified residence interest, and Sara and Jonathan will be able to deduct 100% of the interest without the need to resort to a worksheet. </w:t>
      </w:r>
    </w:p>
    <w:p w:rsidR="0078310B" w:rsidRPr="00F86740" w:rsidRDefault="0078310B" w:rsidP="0078310B">
      <w:pPr>
        <w:widowControl w:val="0"/>
        <w:spacing w:after="120"/>
        <w:ind w:firstLine="288"/>
        <w:jc w:val="both"/>
      </w:pPr>
      <w:r>
        <w:t xml:space="preserve">Finally, the last sentence of § 163(h)(3)(B)(i) adds that debt incurred to refinance acquisition indebtedness is itself “acquisition indebtedness” to the extent of the principal balance of the refinanced loan. Thus, if interest rates decrease in a later year, and Jonathan and Sara refinance their remaining acquisition indebtedness in order to take advantage of the lower interest rate at a time when their loan balance is, say, $700,000, the new debt is “acquisition indebtedness” to the extent of $700,000. If they borrow $800,000 at the time of refinancing (instead of $700,000) in order to use the extra $100,000 cash to substantially improve their home, the entire $800,000 would qualify as acquisition indebtedness: the first $700,000 would qualify under the refinancing provision, and the remaining $100,000 would qualify because the proceeds satisfy the use test. If, instead, the extra $100,000 is used to purchase a car, pay down credit card debt, and take a trip to Rome, the extra $100,000 could not qualify as “acquisition indebtedness” but could nevertheless qualify as “home equity indebtedness” if Jonathan’s and Sara’s home is worth at least $800,000 (so that the equity limit is not exceeded). </w:t>
      </w:r>
    </w:p>
    <w:p w:rsidR="0078310B" w:rsidRDefault="0078310B" w:rsidP="0078310B">
      <w:pPr>
        <w:widowControl w:val="0"/>
        <w:ind w:firstLine="288"/>
        <w:jc w:val="both"/>
      </w:pPr>
      <w:r>
        <w:t xml:space="preserve">Because of the generous $1.1 million ceiling for acquisition indebtedness, the ability to use the deduction for two homes, and the ability to use the home equity indebtedness provision to deduct personal consumption interest unrelated to the home, the qualified residence interest deduction is not aimed particularly at the middle class, which is why (as described above) 80% of the benefits of § 163(h)(3) is enjoyed by the top 20% of taxpayers, with only 5% enjoyed by the bottom 60%.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24" w:name="_Toc395790619"/>
      <w:r w:rsidRPr="007A4C7A">
        <w:rPr>
          <w:u w:val="single"/>
        </w:rPr>
        <w:t>Problems</w:t>
      </w:r>
      <w:bookmarkEnd w:id="324"/>
    </w:p>
    <w:p w:rsidR="0078310B" w:rsidRPr="00CF226B" w:rsidRDefault="0078310B" w:rsidP="0078310B">
      <w:pPr>
        <w:pStyle w:val="Heading3"/>
        <w:spacing w:before="0" w:beforeAutospacing="0" w:after="0" w:afterAutospacing="0"/>
        <w:rPr>
          <w:b w:val="0"/>
        </w:rPr>
      </w:pPr>
    </w:p>
    <w:p w:rsidR="0078310B" w:rsidRDefault="0078310B" w:rsidP="0078310B">
      <w:pPr>
        <w:widowControl w:val="0"/>
        <w:ind w:firstLine="288"/>
        <w:jc w:val="both"/>
      </w:pPr>
      <w:r>
        <w:rPr>
          <w:b/>
        </w:rPr>
        <w:t>1.</w:t>
      </w:r>
      <w:r>
        <w:t xml:space="preserve"> Late last year Joyce and Jane, who are married, purchased a one-bedroom condo in Manhattan for $1.4 million, paying $600,000 in cash and borrowing $800,000, secured by a mortgage on the condo. This year, they pay $40,000 in aggregate interest on this loan. On April 1 of this year, they purchase a second, small home in the Hamptons (on Long Island) for $700,000, paying $400,000 in cash and borrowing $300,000, secured by a mortgage on the home. They pay $10,000 in aggregate interest for the 9 full months that they own the property this year. How much of the $40,000 interest paid on their Manhattan condo mortgage and the $10,000 interest paid on their Hampton home mortgage can they deduct this year under § 163(h)(3)?</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Same as </w:t>
      </w:r>
      <w:r>
        <w:rPr>
          <w:b/>
        </w:rPr>
        <w:t>1.</w:t>
      </w:r>
      <w:r>
        <w:t>, except that Joyce and Jane purchase only the Hampton home, not the Manhattan condo. (They rent their Manhattan condo, instead.) After purchasing the Hampton home in March, they had no plans to renovate the home, as they liked its gently worn appearance. At least, they thought they did. By September, they are tired of the look and decide that it needs substantial improvements, after all. Thus, they hire an architect, designer, and contractor to design and construct a substantial addition to the home, as well as to renovate the old kitchen and bathrooms. The entire project cost is $400,000, all of which is funded by a second mortgage on the home, secured by the home. Thus, in addition to the $10,000 that they pay on the first mortgage this year, they also pay $6,000 in interest for the 4 months of payments on the second mortgage this year. How much of the these interest payments can they deduct this year under § 163(h)(3)?</w:t>
      </w:r>
    </w:p>
    <w:p w:rsidR="0078310B" w:rsidRDefault="0078310B" w:rsidP="0078310B">
      <w:pPr>
        <w:widowControl w:val="0"/>
        <w:ind w:firstLine="288"/>
        <w:jc w:val="both"/>
      </w:pPr>
    </w:p>
    <w:p w:rsidR="0078310B" w:rsidRDefault="0078310B" w:rsidP="0078310B">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the this $5,000 can they deduct under § 163(h)(3)?</w:t>
      </w:r>
    </w:p>
    <w:p w:rsidR="0078310B" w:rsidRDefault="0078310B" w:rsidP="0078310B">
      <w:pPr>
        <w:widowControl w:val="0"/>
        <w:jc w:val="center"/>
      </w:pPr>
      <w:r>
        <w:t>_______________________________________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As noted above, most economists deeply dislike the qualified residence interest deduction on efficiency grounds, and our exploration above also notes fairness concerns, with the bulk of the tax benefits disproportionately enjoyed by high-income taxpayers. The Urban Institute recently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39.6% brackets, for example. Thus,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be replacing 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current-law deduction </w:t>
      </w:r>
      <w:r w:rsidR="00F8118F">
        <w:t xml:space="preserve">(instead of credit) </w:t>
      </w:r>
      <w:r>
        <w:t>approach.</w:t>
      </w:r>
      <w:r>
        <w:rPr>
          <w:rStyle w:val="FootnoteReference"/>
        </w:rPr>
        <w:footnoteReference w:id="606"/>
      </w:r>
    </w:p>
    <w:p w:rsidR="0078310B" w:rsidRDefault="0078310B" w:rsidP="0078310B">
      <w:pPr>
        <w:widowControl w:val="0"/>
        <w:spacing w:after="120"/>
        <w:ind w:firstLine="288"/>
        <w:jc w:val="both"/>
      </w:pPr>
      <w:r>
        <w:t>How would these proposed changes affect prices in the housing market? The study concludes that “[t]he current turbulence in housing markets simply makes it extremely difficult to predict the effects of changes” in completely eliminating the qualified residence interest deduction, though there is reason to believe that any short-term drop in prices would stabilize and “may have little effect on housing prices over the longer term.” But even those short-term decreases in prices may not occur outside the high-end housing market in the case of the proposed third reform (replacing the deduction with a 15% refundable tax credit), which “could actually stabilize and increase prices of lower-priced homes, whose values continue to lag.”</w:t>
      </w:r>
      <w:r>
        <w:rPr>
          <w:rStyle w:val="FootnoteReference"/>
        </w:rPr>
        <w:footnoteReference w:id="607"/>
      </w:r>
    </w:p>
    <w:p w:rsidR="0078310B" w:rsidRPr="007A4C7A" w:rsidRDefault="0078310B" w:rsidP="0078310B">
      <w:pPr>
        <w:pStyle w:val="Heading3"/>
        <w:spacing w:before="0" w:beforeAutospacing="0" w:after="120" w:afterAutospacing="0"/>
        <w:rPr>
          <w:i/>
        </w:rPr>
      </w:pPr>
      <w:bookmarkStart w:id="325" w:name="_Toc395790620"/>
      <w:r w:rsidRPr="007A4C7A">
        <w:rPr>
          <w:i/>
        </w:rPr>
        <w:t>The exclusion of gain on the sale or exchange of a principal residence under § 121</w:t>
      </w:r>
      <w:bookmarkEnd w:id="325"/>
    </w:p>
    <w:p w:rsidR="0078310B" w:rsidRDefault="0078310B" w:rsidP="0078310B">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very much like § 1033 (pertaining to involuntary conversion gain), studied in Chapter 13. </w:t>
      </w:r>
    </w:p>
    <w:p w:rsidR="0078310B" w:rsidRDefault="0078310B" w:rsidP="0078310B">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 1001 gain realized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rsidR="0078310B" w:rsidRDefault="0078310B" w:rsidP="0078310B">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but can choose to rent without losing the gain exclusion. </w:t>
      </w:r>
    </w:p>
    <w:p w:rsidR="0078310B" w:rsidRDefault="0078310B" w:rsidP="0078310B">
      <w:pPr>
        <w:widowControl w:val="0"/>
        <w:spacing w:after="120"/>
        <w:ind w:firstLine="288"/>
        <w:jc w:val="both"/>
      </w:pPr>
      <w:r>
        <w:t xml:space="preserve">Thus,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rsidR="0078310B" w:rsidRDefault="002B3596" w:rsidP="0078310B">
      <w:pPr>
        <w:widowControl w:val="0"/>
        <w:spacing w:after="120"/>
        <w:ind w:firstLine="288"/>
        <w:jc w:val="both"/>
      </w:pPr>
      <w:hyperlink r:id="rId937" w:history="1">
        <w:r w:rsidR="0078310B" w:rsidRPr="00D604BC">
          <w:rPr>
            <w:rStyle w:val="Hyperlink"/>
          </w:rPr>
          <w:t>Section 121</w:t>
        </w:r>
      </w:hyperlink>
      <w:r w:rsidR="0078310B">
        <w:t xml:space="preserve"> generally exempts $250,000 of § 1001 realized gain ($500,000 for married taxpayers filing jointly) on the sale, exchange, or destruction by casualty of a residence if the taxpayer has both owned and lived in the residence as his “principal” residence for at least two of the five years prior to sale.</w:t>
      </w:r>
      <w:r w:rsidR="0078310B">
        <w:rPr>
          <w:rStyle w:val="FootnoteReference"/>
        </w:rPr>
        <w:footnoteReference w:id="608"/>
      </w:r>
      <w:r w:rsidR="0078310B">
        <w:t xml:space="preserve"> Thus, while § 163(h)(3) allows interest allocable to </w:t>
      </w:r>
      <w:r w:rsidR="0078310B" w:rsidRPr="006358CC">
        <w:rPr>
          <w:i/>
        </w:rPr>
        <w:t>two</w:t>
      </w:r>
      <w:r w:rsidR="0078310B">
        <w:t xml:space="preserve"> homes to satisfy the definition of deductible “qualified residence interest,” the exclusion for home sale gain is limited to the sale of the taxpayer’s “principal” residence. </w:t>
      </w:r>
    </w:p>
    <w:p w:rsidR="0078310B" w:rsidRDefault="0078310B" w:rsidP="0078310B">
      <w:pPr>
        <w:widowControl w:val="0"/>
        <w:spacing w:after="120"/>
        <w:ind w:firstLine="288"/>
        <w:jc w:val="both"/>
      </w:pPr>
      <w:r>
        <w:t xml:space="preserve">To the extent that the gain is realized by casualty and exceeds the $250,000 (or $500,000) limit that can be excluded under § 121, the remaining gain can be deferred (though not forgiven) under § 1033 if the taxpayer otherwise satisfies its terms. Under § 121(d)(5)(B), for purposes of applying § 1033, the “amount realized” is reduced by the amount excluded under § 121. </w:t>
      </w:r>
    </w:p>
    <w:p w:rsidR="0078310B" w:rsidRDefault="0078310B" w:rsidP="0078310B">
      <w:pPr>
        <w:widowControl w:val="0"/>
        <w:spacing w:after="120"/>
        <w:ind w:firstLine="288"/>
        <w:jc w:val="both"/>
      </w:pPr>
      <w:r>
        <w:t xml:space="preserve">For example, assume that Lois, who is unmarried and lives in New Jersey, suffered a complete destruction of her fully insured principal residence by Superstorm Sandy.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609"/>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rsidR="0078310B" w:rsidRDefault="0078310B" w:rsidP="0078310B">
      <w:pPr>
        <w:widowControl w:val="0"/>
        <w:spacing w:after="120"/>
        <w:ind w:firstLine="288"/>
        <w:jc w:val="both"/>
      </w:pPr>
      <w:r>
        <w:t>In general, taxpayers cannot take advantage of § 121 more than once in any 24-month period.</w:t>
      </w:r>
      <w:r>
        <w:rPr>
          <w:rStyle w:val="FootnoteReference"/>
        </w:rPr>
        <w:footnoteReference w:id="610"/>
      </w:r>
      <w:r>
        <w:t xml:space="preserve"> If, however, a taxpayer sells a principal residence within 24 months of a prior sale (when gain was excluded under § 121) because of a change in employment, certain health reasons, or certain “unforeseen circumstances,”</w:t>
      </w:r>
      <w:r>
        <w:rPr>
          <w:rStyle w:val="FootnoteReference"/>
        </w:rPr>
        <w:footnoteReference w:id="611"/>
      </w:r>
      <w:r>
        <w:t xml:space="preserve"> the taxpayer may be able to exclude some or all of the gain under § 121 on the later sale. In that case, the relevant ceiling ($250,000 or $500,000) will be reduced by a fraction, the numerator of which is the number of months of qualifying use since the last § 121 sale and the denominator of which is 24 months.</w:t>
      </w:r>
      <w:r>
        <w:rPr>
          <w:rStyle w:val="FootnoteReference"/>
        </w:rPr>
        <w:footnoteReference w:id="612"/>
      </w:r>
      <w:r>
        <w:t xml:space="preserve"> </w:t>
      </w:r>
    </w:p>
    <w:p w:rsidR="0078310B" w:rsidRDefault="0078310B" w:rsidP="0078310B">
      <w:pPr>
        <w:widowControl w:val="0"/>
        <w:spacing w:after="120"/>
        <w:ind w:firstLine="288"/>
        <w:jc w:val="both"/>
      </w:pPr>
      <w:r>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Thus, Becky could exclude no more than $125,000 of realized gain (rather than $250,000). </w:t>
      </w:r>
    </w:p>
    <w:p w:rsidR="0078310B" w:rsidRDefault="0078310B" w:rsidP="0078310B">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20),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w:t>
      </w:r>
      <w:r w:rsidRPr="001F7CCD">
        <w:rPr>
          <w:bCs/>
        </w:rPr>
        <w:t xml:space="preserve"> into a “principal residence” </w:t>
      </w:r>
      <w:r>
        <w:rPr>
          <w:bCs/>
        </w:rPr>
        <w:t xml:space="preserve">simply </w:t>
      </w:r>
      <w:r w:rsidRPr="001F7CCD">
        <w:rPr>
          <w:bCs/>
        </w:rPr>
        <w:t xml:space="preserve">by moving into it full time for two years prior to sale. </w:t>
      </w:r>
    </w:p>
    <w:p w:rsidR="0078310B" w:rsidRDefault="0078310B" w:rsidP="0078310B">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sidR="007C0DDE">
        <w:rPr>
          <w:bCs/>
        </w:rPr>
        <w:t xml:space="preserve">f “nonqualified use,” not counting </w:t>
      </w:r>
      <w:r w:rsidRPr="001F7CCD">
        <w:rPr>
          <w:bCs/>
        </w:rPr>
        <w:t>periods of nonqualified use prior to January 1, 2009. In general, “nonqualified use” is any use of the home other than as the princip</w:t>
      </w:r>
      <w:r>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sidR="007C0DDE">
        <w:rPr>
          <w:bCs/>
        </w:rPr>
        <w:t xml:space="preserve">(not counting the period after moving out) </w:t>
      </w:r>
      <w:r w:rsidRPr="001F7CCD">
        <w:rPr>
          <w:bCs/>
        </w:rPr>
        <w:t>bears to the total ownership period</w:t>
      </w:r>
      <w:r w:rsidR="007C0DDE">
        <w:rPr>
          <w:bCs/>
        </w:rPr>
        <w:t xml:space="preserve"> (counting </w:t>
      </w:r>
      <w:r>
        <w:rPr>
          <w:bCs/>
        </w:rPr>
        <w:t>the period after moving out)</w:t>
      </w:r>
      <w:r w:rsidRPr="001F7CCD">
        <w:rPr>
          <w:bCs/>
        </w:rPr>
        <w:t>. The legislative</w:t>
      </w:r>
      <w:r>
        <w:rPr>
          <w:bCs/>
        </w:rPr>
        <w:t xml:space="preserve"> history provides </w:t>
      </w:r>
      <w:r w:rsidRPr="001F7CCD">
        <w:rPr>
          <w:bCs/>
        </w:rPr>
        <w:t>two examples:</w:t>
      </w:r>
      <w:r>
        <w:rPr>
          <w:rStyle w:val="FootnoteReference"/>
          <w:bCs/>
        </w:rPr>
        <w:footnoteReference w:id="613"/>
      </w:r>
    </w:p>
    <w:p w:rsidR="0078310B" w:rsidRPr="001F7CCD" w:rsidRDefault="0078310B" w:rsidP="0078310B">
      <w:pPr>
        <w:widowControl w:val="0"/>
        <w:spacing w:after="120"/>
        <w:ind w:left="720" w:right="720"/>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rsidR="0078310B" w:rsidRDefault="0078310B" w:rsidP="0078310B">
      <w:pPr>
        <w:widowControl w:val="0"/>
        <w:spacing w:after="120"/>
        <w:ind w:left="720" w:right="720"/>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rsidR="0078310B" w:rsidRDefault="0078310B" w:rsidP="0078310B">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rsidR="0078310B" w:rsidRPr="00F774A2"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26" w:name="_Toc395790621"/>
      <w:r w:rsidRPr="007A4C7A">
        <w:rPr>
          <w:u w:val="single"/>
        </w:rPr>
        <w:t>Problem</w:t>
      </w:r>
      <w:bookmarkEnd w:id="326"/>
    </w:p>
    <w:p w:rsidR="0078310B" w:rsidRPr="00CF226B" w:rsidRDefault="0078310B" w:rsidP="0078310B">
      <w:pPr>
        <w:pStyle w:val="Heading3"/>
        <w:spacing w:before="0" w:beforeAutospacing="0" w:after="0" w:afterAutospacing="0"/>
        <w:jc w:val="center"/>
        <w:rPr>
          <w:b w:val="0"/>
        </w:rPr>
      </w:pPr>
    </w:p>
    <w:p w:rsidR="0078310B" w:rsidRDefault="00A61A6E" w:rsidP="0078310B">
      <w:pPr>
        <w:widowControl w:val="0"/>
        <w:ind w:firstLine="288"/>
        <w:jc w:val="both"/>
      </w:pPr>
      <w:r>
        <w:t>Charles and Claire are married and both work in Manhattan as a lawyer and investment banker</w:t>
      </w:r>
      <w:r w:rsidR="004B7662">
        <w:t xml:space="preserve">, </w:t>
      </w:r>
      <w:r>
        <w:t xml:space="preserve">respectively. They purchase </w:t>
      </w:r>
      <w:r w:rsidR="00CB2CCF">
        <w:t>a c</w:t>
      </w:r>
      <w:r w:rsidR="0078310B">
        <w:t>ondo in Manhattan, their princi</w:t>
      </w:r>
      <w:r w:rsidR="00CB2CCF">
        <w:t xml:space="preserve">pal residence, in 2011 for $2 </w:t>
      </w:r>
      <w:r w:rsidR="0078310B">
        <w:t>million and their weekend home in the H</w:t>
      </w:r>
      <w:r w:rsidR="00CB2CCF">
        <w:t>amptons on April 1, 2012, for $1 million. After purchasing the</w:t>
      </w:r>
      <w:r w:rsidR="004B7662">
        <w:t xml:space="preserve"> Hamptons </w:t>
      </w:r>
      <w:r>
        <w:t>home, they spend</w:t>
      </w:r>
      <w:r w:rsidR="004B7662">
        <w:t xml:space="preserve"> $300,000 o</w:t>
      </w:r>
      <w:r w:rsidR="00CB2CCF">
        <w:t xml:space="preserve">n a large addition and major renovations. When Charles and Claire </w:t>
      </w:r>
      <w:r>
        <w:t xml:space="preserve">both </w:t>
      </w:r>
      <w:r w:rsidR="00CB2CCF">
        <w:t>retire</w:t>
      </w:r>
      <w:r>
        <w:t xml:space="preserve"> </w:t>
      </w:r>
      <w:r w:rsidR="00CB2CCF">
        <w:t xml:space="preserve">in 2015, they </w:t>
      </w:r>
      <w:r w:rsidR="0078310B">
        <w:t>sell</w:t>
      </w:r>
      <w:r w:rsidR="00CB2CCF">
        <w:t xml:space="preserve"> their Manhattan condo for $2.5 </w:t>
      </w:r>
      <w:r w:rsidR="0078310B">
        <w:t>million and move into their Hamptons home full time on April 1, 2015. In the winter of 2018, they decide that the cold winters up north are just too much, and they put their Hamptons home on the market. They vacate their home on February 1, 2018, move to Florida, and s</w:t>
      </w:r>
      <w:r w:rsidR="00CB2CCF">
        <w:t>ell the home on April 1 for $1.9</w:t>
      </w:r>
      <w:r w:rsidR="0078310B">
        <w:t xml:space="preserve"> mil</w:t>
      </w:r>
      <w:r w:rsidR="00CB2CCF">
        <w:t xml:space="preserve">lion. What are the couple’s </w:t>
      </w:r>
      <w:r w:rsidR="0078310B">
        <w:t>tax consequences under the assumption that § 121 remains unamended for the relevant years?</w:t>
      </w:r>
    </w:p>
    <w:p w:rsidR="0078310B" w:rsidRPr="00BD191B" w:rsidRDefault="0078310B" w:rsidP="0078310B">
      <w:pPr>
        <w:widowControl w:val="0"/>
        <w:jc w:val="both"/>
      </w:pPr>
    </w:p>
    <w:p w:rsidR="0078310B" w:rsidRPr="00CF226B" w:rsidRDefault="0078310B" w:rsidP="0078310B">
      <w:pPr>
        <w:pStyle w:val="Heading2"/>
        <w:spacing w:before="0"/>
        <w:rPr>
          <w:sz w:val="32"/>
          <w:szCs w:val="32"/>
          <w:u w:val="single"/>
        </w:rPr>
      </w:pPr>
      <w:bookmarkStart w:id="327" w:name="_Toc395790625"/>
      <w:r w:rsidRPr="00CF226B">
        <w:rPr>
          <w:sz w:val="32"/>
          <w:szCs w:val="32"/>
          <w:u w:val="single"/>
        </w:rPr>
        <w:t>B. Personal casualty and theft losses</w:t>
      </w:r>
      <w:bookmarkEnd w:id="327"/>
    </w:p>
    <w:p w:rsidR="0078310B" w:rsidRDefault="0078310B" w:rsidP="0078310B">
      <w:pPr>
        <w:widowControl w:val="0"/>
        <w:jc w:val="both"/>
      </w:pPr>
    </w:p>
    <w:p w:rsidR="0078310B" w:rsidRDefault="0078310B" w:rsidP="0078310B">
      <w:pPr>
        <w:widowControl w:val="0"/>
        <w:spacing w:after="120"/>
        <w:ind w:firstLine="288"/>
        <w:jc w:val="both"/>
      </w:pPr>
      <w:r>
        <w:t xml:space="preserve">You have learned that a pure SHS tax base is generally intended to reach amounts spent on personal consumption via deduction disallowance. Thus, you have learned that personal-use property is not depreciable under § 167(a) and that § 1001 losses arising on the sale or exchange of personal-use property are generally not deductible under § 165(c)(3), as those realized value losses represent personal consumption rather than income-production costs. Under SHS principles, you have learned that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rsidR="0078310B" w:rsidRDefault="0078310B" w:rsidP="0078310B">
      <w:pPr>
        <w:widowControl w:val="0"/>
        <w:spacing w:after="120"/>
        <w:ind w:firstLine="288"/>
        <w:jc w:val="both"/>
      </w:pPr>
      <w:r>
        <w:t xml:space="preserve">Nevertheless, </w:t>
      </w:r>
      <w:hyperlink r:id="rId938" w:history="1">
        <w:r w:rsidRPr="00674C55">
          <w:rPr>
            <w:rStyle w:val="Hyperlink"/>
          </w:rPr>
          <w:t>§ 165</w:t>
        </w:r>
      </w:hyperlink>
      <w:r>
        <w:t xml:space="preserve">(c)(3) permits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Why?</w:t>
      </w:r>
    </w:p>
    <w:p w:rsidR="0078310B" w:rsidRDefault="0078310B" w:rsidP="0078310B">
      <w:pPr>
        <w:widowControl w:val="0"/>
        <w:spacing w:after="120"/>
        <w:ind w:firstLine="288"/>
        <w:jc w:val="both"/>
      </w:pPr>
      <w:r>
        <w:t>The keys to ascertaining the purpose underlying the allowance for personal casualty and theft losses are the floors found in §§ 165(h)(1) and (h)(2)(A). First, under § 165(h)(1), each personal casualty or theft loss can be taken into account only to the extent that it exceeds $100. Second—and more important—the aggregate of personal casualty and theft losses that exceed $100 can generally be deducted only to the extent of (1) realized and recognized personal casualty gains</w:t>
      </w:r>
      <w:r>
        <w:rPr>
          <w:rStyle w:val="FootnoteReference"/>
        </w:rPr>
        <w:footnoteReference w:id="614"/>
      </w:r>
      <w:r>
        <w:t xml:space="preserve"> (if any), and (2) the portion of the remainder that exceeds 10% of the taxpayer’s AGI. Because of these floors (particularly the steep 10% floor), only personal casualty and theft losses that are relatively extraordinary in amount (compared to the taxpayer’s AGI) are effectively deductible under § 165(c)(3). Thus, the deduction for personal casualty and theft losses under § 165(c)(3) is best understood as resting on ability to pay policy grounds rather than on normative tax theory (the definition of “income” under SHS principles). Routine personal casualty and theft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rsidR="0078310B" w:rsidRPr="00FF437C" w:rsidRDefault="0078310B" w:rsidP="0078310B">
      <w:pPr>
        <w:pStyle w:val="Heading3"/>
        <w:spacing w:before="0" w:beforeAutospacing="0" w:after="120" w:afterAutospacing="0"/>
        <w:rPr>
          <w:i/>
        </w:rPr>
      </w:pPr>
      <w:bookmarkStart w:id="328" w:name="_Toc395790626"/>
      <w:r w:rsidRPr="00FF437C">
        <w:rPr>
          <w:i/>
        </w:rPr>
        <w:t>Determining whether the loss arises from “theft” or “casualty”</w:t>
      </w:r>
      <w:bookmarkEnd w:id="328"/>
    </w:p>
    <w:p w:rsidR="0078310B" w:rsidRDefault="0078310B" w:rsidP="0078310B">
      <w:pPr>
        <w:widowControl w:val="0"/>
        <w:spacing w:after="120"/>
        <w:ind w:firstLine="288"/>
        <w:jc w:val="both"/>
      </w:pPr>
      <w:r>
        <w:t>You wear your expensive (but unfortunately uninsured) diamond brooch to a charity event, and it is gone from your lapel when you arrive home. Have you realized a possible personal “theft” loss to deduct? Or have you merely lost it because of, say, a loose clasp? Revenue Ruling 72-112</w:t>
      </w:r>
      <w:r>
        <w:rPr>
          <w:rStyle w:val="FootnoteReference"/>
        </w:rPr>
        <w:footnoteReference w:id="615"/>
      </w:r>
      <w:r>
        <w:t xml:space="preserve"> provides: “To qualify as a ‘theft’ loss within the meaning of § 165(c)(3), the taxpayer needs only to prove that his loss resulted from a taking of property that is illegal under the law of the state where it occurred and that the taking was done with criminal intent.” The burden of proof that the property was stolen under these standards rests with the taxpayer. </w:t>
      </w:r>
    </w:p>
    <w:p w:rsidR="0078310B" w:rsidRDefault="0078310B" w:rsidP="0078310B">
      <w:pPr>
        <w:widowControl w:val="0"/>
        <w:spacing w:after="120"/>
        <w:ind w:firstLine="288"/>
        <w:jc w:val="both"/>
      </w:pPr>
      <w:r>
        <w:t xml:space="preserve">How do we distinguish between a “casualty” loss (potentially deductible) and a loss arising from mere use or deterioration over time? Remember that personal-use property is not depreciable, so § 165(c)(3) should not be implemented in a way that would effectively allow deductions for routine loss in value through the backdoor. Under the statutory interpretation canon of construction </w:t>
      </w:r>
      <w:r>
        <w:rPr>
          <w:i/>
        </w:rPr>
        <w:t>noscitur a sociis</w:t>
      </w:r>
      <w:r>
        <w:t xml:space="preserve"> (Latin for “it is known from its associates”), the meaning of one word in a list of similar words should be informed by the common features among the words. Thus</w:t>
      </w:r>
      <w:r>
        <w:rPr>
          <w:i/>
        </w:rPr>
        <w:t xml:space="preserve">, </w:t>
      </w:r>
      <w:r>
        <w:t>the IRS interprets the word “casualty” to require that the damage occur with the suddenness typical of “fire, storm, or shipwreck”—the words accompanying “casualty” in § 165(c)(3). Termite damage to personal-use property does not arise from a “casualty” within the meaning of § 165(c)(3), for example, because the damage occurs slowly, over many years, rather than from “an identifiable event of a sudden, unusual, or unexpected nature.”</w:t>
      </w:r>
      <w:r>
        <w:rPr>
          <w:rStyle w:val="FootnoteReference"/>
        </w:rPr>
        <w:footnoteReference w:id="616"/>
      </w:r>
      <w:r>
        <w:t xml:space="preserve"> </w:t>
      </w:r>
    </w:p>
    <w:p w:rsidR="0078310B" w:rsidRPr="00EB20A8" w:rsidRDefault="0078310B" w:rsidP="0078310B">
      <w:pPr>
        <w:widowControl w:val="0"/>
        <w:spacing w:after="120"/>
        <w:ind w:firstLine="288"/>
        <w:jc w:val="both"/>
      </w:pPr>
      <w:r>
        <w:t>The mere loss of property, while not deductible as a “theft” loss, can possibly be deductible as a “casualty” loss—on the right facts. For example, in Revenue Ruling 72-592,</w:t>
      </w:r>
      <w:r>
        <w:rPr>
          <w:rStyle w:val="FootnoteReference"/>
        </w:rPr>
        <w:footnoteReference w:id="617"/>
      </w:r>
      <w:r>
        <w:t xml:space="preserve"> the IRS acquiesced in the Tax Court’s holding in </w:t>
      </w:r>
      <w:r>
        <w:rPr>
          <w:i/>
        </w:rPr>
        <w:t>White v. Commissioner</w:t>
      </w:r>
      <w:r>
        <w:t>.</w:t>
      </w:r>
      <w:r>
        <w:rPr>
          <w:rStyle w:val="FootnoteReference"/>
        </w:rPr>
        <w:footnoteReference w:id="618"/>
      </w:r>
      <w:r>
        <w:t xml:space="preserve"> In so doing, it elaborated the meaning of “sudden, unusual, or unexpected,” quoted just above. </w:t>
      </w:r>
    </w:p>
    <w:p w:rsidR="0078310B" w:rsidRDefault="0078310B" w:rsidP="0078310B">
      <w:pPr>
        <w:widowControl w:val="0"/>
        <w:spacing w:after="120"/>
        <w:ind w:left="720" w:right="720"/>
        <w:jc w:val="both"/>
      </w:pPr>
      <w:r>
        <w:t xml:space="preserve">In the </w:t>
      </w:r>
      <w:r>
        <w:rPr>
          <w:i/>
        </w:rPr>
        <w:t xml:space="preserve">White </w:t>
      </w:r>
      <w:r>
        <w:t>case, the taxpayer-husband accidentally slammed the car door on his wife’s hand after helping her alight from the car. Her diamond engagement ring absorbed the full impact of the blow, which broke two flanges of the setting holding the diamond in place. His wife quickly withdrew her injured hand, shaking it vigorously, and the diamond dropped or flew out of the broken setting. The uninsured diamond was never found, and the taxpayer claimed a casualty loss deduction for its value in the year it was lost.</w:t>
      </w:r>
    </w:p>
    <w:p w:rsidR="0078310B" w:rsidRDefault="0078310B" w:rsidP="0078310B">
      <w:pPr>
        <w:widowControl w:val="0"/>
        <w:spacing w:after="120"/>
        <w:ind w:left="720" w:right="720"/>
        <w:jc w:val="both"/>
      </w:pPr>
      <w:r>
        <w:t xml:space="preserve">The Tax Court, convinced that the diamond was irrevocably and irretrievably lost, sustained the taxpayer’s claim, indicating that the diamond was completely removed from the enjoyment of its owner and that it had no value to the owner after the loss. The Service, in acquiescing in the decision, agreed that property that is accidentally and irretrievably lost can be the basis for a casualty loss deduction under </w:t>
      </w:r>
      <w:r w:rsidRPr="00EB20A8">
        <w:t>section 165 (c) (3) of the Code</w:t>
      </w:r>
      <w:r>
        <w:t xml:space="preserve"> if it otherwise qualifies as a casualty loss.</w:t>
      </w:r>
    </w:p>
    <w:p w:rsidR="0078310B" w:rsidRDefault="0078310B" w:rsidP="0078310B">
      <w:pPr>
        <w:widowControl w:val="0"/>
        <w:spacing w:after="120"/>
        <w:ind w:left="720" w:right="720"/>
        <w:jc w:val="both"/>
      </w:pPr>
      <w:r>
        <w:t>In other words, the Service position [that property that is merely lost cannot generate a deduction under § 165(c)(3)] is altered only to the extent that the accidental loss of property can now qualify as a casualty. Such losses must, of course, qualify under the same rules as must any other casualty; namely, the loss must result from some event that is (1) identifiable, (2) damaging to property, and (3) sudden, unexpected, and unusual in nature. The meaning of the terms “sudden, unexpected, and unusual,” as developed in court decisions, is set forth below.</w:t>
      </w:r>
    </w:p>
    <w:p w:rsidR="0078310B" w:rsidRDefault="0078310B" w:rsidP="0078310B">
      <w:pPr>
        <w:widowControl w:val="0"/>
        <w:spacing w:after="120"/>
        <w:ind w:left="720" w:right="720"/>
        <w:jc w:val="both"/>
      </w:pPr>
      <w:r>
        <w:t>To be “sudden” the event must be one that is swift and precipitous and not gradual or progressive.</w:t>
      </w:r>
    </w:p>
    <w:p w:rsidR="0078310B" w:rsidRDefault="0078310B" w:rsidP="0078310B">
      <w:pPr>
        <w:widowControl w:val="0"/>
        <w:spacing w:after="120"/>
        <w:ind w:left="720" w:right="720"/>
        <w:jc w:val="both"/>
      </w:pPr>
      <w:r>
        <w:t>To be “unexpected” the event must be one that is ordinarily unanticipated that occurs without the intent of the one who suffers the loss.</w:t>
      </w:r>
    </w:p>
    <w:p w:rsidR="0078310B" w:rsidRDefault="0078310B" w:rsidP="0078310B">
      <w:pPr>
        <w:widowControl w:val="0"/>
        <w:spacing w:after="120"/>
        <w:ind w:left="720" w:right="720"/>
        <w:jc w:val="both"/>
      </w:pPr>
      <w:r>
        <w:t>To be “unusual” the event must be one that is extraordinary and nonrecurring, one that does not commonly occur during the activity in which the taxpayer was engaged when the destruction or damage occurred, and one that does not commonly occur in the ordinary course of day-to-day living of the taxpayer.</w:t>
      </w:r>
    </w:p>
    <w:p w:rsidR="0078310B" w:rsidRPr="003572D4" w:rsidRDefault="0078310B" w:rsidP="0078310B">
      <w:pPr>
        <w:widowControl w:val="0"/>
        <w:spacing w:after="120"/>
        <w:ind w:firstLine="288"/>
        <w:jc w:val="both"/>
      </w:pPr>
      <w:r>
        <w:t>The taxpayer’s intentional destruction of property (</w:t>
      </w:r>
      <w:r>
        <w:rPr>
          <w:i/>
        </w:rPr>
        <w:t>e.g.</w:t>
      </w:r>
      <w:r>
        <w:t>, arson) is “sudden” but is nevertheless not deductible as a casualty loss, as discussed more thoroughly in Chapter 20. Damage arising from mere “negligence” by the taxpayer, however, can result in a deductible loss.</w:t>
      </w:r>
      <w:r>
        <w:rPr>
          <w:rStyle w:val="FootnoteReference"/>
        </w:rPr>
        <w:footnoteReference w:id="619"/>
      </w:r>
      <w:r>
        <w:t xml:space="preserve"> </w:t>
      </w:r>
    </w:p>
    <w:p w:rsidR="0078310B" w:rsidRPr="00FF437C" w:rsidRDefault="0078310B" w:rsidP="0078310B">
      <w:pPr>
        <w:pStyle w:val="Heading3"/>
        <w:spacing w:before="0" w:beforeAutospacing="0" w:after="120" w:afterAutospacing="0"/>
        <w:rPr>
          <w:i/>
        </w:rPr>
      </w:pPr>
      <w:bookmarkStart w:id="329" w:name="_Toc395790627"/>
      <w:r w:rsidRPr="00FF437C">
        <w:rPr>
          <w:i/>
        </w:rPr>
        <w:t>Determining the amount and character of a personal casualty or theft loss and whether it is an Itemized Deduction or Above-the-Line Deduction</w:t>
      </w:r>
      <w:bookmarkEnd w:id="329"/>
    </w:p>
    <w:p w:rsidR="0078310B" w:rsidRDefault="0078310B" w:rsidP="0078310B">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Claire’s grandson accidentally knocks it off the mantel, shattering it into hundreds of pieces (beyond repair). Unfortunately, Claire’s insurance for the vase has lapsed. Before applying the floors in § 165(h), what is the amount of Claire’s § 165(c)(3) deduction?</w:t>
      </w:r>
    </w:p>
    <w:p w:rsidR="0078310B" w:rsidRDefault="0078310B" w:rsidP="0078310B">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(both exclusion and deduction) for the same dollars, you know by now that Claire’s loss should therefore be limited to no more than her $600,000 basis, and § 165(b) confirms this result. (Only if Claire were forced to include in Gross Income that increase in value each year under a mark-to-market system would she thereby create additional basis to deduct on the vase’s eventual destruction). </w:t>
      </w:r>
    </w:p>
    <w:p w:rsidR="0078310B" w:rsidRDefault="0078310B" w:rsidP="0078310B">
      <w:pPr>
        <w:widowControl w:val="0"/>
        <w:spacing w:after="120"/>
        <w:ind w:firstLine="288"/>
        <w:jc w:val="both"/>
      </w:pPr>
      <w:r>
        <w:t>Suppose, instead, that the damage is less severe. Instead of hundreds of pieces, the vase is broken into three large segments, and an art restorer is able to painstakingly repair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20"/>
      </w:r>
      <w:r>
        <w:t xml:space="preserve"> After the restoration, the piece is appraised at $4</w:t>
      </w:r>
      <w:r w:rsidR="00674C55">
        <w:t>00,000. Two questions arise. First, wh</w:t>
      </w:r>
      <w:r>
        <w:t>at is the amount of Clair</w:t>
      </w:r>
      <w:r w:rsidR="00674C55">
        <w:t>e’s personal casualty loss? Second, h</w:t>
      </w:r>
      <w:r>
        <w:t xml:space="preserve">ow must Claire treat the $100,000 cost incurred to restore the piece? </w:t>
      </w:r>
    </w:p>
    <w:p w:rsidR="0078310B" w:rsidRDefault="0078310B" w:rsidP="0078310B">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39"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21"/>
      </w:r>
      <w:r>
        <w:t xml:space="preserve"> On these facts, Claire would use the appraisals, as they show a larger loss in value than was incurred in repair costs. Thus,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rsidR="0078310B" w:rsidRDefault="0078310B" w:rsidP="0078310B">
      <w:pPr>
        <w:widowControl w:val="0"/>
        <w:spacing w:after="120"/>
        <w:ind w:firstLine="288"/>
        <w:jc w:val="both"/>
      </w:pPr>
      <w:r>
        <w:t xml:space="preserve">Let’s suppose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rather than one taken above the line under § 62(a)(3) in reaching AGI because § 62(a)(3) applies only if the loss is realized by “sale or exchange.” Thus,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Thus, Claire avoids the § 1211(b) capital loss limitation rule. </w:t>
      </w:r>
    </w:p>
    <w:p w:rsidR="0078310B" w:rsidRDefault="0078310B" w:rsidP="0078310B">
      <w:pPr>
        <w:widowControl w:val="0"/>
        <w:spacing w:after="120"/>
        <w:ind w:firstLine="288"/>
        <w:jc w:val="both"/>
      </w:pPr>
      <w:r>
        <w:t xml:space="preserve">Claire clearly will itemize her deductions this year (rather than take the Standard Deduction) because her personal casualty loss deduction alone exceeds her Standard Deduction. Thus,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w:t>
      </w:r>
      <w:hyperlink r:id="rId940" w:history="1">
        <w:r w:rsidRPr="00A26132">
          <w:rPr>
            <w:rStyle w:val="Hyperlink"/>
          </w:rPr>
          <w:t>Treas. Reg. § 1.263(a)-3</w:t>
        </w:r>
      </w:hyperlink>
      <w:r>
        <w:t xml:space="preserve">(k)(1)(iii), Claire must then capitalize the $100,000 restoration cost, increasing her basis to $140,100. </w:t>
      </w:r>
    </w:p>
    <w:p w:rsidR="0078310B" w:rsidRDefault="0078310B" w:rsidP="0078310B">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her grandson. The first (Vase 1), which is uninsured, is the one described above, producing a $600,000 loss before applying § 165(h). The second (Vase 2) was purchased for $400,000, was appraised at $700,000 immediately before the casualty, and is completely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rsidR="0078310B" w:rsidRDefault="0078310B" w:rsidP="0078310B">
      <w:pPr>
        <w:widowControl w:val="0"/>
        <w:spacing w:after="120"/>
        <w:ind w:firstLine="288"/>
        <w:jc w:val="both"/>
      </w:pPr>
      <w:r>
        <w:t>As in the prior case, Claire’s $600,000 personal casualty loss with respect to Vase 1 is first reduced by $100 to $599,900 under § 165(h)(1). The amount of this $599,900 loss that is deductible under § 165(h)(2) is determined in two steps. First, under § 165(h)(2)(A)(i), Claire can deduct $300,000 (equal to her personal casualty gain), and this portion of the deductible loss is taken above the line in reaching AGI (notwithstanding that this loss does not arise on “sale or exchange” within the meaning of § 62(a)(3)) under the authority of § 165(h)(5)(A)—just enough to perfectly offset her includable $300,000 personal casualty gain. Thus, her AGI for purposes of applying § 165(h)(2)(A)(ii) is, as in the prior case, only $400,000 (instead of $700,000). Second, under § 165(h)(2)(A)(ii), Claire can deduct $259,900 (equal to the excess of the remaining $299,900 loss over 10% of her $400,000 AGI) as an Itemized Deduction.</w:t>
      </w:r>
    </w:p>
    <w:p w:rsidR="0078310B" w:rsidRDefault="0078310B" w:rsidP="0078310B">
      <w:pPr>
        <w:widowControl w:val="0"/>
        <w:spacing w:after="120"/>
        <w:ind w:firstLine="288"/>
        <w:jc w:val="both"/>
      </w:pPr>
      <w:r>
        <w:t>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the vases as capital assets) because the “sale or exchange” requirement under § 1222 is failed.</w:t>
      </w:r>
    </w:p>
    <w:p w:rsidR="0078310B" w:rsidRDefault="0078310B" w:rsidP="0078310B">
      <w:pPr>
        <w:widowControl w:val="0"/>
        <w:spacing w:after="120"/>
        <w:ind w:firstLine="288"/>
        <w:jc w:val="both"/>
      </w:pPr>
      <w:r>
        <w:t xml:space="preserve">Rarely does a taxpayer realize more personal casualty gains than losses. For the sake of illustration, however, suppose that Claire realizes a $600,000 personal casualty loss with respect to Vase 1 and a $700,000 personal casualty gain (instead of $300,000) with respect to Vase 2. First, the 10% floor in § 165(h)(2)(A)(ii) is not applicable, as § 165(h)(2)(A) expressly applies </w:t>
      </w:r>
      <w:r w:rsidRPr="002118ED">
        <w:rPr>
          <w:i/>
        </w:rPr>
        <w:t>only</w:t>
      </w:r>
      <w:r>
        <w:t xml:space="preserve"> in the more usual case in which personal casualty losses exceed personal casualty gains. Thus, Claire can fully deduct the $599,900 personal casualty loss remaining after applying § 165(h)(1). Second, both the gains and losses are “treated” as capital gains and losses under the authority of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treated as preferentially taxed “net capital gain” within the meaning of § 1222(11), as described in Chapter 15.</w:t>
      </w:r>
    </w:p>
    <w:p w:rsidR="0078310B" w:rsidRDefault="0078310B" w:rsidP="0078310B">
      <w:pPr>
        <w:widowControl w:val="0"/>
        <w:ind w:firstLine="288"/>
        <w:jc w:val="both"/>
      </w:pPr>
      <w:r>
        <w:t xml:space="preserve">Finally, </w:t>
      </w:r>
      <w:hyperlink r:id="rId941" w:history="1">
        <w:r w:rsidRPr="00A26132">
          <w:rPr>
            <w:rStyle w:val="Hyperlink"/>
          </w:rPr>
          <w:t>§ 165</w:t>
        </w:r>
      </w:hyperlink>
      <w:r>
        <w:t xml:space="preserve">(i) allows a taxpayer suffering a casualty in Year 2 to elect to take the allowable loss deduction in the year preceding the casualty (Year 1) by filing an amended return </w:t>
      </w:r>
      <w:r w:rsidRPr="00B13E73">
        <w:rPr>
          <w:i/>
        </w:rPr>
        <w:t>if and only if</w:t>
      </w:r>
      <w:r>
        <w:t xml:space="preserve"> the loss is attributable to a Federally declared disaster and occurs in the disaster area. By filing an amended return for the prior year that contains the new casualty loss deduction, the taxpayer can obtain a refund of tax just when it can best be used (in the year of the disaster). Absent this rule, the taxpayer would have to wait until the filing season commences for the disaster year (Year 3) to file a tax return that obtains the benefit of the deduction.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30" w:name="_Toc395790628"/>
      <w:r w:rsidRPr="00FF437C">
        <w:rPr>
          <w:u w:val="single"/>
        </w:rPr>
        <w:t>Problem</w:t>
      </w:r>
      <w:bookmarkEnd w:id="330"/>
    </w:p>
    <w:p w:rsidR="0078310B" w:rsidRPr="00CF226B"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 not yet obtained coverage when a severe storm damages the boat. After the storm, Scott and Sally have the boat appraised at $30,000. They pay $7,000 to repair the storm damage. Without regard to any possible casualty loss deduction, Scott’s and Sally’s AGI is $70,000.</w:t>
      </w:r>
    </w:p>
    <w:p w:rsidR="0078310B" w:rsidRDefault="0078310B" w:rsidP="0078310B">
      <w:pPr>
        <w:widowControl w:val="0"/>
        <w:spacing w:after="120"/>
        <w:ind w:firstLine="288"/>
        <w:jc w:val="both"/>
      </w:pPr>
      <w:r>
        <w:rPr>
          <w:b/>
        </w:rPr>
        <w:t xml:space="preserve">a. </w:t>
      </w:r>
      <w:r>
        <w:t xml:space="preserve">How much, if any, can Scott and Sally deduct under §§ 165(c)(3) and (h)? </w:t>
      </w:r>
    </w:p>
    <w:p w:rsidR="0078310B" w:rsidRDefault="0078310B" w:rsidP="0078310B">
      <w:pPr>
        <w:widowControl w:val="0"/>
        <w:ind w:left="288"/>
        <w:jc w:val="both"/>
      </w:pPr>
      <w:r>
        <w:rPr>
          <w:b/>
        </w:rPr>
        <w:t>b.</w:t>
      </w:r>
      <w:r>
        <w:t xml:space="preserve"> How would your answer change if they also receive an insurance check in the same year for $8,000 to compensate them for the theft of Sally’s insured diamond engagement ring, which Scott had purchased years ago for $6,000? They decide not to purchase another diamond ring with the insurance payment but rather to use the money for a romantic trip to Paris. </w:t>
      </w:r>
    </w:p>
    <w:p w:rsidR="0078310B" w:rsidRDefault="0078310B" w:rsidP="0078310B">
      <w:pPr>
        <w:widowControl w:val="0"/>
        <w:ind w:left="288"/>
        <w:jc w:val="both"/>
      </w:pPr>
    </w:p>
    <w:p w:rsidR="0078310B" w:rsidRPr="00CF226B" w:rsidRDefault="0078310B" w:rsidP="0078310B">
      <w:pPr>
        <w:pStyle w:val="Heading2"/>
        <w:spacing w:before="0"/>
        <w:rPr>
          <w:sz w:val="32"/>
          <w:szCs w:val="32"/>
          <w:u w:val="single"/>
        </w:rPr>
      </w:pPr>
      <w:bookmarkStart w:id="331" w:name="_Toc395790629"/>
      <w:r w:rsidRPr="00CF226B">
        <w:rPr>
          <w:sz w:val="32"/>
          <w:szCs w:val="32"/>
          <w:u w:val="single"/>
        </w:rPr>
        <w:t>C. Health care</w:t>
      </w:r>
      <w:bookmarkEnd w:id="331"/>
    </w:p>
    <w:p w:rsidR="0078310B" w:rsidRPr="00676822" w:rsidRDefault="0078310B" w:rsidP="0078310B">
      <w:pPr>
        <w:widowControl w:val="0"/>
        <w:jc w:val="both"/>
      </w:pPr>
    </w:p>
    <w:p w:rsidR="0078310B" w:rsidRDefault="0078310B" w:rsidP="0078310B">
      <w:pPr>
        <w:widowControl w:val="0"/>
        <w:ind w:firstLine="288"/>
        <w:jc w:val="both"/>
      </w:pPr>
      <w:r>
        <w:t xml:space="preserve">Americans spend far more—at least 5 percentage points of GDP more—on health care than do citizens of most other developed nations, with approximately 53% spent in the private sector and 47% in the public sector (primarily Medicare and Medicaid). The chart below shows spending as a percentage of GDP in 2012 or the nearest year for which data is available. </w:t>
      </w:r>
      <w:r>
        <w:rPr>
          <w:rStyle w:val="FootnoteReference"/>
        </w:rPr>
        <w:footnoteReference w:id="622"/>
      </w:r>
      <w:r>
        <w:t xml:space="preserve"> The United States is at the far left in the chart.</w:t>
      </w:r>
    </w:p>
    <w:p w:rsidR="0078310B" w:rsidRDefault="0078310B" w:rsidP="0078310B">
      <w:pPr>
        <w:widowControl w:val="0"/>
        <w:spacing w:after="240"/>
        <w:jc w:val="center"/>
      </w:pPr>
      <w:r>
        <w:rPr>
          <w:noProof/>
        </w:rPr>
        <w:drawing>
          <wp:anchor distT="0" distB="0" distL="114300" distR="114300" simplePos="0" relativeHeight="251667456" behindDoc="0" locked="0" layoutInCell="1" allowOverlap="1" wp14:anchorId="42D5A942" wp14:editId="19CB1D46">
            <wp:simplePos x="0" y="0"/>
            <wp:positionH relativeFrom="column">
              <wp:posOffset>276225</wp:posOffset>
            </wp:positionH>
            <wp:positionV relativeFrom="paragraph">
              <wp:posOffset>47625</wp:posOffset>
            </wp:positionV>
            <wp:extent cx="5452110" cy="2881480"/>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452110" cy="288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78310B" w:rsidRDefault="0078310B" w:rsidP="0078310B">
      <w:pPr>
        <w:widowControl w:val="0"/>
        <w:spacing w:after="120"/>
        <w:ind w:firstLine="288"/>
        <w:jc w:val="both"/>
      </w:pPr>
    </w:p>
    <w:p w:rsidR="00F21281" w:rsidRDefault="00F21281" w:rsidP="0078310B">
      <w:pPr>
        <w:widowControl w:val="0"/>
        <w:spacing w:after="120"/>
        <w:ind w:firstLine="288"/>
        <w:jc w:val="both"/>
      </w:pPr>
    </w:p>
    <w:p w:rsidR="0078310B" w:rsidRDefault="0078310B" w:rsidP="0078310B">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23"/>
      </w:r>
      <w:r w:rsidR="008A1C73">
        <w:t xml:space="preserve"> For example, one </w:t>
      </w:r>
      <w:r>
        <w:t>study revealed that the average price of a hip replacement is $40,364 in the U.S. and $7,731 in Spain; the average price of an M.R.I. scan is $1,121 in the U.S. and $319 in the Netherlands; the average price of a Lipitor supply is $124 in the U.S. and $6 in New Zealand.</w:t>
      </w:r>
      <w:r>
        <w:rPr>
          <w:rStyle w:val="FootnoteReference"/>
        </w:rPr>
        <w:footnoteReference w:id="624"/>
      </w:r>
      <w:r>
        <w:rPr>
          <w:i/>
        </w:rPr>
        <w:t xml:space="preserve"> </w:t>
      </w:r>
      <w:r>
        <w:t>In addition, the American method of providing care to pregnant women and the item-by-item method of charging for that care results in Americans paying more for childbirth than those in any other industrialized nation. “Despite its lavish spending, the United States has one of the highest rates of both infant and maternal death among industrialized nations, although the fact that poor and uninsured women and those whose insurance does not cover childbirth have trouble getting or paying for prenatal care contributes to those figures.”</w:t>
      </w:r>
      <w:r>
        <w:rPr>
          <w:rStyle w:val="FootnoteReference"/>
        </w:rPr>
        <w:footnoteReference w:id="625"/>
      </w:r>
      <w:r>
        <w:t xml:space="preserve"> Of course, these price differentials are captured as income by various health-care market participants (doctors and other health-care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health-care market does not operate like other U.S. consumer markets for, say, TV sets. </w:t>
      </w:r>
    </w:p>
    <w:p w:rsidR="0078310B" w:rsidRDefault="0078310B" w:rsidP="0078310B">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26"/>
      </w:r>
    </w:p>
    <w:p w:rsidR="0078310B" w:rsidRDefault="0078310B" w:rsidP="0078310B">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health-care cost containment with the introduction of health savings accounts coupled with high-deductible insurance plans. Before we discuss these provisions, however, let’s first consider the § 213 deduction for certain medical expenses, which stands on a different footing.</w:t>
      </w:r>
    </w:p>
    <w:p w:rsidR="0078310B" w:rsidRPr="00FF437C" w:rsidRDefault="0078310B" w:rsidP="0078310B">
      <w:pPr>
        <w:pStyle w:val="Heading3"/>
        <w:spacing w:before="0" w:beforeAutospacing="0" w:after="120" w:afterAutospacing="0"/>
        <w:rPr>
          <w:i/>
        </w:rPr>
      </w:pPr>
      <w:bookmarkStart w:id="332" w:name="_Toc395790630"/>
      <w:r w:rsidRPr="00FF437C">
        <w:rPr>
          <w:i/>
        </w:rPr>
        <w:t>The § 213 deduction for certain medical costs</w:t>
      </w:r>
      <w:bookmarkEnd w:id="332"/>
    </w:p>
    <w:p w:rsidR="0078310B" w:rsidRDefault="002B3596" w:rsidP="0078310B">
      <w:pPr>
        <w:widowControl w:val="0"/>
        <w:spacing w:after="120"/>
        <w:ind w:firstLine="288"/>
        <w:jc w:val="both"/>
      </w:pPr>
      <w:hyperlink r:id="rId943" w:history="1">
        <w:r w:rsidR="0078310B" w:rsidRPr="00404293">
          <w:rPr>
            <w:rStyle w:val="Hyperlink"/>
          </w:rPr>
          <w:t>Section 213</w:t>
        </w:r>
      </w:hyperlink>
      <w:r w:rsidR="0078310B">
        <w:t>(a) provides that the uncompensated costs for medical care of the taxpayer, as well as of his</w:t>
      </w:r>
      <w:r w:rsidR="00404293">
        <w:t xml:space="preserve"> or her spouse </w:t>
      </w:r>
      <w:r w:rsidR="0078310B">
        <w:t xml:space="preserve">and dependents, can be deducted to the extent that the aggregate exceeds 10% of the taxpayer’s AGI, increased from 7.5% of AGI for years prior to 2013. As explored in Chapters 8 and 9, members of a civil union or registered domestic partnership are not considered married for Federal income tax purposes, so medical expenses paid by Mary for health care provided to her civil partner Monica could be deducted by Mary (to the extent exceeding 10% of Mary’s AGI) only if Monica qualified as Mary’s dependent within the meaning of §§ 151 and 152. </w:t>
      </w:r>
    </w:p>
    <w:p w:rsidR="0078310B" w:rsidRDefault="0078310B" w:rsidP="0078310B">
      <w:pPr>
        <w:widowControl w:val="0"/>
        <w:spacing w:after="120"/>
        <w:ind w:firstLine="288"/>
        <w:jc w:val="both"/>
      </w:pPr>
      <w:r>
        <w:t>The 10%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“income” under SHS principles).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rsidR="0078310B" w:rsidRDefault="0078310B" w:rsidP="0078310B">
      <w:pPr>
        <w:widowControl w:val="0"/>
        <w:spacing w:after="120"/>
        <w:ind w:firstLine="288"/>
        <w:jc w:val="both"/>
      </w:pPr>
      <w:r>
        <w:t xml:space="preserve">The § 213 deduction is an Itemized Deduction but is not a § 67 MID (because § 213 has its own floor). Recall that only about 30% of taxpayers itemize, with the remainder taking the Standard Deduction. Thus, even before the recent increase in the AGI floor from 7.5% to 10%, relatively few tax returns showed a § 213 deduction. Nevertheless, let’s spend a few moments considering the broad outline of the sorts of costs that are potentially deductible under § 213. </w:t>
      </w:r>
    </w:p>
    <w:p w:rsidR="0078310B" w:rsidRDefault="0078310B" w:rsidP="0078310B">
      <w:pPr>
        <w:widowControl w:val="0"/>
        <w:spacing w:after="120"/>
        <w:ind w:firstLine="288"/>
        <w:jc w:val="both"/>
      </w:pPr>
      <w:r>
        <w:t>“Medical care” is defined in § 213(d)(1)(A) as encompassing costs paid “for the diagnosis, cure, mitigation, treatment, or prevention of disease, or for the purpose of affecting any structure or function of the body.”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in such cases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27"/>
      </w:r>
      <w:r>
        <w:t xml:space="preserve">  </w:t>
      </w:r>
    </w:p>
    <w:p w:rsidR="0078310B" w:rsidRDefault="0078310B" w:rsidP="0078310B">
      <w:pPr>
        <w:widowControl w:val="0"/>
        <w:spacing w:after="120"/>
        <w:ind w:firstLine="288"/>
        <w:jc w:val="both"/>
      </w:pPr>
      <w:r>
        <w:t xml:space="preserve">The disease need not be physical. </w:t>
      </w:r>
      <w:hyperlink r:id="rId944" w:history="1">
        <w:r w:rsidRPr="00CE0B83">
          <w:rPr>
            <w:rStyle w:val="Hyperlink"/>
          </w:rPr>
          <w:t>Treas. Reg. § 1.213-1</w:t>
        </w:r>
      </w:hyperlink>
      <w:r>
        <w:t xml:space="preserve">(d)(1)(ii) specifically mentions costs incurred to ameliorate a “mental defect or illness,” including costs paid to a psychiatrist or psychologist. In </w:t>
      </w:r>
      <w:r>
        <w:rPr>
          <w:i/>
        </w:rPr>
        <w:t>O’Donnahbain v. Commissioner</w:t>
      </w:r>
      <w:r>
        <w:t>,</w:t>
      </w:r>
      <w:r w:rsidRPr="004D6F76">
        <w:rPr>
          <w:rStyle w:val="FootnoteReference"/>
        </w:rPr>
        <w:t xml:space="preserve"> </w:t>
      </w:r>
      <w:r>
        <w:rPr>
          <w:rStyle w:val="FootnoteReference"/>
        </w:rPr>
        <w:footnoteReference w:id="628"/>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thus were generally deductible, but that her breast augmentation surgery was cosmetic surgery within the meaning of § 213(d)(9), the cost of which was nondeductible because the surgery was directed at improving her appearance rather than meaningfully treating the disease.</w:t>
      </w:r>
    </w:p>
    <w:p w:rsidR="0078310B" w:rsidRPr="00184F51" w:rsidRDefault="0078310B" w:rsidP="0078310B">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purposes.” Nevertheless, the regulation further provides that an outlay that otherwise satisfies the definition of medical care “shall not be disqualified merely because it is a capital expenditure.” Examples provided in the regulation include eye glasses, a seeing-eye dog, artificial teeth and limbs, and a wheelchair. The reason for this rule is that the long-lived asset would not otherwise be depreciable under §§ 167 and 168 because it is a personal-use asset. Thus, they are, in effect, </w:t>
      </w:r>
      <w:r>
        <w:rPr>
          <w:i/>
        </w:rPr>
        <w:t>treated</w:t>
      </w:r>
      <w:r>
        <w:t xml:space="preserve"> as though they were “expenses” (rather than capital expenditures) for purposes of § 213. </w:t>
      </w:r>
    </w:p>
    <w:p w:rsidR="0078310B" w:rsidRDefault="0078310B" w:rsidP="0078310B">
      <w:pPr>
        <w:widowControl w:val="0"/>
        <w:spacing w:after="120"/>
        <w:ind w:firstLine="288"/>
        <w:jc w:val="both"/>
      </w:pPr>
      <w:r>
        <w:t>Moreover, 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rsidR="0078310B" w:rsidRDefault="0078310B" w:rsidP="0078310B">
      <w:pPr>
        <w:widowControl w:val="0"/>
        <w:spacing w:after="120"/>
        <w:ind w:left="720" w:right="720"/>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rsidR="0078310B" w:rsidRDefault="0078310B" w:rsidP="0078310B">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rsidR="0078310B" w:rsidRPr="00FF437C" w:rsidRDefault="0078310B" w:rsidP="0078310B">
      <w:pPr>
        <w:pStyle w:val="Heading3"/>
        <w:spacing w:before="0" w:beforeAutospacing="0" w:after="120" w:afterAutospacing="0"/>
        <w:rPr>
          <w:i/>
        </w:rPr>
      </w:pPr>
      <w:bookmarkStart w:id="333" w:name="_Toc395790631"/>
      <w:r w:rsidRPr="00FF437C">
        <w:rPr>
          <w:i/>
        </w:rPr>
        <w:t>The §§ 105(b) and 106 exclusions for employer-provided health care (and the § 162(l) deduction for the self-employed)</w:t>
      </w:r>
      <w:bookmarkEnd w:id="333"/>
    </w:p>
    <w:p w:rsidR="0078310B" w:rsidRPr="00897DC4" w:rsidRDefault="0078310B" w:rsidP="0078310B">
      <w:pPr>
        <w:widowControl w:val="0"/>
        <w:spacing w:after="120"/>
        <w:ind w:firstLine="288"/>
        <w:jc w:val="both"/>
      </w:pPr>
      <w:r>
        <w:t>Absent §</w:t>
      </w:r>
      <w:hyperlink r:id="rId945" w:history="1">
        <w:r w:rsidRPr="00CE0B83">
          <w:rPr>
            <w:rStyle w:val="Hyperlink"/>
          </w:rPr>
          <w:t>§ 105</w:t>
        </w:r>
      </w:hyperlink>
      <w:r>
        <w:t xml:space="preserve">(b) and </w:t>
      </w:r>
      <w:hyperlink r:id="rId946" w:history="1">
        <w:r w:rsidRPr="00CE0B83">
          <w:rPr>
            <w:rStyle w:val="Hyperlink"/>
          </w:rPr>
          <w:t>106</w:t>
        </w:r>
      </w:hyperlink>
      <w:r>
        <w:t>, amounts paid by an employer for employee health care would be 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10% of AGI). Sections 105(b) and 106, however, provide authority for employees to exclude 100% of health care purchased or provided by their employers, with no floor or ceiling.</w:t>
      </w:r>
      <w:r>
        <w:rPr>
          <w:rStyle w:val="FootnoteReference"/>
        </w:rPr>
        <w:footnoteReference w:id="629"/>
      </w:r>
      <w:r>
        <w:t xml:space="preserve"> </w:t>
      </w:r>
    </w:p>
    <w:p w:rsidR="0078310B" w:rsidRPr="00CA421D" w:rsidRDefault="0078310B" w:rsidP="0078310B">
      <w:pPr>
        <w:widowControl w:val="0"/>
        <w:spacing w:after="120"/>
        <w:ind w:firstLine="288"/>
        <w:jc w:val="both"/>
      </w:pPr>
      <w:r>
        <w:t>As indicated in the char</w:t>
      </w:r>
      <w:r w:rsidR="00CE0B83">
        <w:t>t at the beginning of this chapt</w:t>
      </w:r>
      <w:r>
        <w:t xml:space="preserve">er, the §§ 105(b) and 106 exclusions for employer-provided health care are huge revenue losers. Moreover, self-employed individuals are permitted to deduct 100% of the cost of health insurance premiums as a business expense under </w:t>
      </w:r>
      <w:hyperlink r:id="rId947" w:history="1">
        <w:r w:rsidRPr="00CE0B83">
          <w:rPr>
            <w:rStyle w:val="Hyperlink"/>
          </w:rPr>
          <w:t>§ 162</w:t>
        </w:r>
      </w:hyperlink>
      <w:r>
        <w:t>(</w:t>
      </w:r>
      <w:r>
        <w:rPr>
          <w:i/>
        </w:rPr>
        <w:t>l</w:t>
      </w:r>
      <w:r>
        <w:t>) (and to exclude benefits received under the plan under § 104(a)(3)), unhampered by the 10% floor otherwise applicable under § 213 to other individuals who must purchase health insurance in the individual market because they are either (1) employees (rather than self-employed individuals) whose employers do not offer health insurance or (2) unemployed.</w:t>
      </w:r>
      <w:r>
        <w:rPr>
          <w:rStyle w:val="FootnoteReference"/>
        </w:rPr>
        <w:footnoteReference w:id="630"/>
      </w:r>
    </w:p>
    <w:p w:rsidR="0078310B" w:rsidRDefault="0078310B" w:rsidP="0078310B">
      <w:pPr>
        <w:widowControl w:val="0"/>
        <w:spacing w:after="120"/>
        <w:ind w:firstLine="288"/>
        <w:jc w:val="both"/>
      </w:pPr>
      <w:r>
        <w:t>Some say that 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shortages.”</w:t>
      </w:r>
      <w:r>
        <w:rPr>
          <w:rStyle w:val="FootnoteReference"/>
        </w:rPr>
        <w:footnoteReference w:id="631"/>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32"/>
      </w:r>
      <w:r>
        <w:t xml:space="preserve"> </w:t>
      </w:r>
    </w:p>
    <w:p w:rsidR="0078310B" w:rsidRDefault="0078310B" w:rsidP="0078310B">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33"/>
      </w:r>
      <w:r>
        <w:t xml:space="preserve"> Congress reacted in 1954 by adding §§ 105(b) and 106, effectively codifying the earlier IRS ruling. And we were off to the races!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34"/>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10% floor in § 213). </w:t>
      </w:r>
    </w:p>
    <w:p w:rsidR="0078310B" w:rsidRDefault="0078310B" w:rsidP="0078310B">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or Personal Exemption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for the year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10%-of-AGI floor. Thus,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$17,500 tax on his $70,000 cash wages ($70,000 x .25), leaving precisely the same $52,500 of cash in hand. Thus, Carl would be indifferent between these two employment packages. But is the </w:t>
      </w:r>
      <w:r w:rsidRPr="007E2C68">
        <w:rPr>
          <w:i/>
        </w:rPr>
        <w:t>employer</w:t>
      </w:r>
      <w:r>
        <w:t xml:space="preserve"> indifferent?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partly to an insurance company in the form of health-care coverage for Carl (and without regard to whether Carl can exclude the coverage from his Gross Income). Thus,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health-care providers, who benefit from the increased demand that comes from consumers when they purchase more and more of what looks like “free” health care to them. Prices rise and the number of procedures rise, contributing to the escalating rate of health-care cost inflation. Thus, between 1999 and 2009</w:t>
      </w:r>
      <w:r w:rsidR="00CE0B83">
        <w:t xml:space="preserve"> (before the Patient Protection an</w:t>
      </w:r>
      <w:r w:rsidR="00026969">
        <w:t>d Affordable Care Act was signed into law in 2010</w:t>
      </w:r>
      <w:r w:rsidR="00CE0B83">
        <w:t>)</w:t>
      </w:r>
      <w:r>
        <w:t>, the economy grew by about 20%, but health care costs increased by about 50%.</w:t>
      </w:r>
      <w:r>
        <w:rPr>
          <w:rStyle w:val="FootnoteReference"/>
        </w:rPr>
        <w:footnoteReference w:id="635"/>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health-care spending would be to repeal or reduce the § 106 exclusion. </w:t>
      </w:r>
    </w:p>
    <w:p w:rsidR="0078310B" w:rsidRDefault="0078310B" w:rsidP="0078310B">
      <w:pPr>
        <w:widowControl w:val="0"/>
        <w:spacing w:after="120"/>
        <w:ind w:left="720" w:right="720"/>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36"/>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37"/>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possible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as well.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 example of this phenomenon can be seen in a feature adopted in the Patient Protection and Affordable Care Act. While economists argued for a limit in the amount that can be excluded under § 106 (a reduction of </w:t>
      </w:r>
      <w:r w:rsidRPr="007A1F85">
        <w:rPr>
          <w:i/>
        </w:rPr>
        <w:t>the tax benefit</w:t>
      </w:r>
      <w:r>
        <w:t>), Congress instead adopted the so-called Cadillac tax—</w:t>
      </w:r>
      <w:r w:rsidRPr="007A1F85">
        <w:rPr>
          <w:i/>
        </w:rPr>
        <w:t>a positive tax</w:t>
      </w:r>
      <w:r>
        <w:t xml:space="preserve">—to reach (essentially) the same economic end result but perhaps in a more politically palatable manner. Originally scheduled to begin 2018 but now deferred until 2020 under the Protecting Americans from Tax Hikes Act of 2015, a nondeductible 40% excise tax will be imposed on the “excess benefit” provided to any employee in 2020 and later years under an employer-provided health care plan. The “excess benefit” is generally defined as the amount exceeding $10,200 for an individual and $27,500 for families, increased each year by the Urban Consumer Price Index. The notable feature for purposes of this discussion is that the tax is imposed on the </w:t>
      </w:r>
      <w:r>
        <w:rPr>
          <w:i/>
        </w:rPr>
        <w:t xml:space="preserve">insurance provider </w:t>
      </w:r>
      <w:r>
        <w:t xml:space="preserve">(the insurance company providing the plan or the administrator of the plan in the case of an employer that self-insures).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The tax doesn’t fall directly on workers. It doesn’t even fall on employers. It falls on everyone’s favorite villain: </w:t>
      </w:r>
      <w:r w:rsidRPr="00656865">
        <w:t>health insurance</w:t>
      </w:r>
      <w:r>
        <w:t xml:space="preserve"> companies…. Presumably, insurers would pass the cost of the tax onto companies, which would then become less willing to offer expensive plans. They would instead shift some of the money they are now spending on health insurance into cash compensation, which would, of course, be taxed, raising more revenue.</w:t>
      </w:r>
      <w:r>
        <w:rPr>
          <w:rStyle w:val="FootnoteReference"/>
        </w:rPr>
        <w:footnoteReference w:id="638"/>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rPr>
          <w:spacing w:val="-2"/>
        </w:rPr>
      </w:pPr>
      <w:r w:rsidRPr="00F52C5A">
        <w:rPr>
          <w:spacing w:val="-2"/>
        </w:rPr>
        <w:t xml:space="preserve">In other words, the </w:t>
      </w:r>
      <w:r>
        <w:rPr>
          <w:spacing w:val="-2"/>
        </w:rPr>
        <w:t xml:space="preserve">so-called </w:t>
      </w:r>
      <w:r w:rsidRPr="00F52C5A">
        <w:rPr>
          <w:spacing w:val="-2"/>
        </w:rPr>
        <w:t>Cadillac Tax is really just one</w:t>
      </w:r>
      <w:r>
        <w:rPr>
          <w:spacing w:val="-2"/>
        </w:rPr>
        <w:t xml:space="preserve"> means of effectively limiting </w:t>
      </w:r>
      <w:r w:rsidRPr="00F52C5A">
        <w:rPr>
          <w:spacing w:val="-2"/>
        </w:rPr>
        <w:t xml:space="preserve">the </w:t>
      </w:r>
      <w:r>
        <w:rPr>
          <w:spacing w:val="-2"/>
        </w:rPr>
        <w:t>§ 106 exclusion at the top end, though in a more convoluted manner, which should help to ameliorate the distortions caused in the marketplace by the exclusion. The main reason why this attempt to limit the § 106 exclusion had to be “</w:t>
      </w:r>
      <w:r>
        <w:t>dressed up with a whole lot of lipstick”</w:t>
      </w:r>
      <w:r>
        <w:rPr>
          <w:rStyle w:val="FootnoteReference"/>
        </w:rPr>
        <w:footnoteReference w:id="639"/>
      </w:r>
      <w:r>
        <w:t xml:space="preserve"> is, in part, attributable to </w:t>
      </w:r>
      <w:r>
        <w:rPr>
          <w:spacing w:val="-2"/>
        </w:rPr>
        <w:t xml:space="preserve">how we are wired cognitively.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however, for capping the § 106 exclusion directly. For example, the Urban Institute published a study in May 2013 advocating limiting the exclusion for income and payroll tax purposes at the 75</w:t>
      </w:r>
      <w:r w:rsidRPr="0023128B">
        <w:rPr>
          <w:spacing w:val="-2"/>
          <w:vertAlign w:val="superscript"/>
        </w:rPr>
        <w:t>th</w:t>
      </w:r>
      <w:r>
        <w:rPr>
          <w:spacing w:val="-2"/>
        </w:rPr>
        <w:t xml:space="preserve"> percentile of 2013 premiums, indexed thereafter by GDP growth. “</w:t>
      </w:r>
      <w:r>
        <w:t>The policy would produce $264.0 billion in new tax revenues over the coming decade while preserving 93 percent of the tax subsidies available under the current policy.”</w:t>
      </w:r>
      <w:r>
        <w:rPr>
          <w:rStyle w:val="FootnoteReference"/>
        </w:rPr>
        <w:footnoteReference w:id="640"/>
      </w:r>
    </w:p>
    <w:p w:rsidR="0078310B" w:rsidRPr="00FF437C" w:rsidRDefault="0078310B" w:rsidP="0078310B">
      <w:pPr>
        <w:pStyle w:val="Heading3"/>
        <w:spacing w:before="0" w:beforeAutospacing="0" w:after="120" w:afterAutospacing="0"/>
        <w:rPr>
          <w:i/>
          <w:spacing w:val="-2"/>
        </w:rPr>
      </w:pPr>
      <w:bookmarkStart w:id="334" w:name="_Toc395790632"/>
      <w:r>
        <w:rPr>
          <w:i/>
        </w:rPr>
        <w:t>The consumer-driven,</w:t>
      </w:r>
      <w:r w:rsidRPr="00FF437C">
        <w:rPr>
          <w:i/>
        </w:rPr>
        <w:t xml:space="preserve"> health-care movement: HSAs and high-deductible plans</w:t>
      </w:r>
      <w:bookmarkEnd w:id="334"/>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235B6">
        <w:rPr>
          <w:spacing w:val="-2"/>
        </w:rPr>
        <w:t xml:space="preserve">Even before Obamacare,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health-care cost inflation. For example, Congress created Health Savings Accounts (HSAs), which require an accompanying high-deductible health insurance plan, by enacting </w:t>
      </w:r>
      <w:hyperlink r:id="rId948"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amounts added to savings accounts 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accounts are afforded preferential cash-</w:t>
      </w:r>
      <w:r w:rsidRPr="00F235B6">
        <w:rPr>
          <w:spacing w:val="-2"/>
        </w:rPr>
        <w:t>flow consump</w:t>
      </w:r>
      <w:r>
        <w:rPr>
          <w:spacing w:val="-2"/>
        </w:rPr>
        <w:t>tion tax treatment, such as savings in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41"/>
      </w:r>
      <w:r>
        <w:t xml:space="preserve"> The catch is that, for a savings account to be eligible for this extraordinarily favorable treatment, the taxpayer must have a high-deductible health insurance plan.</w:t>
      </w:r>
      <w:r>
        <w:rPr>
          <w:rStyle w:val="FootnoteReference"/>
        </w:rPr>
        <w:footnoteReference w:id="642"/>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in effect, an increase in the contribution limits that otherwise apply to IRAs and § 401(k) plans for the “healthy, wealthy, and wise.” If the taxpayer merely waits until retirement, the withdrawn funds are treated no worse than they would be treated under an IRA or § 401(k) plan if not spent on medical care (and treated better if spent on medical care).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health-care movement. Supporters of this movement believe that the chief culprit behind the high rate of U.S. health-care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t>-</w:t>
      </w:r>
      <w:r w:rsidRPr="00F235B6">
        <w:t xml:space="preserve">care costs and expand access.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health-care movement</w:t>
      </w:r>
      <w:r>
        <w:rPr>
          <w:rStyle w:val="FootnoteReference"/>
        </w:rPr>
        <w:footnoteReference w:id="643"/>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44"/>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addition,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rsidR="0078310B" w:rsidRDefault="0078310B" w:rsidP="0078310B">
      <w:pPr>
        <w:spacing w:after="120"/>
      </w:pPr>
      <w:r>
        <w:rPr>
          <w:b/>
          <w:i/>
        </w:rPr>
        <w:t>The § 36B premium health care credit</w:t>
      </w:r>
    </w:p>
    <w:p w:rsidR="0078310B" w:rsidRDefault="0078310B" w:rsidP="0078310B">
      <w:pPr>
        <w:spacing w:after="120"/>
        <w:ind w:firstLine="288"/>
      </w:pPr>
      <w:r>
        <w:t xml:space="preserve">Under </w:t>
      </w:r>
      <w:hyperlink r:id="rId949" w:history="1">
        <w:r w:rsidRPr="00DD3B0E">
          <w:rPr>
            <w:rStyle w:val="Hyperlink"/>
          </w:rPr>
          <w:t>§ 36B</w:t>
        </w:r>
      </w:hyperlink>
      <w:r>
        <w:t xml:space="preserve">, which was enacted as part of the Affordable Care Act, taxpayers with AGI between 100% and 400% of the poverty level (based on household size) are eligible for tax credits to help pay for health care premiums purchased over their state’s health insurance marketplace. These credits are paid directly to the insurance company providing their coverage each month, thus reducing the taxpayer’s monthly out-of-pocket premium costs, unless the taxpayer prefers to wait and take the tax credit on her annual tax return. </w:t>
      </w:r>
    </w:p>
    <w:p w:rsidR="0078310B" w:rsidRDefault="0078310B" w:rsidP="0078310B">
      <w:pPr>
        <w:spacing w:after="120"/>
        <w:ind w:firstLine="288"/>
      </w:pPr>
      <w:r>
        <w:t xml:space="preserve">The amount of the credit is equal to the lesser of (1) the taxpayer’s premium for the chosen plan and (2) the cost of the state’s second-lowest “silver” plan (the benchmark plan) </w:t>
      </w:r>
      <w:r>
        <w:rPr>
          <w:i/>
        </w:rPr>
        <w:t>less</w:t>
      </w:r>
      <w:r>
        <w:t xml:space="preserve"> the taxpayer’s expected contribution for coverage, which is based on a sliding scale. For example, self-only coverage for a taxpayer with income equal to 200% of the poverty line must contribute 6.3% of his income toward coverage. Here is an example: </w:t>
      </w:r>
    </w:p>
    <w:p w:rsidR="0078310B" w:rsidRDefault="0078310B" w:rsidP="0078310B">
      <w:pPr>
        <w:ind w:left="720" w:right="720"/>
      </w:pPr>
      <w:r>
        <w:t xml:space="preserve">John is 24 years old and has an annual income of $23,340, which equals 200% of the poverty line for purposes of the 2015 tax credit. His expected contribution is 6.3 percent of his income, or $1,470 a year. The benchmark plan available to John is priced at $5,000; John is eligible for a credit amount of no more than $3,530 ($5,000 </w:t>
      </w:r>
      <w:r>
        <w:rPr>
          <w:i/>
        </w:rPr>
        <w:t>less</w:t>
      </w:r>
      <w:r>
        <w:t xml:space="preserve"> $1,470).</w:t>
      </w:r>
      <w:r>
        <w:rPr>
          <w:rStyle w:val="FootnoteReference"/>
        </w:rPr>
        <w:footnoteReference w:id="645"/>
      </w:r>
      <w:r>
        <w:t xml:space="preserve">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78310B" w:rsidRDefault="0078310B" w:rsidP="0078310B">
      <w:pPr>
        <w:pStyle w:val="Heading3"/>
        <w:spacing w:before="0" w:beforeAutospacing="0" w:after="0" w:afterAutospacing="0"/>
        <w:jc w:val="center"/>
        <w:rPr>
          <w:b w:val="0"/>
        </w:rPr>
      </w:pPr>
      <w:bookmarkStart w:id="335" w:name="_Toc395790634"/>
      <w:r w:rsidRPr="00FF437C">
        <w:rPr>
          <w:u w:val="single"/>
        </w:rPr>
        <w:t>Problems</w:t>
      </w:r>
      <w:bookmarkEnd w:id="335"/>
    </w:p>
    <w:p w:rsidR="0078310B" w:rsidRPr="00CF226B" w:rsidRDefault="0078310B" w:rsidP="0078310B">
      <w:pPr>
        <w:pStyle w:val="Heading3"/>
        <w:spacing w:before="0" w:beforeAutospacing="0" w:after="0" w:afterAutospacing="0"/>
        <w:jc w:val="center"/>
        <w:rPr>
          <w:b w:val="0"/>
        </w:rPr>
      </w:pP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rsidR="0078310B"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with health care coverage. Working as much overtime as she can, Barbara earns $25,000 this year and pays $5,000 for self-only health insurance coverage in the individual market. Barbara does not own a home or make significant charitable contributions. What were Barbara’s tax consequences prior to enactment of the Affordable Care Act? How has the ACA affected Barbara’s tax consequences? </w:t>
      </w:r>
    </w:p>
    <w:p w:rsidR="0078310B" w:rsidRPr="00F235B6" w:rsidRDefault="0078310B"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78310B" w:rsidRPr="00CF226B" w:rsidRDefault="0078310B" w:rsidP="0078310B">
      <w:pPr>
        <w:pStyle w:val="Heading2"/>
        <w:spacing w:before="0"/>
        <w:rPr>
          <w:sz w:val="32"/>
          <w:szCs w:val="32"/>
          <w:u w:val="single"/>
        </w:rPr>
      </w:pPr>
      <w:bookmarkStart w:id="336" w:name="_Toc395790635"/>
      <w:r w:rsidRPr="00CF226B">
        <w:rPr>
          <w:rFonts w:eastAsia="Times New Roman"/>
          <w:sz w:val="32"/>
          <w:szCs w:val="32"/>
          <w:u w:val="single"/>
        </w:rPr>
        <w:t>D. Charitable contributions</w:t>
      </w:r>
      <w:bookmarkEnd w:id="336"/>
    </w:p>
    <w:p w:rsidR="0078310B" w:rsidRDefault="0078310B" w:rsidP="0078310B">
      <w:pPr>
        <w:widowControl w:val="0"/>
      </w:pPr>
    </w:p>
    <w:p w:rsidR="0078310B" w:rsidRDefault="0078310B" w:rsidP="0078310B">
      <w:pPr>
        <w:widowControl w:val="0"/>
        <w:spacing w:after="120"/>
        <w:ind w:firstLine="288"/>
        <w:jc w:val="both"/>
      </w:pPr>
      <w:r>
        <w:t xml:space="preserve">A deduction for charitable contributions was first enacted in 1917. Today, </w:t>
      </w:r>
      <w:hyperlink r:id="rId950" w:history="1">
        <w:r w:rsidRPr="00DD3B0E">
          <w:rPr>
            <w:rStyle w:val="Hyperlink"/>
          </w:rPr>
          <w:t>§ 170</w:t>
        </w:r>
      </w:hyperlink>
      <w:r>
        <w:t>(a)(1)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$5.1 million was contributed for this purpose in 2015.</w:t>
      </w:r>
      <w:r>
        <w:rPr>
          <w:rStyle w:val="FootnoteReference"/>
        </w:rPr>
        <w:footnoteReference w:id="646"/>
      </w:r>
    </w:p>
    <w:p w:rsidR="0078310B" w:rsidRDefault="0078310B" w:rsidP="0078310B">
      <w:pPr>
        <w:widowControl w:val="0"/>
        <w:spacing w:after="120"/>
        <w:ind w:firstLine="288"/>
        <w:jc w:val="both"/>
      </w:pPr>
      <w:r>
        <w:t xml:space="preserve">Subsections (c)(2), (3), (4), and (5) list nongovernmental organizations that are eligible to receive deductible contributions. Each of these organizations are themselves exempt from Federal income tax, but </w:t>
      </w:r>
      <w:r w:rsidRPr="00003A64">
        <w:rPr>
          <w:i/>
        </w:rPr>
        <w:t>not all tax-exempt organizations qualify for deductible contributions under § 170</w:t>
      </w:r>
      <w:r>
        <w:t xml:space="preserve">—our focus. </w:t>
      </w:r>
    </w:p>
    <w:p w:rsidR="0078310B" w:rsidRPr="00B82C52" w:rsidRDefault="0078310B" w:rsidP="0078310B">
      <w:pPr>
        <w:pStyle w:val="Heading3"/>
        <w:spacing w:before="0" w:beforeAutospacing="0" w:after="120" w:afterAutospacing="0"/>
        <w:rPr>
          <w:i/>
        </w:rPr>
      </w:pPr>
      <w:bookmarkStart w:id="337" w:name="_Toc395790636"/>
      <w:r w:rsidRPr="00B82C52">
        <w:rPr>
          <w:i/>
        </w:rPr>
        <w:t>Tax-exempt organizations</w:t>
      </w:r>
      <w:bookmarkEnd w:id="337"/>
    </w:p>
    <w:p w:rsidR="0078310B" w:rsidRDefault="002B3596" w:rsidP="0078310B">
      <w:pPr>
        <w:widowControl w:val="0"/>
        <w:spacing w:after="120"/>
        <w:ind w:firstLine="288"/>
        <w:jc w:val="both"/>
      </w:pPr>
      <w:hyperlink r:id="rId951" w:history="1">
        <w:r w:rsidR="0078310B" w:rsidRPr="00496BEE">
          <w:rPr>
            <w:rStyle w:val="Hyperlink"/>
          </w:rPr>
          <w:t>Section 501</w:t>
        </w:r>
      </w:hyperlink>
      <w:r w:rsidR="0078310B">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shareholder or individual.” The National Football League, which was a tax-exempt organization for decades, abandoned its tax-exempt status in 2015.</w:t>
      </w:r>
      <w:r w:rsidR="0078310B">
        <w:rPr>
          <w:rStyle w:val="FootnoteReference"/>
        </w:rPr>
        <w:footnoteReference w:id="647"/>
      </w:r>
      <w:r w:rsidR="0078310B">
        <w:t xml:space="preserve"> </w:t>
      </w:r>
    </w:p>
    <w:p w:rsidR="0078310B" w:rsidRDefault="0078310B" w:rsidP="0078310B">
      <w:pPr>
        <w:widowControl w:val="0"/>
        <w:spacing w:after="120"/>
        <w:ind w:firstLine="288"/>
        <w:jc w:val="both"/>
      </w:pPr>
      <w:r>
        <w:t>Even these otherwise tax-exempt organizations, however, can owe Federal income tax under the unrelated business income tax (UBIT) found in §</w:t>
      </w:r>
      <w:hyperlink r:id="rId952"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48"/>
      </w:r>
      <w:r>
        <w:t xml:space="preserve"> </w:t>
      </w:r>
    </w:p>
    <w:p w:rsidR="0078310B" w:rsidRDefault="0078310B" w:rsidP="0078310B">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Of the approximately 1.49 million § 501(c) organizations in 2011, approximately 1.08 million were § 501(c)(3) organizations eligible to receive deductible donations under § 170. This figure, however, includes only about half of the 300,000 estimated religious congregations, with the remaining half not registering with the IRS.</w:t>
      </w:r>
      <w:r>
        <w:rPr>
          <w:rStyle w:val="FootnoteReference"/>
        </w:rPr>
        <w:footnoteReference w:id="649"/>
      </w:r>
      <w:r>
        <w:t xml:space="preserve">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rsidR="0078310B" w:rsidRDefault="0078310B" w:rsidP="0078310B">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50"/>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51"/>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rsidR="0078310B" w:rsidRDefault="0078310B" w:rsidP="0078310B">
      <w:pPr>
        <w:widowControl w:val="0"/>
        <w:spacing w:after="120"/>
        <w:ind w:firstLine="288"/>
        <w:jc w:val="both"/>
      </w:pPr>
      <w:r>
        <w:t xml:space="preserve">Those interested in learning more about this complex area are encouraged to take the separate course exploring Tax-Exempt Organizations. </w:t>
      </w:r>
    </w:p>
    <w:p w:rsidR="0078310B" w:rsidRPr="00B82C52" w:rsidRDefault="0078310B" w:rsidP="0078310B">
      <w:pPr>
        <w:pStyle w:val="Heading3"/>
        <w:spacing w:before="0" w:beforeAutospacing="0" w:after="120" w:afterAutospacing="0"/>
        <w:rPr>
          <w:i/>
        </w:rPr>
      </w:pPr>
      <w:bookmarkStart w:id="338" w:name="_Toc395790637"/>
      <w:r w:rsidRPr="00B82C52">
        <w:rPr>
          <w:i/>
        </w:rPr>
        <w:t>Who benefits from the § 170 deduction and where do our charitable dollars go?</w:t>
      </w:r>
      <w:bookmarkEnd w:id="338"/>
    </w:p>
    <w:p w:rsidR="0078310B" w:rsidRDefault="0078310B" w:rsidP="0078310B">
      <w:pPr>
        <w:widowControl w:val="0"/>
        <w:spacing w:after="120"/>
        <w:ind w:firstLine="288"/>
        <w:jc w:val="both"/>
      </w:pPr>
      <w:r>
        <w:t xml:space="preserve">The § 170 deduction is an Itemized Deduction (because not listed in § 62) but is not a MID subject to the 2% floor (because listed in § 67(b)(4)). As with all Itemized Deductions, it can be reduced for high-income taxpayers under § 68, the so-called Pease limitation described in Chapter 1, Part B. Also recall that approximately 70% of taxpayers take the Standard Deduction instead of the aggregate of their Itemized Deductions. Most of those who itemize (and thus most of those who benefit from the charitable contribution deduction) are homeowners living in relatively high-tax states because of the combination of the deductions for qualified residence interest (under § 163(h)(3)) and state and local income and property taxes (under § 164(a))—Itemized Deductions all. Renters in low-tax states are far less likely to obtain a tax benefit from § 170. Is that a rational way to determine who should benefit from § 170? </w:t>
      </w:r>
    </w:p>
    <w:p w:rsidR="0078310B" w:rsidRDefault="0078310B" w:rsidP="0078310B">
      <w:pPr>
        <w:widowControl w:val="0"/>
        <w:spacing w:after="120"/>
        <w:ind w:firstLine="288"/>
        <w:jc w:val="both"/>
      </w:pPr>
      <w:r>
        <w:t>Congress has considered transforming a portion of the charitable contribution deduction into an above-the-line deduction, but others argue that this approach would provide a double tax benefit for the same dollars because the Standard Deduction amount already encompasses a presumed amount of charitable giving. Another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52"/>
      </w:r>
      <w:r>
        <w:t xml:space="preserve"> </w:t>
      </w:r>
    </w:p>
    <w:p w:rsidR="0078310B" w:rsidRDefault="0078310B" w:rsidP="0078310B">
      <w:pPr>
        <w:widowControl w:val="0"/>
        <w:spacing w:after="120"/>
        <w:ind w:firstLine="288"/>
        <w:jc w:val="both"/>
      </w:pPr>
      <w:r>
        <w:t xml:space="preserve">Still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$280 in tax for a $1,000 contribution (under a 28% credit) instead of $396 for that same $1,000 contribution (under a deduction for a contribution otherwise falling within the 39.6% bracket).</w:t>
      </w:r>
      <w:r>
        <w:rPr>
          <w:rStyle w:val="FootnoteReference"/>
        </w:rPr>
        <w:footnoteReference w:id="653"/>
      </w:r>
      <w:r>
        <w:t xml:space="preserve"> Whether or not that is true, of course, is an empirical question. In addition, the income tax is not the only relevant tax to consider in this regard. The estate tax, discussed in Chapter 7, also affects charitable giving, as such contributions reduce the estate tax base, as well. With only the very wealthy subject to the estate tax, the estate tax deduction for charitable contributions is much better targeted. </w:t>
      </w:r>
    </w:p>
    <w:p w:rsidR="0078310B" w:rsidRPr="00C91399" w:rsidRDefault="0078310B" w:rsidP="0078310B">
      <w:pPr>
        <w:widowControl w:val="0"/>
        <w:spacing w:after="120"/>
        <w:ind w:firstLine="288"/>
        <w:jc w:val="both"/>
      </w:pPr>
      <w:r>
        <w:t>Some argue that the deduction should be entirely repealed, as the evidence is mixed regarding 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54"/>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55"/>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56"/>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w:t>
      </w:r>
      <w:r w:rsidR="00496BEE">
        <w:t xml:space="preserve">hat requires tax rates to be </w:t>
      </w:r>
      <w:r>
        <w:t xml:space="preserve">higher than they would otherwise need to be to collect </w:t>
      </w:r>
      <w:r w:rsidRPr="00C91399">
        <w:rPr>
          <w:i/>
        </w:rPr>
        <w:t>$X</w:t>
      </w:r>
      <w:r>
        <w:t>.</w:t>
      </w:r>
    </w:p>
    <w:p w:rsidR="0078310B" w:rsidRPr="008F0CF7" w:rsidRDefault="0078310B" w:rsidP="0078310B">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57"/>
      </w:r>
      <w:r>
        <w:rPr>
          <w:i/>
        </w:rPr>
        <w:t xml:space="preserve"> </w:t>
      </w:r>
      <w:r>
        <w:t>That 2007 study revealed that only 4% of the donations made by upper-income taxpayers are made to organizations devoted to helping the disadvantaged.</w:t>
      </w:r>
      <w:r>
        <w:rPr>
          <w:rStyle w:val="FootnoteReference"/>
        </w:rPr>
        <w:footnoteReference w:id="658"/>
      </w:r>
      <w:r>
        <w:t xml:space="preserve"> Thus, some argue that tax benefits ought to be limited to—or augmented in the case of—such donations.</w:t>
      </w:r>
      <w:r>
        <w:rPr>
          <w:rStyle w:val="FootnoteReference"/>
        </w:rPr>
        <w:footnoteReference w:id="659"/>
      </w:r>
    </w:p>
    <w:p w:rsidR="0078310B" w:rsidRDefault="0078310B" w:rsidP="0078310B">
      <w:pPr>
        <w:widowControl w:val="0"/>
        <w:ind w:firstLine="288"/>
        <w:jc w:val="both"/>
      </w:pPr>
      <w:r>
        <w:t xml:space="preserve">Religion is perennially the number one charitable choice of lower-income Americans (those who more likely take the Standard Deduction and thus do not benefit from § 170) and is perennially the number one recipient overall of charitable contributions—nearly a third of the total each year. While most charities must submit a Form 990 annually that describes how they spend their contributed money, churches are exempt from filing this form, making it difficult to know how much of their aggregate donations are spent on buildings, salary, </w:t>
      </w:r>
      <w:r>
        <w:rPr>
          <w:i/>
        </w:rPr>
        <w:t>etc.</w:t>
      </w:r>
      <w:r>
        <w:t>, and how much is spent on community services. The chart below, showing the share that each</w:t>
      </w:r>
      <w:r w:rsidR="007D630C">
        <w:t xml:space="preserve"> recipient type received in 2014</w:t>
      </w:r>
      <w:r>
        <w:t xml:space="preserve"> of aggregate charitable donations (with individuals providing more than 70% of donations), is similar to other years.</w:t>
      </w:r>
      <w:r>
        <w:rPr>
          <w:rStyle w:val="FootnoteReference"/>
        </w:rPr>
        <w:footnoteReference w:id="660"/>
      </w:r>
    </w:p>
    <w:p w:rsidR="0078310B" w:rsidRDefault="0078310B" w:rsidP="0078310B">
      <w:pPr>
        <w:widowControl w:val="0"/>
        <w:ind w:firstLine="288"/>
      </w:pPr>
    </w:p>
    <w:p w:rsidR="0078310B" w:rsidRDefault="006133A9" w:rsidP="006133A9">
      <w:pPr>
        <w:widowControl w:val="0"/>
        <w:jc w:val="center"/>
      </w:pPr>
      <w:r>
        <w:rPr>
          <w:noProof/>
        </w:rPr>
        <w:drawing>
          <wp:inline distT="0" distB="0" distL="0" distR="0" wp14:anchorId="17B2E131" wp14:editId="4475D2D7">
            <wp:extent cx="5419725" cy="3790950"/>
            <wp:effectExtent l="0" t="0" r="9525" b="0"/>
            <wp:docPr id="5" name="Picture 5"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rsidR="0078310B" w:rsidRPr="00B82C52" w:rsidRDefault="0078310B" w:rsidP="0078310B">
      <w:pPr>
        <w:pStyle w:val="Heading3"/>
        <w:spacing w:before="0" w:beforeAutospacing="0" w:after="120" w:afterAutospacing="0"/>
        <w:rPr>
          <w:i/>
        </w:rPr>
      </w:pPr>
      <w:bookmarkStart w:id="339" w:name="_Toc395790638"/>
      <w:r w:rsidRPr="00B82C52">
        <w:rPr>
          <w:i/>
        </w:rPr>
        <w:t>What is a “contribution or gift” within the meaning of § 170(c)?</w:t>
      </w:r>
      <w:bookmarkEnd w:id="339"/>
    </w:p>
    <w:p w:rsidR="0078310B" w:rsidRDefault="0078310B" w:rsidP="0078310B">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61"/>
      </w:r>
      <w:r>
        <w:t xml:space="preserve"> The </w:t>
      </w:r>
      <w:r>
        <w:rPr>
          <w:i/>
        </w:rPr>
        <w:t xml:space="preserve">Duberstein </w:t>
      </w:r>
      <w:r>
        <w:t>Court also said that the intention of the donor controls this inquiry.</w:t>
      </w:r>
      <w:r>
        <w:rPr>
          <w:rStyle w:val="FootnoteReference"/>
        </w:rPr>
        <w:footnoteReference w:id="662"/>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63"/>
      </w:r>
      <w:r>
        <w:rPr>
          <w:i/>
        </w:rPr>
        <w:t xml:space="preserve"> </w:t>
      </w:r>
      <w:r>
        <w:t xml:space="preserve">lower courts had disagreed about whether § 170 contained an “intent” test similar to § 102. </w:t>
      </w:r>
    </w:p>
    <w:p w:rsidR="0078310B" w:rsidRDefault="0078310B" w:rsidP="0078310B">
      <w:pPr>
        <w:widowControl w:val="0"/>
        <w:spacing w:after="120"/>
        <w:ind w:firstLine="288"/>
        <w:jc w:val="both"/>
      </w:pPr>
      <w:r>
        <w:t xml:space="preserve">In </w:t>
      </w:r>
      <w:r>
        <w:rPr>
          <w:i/>
        </w:rPr>
        <w:t>American Bar Endowment</w:t>
      </w:r>
      <w:r>
        <w:t>,</w:t>
      </w:r>
      <w:r>
        <w:rPr>
          <w:i/>
        </w:rPr>
        <w:t xml:space="preserve"> </w:t>
      </w:r>
      <w:r>
        <w:t>taxpayers purchased life, health, accident and disability insurance policies through insurance companies contracting with the American Bar Endowment (ABE), a § 501(c)(3) organization eligible to receive contributions that are deductible under § 170. Because of the favorable mortality and morbidity profiles of the member-contributors, premiums in excess of those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w:t>
      </w:r>
      <w:r w:rsidR="001775A0">
        <w:t xml:space="preserve"> 170. The IRS disagreed and challenged the deduction by four taxpayers, and</w:t>
      </w:r>
      <w:r>
        <w:t xml:space="preserve"> the Supreme Court agreed with the IRS’s deduction denial, adopting a two-part test in determining whether a transfer is a “dual payment,” a portion of which is a “contribution or gift” within the meaning of § 170(c). </w:t>
      </w:r>
    </w:p>
    <w:p w:rsidR="0078310B" w:rsidRDefault="0078310B" w:rsidP="0078310B">
      <w:pPr>
        <w:widowControl w:val="0"/>
        <w:spacing w:after="120"/>
        <w:ind w:left="720" w:right="720"/>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rsidR="0078310B" w:rsidRDefault="0078310B" w:rsidP="0078310B">
      <w:pPr>
        <w:widowControl w:val="0"/>
        <w:spacing w:after="120"/>
        <w:ind w:left="720" w:right="720"/>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rsidR="0078310B" w:rsidRDefault="0078310B" w:rsidP="0078310B">
      <w:pPr>
        <w:widowControl w:val="0"/>
        <w:spacing w:after="120"/>
        <w:ind w:left="720" w:right="720"/>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64"/>
      </w:r>
    </w:p>
    <w:p w:rsidR="0078310B" w:rsidRPr="008B2B15" w:rsidRDefault="002B3596" w:rsidP="0078310B">
      <w:pPr>
        <w:widowControl w:val="0"/>
        <w:spacing w:after="120"/>
        <w:ind w:firstLine="288"/>
        <w:jc w:val="both"/>
      </w:pPr>
      <w:hyperlink r:id="rId954" w:history="1">
        <w:r w:rsidR="0078310B" w:rsidRPr="001775A0">
          <w:rPr>
            <w:rStyle w:val="Hyperlink"/>
          </w:rPr>
          <w:t>Treas. Reg. § 1.170A-1</w:t>
        </w:r>
      </w:hyperlink>
      <w:r w:rsidR="0078310B">
        <w:t xml:space="preserve">(h) now incorporates this two-part test by providing that the taxpayer bears the burden of proving that he or </w:t>
      </w:r>
      <w:r w:rsidR="0078310B" w:rsidRPr="005621A3">
        <w:t>she both (</w:t>
      </w:r>
      <w:r w:rsidR="0078310B">
        <w:t xml:space="preserve">1) </w:t>
      </w:r>
      <w:r w:rsidR="0078310B" w:rsidRPr="00D42E71">
        <w:t>intends</w:t>
      </w:r>
      <w:r w:rsidR="0078310B">
        <w:t xml:space="preserve"> to make a payment exceeding the fair market value of any goods or services received in return from the charity and (2) actually makes such a payment. Thus, university tuition paid by the parent of a child attending the university (a § 501(c)(3) organization that can receive deductible contributions) is not deductible because the payment purchases educational services of (at least) equivalent value. If, however, a parent </w:t>
      </w:r>
      <w:r w:rsidR="0078310B" w:rsidRPr="0067360A">
        <w:rPr>
          <w:i/>
        </w:rPr>
        <w:t>intentionally</w:t>
      </w:r>
      <w:r w:rsidR="0078310B">
        <w:t xml:space="preserve"> pays more than the required tuition, the excess can be a “contribution or gift” within the meaning of § 170(c).</w:t>
      </w:r>
    </w:p>
    <w:p w:rsidR="0078310B" w:rsidRDefault="0078310B" w:rsidP="0078310B">
      <w:pPr>
        <w:widowControl w:val="0"/>
        <w:ind w:firstLine="288"/>
        <w:jc w:val="both"/>
      </w:pPr>
      <w:r>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40" w:name="_Toc395790639"/>
      <w:r>
        <w:t>HERNANDEZ v. COMMISSIONER</w:t>
      </w:r>
      <w:bookmarkEnd w:id="340"/>
    </w:p>
    <w:p w:rsidR="0078310B" w:rsidRDefault="0078310B" w:rsidP="0078310B">
      <w:pPr>
        <w:widowControl w:val="0"/>
        <w:jc w:val="center"/>
      </w:pPr>
      <w:r>
        <w:t>490 U.S. 680 (1989)</w:t>
      </w:r>
    </w:p>
    <w:p w:rsidR="0078310B" w:rsidRDefault="0078310B" w:rsidP="0078310B">
      <w:pPr>
        <w:widowControl w:val="0"/>
      </w:pPr>
    </w:p>
    <w:p w:rsidR="0078310B" w:rsidRDefault="0078310B" w:rsidP="0078310B">
      <w:pPr>
        <w:widowControl w:val="0"/>
        <w:spacing w:after="120"/>
        <w:ind w:firstLine="288"/>
        <w:jc w:val="both"/>
      </w:pPr>
      <w:r>
        <w:rPr>
          <w:smallCaps/>
        </w:rPr>
        <w:t xml:space="preserve">Mr. Justice Marshall </w:t>
      </w:r>
      <w:r>
        <w:t>delivered the opinion of the Court.</w:t>
      </w:r>
    </w:p>
    <w:p w:rsidR="0078310B" w:rsidRDefault="0078310B" w:rsidP="0078310B">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rsidR="0078310B" w:rsidRDefault="0078310B" w:rsidP="0078310B">
      <w:pPr>
        <w:widowControl w:val="0"/>
        <w:spacing w:after="120"/>
        <w:jc w:val="center"/>
      </w:pPr>
      <w:r>
        <w:t>I</w:t>
      </w:r>
    </w:p>
    <w:p w:rsidR="0078310B" w:rsidRDefault="0078310B" w:rsidP="0078310B">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rsidR="0078310B" w:rsidRDefault="0078310B" w:rsidP="0078310B">
      <w:pPr>
        <w:widowControl w:val="0"/>
        <w:spacing w:after="120"/>
        <w:ind w:firstLine="288"/>
        <w:jc w:val="both"/>
      </w:pPr>
      <w:r>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rsidR="0078310B" w:rsidRDefault="0078310B" w:rsidP="0078310B">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rsidR="0078310B" w:rsidRDefault="0078310B" w:rsidP="0078310B">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rsidR="0078310B" w:rsidRDefault="0078310B" w:rsidP="0078310B">
      <w:pPr>
        <w:widowControl w:val="0"/>
        <w:spacing w:after="120"/>
        <w:ind w:firstLine="288"/>
        <w:jc w:val="both"/>
      </w:pPr>
      <w:r>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rsidR="0078310B" w:rsidRDefault="0078310B" w:rsidP="0078310B">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rsidR="0078310B" w:rsidRDefault="0078310B" w:rsidP="0078310B">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rsidR="0078310B" w:rsidRDefault="0078310B" w:rsidP="0078310B">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rsidR="0078310B" w:rsidRDefault="0078310B" w:rsidP="0078310B">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rsidR="0078310B" w:rsidRDefault="0078310B" w:rsidP="0078310B">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rsidR="0078310B" w:rsidRDefault="0078310B" w:rsidP="0078310B">
      <w:pPr>
        <w:widowControl w:val="0"/>
        <w:spacing w:after="120"/>
        <w:ind w:firstLine="288"/>
        <w:jc w:val="both"/>
      </w:pPr>
      <w:r>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rsidR="0078310B" w:rsidRDefault="0078310B" w:rsidP="0078310B">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65"/>
        <w:t>[5]</w:t>
      </w:r>
      <w:r>
        <w:t xml:space="preserve"> We now affirm.</w:t>
      </w:r>
    </w:p>
    <w:p w:rsidR="0078310B" w:rsidRDefault="0078310B" w:rsidP="0078310B">
      <w:pPr>
        <w:widowControl w:val="0"/>
        <w:spacing w:after="120"/>
        <w:jc w:val="center"/>
      </w:pPr>
      <w:r>
        <w:t>II</w:t>
      </w:r>
    </w:p>
    <w:p w:rsidR="0078310B" w:rsidRDefault="0078310B" w:rsidP="0078310B">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rsidR="0078310B" w:rsidRDefault="0078310B" w:rsidP="0078310B">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rsidR="0078310B" w:rsidRDefault="0078310B" w:rsidP="0078310B">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rsidR="0078310B" w:rsidRDefault="0078310B" w:rsidP="0078310B">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rsidR="0078310B" w:rsidRDefault="0078310B" w:rsidP="0078310B">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rsidR="0078310B" w:rsidRDefault="0078310B" w:rsidP="0078310B">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rsidR="0078310B" w:rsidRDefault="0078310B" w:rsidP="0078310B">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rsidR="0078310B" w:rsidRDefault="0078310B" w:rsidP="0078310B">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66"/>
        <w:t>[10]</w:t>
      </w:r>
    </w:p>
    <w:p w:rsidR="0078310B" w:rsidRDefault="0078310B" w:rsidP="0078310B">
      <w:pPr>
        <w:widowControl w:val="0"/>
        <w:spacing w:after="120"/>
        <w:ind w:firstLine="288"/>
        <w:jc w:val="both"/>
      </w:pPr>
      <w:r>
        <w:t xml:space="preserve">[Part III omitted.] </w:t>
      </w:r>
    </w:p>
    <w:p w:rsidR="0078310B" w:rsidRDefault="0078310B" w:rsidP="0078310B">
      <w:pPr>
        <w:widowControl w:val="0"/>
        <w:spacing w:after="120"/>
        <w:jc w:val="center"/>
      </w:pPr>
      <w:r>
        <w:t>IV</w:t>
      </w:r>
    </w:p>
    <w:p w:rsidR="0078310B" w:rsidRDefault="0078310B" w:rsidP="0078310B">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rsidR="0078310B" w:rsidRDefault="0078310B" w:rsidP="0078310B">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rsidR="0078310B" w:rsidRDefault="0078310B" w:rsidP="0078310B">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rsidR="0078310B" w:rsidRDefault="0078310B" w:rsidP="0078310B">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rsidR="0078310B" w:rsidRDefault="0078310B" w:rsidP="0078310B">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rsidR="0078310B" w:rsidRDefault="0078310B" w:rsidP="0078310B">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67"/>
        <w:t>[13]</w:t>
      </w:r>
    </w:p>
    <w:p w:rsidR="0078310B" w:rsidRDefault="0078310B" w:rsidP="0078310B">
      <w:pPr>
        <w:widowControl w:val="0"/>
        <w:spacing w:after="120"/>
        <w:ind w:firstLine="288"/>
        <w:jc w:val="both"/>
      </w:pPr>
      <w:r>
        <w:t>Petitioners’ congressional acquiescence claim fails for similar reasons. Even if one assumes 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rsidR="0078310B" w:rsidRDefault="0078310B" w:rsidP="0078310B">
      <w:pPr>
        <w:widowControl w:val="0"/>
        <w:spacing w:after="120"/>
        <w:ind w:firstLine="288"/>
        <w:jc w:val="both"/>
      </w:pPr>
      <w:r>
        <w:t>For the reasons stated herein, the judgments of the Courts of Appeals are hereby</w:t>
      </w:r>
    </w:p>
    <w:p w:rsidR="0078310B" w:rsidRDefault="0078310B" w:rsidP="0078310B">
      <w:pPr>
        <w:widowControl w:val="0"/>
        <w:spacing w:after="120"/>
        <w:jc w:val="both"/>
      </w:pPr>
      <w:r>
        <w:rPr>
          <w:i/>
          <w:iCs/>
        </w:rPr>
        <w:t>Affirmed</w:t>
      </w:r>
      <w:r>
        <w:t>.</w:t>
      </w:r>
    </w:p>
    <w:p w:rsidR="0078310B" w:rsidRDefault="0078310B" w:rsidP="0078310B">
      <w:pPr>
        <w:widowControl w:val="0"/>
        <w:spacing w:after="120"/>
        <w:ind w:firstLine="288"/>
        <w:jc w:val="both"/>
      </w:pPr>
      <w:r>
        <w:rPr>
          <w:smallCaps/>
        </w:rPr>
        <w:t>Justice O’Connor</w:t>
      </w:r>
      <w:r>
        <w:t xml:space="preserve">, with whom </w:t>
      </w:r>
      <w:r>
        <w:rPr>
          <w:smallCaps/>
        </w:rPr>
        <w:t>Justice Scalia</w:t>
      </w:r>
      <w:r>
        <w:t xml:space="preserve"> joins, dissenting.</w:t>
      </w:r>
    </w:p>
    <w:p w:rsidR="0078310B" w:rsidRDefault="0078310B" w:rsidP="0078310B">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rsidR="0078310B" w:rsidRDefault="0078310B" w:rsidP="0078310B">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rsidR="0078310B" w:rsidRDefault="0078310B" w:rsidP="0078310B">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rsidR="0078310B" w:rsidRDefault="0078310B" w:rsidP="0078310B">
      <w:pPr>
        <w:widowControl w:val="0"/>
        <w:spacing w:after="120"/>
        <w:ind w:firstLine="288"/>
        <w:jc w:val="both"/>
      </w:pPr>
      <w:r>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rsidR="0078310B" w:rsidRDefault="0078310B" w:rsidP="0078310B">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rsidR="0078310B" w:rsidRDefault="0078310B" w:rsidP="0078310B">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rsidR="0078310B" w:rsidRDefault="0078310B" w:rsidP="0078310B">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rsidR="0078310B" w:rsidRDefault="0078310B" w:rsidP="0078310B">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rsidR="0078310B" w:rsidRDefault="0078310B" w:rsidP="0078310B">
      <w:pPr>
        <w:widowControl w:val="0"/>
        <w:spacing w:after="120"/>
        <w:ind w:left="720" w:right="720"/>
        <w:jc w:val="both"/>
      </w:pPr>
      <w:r>
        <w:t>[T]he distinction of pew rents, assessments, church dues, and the like from basket collections is hardly warranted by the act. The act reads “contributions” and “gifts.” It is felt that all of these come within the two terms.</w:t>
      </w:r>
    </w:p>
    <w:p w:rsidR="0078310B" w:rsidRDefault="0078310B" w:rsidP="0078310B">
      <w:pPr>
        <w:widowControl w:val="0"/>
        <w:spacing w:after="120"/>
        <w:ind w:left="720" w:right="720"/>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rsidR="0078310B" w:rsidRDefault="0078310B" w:rsidP="0078310B">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rsidR="0078310B" w:rsidRDefault="0078310B" w:rsidP="0078310B">
      <w:pPr>
        <w:widowControl w:val="0"/>
        <w:spacing w:after="120"/>
        <w:ind w:firstLine="288"/>
        <w:jc w:val="both"/>
      </w:pPr>
      <w:r>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rsidR="0078310B" w:rsidRDefault="0078310B" w:rsidP="0078310B">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rsidR="0078310B" w:rsidRDefault="0078310B" w:rsidP="0078310B">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rsidR="0078310B" w:rsidRDefault="0078310B" w:rsidP="0078310B">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rsidR="0078310B" w:rsidRDefault="0078310B" w:rsidP="0078310B">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rsidR="0078310B" w:rsidRDefault="0078310B" w:rsidP="0078310B">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rsidR="0078310B" w:rsidRDefault="0078310B" w:rsidP="0078310B">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rsidR="0078310B" w:rsidRDefault="0078310B" w:rsidP="0078310B">
      <w:pPr>
        <w:widowControl w:val="0"/>
        <w:jc w:val="center"/>
      </w:pPr>
      <w:r>
        <w:t>_____________________________________</w:t>
      </w:r>
    </w:p>
    <w:p w:rsidR="0078310B" w:rsidRDefault="0078310B" w:rsidP="0078310B">
      <w:pPr>
        <w:widowControl w:val="0"/>
      </w:pPr>
    </w:p>
    <w:p w:rsidR="0078310B" w:rsidRDefault="0078310B" w:rsidP="0078310B">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rsidR="0078310B" w:rsidRDefault="0078310B" w:rsidP="0078310B">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thus was unripe for Supreme Court review.</w:t>
      </w:r>
    </w:p>
    <w:p w:rsidR="0078310B" w:rsidRDefault="0078310B" w:rsidP="0078310B">
      <w:pPr>
        <w:widowControl w:val="0"/>
        <w:spacing w:after="120"/>
        <w:ind w:firstLine="288"/>
        <w:jc w:val="both"/>
      </w:pPr>
      <w:r>
        <w:t xml:space="preserve">Members of the Church of Scientology thereafter initiated new litigation in order to better develop the record at trial on this issue. In </w:t>
      </w:r>
      <w:r>
        <w:rPr>
          <w:i/>
        </w:rPr>
        <w:t>Powell v. United States</w:t>
      </w:r>
      <w:r>
        <w:t>,</w:t>
      </w:r>
      <w:r>
        <w:rPr>
          <w:rStyle w:val="FootnoteReference"/>
        </w:rPr>
        <w:footnoteReference w:id="668"/>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69"/>
      </w:r>
      <w:r>
        <w:t xml:space="preserve"> </w:t>
      </w:r>
    </w:p>
    <w:p w:rsidR="0078310B" w:rsidRDefault="0078310B" w:rsidP="0078310B">
      <w:pPr>
        <w:widowControl w:val="0"/>
        <w:spacing w:after="120"/>
        <w:ind w:firstLine="288"/>
        <w:jc w:val="both"/>
      </w:pPr>
      <w:r>
        <w:t xml:space="preserve">As the </w:t>
      </w:r>
      <w:r>
        <w:rPr>
          <w:i/>
        </w:rPr>
        <w:t>Powell</w:t>
      </w:r>
      <w:r>
        <w:t xml:space="preserve"> litigation continued, Congress enacted </w:t>
      </w:r>
      <w:hyperlink r:id="rId955"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that it had successfully defended in </w:t>
      </w:r>
      <w:r>
        <w:rPr>
          <w:i/>
        </w:rPr>
        <w:t>Hernandez</w:t>
      </w:r>
      <w:r>
        <w:t xml:space="preserve"> after entering into a closing agreement with the Church of Scientology that settled all outstanding litigation.</w:t>
      </w:r>
      <w:r>
        <w:rPr>
          <w:rStyle w:val="FootnoteReference"/>
        </w:rPr>
        <w:footnoteReference w:id="670"/>
      </w:r>
      <w:r>
        <w:t xml:space="preserve"> Thus, even though it spent considerable time and resources litigating </w:t>
      </w:r>
      <w:r>
        <w:rPr>
          <w:i/>
        </w:rPr>
        <w:t>Hernandez</w:t>
      </w:r>
      <w:r>
        <w:t xml:space="preserve"> all the way up to the Supreme Court—and won—the IRS announced in 1993 that it would no longer challenge deduction of such auditing and training payments.</w:t>
      </w:r>
    </w:p>
    <w:p w:rsidR="0078310B" w:rsidRDefault="0078310B" w:rsidP="0078310B">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71"/>
      </w:r>
      <w:r>
        <w:t xml:space="preserve"> the Sklars relied upon the very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41" w:name="_Toc395790640"/>
      <w:r>
        <w:t>SKLAR v. COMMISSIONER</w:t>
      </w:r>
      <w:bookmarkEnd w:id="341"/>
    </w:p>
    <w:p w:rsidR="0078310B" w:rsidRDefault="0078310B" w:rsidP="0078310B">
      <w:pPr>
        <w:widowControl w:val="0"/>
        <w:jc w:val="center"/>
      </w:pPr>
      <w:r>
        <w:t>282 F.3d 610 (9</w:t>
      </w:r>
      <w:r w:rsidRPr="00614A62">
        <w:rPr>
          <w:vertAlign w:val="superscript"/>
        </w:rPr>
        <w:t>th</w:t>
      </w:r>
      <w:r>
        <w:t xml:space="preserve"> Cir. 2002)</w:t>
      </w:r>
    </w:p>
    <w:p w:rsidR="0078310B" w:rsidRDefault="0078310B" w:rsidP="0078310B">
      <w:pPr>
        <w:widowControl w:val="0"/>
      </w:pPr>
    </w:p>
    <w:p w:rsidR="0078310B" w:rsidRDefault="0078310B" w:rsidP="0078310B">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rsidR="0078310B" w:rsidRDefault="0078310B" w:rsidP="0078310B">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rsidR="0078310B" w:rsidRDefault="0078310B" w:rsidP="0078310B">
      <w:pPr>
        <w:widowControl w:val="0"/>
        <w:spacing w:after="120"/>
        <w:ind w:firstLine="288"/>
        <w:jc w:val="both"/>
      </w:pPr>
      <w:r>
        <w:t>To the extent that the Sklars are also making an administrative inconsistency claim, we reject that claim on two grounds. First, in order</w:t>
      </w:r>
      <w:bookmarkStart w:id="342" w:name="clsccl10"/>
      <w:bookmarkEnd w:id="342"/>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rsidR="0078310B" w:rsidRDefault="0078310B" w:rsidP="0078310B">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rsidR="0078310B" w:rsidRDefault="0078310B" w:rsidP="0078310B">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rsidR="0078310B" w:rsidRDefault="0078310B" w:rsidP="0078310B">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rsidR="0078310B" w:rsidRDefault="0078310B" w:rsidP="0078310B">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72"/>
        <w:t>[1]</w:t>
      </w:r>
      <w:r>
        <w:t xml:space="preserve"> The remedy is not to require the IRS to let others claim the improper deduction, too.</w:t>
      </w:r>
    </w:p>
    <w:p w:rsidR="0078310B" w:rsidRDefault="0078310B" w:rsidP="0078310B">
      <w:pPr>
        <w:widowControl w:val="0"/>
        <w:jc w:val="center"/>
      </w:pPr>
      <w:r>
        <w:t>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73"/>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74"/>
      </w:r>
    </w:p>
    <w:p w:rsidR="0078310B" w:rsidRDefault="0078310B" w:rsidP="0078310B">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a 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rsidR="0078310B" w:rsidRPr="00FC07A9" w:rsidRDefault="0078310B" w:rsidP="0078310B">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“incidental” and not made as a “personal accommodation” to the donor.</w:t>
      </w:r>
      <w:r>
        <w:rPr>
          <w:rStyle w:val="FootnoteReference"/>
        </w:rPr>
        <w:footnoteReference w:id="675"/>
      </w:r>
      <w:r>
        <w:t xml:space="preserve"> Thus, Mr. Smith can deduct the entire $15 million. Is this result consistent with </w:t>
      </w:r>
      <w:r>
        <w:rPr>
          <w:i/>
        </w:rPr>
        <w:t>Hernandez</w:t>
      </w:r>
      <w:r>
        <w:t>? If not, would anyone have standing to litigate the issue?</w:t>
      </w:r>
    </w:p>
    <w:p w:rsidR="0078310B" w:rsidRDefault="0078310B" w:rsidP="0078310B">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56"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rsidR="0078310B" w:rsidRDefault="0078310B" w:rsidP="0078310B">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w:t>
      </w:r>
    </w:p>
    <w:p w:rsidR="0078310B" w:rsidRPr="00645975" w:rsidRDefault="0078310B" w:rsidP="0078310B">
      <w:pPr>
        <w:widowControl w:val="0"/>
        <w:spacing w:after="120"/>
        <w:ind w:firstLine="288"/>
        <w:jc w:val="both"/>
      </w:pPr>
      <w:r>
        <w:t xml:space="preserve">Finally, how should we value the </w:t>
      </w:r>
      <w:r w:rsidRPr="003A404D">
        <w:rPr>
          <w:i/>
        </w:rPr>
        <w:t>opportunity to purchase</w:t>
      </w:r>
      <w:r>
        <w:t xml:space="preserve"> (at full face value) hard-to-get tickets to the Ohio State/Michigan football game? We have an answer to this one in the statute itself. </w:t>
      </w:r>
      <w:hyperlink r:id="rId957" w:history="1">
        <w:r w:rsidRPr="00DB587C">
          <w:rPr>
            <w:rStyle w:val="Hyperlink"/>
          </w:rPr>
          <w:t>Section 170</w:t>
        </w:r>
      </w:hyperlink>
      <w:r>
        <w:t>(</w:t>
      </w:r>
      <w:r w:rsidRPr="005614F4">
        <w:rPr>
          <w:i/>
        </w:rPr>
        <w:t>l</w:t>
      </w:r>
      <w:r>
        <w:t>) is reportedly the result of the lobbying efforts of a Baton Rouge lawyer who held season tickets on the 43-yard-line at Tiger stadium, home of the football team at Louisiana State University.</w:t>
      </w:r>
      <w:r>
        <w:rPr>
          <w:rStyle w:val="FootnoteReference"/>
        </w:rPr>
        <w:footnoteReference w:id="676"/>
      </w:r>
    </w:p>
    <w:p w:rsidR="0078310B" w:rsidRPr="00F90499" w:rsidRDefault="0078310B" w:rsidP="0078310B">
      <w:pPr>
        <w:widowControl w:val="0"/>
        <w:spacing w:after="120"/>
        <w:ind w:left="720" w:right="720"/>
        <w:jc w:val="both"/>
        <w:rPr>
          <w:rFonts w:eastAsia="Times New Roman" w:cs="Times New Roman"/>
        </w:rPr>
      </w:pPr>
      <w:r w:rsidRPr="00F90499">
        <w:rPr>
          <w:rFonts w:eastAsia="Times New Roman" w:cs="Times New Roman"/>
        </w:rPr>
        <w:t>Some U.S. colleges with the most popular teams in football, basketball and hockey take advantage of the provision to market higher prices to season-ticket buyers. They set the face value, then demand additional hundreds or thousands of dollars in what are designated contributions as a condition of sale. The pitch is that under U.S. law, the fans can write off 80 percent of the mandatory donations when they itemize deductions. Other schools don’t set specific donation levels. Instead, they award seat locations using point systems in w</w:t>
      </w:r>
      <w:r>
        <w:rPr>
          <w:rFonts w:eastAsia="Times New Roman" w:cs="Times New Roman"/>
        </w:rPr>
        <w:t>hich giving may be one element.</w:t>
      </w:r>
      <w:r>
        <w:rPr>
          <w:rStyle w:val="FootnoteReference"/>
          <w:rFonts w:eastAsia="Times New Roman" w:cs="Times New Roman"/>
        </w:rPr>
        <w:footnoteReference w:id="677"/>
      </w:r>
    </w:p>
    <w:p w:rsidR="0078310B" w:rsidRPr="00B82C52" w:rsidRDefault="0078310B" w:rsidP="0078310B">
      <w:pPr>
        <w:pStyle w:val="Heading3"/>
        <w:spacing w:before="0" w:beforeAutospacing="0" w:after="120" w:afterAutospacing="0"/>
        <w:rPr>
          <w:i/>
        </w:rPr>
      </w:pPr>
      <w:bookmarkStart w:id="343" w:name="_Toc395790641"/>
      <w:r w:rsidRPr="00B82C52">
        <w:rPr>
          <w:i/>
        </w:rPr>
        <w:t>Determining the deductible amount when property is contributed in kind</w:t>
      </w:r>
      <w:bookmarkEnd w:id="343"/>
    </w:p>
    <w:p w:rsidR="0078310B" w:rsidRDefault="0078310B" w:rsidP="0078310B">
      <w:pPr>
        <w:widowControl w:val="0"/>
        <w:spacing w:after="120"/>
        <w:ind w:firstLine="288"/>
        <w:jc w:val="both"/>
      </w:pPr>
      <w:r>
        <w:t>Absent the receipt of goods or services in return, the deductible amount when cash is contributed to a public charity or private foundation is the amount of cash. In the same circumstances, what is the measure of the deductible amount if tangible property (</w:t>
      </w:r>
      <w:r>
        <w:rPr>
          <w:i/>
        </w:rPr>
        <w:t>e.g.</w:t>
      </w:r>
      <w:r>
        <w:t>, Blackacre or equipment) or intangible property (</w:t>
      </w:r>
      <w:r>
        <w:rPr>
          <w:i/>
        </w:rPr>
        <w:t>e.g.</w:t>
      </w:r>
      <w:r>
        <w:t>, shares of corporate stock or a patent) is contributed? For example, how much should Jane be permitted to deduct if she contributes property that she previously purchased for $1,000 to a charity at a time when its fair market value (FMV) is $5,000?</w:t>
      </w:r>
    </w:p>
    <w:p w:rsidR="0078310B" w:rsidRDefault="0078310B" w:rsidP="0078310B">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rsidR="0078310B" w:rsidRDefault="0078310B" w:rsidP="0078310B">
      <w:pPr>
        <w:widowControl w:val="0"/>
        <w:spacing w:after="120"/>
        <w:ind w:firstLine="288"/>
        <w:jc w:val="both"/>
      </w:pPr>
      <w:r>
        <w:t>“But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w:t>
      </w:r>
      <w:r w:rsidR="00DB587C">
        <w:t xml:space="preserve"> and Chapter 17</w:t>
      </w:r>
      <w:r>
        <w:t xml:space="preserve">.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are higher than they otherwise would be to raise </w:t>
      </w:r>
      <w:r>
        <w:rPr>
          <w:i/>
        </w:rPr>
        <w:t xml:space="preserve">$X </w:t>
      </w:r>
      <w:r>
        <w:t xml:space="preserve">in revenue? Under such an analysis,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rsidR="0078310B" w:rsidRPr="00DA7FF6" w:rsidRDefault="0078310B" w:rsidP="0078310B">
      <w:pPr>
        <w:widowControl w:val="0"/>
        <w:spacing w:after="120"/>
        <w:ind w:firstLine="288"/>
        <w:jc w:val="both"/>
      </w:pPr>
      <w:r>
        <w:t xml:space="preserve">The starting point in determining the amount of Jane’s deduction is </w:t>
      </w:r>
      <w:hyperlink r:id="rId958"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 xml:space="preserve">property (property with a built-in gain). Thus, with respect to property with a </w:t>
      </w:r>
      <w:r w:rsidRPr="00D74217">
        <w:rPr>
          <w:i/>
        </w:rPr>
        <w:t>built-in loss</w:t>
      </w:r>
      <w:r>
        <w:t xml:space="preserve">, 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rsidR="0078310B" w:rsidRDefault="0078310B" w:rsidP="0078310B">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Part A., or the exclusion as a “capital return” of personal injury damages, as described in Chapter 17, Part B. By 1962, after the concept of “basis” (capital)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justifiably require a full FMV deduction (and thus a double tax benefit for the same dollars) under a cost-benefit analysis.</w:t>
      </w:r>
    </w:p>
    <w:p w:rsidR="0078310B" w:rsidRDefault="0078310B" w:rsidP="0078310B">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rsidR="0078310B" w:rsidRDefault="0078310B" w:rsidP="0078310B">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78"/>
      </w:r>
      <w:r>
        <w:t xml:space="preserve"> Ditto for the special rules applying to the contribution of real property as a “qualified conservation contribution” within the meaning of § 170(h). </w:t>
      </w:r>
    </w:p>
    <w:p w:rsidR="0078310B" w:rsidRDefault="0078310B" w:rsidP="0078310B">
      <w:pPr>
        <w:widowControl w:val="0"/>
        <w:spacing w:after="120"/>
        <w:ind w:firstLine="288"/>
        <w:jc w:val="both"/>
      </w:pPr>
      <w:r w:rsidRPr="00097096">
        <w:rPr>
          <w:i/>
          <w:u w:val="single"/>
        </w:rPr>
        <w:t>Situation 1</w:t>
      </w:r>
      <w:r>
        <w:rPr>
          <w:i/>
        </w:rPr>
        <w:t xml:space="preserve">: </w:t>
      </w:r>
      <w:r>
        <w:t xml:space="preserve">Returning to Jane, let’s assume that the property with a basis of $1,000 and FMV of $5,000 that she contributes to a public charity is a widget and that Jane sells widgets to customers in the ordinary course of her business. If Jane were to sell this inventory for its $5,000 FMV instead of contributing it, she would realize a $4,000 gain under § 1001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59"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 xml:space="preserve">have been long-term capital gain had she sold it (instead of contributed it to charity). Thus, Jane must reduce her deduction to the widget’s $1,000 basis ($5,000 FMV </w:t>
      </w:r>
      <w:r>
        <w:rPr>
          <w:i/>
        </w:rPr>
        <w:t xml:space="preserve">less </w:t>
      </w:r>
      <w:r>
        <w:t>$4,000 ordinary built-in gain) when she contributes the property in kind to a public charity.</w:t>
      </w:r>
    </w:p>
    <w:p w:rsidR="0078310B" w:rsidRDefault="0078310B" w:rsidP="0078310B">
      <w:pPr>
        <w:widowControl w:val="0"/>
        <w:spacing w:after="120"/>
        <w:ind w:firstLine="288"/>
        <w:jc w:val="both"/>
      </w:pPr>
      <w:r>
        <w:rPr>
          <w:i/>
          <w:u w:val="single"/>
        </w:rPr>
        <w:t>Situation 2</w:t>
      </w:r>
      <w:r>
        <w:t xml:space="preserve">: Assume that the property that Jane contributes to a public charity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gain under § 1001 ($8,000 A/R </w:t>
      </w:r>
      <w:r>
        <w:rPr>
          <w:i/>
        </w:rPr>
        <w:t>less</w:t>
      </w:r>
      <w:r>
        <w:t xml:space="preserve"> $6,000 A/B), and this gain would be entirely ordinary under § 1245(a) as depreciation recapture, which you studied in Chapter 15, Part D. Because the property’s built-in gain is ordinary in character rather than long-term capital gain, § 170(e)(1)(A) again requires Jane to reduce her deduction to the property’s basis ($8,000 FMV </w:t>
      </w:r>
      <w:r>
        <w:rPr>
          <w:i/>
        </w:rPr>
        <w:t>less</w:t>
      </w:r>
      <w:r>
        <w:t xml:space="preserve"> $2,000 ordinary built-in gain) when she contributes the machine to a public charity.</w:t>
      </w:r>
    </w:p>
    <w:p w:rsidR="0078310B" w:rsidRDefault="0078310B" w:rsidP="0078310B">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charity, notwithstanding that she properly deducted $4,000 in depreciation (reducing its basis to $6,000) during her ownership. If Jane were to sell this machine for its $11,000 FMV, she would realize a $5,000 gain under § 1001 ($11,000 A/R </w:t>
      </w:r>
      <w:r>
        <w:rPr>
          <w:i/>
        </w:rPr>
        <w:t>less</w:t>
      </w:r>
      <w:r>
        <w:t xml:space="preserve"> $6,000 A/B). Of this $5,000 gain, $4,000 would be ordinary under § 1245 as depreciation recapture, and the remaining $1,000 would be § 1231 gain under § 1231(b). Recall from Chapter 15,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rsidR="0078310B" w:rsidRDefault="0078310B" w:rsidP="0078310B">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gain representing § 1231 gain, but she must reduce her deduction by the $4,000 of built-in gain representing ordinary depreciation recapture under § 1245. Thus, Jane can deduct only $7,000 ($11,000 FMV </w:t>
      </w:r>
      <w:r>
        <w:rPr>
          <w:i/>
        </w:rPr>
        <w:t>less</w:t>
      </w:r>
      <w:r>
        <w:t xml:space="preserve"> $4,000 ordinary built-in gain) when she contributes the machine, which is neither the property’s $11,000 FMV nor its $6,000 A/B. If either §§ 170(e)(1)(A) or (B) is triggered, the taxpayer’s deduction in the vast majority of cases is reduced to the property’s basis, but this Situation 3 is the rare case that illustrates that a reduction to basis does not always result. </w:t>
      </w:r>
    </w:p>
    <w:p w:rsidR="0078310B" w:rsidRDefault="0078310B" w:rsidP="0078310B">
      <w:pPr>
        <w:widowControl w:val="0"/>
        <w:spacing w:after="120"/>
        <w:ind w:firstLine="288"/>
        <w:jc w:val="both"/>
      </w:pPr>
      <w:r w:rsidRPr="002049E3">
        <w:rPr>
          <w:i/>
          <w:u w:val="single"/>
        </w:rPr>
        <w:t>Situation 4</w:t>
      </w:r>
      <w:r>
        <w:t>: Jane contributes shares of corporate stock that she h</w:t>
      </w:r>
      <w:r w:rsidR="006D77FA">
        <w:t xml:space="preserve">olds as an investment </w:t>
      </w:r>
      <w:r>
        <w:t xml:space="preserve">to a public charity. She purchased the stock for $6,000 three years ago and its FMV is $10,000 at the time of contribution. If Jane were to sell the stock, she would realize a $4,000 gain under § 1001 ($10,000 A/R </w:t>
      </w:r>
      <w:r>
        <w:rPr>
          <w:i/>
        </w:rPr>
        <w:t>less</w:t>
      </w:r>
      <w:r>
        <w:t xml:space="preserve"> $6,000 A/B), and this gain would be long-term capital gain because (1) the stock is not described in § 1221 and (2) Jane held this capital asset for more than one year. Thus, Jane’s contribution survives § 170(e)(1)(A), but we have not yet examined § 170(e)(1)(B). </w:t>
      </w:r>
    </w:p>
    <w:p w:rsidR="0078310B" w:rsidRDefault="0078310B" w:rsidP="0078310B">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79"/>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rsidR="0078310B" w:rsidRPr="00272A1D" w:rsidRDefault="0078310B" w:rsidP="0078310B">
      <w:pPr>
        <w:widowControl w:val="0"/>
        <w:spacing w:after="120"/>
        <w:ind w:firstLine="288"/>
        <w:jc w:val="both"/>
      </w:pPr>
      <w:r>
        <w:t>Because neither §§ 170(e)(1)(A) nor (B) apply, Jane can deduct the stock’s full $10,000 FMV, resulting in a double tax benefit for the $4,000 built-in gain, which sh</w:t>
      </w:r>
      <w:r w:rsidR="009435CD">
        <w:t>e can both exclude (because gifts are not realization events</w:t>
      </w:r>
      <w:r>
        <w:t>)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UBIT rules.</w:t>
      </w:r>
      <w:r>
        <w:rPr>
          <w:rStyle w:val="FootnoteReference"/>
        </w:rPr>
        <w:footnoteReference w:id="680"/>
      </w:r>
      <w:r>
        <w:t xml:space="preserve"> In other words, the built-in gain disappears from the tax system, just as occurs under § 1014 when appreciated property is passed at death, discussed in Chapter 7. </w:t>
      </w:r>
    </w:p>
    <w:p w:rsidR="0078310B" w:rsidRDefault="0078310B" w:rsidP="0078310B">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rsidR="0078310B" w:rsidRDefault="0078310B" w:rsidP="0078310B">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rsidR="0078310B" w:rsidRDefault="0078310B" w:rsidP="0078310B">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$30.5 million.</w:t>
      </w:r>
      <w:r>
        <w:rPr>
          <w:rStyle w:val="FootnoteReference"/>
        </w:rPr>
        <w:footnoteReference w:id="681"/>
      </w:r>
      <w:r>
        <w:t xml:space="preserve"> Without regard to the painting contribution, Jane has an AGI of $70 million this year. Should she sell the painting to a buyer or contribute it in kind to an art museum? If she could enjoy a double tax benefit for the $30 million built-in gain (both exclusion of the $30 million built-in gain and deduction of the $30.5 FMV of the painting under § 170), she would clearly be better off contributing the property in kind. </w:t>
      </w:r>
    </w:p>
    <w:p w:rsidR="0078310B" w:rsidRDefault="0078310B" w:rsidP="0078310B">
      <w:pPr>
        <w:widowControl w:val="0"/>
        <w:spacing w:after="120"/>
        <w:ind w:firstLine="288"/>
        <w:jc w:val="both"/>
      </w:pPr>
      <w:r>
        <w:t xml:space="preserve">Because the built-in gain represents long-term capital gain, § 170(e)(1)(A) clearly does not apply to reduce Jane’s deduction,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82"/>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83"/>
      </w:r>
      <w:r>
        <w:t xml:space="preserve"> </w:t>
      </w:r>
    </w:p>
    <w:p w:rsidR="0078310B" w:rsidRDefault="0078310B" w:rsidP="0078310B">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thus will sell the Rembrandt and use the cash to then purchase a painting  that would augment its modern collection, Jane’s deduction would be reduced to $500,000 under § 170(e)(1)(B)(I). </w:t>
      </w:r>
    </w:p>
    <w:p w:rsidR="0078310B" w:rsidRPr="00104C84" w:rsidRDefault="0078310B" w:rsidP="0078310B">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rsidR="0078310B" w:rsidRDefault="0078310B" w:rsidP="0078310B">
      <w:pPr>
        <w:widowControl w:val="0"/>
        <w:spacing w:after="120"/>
        <w:ind w:firstLine="288"/>
        <w:jc w:val="both"/>
      </w:pPr>
      <w:r w:rsidRPr="001D55C6">
        <w:t>Taxpayers</w:t>
      </w:r>
      <w:r>
        <w:t xml:space="preserve"> contributing their old personal-use cars to public charities, who s</w:t>
      </w:r>
      <w:r w:rsidR="00D87F89">
        <w:t>ell them in order to raise cash</w:t>
      </w:r>
      <w:r>
        <w:t xml:space="preserve">, need not worry about § 170(e)(1)(B)(i)’s related-use test because these vehicles reflect a built-in </w:t>
      </w:r>
      <w:r w:rsidRPr="001609F9">
        <w:rPr>
          <w:i/>
        </w:rPr>
        <w:t>loss</w:t>
      </w:r>
      <w:r>
        <w:t>, not a built-in gain. Nevertheless, taxpayers commonly used inflated FMVs to measure their deductions before Congress added §§ 170(f)(12) and 6720 in 2004, which combine, in general, to limit the donor’s deduction to the gross proceeds obtained by the charity on the vehicle’s sale without any significant intervening use or material improvement and to impose penalties on charities that fail to furnish the proper acknowledgement to the donor, which the donor must include with his tax return.</w:t>
      </w:r>
      <w:r>
        <w:rPr>
          <w:rStyle w:val="FootnoteReference"/>
        </w:rPr>
        <w:footnoteReference w:id="684"/>
      </w:r>
    </w:p>
    <w:p w:rsidR="0078310B" w:rsidRPr="00B82C52" w:rsidRDefault="0078310B" w:rsidP="0078310B">
      <w:pPr>
        <w:pStyle w:val="Heading3"/>
        <w:spacing w:before="0" w:beforeAutospacing="0" w:after="120" w:afterAutospacing="0"/>
        <w:rPr>
          <w:i/>
        </w:rPr>
      </w:pPr>
      <w:bookmarkStart w:id="344" w:name="_Toc395790642"/>
      <w:r w:rsidRPr="00B82C52">
        <w:rPr>
          <w:i/>
        </w:rPr>
        <w:t>Contributions of services in kind</w:t>
      </w:r>
      <w:bookmarkEnd w:id="344"/>
    </w:p>
    <w:p w:rsidR="0078310B" w:rsidRPr="00426041" w:rsidRDefault="002B3596" w:rsidP="0078310B">
      <w:pPr>
        <w:widowControl w:val="0"/>
        <w:spacing w:after="120"/>
        <w:ind w:firstLine="288"/>
        <w:jc w:val="both"/>
      </w:pPr>
      <w:hyperlink r:id="rId960" w:history="1">
        <w:r w:rsidR="0078310B" w:rsidRPr="00E0561C">
          <w:rPr>
            <w:rStyle w:val="Hyperlink"/>
          </w:rPr>
          <w:t>Treas. Reg. § 1.170A-1</w:t>
        </w:r>
      </w:hyperlink>
      <w:r w:rsidR="0078310B">
        <w:t xml:space="preserve">(g)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rsidR="0078310B" w:rsidRPr="00B82C52" w:rsidRDefault="0078310B" w:rsidP="0078310B">
      <w:pPr>
        <w:pStyle w:val="Heading3"/>
        <w:spacing w:before="0" w:beforeAutospacing="0" w:after="120" w:afterAutospacing="0"/>
        <w:rPr>
          <w:i/>
        </w:rPr>
      </w:pPr>
      <w:bookmarkStart w:id="345" w:name="_Toc395790643"/>
      <w:r w:rsidRPr="00B82C52">
        <w:rPr>
          <w:i/>
        </w:rPr>
        <w:t>Substantiation requirements</w:t>
      </w:r>
      <w:bookmarkEnd w:id="345"/>
      <w:r w:rsidRPr="00B82C52">
        <w:rPr>
          <w:i/>
        </w:rPr>
        <w:t xml:space="preserve"> </w:t>
      </w:r>
    </w:p>
    <w:p w:rsidR="0078310B" w:rsidRDefault="0078310B" w:rsidP="0078310B">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85"/>
      </w:r>
      <w:r>
        <w:t xml:space="preserve"> As noted earlier, § 170(f)(8) requires the taxpayer to obtain a “contemporaneous written acknowledgement” from the donee organization for contributions of $250 or more that states whether any goods or services were obtained in return (and the FMV of any </w:t>
      </w:r>
      <w:r>
        <w:rPr>
          <w:i/>
        </w:rPr>
        <w:t>quid pro quo</w:t>
      </w:r>
      <w:r>
        <w:t>). With respect to contributions of property in kind worth more than $500, § 170(f)(11) further requires the taxpayer to attach Form 8283 to her return, with a description of the property, and § 170(f)(11) requires the taxpayer to obtain (and attach to her return) a qualified appraisal for property worth more than $5,000. Finally, also as noted earlier, § 170(f)(12) imposes special substantiation requirements with respect to the donation of used vehicles.</w:t>
      </w:r>
    </w:p>
    <w:p w:rsidR="0078310B" w:rsidRPr="00B82C52" w:rsidRDefault="0078310B" w:rsidP="0078310B">
      <w:pPr>
        <w:pStyle w:val="Heading3"/>
        <w:spacing w:before="0" w:beforeAutospacing="0" w:after="120" w:afterAutospacing="0"/>
        <w:rPr>
          <w:i/>
        </w:rPr>
      </w:pPr>
      <w:bookmarkStart w:id="346" w:name="_Toc395790644"/>
      <w:r w:rsidRPr="00B82C52">
        <w:rPr>
          <w:i/>
        </w:rPr>
        <w:t>AGI percentage contribution limits</w:t>
      </w:r>
      <w:bookmarkEnd w:id="346"/>
    </w:p>
    <w:p w:rsidR="0078310B" w:rsidRPr="00346824" w:rsidRDefault="0078310B" w:rsidP="0078310B">
      <w:pPr>
        <w:widowControl w:val="0"/>
        <w:spacing w:after="120"/>
        <w:ind w:firstLine="288"/>
        <w:jc w:val="both"/>
      </w:pPr>
      <w:r w:rsidRPr="00DE42A9">
        <w:t>In no case can more than 50% of AGI (disregarding any § 172 net operating loss carryback) be offset by the aggregate of the taxpayer’s charitable contributions for the year.</w:t>
      </w:r>
      <w:r w:rsidRPr="00032718">
        <w:rPr>
          <w:rStyle w:val="FootnoteReference"/>
        </w:rPr>
        <w:footnoteReference w:id="686"/>
      </w:r>
      <w:r w:rsidRPr="00D357BE">
        <w:rPr>
          <w:b/>
        </w:rPr>
        <w:t xml:space="preserve"> </w:t>
      </w:r>
      <w:r>
        <w:t xml:space="preserve">In the case of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87"/>
      </w:r>
      <w:r>
        <w:t xml:space="preserve"> </w:t>
      </w:r>
    </w:p>
    <w:p w:rsidR="0078310B" w:rsidRDefault="0078310B" w:rsidP="0078310B">
      <w:pPr>
        <w:pStyle w:val="ListParagraph"/>
        <w:widowControl w:val="0"/>
        <w:numPr>
          <w:ilvl w:val="0"/>
          <w:numId w:val="24"/>
        </w:numPr>
        <w:spacing w:after="120"/>
        <w:ind w:left="648"/>
        <w:contextualSpacing w:val="0"/>
        <w:jc w:val="both"/>
      </w:pPr>
      <w:r>
        <w:t xml:space="preserve">Cash contributions </w:t>
      </w:r>
      <w:r w:rsidRPr="00977E0B">
        <w:t>to</w:t>
      </w:r>
      <w:r>
        <w:t xml:space="preserve"> most public charities and religious organizations </w:t>
      </w:r>
      <w:r w:rsidRPr="00977E0B">
        <w:t xml:space="preserve">are subject to the highest 50%-of-AGI limit. </w:t>
      </w:r>
    </w:p>
    <w:p w:rsidR="0078310B" w:rsidRDefault="0078310B" w:rsidP="0078310B">
      <w:pPr>
        <w:pStyle w:val="ListParagraph"/>
        <w:widowControl w:val="0"/>
        <w:numPr>
          <w:ilvl w:val="0"/>
          <w:numId w:val="24"/>
        </w:numPr>
        <w:spacing w:after="120"/>
        <w:ind w:left="648"/>
        <w:contextualSpacing w:val="0"/>
        <w:jc w:val="both"/>
      </w:pPr>
      <w:r>
        <w:t xml:space="preserve">Contributions of property in kind to such charities are also subject to the highest 50%-of-AGI limit </w:t>
      </w:r>
      <w:r w:rsidRPr="00D60C73">
        <w:rPr>
          <w:i/>
        </w:rPr>
        <w:t>but only if</w:t>
      </w:r>
      <w:r>
        <w:t xml:space="preserve"> § 170(e)(1) applies to reduce the contribution amount below FMV. </w:t>
      </w:r>
    </w:p>
    <w:p w:rsidR="0078310B" w:rsidRPr="00977E0B" w:rsidRDefault="0078310B" w:rsidP="0078310B">
      <w:pPr>
        <w:pStyle w:val="ListParagraph"/>
        <w:widowControl w:val="0"/>
        <w:numPr>
          <w:ilvl w:val="0"/>
          <w:numId w:val="24"/>
        </w:numPr>
        <w:spacing w:after="120"/>
        <w:ind w:left="648"/>
        <w:contextualSpacing w:val="0"/>
        <w:jc w:val="both"/>
      </w:pPr>
      <w:r w:rsidRPr="00977E0B">
        <w:t>A 30%-of-AGI</w:t>
      </w:r>
      <w:r>
        <w:t xml:space="preserve"> limit applies to contributions</w:t>
      </w:r>
      <w:r w:rsidRPr="00977E0B">
        <w:t xml:space="preserve"> </w:t>
      </w:r>
      <w:r>
        <w:t xml:space="preserve">of property in kind </w:t>
      </w:r>
      <w:r w:rsidRPr="00977E0B">
        <w:t xml:space="preserve">to </w:t>
      </w:r>
      <w:r>
        <w:t xml:space="preserve">such charities if § 170(e)(1) does </w:t>
      </w:r>
      <w:r>
        <w:rPr>
          <w:i/>
        </w:rPr>
        <w:t xml:space="preserve">not </w:t>
      </w:r>
      <w:r>
        <w:t>apply, allowing the donor to deduct the property’s FMV. A taxpayer can revive the higher 50%-of-AGI limit by electing to deduct only the lesser amount that would have been allowable if § 170(e)(1) had applied to reduce the deduction below FMV.</w:t>
      </w:r>
      <w:r>
        <w:rPr>
          <w:rStyle w:val="FootnoteReference"/>
        </w:rPr>
        <w:footnoteReference w:id="688"/>
      </w:r>
      <w:r>
        <w:t xml:space="preserve"> The election applies to all such property contributions for the year. </w:t>
      </w:r>
    </w:p>
    <w:p w:rsidR="0078310B" w:rsidRDefault="0078310B" w:rsidP="0078310B">
      <w:pPr>
        <w:widowControl w:val="0"/>
        <w:spacing w:after="120"/>
        <w:ind w:firstLine="288"/>
        <w:jc w:val="both"/>
      </w:pPr>
      <w:r>
        <w:t>In what order are these limits applied? In general, the taxpayer’s maximum 50%-of-AGI cap is used up in the same order listed above: (1) cash contributions, (2) contributions of property in kind subject to the 50%-of-AGI limit, and (3) contributions of property in kind subject to the 30%-of-AGI limit.</w:t>
      </w:r>
      <w:r>
        <w:rPr>
          <w:rStyle w:val="FootnoteReference"/>
        </w:rPr>
        <w:footnoteReference w:id="689"/>
      </w:r>
    </w:p>
    <w:p w:rsidR="0078310B" w:rsidRDefault="0078310B" w:rsidP="0078310B">
      <w:pPr>
        <w:pStyle w:val="NormalWeb"/>
        <w:widowControl w:val="0"/>
        <w:spacing w:before="0" w:beforeAutospacing="0" w:after="120" w:afterAutospacing="0"/>
        <w:ind w:left="720" w:right="720"/>
        <w:jc w:val="both"/>
      </w:pPr>
      <w:r>
        <w:rPr>
          <w:b/>
          <w:u w:val="single"/>
        </w:rPr>
        <w:t>Example 1</w:t>
      </w:r>
      <w:r>
        <w:t>: Mark’s AGI is $50,000 this year when he contributes to the church that he attends both $2,000 in cash and land that he had purchased several years ago for $22,000 and held for investment. Mark obtains a qualified appraisal of the land this year confirming that it is now worth $28,000. Because the land is not described in § 170(e)(1),</w:t>
      </w:r>
      <w:r>
        <w:rPr>
          <w:rStyle w:val="FootnoteReference"/>
        </w:rPr>
        <w:footnoteReference w:id="690"/>
      </w:r>
      <w:r>
        <w:t xml:space="preserve"> Mark is entitled to deduct the $28,000 FMV of the land, and he does not elect to reduce his deduction under § 170(b)(1)(C)(iii) to the land’s $22,000 A/B. </w:t>
      </w:r>
      <w:r w:rsidR="00E0561C">
        <w:t>Thus, the 30%-of-AGI limit applies to the land contribution.</w:t>
      </w:r>
    </w:p>
    <w:p w:rsidR="0078310B" w:rsidRDefault="0078310B" w:rsidP="0078310B">
      <w:pPr>
        <w:pStyle w:val="NormalWeb"/>
        <w:widowControl w:val="0"/>
        <w:spacing w:before="0" w:beforeAutospacing="0" w:after="120" w:afterAutospacing="0"/>
        <w:ind w:left="720" w:right="720"/>
        <w:jc w:val="both"/>
      </w:pPr>
      <w:r>
        <w:t xml:space="preserve">The $2,000 cash donated to his church is considered first and is fully deductible because it does not exceed Mark’s $25,000 cap (equal to 50% of his $50,000 AGI). </w:t>
      </w:r>
    </w:p>
    <w:p w:rsidR="0078310B" w:rsidRDefault="0078310B" w:rsidP="0078310B">
      <w:pPr>
        <w:pStyle w:val="NormalWeb"/>
        <w:widowControl w:val="0"/>
        <w:spacing w:before="0" w:beforeAutospacing="0" w:after="120" w:afterAutospacing="0"/>
        <w:ind w:left="720" w:right="720"/>
        <w:jc w:val="both"/>
      </w:pPr>
      <w:r>
        <w:t xml:space="preserve">With respect to the land contribution, Mark’s $28,000 deduction is limited to $15,000, which is the </w:t>
      </w:r>
      <w:r w:rsidRPr="0098041B">
        <w:rPr>
          <w:i/>
        </w:rPr>
        <w:t>lesser</w:t>
      </w:r>
      <w:r>
        <w:t xml:space="preserve"> of the 30%-of-AGI limit and the $23,000 amount remaining of his $25,000 cap ($25,000 cap </w:t>
      </w:r>
      <w:r>
        <w:rPr>
          <w:i/>
        </w:rPr>
        <w:t xml:space="preserve">less </w:t>
      </w:r>
      <w:r>
        <w:t xml:space="preserve">$2,000 allowable cash donation). </w:t>
      </w:r>
    </w:p>
    <w:p w:rsidR="0078310B" w:rsidRDefault="0078310B" w:rsidP="0078310B">
      <w:pPr>
        <w:pStyle w:val="NormalWeb"/>
        <w:widowControl w:val="0"/>
        <w:spacing w:before="0" w:beforeAutospacing="0" w:after="120" w:afterAutospacing="0"/>
        <w:ind w:left="720" w:right="720"/>
        <w:jc w:val="both"/>
      </w:pPr>
      <w:r>
        <w:t xml:space="preserve">Mark deducts $17,000 this year and carries forward $13,000 of the land deduction ($28,000 </w:t>
      </w:r>
      <w:r>
        <w:rPr>
          <w:i/>
        </w:rPr>
        <w:t xml:space="preserve">less </w:t>
      </w:r>
      <w:r>
        <w:t xml:space="preserve">$15,000 allowable this year) to Year 2, when the percentage limits will again apply. Mark’s Year-2 contributions are deducted first under the percentage limits before his Year-1 carryover is analyzed. Any undeducted carryover expires after five years. </w:t>
      </w:r>
    </w:p>
    <w:p w:rsidR="0078310B" w:rsidRDefault="0078310B" w:rsidP="0078310B">
      <w:pPr>
        <w:pStyle w:val="NormalWeb"/>
        <w:widowControl w:val="0"/>
        <w:spacing w:before="0" w:beforeAutospacing="0" w:after="120" w:afterAutospacing="0"/>
        <w:ind w:left="720" w:right="720"/>
        <w:jc w:val="both"/>
      </w:pPr>
      <w:r>
        <w:rPr>
          <w:b/>
          <w:u w:val="single"/>
        </w:rPr>
        <w:t>Example 2</w:t>
      </w:r>
      <w:r w:rsidRPr="00907D22">
        <w:t>:</w:t>
      </w:r>
      <w:r>
        <w:t xml:space="preserve"> Same as Example 1, except that Mark makes the § 170(b)(1)(C)(iii) election to reduce his land deduction from its $28,000 FMV to its $22,000 A/B (as though the land were described in § 170(e)(1)) in order to use the 50%-of-AGI limit (instead of the 30%-of-AGI limit) for this contribution.</w:t>
      </w:r>
    </w:p>
    <w:p w:rsidR="0078310B" w:rsidRDefault="0078310B" w:rsidP="0078310B">
      <w:pPr>
        <w:pStyle w:val="NormalWeb"/>
        <w:widowControl w:val="0"/>
        <w:spacing w:before="0" w:beforeAutospacing="0" w:after="120" w:afterAutospacing="0"/>
        <w:ind w:left="720" w:right="720"/>
        <w:jc w:val="both"/>
      </w:pPr>
      <w:r>
        <w:t xml:space="preserve">The $2,000 cash donated to his church is considered first and is fully deductible because it does not exceed the $25,000 cap (equal to 50% of Mark’s $50,000 AGI). </w:t>
      </w:r>
    </w:p>
    <w:p w:rsidR="0078310B" w:rsidRDefault="0078310B" w:rsidP="0078310B">
      <w:pPr>
        <w:pStyle w:val="NormalWeb"/>
        <w:widowControl w:val="0"/>
        <w:spacing w:before="0" w:beforeAutospacing="0" w:after="120" w:afterAutospacing="0"/>
        <w:ind w:left="720" w:right="720"/>
        <w:jc w:val="both"/>
      </w:pPr>
      <w:r>
        <w:t xml:space="preserve">With respect to the land contribution, Mark’s $22,000 deduction is fully allowable as it, together with his $2,000 cash contribution, does not exceed his $25,000 cap. </w:t>
      </w:r>
    </w:p>
    <w:p w:rsidR="0078310B" w:rsidRDefault="0078310B" w:rsidP="0078310B">
      <w:pPr>
        <w:pStyle w:val="NormalWeb"/>
        <w:widowControl w:val="0"/>
        <w:spacing w:before="0" w:beforeAutospacing="0" w:after="0" w:afterAutospacing="0"/>
        <w:ind w:left="720" w:right="720"/>
        <w:jc w:val="both"/>
      </w:pPr>
      <w:r>
        <w:t xml:space="preserve">Mark deducts $24,000 this year and has no carryover. </w:t>
      </w:r>
    </w:p>
    <w:p w:rsidR="0078310B" w:rsidRDefault="0078310B" w:rsidP="0078310B">
      <w:pPr>
        <w:pStyle w:val="Heading3"/>
        <w:spacing w:before="0" w:beforeAutospacing="0" w:after="0" w:afterAutospacing="0"/>
        <w:rPr>
          <w:b w:val="0"/>
        </w:rPr>
      </w:pPr>
      <w:bookmarkStart w:id="347" w:name="_Toc395790645"/>
    </w:p>
    <w:p w:rsidR="0078310B" w:rsidRDefault="0078310B" w:rsidP="0078310B">
      <w:pPr>
        <w:pStyle w:val="Heading3"/>
        <w:spacing w:before="0" w:beforeAutospacing="0" w:after="0" w:afterAutospacing="0"/>
        <w:jc w:val="center"/>
        <w:rPr>
          <w:b w:val="0"/>
        </w:rPr>
      </w:pPr>
      <w:r w:rsidRPr="00B82C52">
        <w:rPr>
          <w:u w:val="single"/>
        </w:rPr>
        <w:t>Problems</w:t>
      </w:r>
      <w:bookmarkEnd w:id="347"/>
    </w:p>
    <w:p w:rsidR="0078310B" w:rsidRPr="00CF226B" w:rsidRDefault="0078310B" w:rsidP="0078310B">
      <w:pPr>
        <w:pStyle w:val="Heading3"/>
        <w:spacing w:before="0" w:beforeAutospacing="0" w:after="0" w:afterAutospacing="0"/>
        <w:jc w:val="center"/>
        <w:rPr>
          <w:b w:val="0"/>
        </w:rPr>
      </w:pPr>
    </w:p>
    <w:p w:rsidR="0078310B" w:rsidRDefault="0078310B" w:rsidP="0078310B">
      <w:pPr>
        <w:widowControl w:val="0"/>
        <w:ind w:firstLine="288"/>
        <w:jc w:val="both"/>
      </w:pPr>
      <w:r>
        <w:t>Doug and Lindsey are married and file a joint return. Without considering the items noted below, their AGI is $300,000. To what extent can Doug and Lindsey deduct as charitable contributions the items noted below for the current tax year? Assume that each of the organizations noted below is a public charity, contributions to which are eligible for deductions under § 170, and that Doug and Lindsey will itemize their deductions instead of taking the Standard Deduction.</w:t>
      </w:r>
    </w:p>
    <w:p w:rsidR="0078310B" w:rsidRDefault="0078310B" w:rsidP="0078310B">
      <w:pPr>
        <w:widowControl w:val="0"/>
        <w:ind w:firstLine="288"/>
        <w:jc w:val="both"/>
      </w:pPr>
    </w:p>
    <w:p w:rsidR="0078310B" w:rsidRDefault="0078310B" w:rsidP="0078310B">
      <w:pPr>
        <w:widowControl w:val="0"/>
        <w:ind w:firstLine="288"/>
        <w:jc w:val="both"/>
      </w:pPr>
      <w:r>
        <w:rPr>
          <w:b/>
        </w:rPr>
        <w:t>1.</w:t>
      </w:r>
      <w:r>
        <w:t xml:space="preserve"> Doug and Lindsey purchased two tickets to attend a Cleveland Orchestra concert for $50 each (a total of $100), and they attended the concert. What if they did not attend the concert after purchasing the tickets because Doug was not feeling well? What if, because they knew that they could not attend, they called the box office on the morning of the concert and donated their tickets back to the box office so that they could be resold?</w:t>
      </w:r>
    </w:p>
    <w:p w:rsidR="0078310B" w:rsidRDefault="0078310B" w:rsidP="0078310B">
      <w:pPr>
        <w:widowControl w:val="0"/>
        <w:ind w:firstLine="288"/>
        <w:jc w:val="both"/>
      </w:pPr>
    </w:p>
    <w:p w:rsidR="0078310B" w:rsidRDefault="0078310B" w:rsidP="0078310B">
      <w:pPr>
        <w:widowControl w:val="0"/>
        <w:ind w:firstLine="288"/>
        <w:jc w:val="both"/>
      </w:pPr>
      <w:r>
        <w:rPr>
          <w:b/>
        </w:rPr>
        <w:t>2.</w:t>
      </w:r>
      <w:r>
        <w:t xml:space="preserve"> Doug and Lindsey, both of whom graduated from Ohio State University, jointly contribute $5,000 to the Ohio State University annual fund each year. Those who make a minimum contribution of at least $5,000 are entitled to purchase tickets to the Ohio State/Michigan football game (very hot tickets that sell out quickly) before they go on sale to the general public. They purchase two tickets to the game for $50 each ($100 total), which is their face amount. </w:t>
      </w:r>
      <w:r>
        <w:rPr>
          <w:i/>
        </w:rPr>
        <w:t>See</w:t>
      </w:r>
      <w:r>
        <w:t xml:space="preserve"> § 170(</w:t>
      </w:r>
      <w:r>
        <w:rPr>
          <w:i/>
        </w:rPr>
        <w:t>l</w:t>
      </w:r>
      <w:r>
        <w:t xml:space="preserve">). </w:t>
      </w:r>
    </w:p>
    <w:p w:rsidR="0078310B" w:rsidRDefault="0078310B" w:rsidP="0078310B">
      <w:pPr>
        <w:widowControl w:val="0"/>
        <w:ind w:firstLine="288"/>
        <w:jc w:val="both"/>
      </w:pPr>
    </w:p>
    <w:p w:rsidR="0078310B" w:rsidRPr="000B25F4" w:rsidRDefault="0078310B" w:rsidP="0078310B">
      <w:pPr>
        <w:widowControl w:val="0"/>
        <w:spacing w:after="120"/>
        <w:ind w:firstLine="288"/>
        <w:jc w:val="both"/>
      </w:pPr>
      <w:r>
        <w:rPr>
          <w:b/>
        </w:rPr>
        <w:t>3.</w:t>
      </w:r>
      <w:r>
        <w:t xml:space="preserve"> Doug and Lindsey have decided that they will contribute shares of corporate stock to the American Red Cross. They are deciding among three blocks of stock, each of which has an FMV of $20,000. Which of the three blocks of stock should they contribute in kind and why? </w:t>
      </w:r>
    </w:p>
    <w:p w:rsidR="0078310B" w:rsidRDefault="0078310B" w:rsidP="0078310B">
      <w:pPr>
        <w:widowControl w:val="0"/>
        <w:spacing w:after="120"/>
        <w:ind w:firstLine="288"/>
        <w:jc w:val="both"/>
      </w:pPr>
      <w:r>
        <w:rPr>
          <w:b/>
        </w:rPr>
        <w:t>a.</w:t>
      </w:r>
      <w:r>
        <w:t xml:space="preserve"> Shares purchased 2 years ago for $25,000?</w:t>
      </w:r>
    </w:p>
    <w:p w:rsidR="0078310B" w:rsidRDefault="0078310B" w:rsidP="0078310B">
      <w:pPr>
        <w:widowControl w:val="0"/>
        <w:spacing w:after="120"/>
        <w:ind w:firstLine="288"/>
        <w:jc w:val="both"/>
      </w:pPr>
      <w:r>
        <w:rPr>
          <w:b/>
        </w:rPr>
        <w:t>b.</w:t>
      </w:r>
      <w:r>
        <w:t xml:space="preserve"> Shares purchased earlier this year for $18,000?</w:t>
      </w:r>
    </w:p>
    <w:p w:rsidR="0078310B" w:rsidRDefault="0078310B" w:rsidP="0078310B">
      <w:pPr>
        <w:widowControl w:val="0"/>
        <w:ind w:firstLine="288"/>
        <w:jc w:val="both"/>
      </w:pPr>
      <w:r>
        <w:rPr>
          <w:b/>
        </w:rPr>
        <w:t>c.</w:t>
      </w:r>
      <w:r>
        <w:t xml:space="preserve"> Shares purchased 5 years ago for $5,000?</w:t>
      </w:r>
    </w:p>
    <w:p w:rsidR="0078310B" w:rsidRDefault="0078310B" w:rsidP="0078310B">
      <w:pPr>
        <w:widowControl w:val="0"/>
        <w:ind w:firstLine="288"/>
        <w:jc w:val="both"/>
      </w:pPr>
    </w:p>
    <w:p w:rsidR="0078310B" w:rsidRDefault="0078310B" w:rsidP="0078310B">
      <w:pPr>
        <w:widowControl w:val="0"/>
        <w:ind w:firstLine="288"/>
        <w:jc w:val="both"/>
      </w:pPr>
      <w:r>
        <w:rPr>
          <w:b/>
        </w:rPr>
        <w:t>4.</w:t>
      </w:r>
      <w:r>
        <w:t xml:space="preserve"> Doug owns an art gallery where he sells paintings and sculptures (which he buys at wholesale from the artists) to customers. Doug contributes a painting of a book to his local library, which will hang on the wall behind the library’s front desk. Doug purchased the painting 2 years ago for $500, but it was just appraised at $2,000. </w:t>
      </w:r>
    </w:p>
    <w:p w:rsidR="0078310B" w:rsidRDefault="0078310B" w:rsidP="0078310B">
      <w:pPr>
        <w:widowControl w:val="0"/>
        <w:ind w:firstLine="288"/>
        <w:jc w:val="both"/>
      </w:pPr>
    </w:p>
    <w:p w:rsidR="0078310B" w:rsidRDefault="0078310B" w:rsidP="0078310B">
      <w:pPr>
        <w:widowControl w:val="0"/>
        <w:ind w:firstLine="288"/>
        <w:jc w:val="both"/>
      </w:pPr>
      <w:r>
        <w:rPr>
          <w:b/>
        </w:rPr>
        <w:t>5.</w:t>
      </w:r>
      <w:r>
        <w:t xml:space="preserve"> Same as </w:t>
      </w:r>
      <w:r>
        <w:rPr>
          <w:b/>
        </w:rPr>
        <w:t>4.</w:t>
      </w:r>
      <w:r>
        <w:t>, except that Doug does not own an art gallery but, rather, is a lawyer. He contributes the same painting</w:t>
      </w:r>
      <w:r w:rsidRPr="002D3CCA">
        <w:t xml:space="preserve"> </w:t>
      </w:r>
      <w:r>
        <w:t xml:space="preserve">to his local library, which will hang on the wall behind the library’s front desk. Doug purchased the painting 2 years ago from an art gallery for $500, but it was just appraised at $2,000. </w:t>
      </w:r>
    </w:p>
    <w:p w:rsidR="0078310B" w:rsidRDefault="0078310B" w:rsidP="0078310B">
      <w:pPr>
        <w:widowControl w:val="0"/>
        <w:ind w:firstLine="288"/>
        <w:jc w:val="both"/>
      </w:pPr>
    </w:p>
    <w:p w:rsidR="0078310B" w:rsidRDefault="0078310B" w:rsidP="0078310B">
      <w:pPr>
        <w:widowControl w:val="0"/>
        <w:ind w:firstLine="288"/>
        <w:jc w:val="both"/>
      </w:pPr>
      <w:r>
        <w:rPr>
          <w:b/>
        </w:rPr>
        <w:t>6.</w:t>
      </w:r>
      <w:r>
        <w:t xml:space="preserve"> Same as </w:t>
      </w:r>
      <w:r>
        <w:rPr>
          <w:b/>
        </w:rPr>
        <w:t>5.</w:t>
      </w:r>
      <w:r>
        <w:t xml:space="preserve">, except that both Doug and the library’s Board of Trustees know that the library would rather have the cash than the painting. Thus, the library Board sells the painting for $2,000 shortly after Doug’s contribution. </w:t>
      </w:r>
    </w:p>
    <w:p w:rsidR="0078310B" w:rsidRDefault="0078310B" w:rsidP="0078310B">
      <w:pPr>
        <w:widowControl w:val="0"/>
        <w:ind w:firstLine="288"/>
        <w:jc w:val="both"/>
      </w:pPr>
    </w:p>
    <w:p w:rsidR="0078310B" w:rsidRDefault="0078310B" w:rsidP="0078310B">
      <w:pPr>
        <w:widowControl w:val="0"/>
        <w:ind w:firstLine="288"/>
        <w:jc w:val="both"/>
      </w:pPr>
      <w:r>
        <w:rPr>
          <w:b/>
        </w:rPr>
        <w:t>7.</w:t>
      </w:r>
      <w:r>
        <w:t xml:space="preserve"> Lindsey is a dentist who contributes 8 hours of her time each month at a free clinic performing free dental work to low-income residents.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Doug and Lindsey, who will take the Standard Deduction instead of itemizing their deductions? What about taxpayers, unlike Doug and Lindsey, who contribute more than 50% of their AGI to charity, rendering additional cash donations nondeductible in the current year (though creating a carryover for five years)? </w:t>
      </w:r>
    </w:p>
    <w:p w:rsidR="0078310B" w:rsidRPr="00545CBE" w:rsidRDefault="0078310B" w:rsidP="0078310B">
      <w:pPr>
        <w:widowControl w:val="0"/>
        <w:ind w:firstLine="288"/>
        <w:jc w:val="both"/>
      </w:pPr>
    </w:p>
    <w:p w:rsidR="0078310B" w:rsidRPr="00CF226B" w:rsidRDefault="0078310B" w:rsidP="0078310B">
      <w:pPr>
        <w:pStyle w:val="Heading2"/>
        <w:spacing w:before="0"/>
        <w:rPr>
          <w:sz w:val="32"/>
          <w:szCs w:val="32"/>
          <w:u w:val="single"/>
        </w:rPr>
      </w:pPr>
      <w:bookmarkStart w:id="348" w:name="_Toc395790646"/>
      <w:r w:rsidRPr="00CF226B">
        <w:rPr>
          <w:sz w:val="32"/>
          <w:szCs w:val="32"/>
          <w:u w:val="single"/>
        </w:rPr>
        <w:t>E. State and local taxes</w:t>
      </w:r>
      <w:bookmarkEnd w:id="348"/>
    </w:p>
    <w:p w:rsidR="0078310B" w:rsidRDefault="0078310B" w:rsidP="0078310B">
      <w:pPr>
        <w:widowControl w:val="0"/>
        <w:ind w:firstLine="288"/>
      </w:pPr>
    </w:p>
    <w:p w:rsidR="0078310B" w:rsidRDefault="0078310B" w:rsidP="0078310B">
      <w:pPr>
        <w:widowControl w:val="0"/>
        <w:spacing w:after="120"/>
        <w:ind w:firstLine="288"/>
        <w:jc w:val="both"/>
      </w:pPr>
      <w:r>
        <w:t>Federal</w:t>
      </w:r>
      <w:r w:rsidRPr="00AA48CA">
        <w:t xml:space="preserve"> taxes are generally nondeductible under </w:t>
      </w:r>
      <w:hyperlink r:id="rId961" w:history="1">
        <w:r w:rsidRPr="00B75C29">
          <w:rPr>
            <w:rStyle w:val="Hyperlink"/>
          </w:rPr>
          <w:t>§ 275</w:t>
        </w:r>
      </w:hyperlink>
      <w:r w:rsidRPr="00AA48CA">
        <w:t xml:space="preserve">. The </w:t>
      </w:r>
      <w:r>
        <w:t xml:space="preserve">state, local, and foreign </w:t>
      </w:r>
      <w:r w:rsidRPr="00AA48CA">
        <w:t xml:space="preserve">taxes listed in </w:t>
      </w:r>
      <w:r>
        <w:t>§</w:t>
      </w:r>
      <w:hyperlink r:id="rId962"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rsidR="0078310B" w:rsidRDefault="0078310B" w:rsidP="0078310B">
      <w:pPr>
        <w:widowControl w:val="0"/>
        <w:spacing w:after="120"/>
        <w:ind w:firstLine="288"/>
        <w:jc w:val="both"/>
      </w:pPr>
      <w:r w:rsidRPr="00AA48CA">
        <w:t>Noticeably abs</w:t>
      </w:r>
      <w:r>
        <w:t xml:space="preserve">ent after 1986 are sales taxes. The elimination of the deduction for state sales taxes was one of the base-broadening measures that paid for the dramatic reduction in ordinary income tax rates (from a top tax rate of 50% to 28%). </w:t>
      </w:r>
      <w:r w:rsidRPr="00AA48CA">
        <w:t xml:space="preserve">From a </w:t>
      </w:r>
      <w:r>
        <w:t>Federal</w:t>
      </w:r>
      <w:r w:rsidRPr="00AA48CA">
        <w:t>ism perspective, is it a good idea to pick and choose among state taxes when deciding</w:t>
      </w:r>
      <w:r>
        <w:t xml:space="preserve"> their </w:t>
      </w:r>
      <w:r w:rsidRPr="00AA48CA">
        <w:t>deducti</w:t>
      </w:r>
      <w:r>
        <w:t>bility for Federal income tax purposes</w:t>
      </w:r>
      <w:r w:rsidRPr="00AA48CA">
        <w:t xml:space="preserve">? </w:t>
      </w:r>
      <w:r w:rsidRPr="00AA48CA">
        <w:rPr>
          <w:i/>
          <w:iCs/>
        </w:rPr>
        <w:t xml:space="preserve">If </w:t>
      </w:r>
      <w:r w:rsidRPr="00AA48CA">
        <w:t xml:space="preserve">we view </w:t>
      </w:r>
      <w:r>
        <w:t>Federal</w:t>
      </w:r>
      <w:r w:rsidRPr="00AA48CA">
        <w:t xml:space="preserve">ism as the relationship between the </w:t>
      </w:r>
      <w:r>
        <w:t>Federal</w:t>
      </w:r>
      <w:r w:rsidRPr="00AA48CA">
        <w:t xml:space="preserve"> government and the autonomy of each state, then it would seem that the </w:t>
      </w:r>
      <w:r>
        <w:t>Federal</w:t>
      </w:r>
      <w:r w:rsidRPr="00AA48CA">
        <w:t xml:space="preserve"> government ought to allow deduction of </w:t>
      </w:r>
      <w:r w:rsidRPr="00AA48CA">
        <w:rPr>
          <w:i/>
        </w:rPr>
        <w:t>all</w:t>
      </w:r>
      <w:r w:rsidRPr="00AA48CA">
        <w:t xml:space="preserve"> state and local taxes or deny deduction of </w:t>
      </w:r>
      <w:r w:rsidRPr="00AA48CA">
        <w:rPr>
          <w:i/>
        </w:rPr>
        <w:t>all</w:t>
      </w:r>
      <w:r w:rsidRPr="00AA48CA">
        <w:t xml:space="preserve"> state and local taxes. Allowing the deduction of </w:t>
      </w:r>
      <w:r w:rsidRPr="00AA48CA">
        <w:rPr>
          <w:i/>
        </w:rPr>
        <w:t>some</w:t>
      </w:r>
      <w:r w:rsidRPr="00AA48CA">
        <w:t xml:space="preserve"> taxes (income and property taxes) but not others (sales taxes) intrudes on the states’ choices regarding which taxes to adopt, increase, eliminate, </w:t>
      </w:r>
      <w:r w:rsidRPr="00AA48CA">
        <w:rPr>
          <w:i/>
        </w:rPr>
        <w:t>etc</w:t>
      </w:r>
      <w:r w:rsidRPr="00AA48CA">
        <w:t>., becaus</w:t>
      </w:r>
      <w:r>
        <w:t>e a tax that is deductible for Federal</w:t>
      </w:r>
      <w:r w:rsidRPr="00AA48CA">
        <w:t xml:space="preserve"> income tax </w:t>
      </w:r>
      <w:r>
        <w:t xml:space="preserve">purposes becomes more palatable </w:t>
      </w:r>
      <w:r w:rsidRPr="00AA48CA">
        <w:t xml:space="preserve">than one that is not. </w:t>
      </w:r>
    </w:p>
    <w:p w:rsidR="0078310B" w:rsidRDefault="0078310B" w:rsidP="0078310B">
      <w:pPr>
        <w:widowControl w:val="0"/>
        <w:spacing w:after="120"/>
        <w:ind w:firstLine="288"/>
        <w:jc w:val="both"/>
      </w:pPr>
      <w:r w:rsidRPr="00AA48CA">
        <w:t xml:space="preserve">On the other hand, states did </w:t>
      </w:r>
      <w:r w:rsidRPr="00AB713F">
        <w:t xml:space="preserve">not </w:t>
      </w:r>
      <w:r w:rsidRPr="00AA48CA">
        <w:t xml:space="preserve">retreat from sales taxes in favor of income and property taxes after 1986. Indeed, </w:t>
      </w:r>
      <w:r>
        <w:t xml:space="preserve">since 1986 states have tended to </w:t>
      </w:r>
      <w:r>
        <w:rPr>
          <w:i/>
        </w:rPr>
        <w:t xml:space="preserve">decrease </w:t>
      </w:r>
      <w:r>
        <w:t xml:space="preserve">their income taxes and </w:t>
      </w:r>
      <w:r>
        <w:rPr>
          <w:i/>
        </w:rPr>
        <w:t xml:space="preserve">increase </w:t>
      </w:r>
      <w:r>
        <w:t>their consumption taxes. These moves have had</w:t>
      </w:r>
      <w:r w:rsidRPr="00AA48CA">
        <w:t xml:space="preserve"> a d</w:t>
      </w:r>
      <w:r>
        <w:t>oubly regressive effect. S</w:t>
      </w:r>
      <w:r w:rsidRPr="00AA48CA">
        <w:t xml:space="preserve">ales taxes, as consumption taxes, </w:t>
      </w:r>
      <w:r>
        <w:t xml:space="preserve">both </w:t>
      </w:r>
      <w:r w:rsidRPr="00AA48CA">
        <w:t>hit the poor and lower middle class more heavily than the relatively wealthy</w:t>
      </w:r>
      <w:r>
        <w:t xml:space="preserve"> (as described in Chapters 2 and 3) and </w:t>
      </w:r>
      <w:r w:rsidRPr="00AA48CA">
        <w:t xml:space="preserve">are also </w:t>
      </w:r>
      <w:r>
        <w:t xml:space="preserve">mostly </w:t>
      </w:r>
      <w:r w:rsidRPr="00AA48CA">
        <w:t xml:space="preserve">nondeductible for </w:t>
      </w:r>
      <w:r>
        <w:t xml:space="preserve">Federal income tax purposes. Thus, </w:t>
      </w:r>
      <w:r w:rsidRPr="00AA48CA">
        <w:t xml:space="preserve">the pain of these regressive </w:t>
      </w:r>
      <w:r>
        <w:t xml:space="preserve">state </w:t>
      </w:r>
      <w:r w:rsidRPr="00AA48CA">
        <w:t>taxes is not ameliorated</w:t>
      </w:r>
      <w:r>
        <w:t xml:space="preserve"> on the Federal income tax return</w:t>
      </w:r>
      <w:r w:rsidRPr="00AA48CA">
        <w:t xml:space="preserve">. </w:t>
      </w:r>
      <w:r>
        <w:t>At the same time, s</w:t>
      </w:r>
      <w:r w:rsidRPr="00AA48CA">
        <w:t>tat</w:t>
      </w:r>
      <w:r>
        <w:t xml:space="preserve">e income taxes, which </w:t>
      </w:r>
      <w:r w:rsidRPr="00AA48CA">
        <w:t>hit the relatively wealth</w:t>
      </w:r>
      <w:r>
        <w:t xml:space="preserve">y more heavily than do sales taxes, have not only been proportionately reduced by many states but also remain deductible for Federal income tax purposes, </w:t>
      </w:r>
      <w:r w:rsidRPr="00AA48CA">
        <w:t>reducing their pain.</w:t>
      </w:r>
      <w:r>
        <w:t xml:space="preserve"> These trends remind us that many factors—including perceptions about different kinds of taxes—affect their acceptability to state electorates. </w:t>
      </w:r>
    </w:p>
    <w:p w:rsidR="0078310B" w:rsidRDefault="0078310B" w:rsidP="0078310B">
      <w:pPr>
        <w:widowControl w:val="0"/>
        <w:spacing w:after="120"/>
        <w:ind w:firstLine="288"/>
        <w:jc w:val="both"/>
      </w:pPr>
      <w:r>
        <w:t>States that do not have state income taxes complained heavily about the 1986 amendments that rendered sales taxes nondeductible, eventually resulting in a series of temporary p</w:t>
      </w:r>
      <w:r w:rsidR="00AE6FC3">
        <w:t>rovisions that allowed</w:t>
      </w:r>
      <w:r>
        <w:t xml:space="preserve"> residents to elect to deduct </w:t>
      </w:r>
      <w:r>
        <w:rPr>
          <w:i/>
        </w:rPr>
        <w:t>either</w:t>
      </w:r>
      <w:r>
        <w:t xml:space="preserve"> income or sales taxes (but not both). Finally, the Protecting Americans from Tax Hikes Act of 201</w:t>
      </w:r>
      <w:r w:rsidR="00B75C29">
        <w:t>5 made this election permanent in § 164(b)(5).</w:t>
      </w:r>
    </w:p>
    <w:p w:rsidR="0078310B" w:rsidRDefault="0078310B" w:rsidP="0078310B">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91"/>
      </w:r>
      <w:r>
        <w:t xml:space="preserve"> F</w:t>
      </w:r>
      <w:r w:rsidRPr="00AA48CA">
        <w:t xml:space="preserve">or example, a business that pays a state sales tax on the purchase of short-lived office supplies can deduct that sales tax under this </w:t>
      </w:r>
      <w:r>
        <w:t>language.</w:t>
      </w:r>
    </w:p>
    <w:p w:rsidR="0078310B" w:rsidRDefault="0078310B" w:rsidP="0078310B">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in the </w:t>
      </w:r>
      <w:r>
        <w:t xml:space="preserve">course of </w:t>
      </w:r>
      <w:r w:rsidRPr="00AA48CA">
        <w:t>acq</w:t>
      </w:r>
      <w:r>
        <w:t>uiring or selling a long-lived asset must be</w:t>
      </w:r>
      <w:r w:rsidRPr="00AA48CA">
        <w:t xml:space="preserve"> cap</w:t>
      </w:r>
      <w:r>
        <w:t>italized</w:t>
      </w:r>
      <w:r w:rsidRPr="00AA48CA">
        <w:t xml:space="preserve">. </w:t>
      </w:r>
      <w:r>
        <w:t xml:space="preserve">The sales tax incurred by the sole proprietor </w:t>
      </w:r>
      <w:r w:rsidRPr="00AA48CA">
        <w:t>becomes part o</w:t>
      </w:r>
      <w:r>
        <w:t>f the cost basis of the delivery truck</w:t>
      </w:r>
      <w:r w:rsidRPr="00AA48CA">
        <w:t xml:space="preserve"> and </w:t>
      </w:r>
      <w:r>
        <w:t xml:space="preserve">is deducted under § 179 or as </w:t>
      </w:r>
      <w:r w:rsidRPr="00AA48CA">
        <w:t>depreciation deductions over time</w:t>
      </w:r>
      <w:r>
        <w:t xml:space="preserve"> under §§ 167 and 168, as you learned in Chapter 14</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rsidR="0078310B" w:rsidRPr="0081524A" w:rsidRDefault="0078310B" w:rsidP="0078310B">
      <w:pPr>
        <w:widowControl w:val="0"/>
        <w:ind w:firstLine="288"/>
        <w:jc w:val="both"/>
      </w:pPr>
    </w:p>
    <w:p w:rsidR="0078310B" w:rsidRPr="00CF226B" w:rsidRDefault="0078310B" w:rsidP="0078310B">
      <w:pPr>
        <w:pStyle w:val="Heading2"/>
        <w:spacing w:before="0"/>
        <w:rPr>
          <w:sz w:val="32"/>
          <w:szCs w:val="32"/>
          <w:u w:val="single"/>
        </w:rPr>
      </w:pPr>
      <w:bookmarkStart w:id="349" w:name="_Toc395790647"/>
      <w:r w:rsidRPr="00CF226B">
        <w:rPr>
          <w:sz w:val="32"/>
          <w:szCs w:val="32"/>
          <w:u w:val="single"/>
        </w:rPr>
        <w:t>F. Expenses for the determination, collection, or refund of any tax</w:t>
      </w:r>
      <w:bookmarkEnd w:id="349"/>
    </w:p>
    <w:p w:rsidR="0078310B" w:rsidRPr="0096161C" w:rsidRDefault="0078310B" w:rsidP="0078310B">
      <w:pPr>
        <w:widowControl w:val="0"/>
        <w:jc w:val="both"/>
        <w:rPr>
          <w:b/>
          <w:u w:val="single"/>
        </w:rPr>
      </w:pPr>
    </w:p>
    <w:p w:rsidR="0078310B" w:rsidRDefault="0078310B" w:rsidP="0078310B">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w:t>
      </w:r>
      <w:r w:rsidR="00D449CA">
        <w:t xml:space="preserve"> income tax</w:t>
      </w:r>
      <w:r w:rsidRPr="0096161C">
        <w:t xml:space="preserve"> are personal expenses, normally nondeductible under </w:t>
      </w:r>
      <w:hyperlink r:id="rId963"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692"/>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64"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 xml:space="preserve">The Supreme Court disagreed, and Congress reacted by enacting § 212(3), which would clearly allow a </w:t>
      </w:r>
      <w:r>
        <w:t xml:space="preserve">taxpayer in his position </w:t>
      </w:r>
      <w:r w:rsidRPr="0096161C">
        <w:t xml:space="preserve">today to deduct the costs incurred in </w:t>
      </w:r>
      <w:r w:rsidRPr="00F24912">
        <w:rPr>
          <w:iCs/>
        </w:rPr>
        <w:t>actually defending</w:t>
      </w:r>
      <w:r w:rsidRPr="00F24912">
        <w:t xml:space="preserve"> a</w:t>
      </w:r>
      <w:r>
        <w:t xml:space="preserve">gainst a gift tax or income </w:t>
      </w:r>
      <w:r w:rsidRPr="0096161C">
        <w:t>tax assessm</w:t>
      </w:r>
      <w:r>
        <w:t>ent. Read § 212(3).</w:t>
      </w:r>
    </w:p>
    <w:p w:rsidR="0078310B" w:rsidRDefault="0078310B" w:rsidP="0078310B">
      <w:pPr>
        <w:widowControl w:val="0"/>
        <w:spacing w:after="120"/>
        <w:ind w:firstLine="288"/>
        <w:jc w:val="both"/>
      </w:pPr>
      <w:r w:rsidRPr="0096161C">
        <w:t>What other kinds of expenses come within this language? The question is how broadly to construe “the determination, collection, or refund of any tax.” The legislative history shows that it would clearly cover expenses incurred in completing tax returns and dealing with actual tax controversies with the IRS. The regulations</w:t>
      </w:r>
      <w:r>
        <w:t xml:space="preserve">, however, go </w:t>
      </w:r>
      <w:r w:rsidRPr="0096161C">
        <w:t>farther</w:t>
      </w:r>
      <w:r w:rsidRPr="00AE6FC3">
        <w:t xml:space="preserve">. </w:t>
      </w:r>
      <w:hyperlink r:id="rId965" w:history="1">
        <w:r w:rsidRPr="00AE6FC3">
          <w:rPr>
            <w:rStyle w:val="Hyperlink"/>
          </w:rPr>
          <w:t>Treas. Reg. § 1.212-1</w:t>
        </w:r>
        <w:r w:rsidR="00AE6FC3" w:rsidRPr="00AE6FC3">
          <w:rPr>
            <w:rStyle w:val="Hyperlink"/>
          </w:rPr>
          <w:t>z</w:t>
        </w:r>
      </w:hyperlink>
      <w:r w:rsidRPr="0096161C">
        <w:t>(</w:t>
      </w:r>
      <w:r w:rsidRPr="0096161C">
        <w:rPr>
          <w:i/>
        </w:rPr>
        <w:t>l</w:t>
      </w:r>
      <w:r>
        <w:t>) provides</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Thus, not only expenses incurred to defend against a tax controversy (as in the case of Mr. Lykes) or to comply with the law (as in the case of paying a tax return preparer) but also amounts paid </w:t>
      </w:r>
      <w:r w:rsidRPr="0096161C">
        <w:rPr>
          <w:i/>
        </w:rPr>
        <w:t>for tax planning</w:t>
      </w:r>
      <w:r>
        <w:t xml:space="preserve"> are deductible. For example, though the costs of obtaining a divorce are nondeductible personal expenses, the costs</w:t>
      </w:r>
      <w:r w:rsidR="00AE6FC3">
        <w:t xml:space="preserve"> incurred for tax advice in negotiating </w:t>
      </w:r>
      <w:r>
        <w:t xml:space="preserve">tax-efficient arrangements for child support, alimony, and a property settlement are deductible. </w:t>
      </w:r>
    </w:p>
    <w:p w:rsidR="0078310B" w:rsidRDefault="0078310B" w:rsidP="00AE6FC3">
      <w:pPr>
        <w:widowControl w:val="0"/>
        <w:spacing w:after="120"/>
        <w:ind w:firstLine="288"/>
        <w:jc w:val="both"/>
        <w:rPr>
          <w:rFonts w:eastAsia="Times New Roman" w:cs="Times New Roman"/>
          <w:bCs/>
          <w:kern w:val="36"/>
        </w:rPr>
      </w:pPr>
      <w:r>
        <w:t>Who really benefits from § 212(3)? Capture, anyone? Capture effects may be reduced because the § 212(3) deduction is an Itemized Deduction (because not listed in § 62) and a MID (because not listed in § 67(b)). Thus, not many taxpayers may actually benefit from the § 212(3) deduction. Recall that the price mechanism can be exploited to capture tax benefits most readily when the tax benefit is widely available.</w:t>
      </w:r>
      <w:r>
        <w:rPr>
          <w:rFonts w:eastAsia="Times New Roman" w:cs="Times New Roman"/>
          <w:bCs/>
          <w:kern w:val="36"/>
        </w:rPr>
        <w:t xml:space="preserve"> </w:t>
      </w:r>
      <w:r>
        <w:rPr>
          <w:rFonts w:eastAsia="Times New Roman" w:cs="Times New Roman"/>
          <w:bCs/>
          <w:kern w:val="36"/>
        </w:rPr>
        <w:br w:type="page"/>
      </w:r>
    </w:p>
    <w:p w:rsidR="0078310B" w:rsidRDefault="0078310B" w:rsidP="0078310B">
      <w:pPr>
        <w:widowControl w:val="0"/>
        <w:spacing w:after="120"/>
        <w:ind w:firstLine="288"/>
        <w:jc w:val="both"/>
        <w:rPr>
          <w:rFonts w:eastAsia="Times New Roman" w:cs="Times New Roman"/>
          <w:bCs/>
          <w:kern w:val="36"/>
        </w:rPr>
        <w:sectPr w:rsidR="0078310B" w:rsidSect="005337BA">
          <w:headerReference w:type="even" r:id="rId966"/>
          <w:headerReference w:type="default" r:id="rId967"/>
          <w:footerReference w:type="even" r:id="rId968"/>
          <w:headerReference w:type="first" r:id="rId969"/>
          <w:footerReference w:type="first" r:id="rId970"/>
          <w:footnotePr>
            <w:numRestart w:val="eachSect"/>
          </w:footnotePr>
          <w:type w:val="continuous"/>
          <w:pgSz w:w="12240" w:h="15840" w:code="1"/>
          <w:pgMar w:top="1440" w:right="1440" w:bottom="1440" w:left="1440" w:header="1008" w:footer="720" w:gutter="0"/>
          <w:cols w:space="720"/>
          <w:titlePg/>
          <w:docGrid w:linePitch="360"/>
        </w:sectPr>
      </w:pPr>
    </w:p>
    <w:p w:rsidR="0078310B" w:rsidRPr="00E04FD7" w:rsidRDefault="0078310B" w:rsidP="0078310B">
      <w:pPr>
        <w:widowControl w:val="0"/>
        <w:rPr>
          <w:b/>
          <w:u w:val="single"/>
        </w:rPr>
      </w:pPr>
    </w:p>
    <w:p w:rsidR="0078310B" w:rsidRPr="00CF226B" w:rsidRDefault="0078310B" w:rsidP="0078310B">
      <w:pPr>
        <w:pStyle w:val="Heading2"/>
        <w:spacing w:before="0"/>
        <w:rPr>
          <w:sz w:val="36"/>
          <w:szCs w:val="36"/>
          <w:u w:val="single"/>
        </w:rPr>
      </w:pPr>
      <w:bookmarkStart w:id="350" w:name="_Toc395790648"/>
      <w:r w:rsidRPr="00CF226B">
        <w:rPr>
          <w:sz w:val="36"/>
          <w:szCs w:val="36"/>
          <w:u w:val="single"/>
        </w:rPr>
        <w:t>Chapter 19: Gambling and Hobby Losses</w:t>
      </w:r>
      <w:bookmarkEnd w:id="350"/>
    </w:p>
    <w:p w:rsidR="0078310B" w:rsidRDefault="0078310B" w:rsidP="0078310B">
      <w:pPr>
        <w:widowControl w:val="0"/>
        <w:spacing w:after="120"/>
      </w:pPr>
    </w:p>
    <w:p w:rsidR="0078310B" w:rsidRPr="003D4813" w:rsidRDefault="0078310B" w:rsidP="0078310B">
      <w:pPr>
        <w:widowControl w:val="0"/>
        <w:spacing w:after="120"/>
        <w:ind w:firstLine="288"/>
        <w:jc w:val="both"/>
      </w:pPr>
      <w:r>
        <w:t>You learned in Chapter 1 that current expenses incurred to purchase personal consumption are nondeductible under § 262(a)—even though they represent a wealth decrease—to ensure that purchased personal consumption remains in the tax bas</w:t>
      </w:r>
      <w:r w:rsidRPr="003D4813">
        <w:t>e. For the same reason, you learned in Chapters 1 and 14 that the basis created by a nond</w:t>
      </w:r>
      <w:r>
        <w:t xml:space="preserve">eductible capital expenditure </w:t>
      </w:r>
      <w:r w:rsidRPr="003D4813">
        <w:t>t</w:t>
      </w:r>
      <w:r>
        <w:t>o acquire personal-use property (whether tangible or intang</w:t>
      </w:r>
      <w:r w:rsidR="007C4ED3">
        <w:t xml:space="preserve">ible) </w:t>
      </w:r>
      <w:r w:rsidRPr="003D4813">
        <w:t>is not depreciable</w:t>
      </w:r>
      <w:r>
        <w:t xml:space="preserve"> or amortizable</w:t>
      </w:r>
      <w:r w:rsidRPr="003D4813">
        <w:t>, even if the property has an ascertainable useful life</w:t>
      </w:r>
      <w:r>
        <w:t xml:space="preserve"> and wastes away in a predictable manner</w:t>
      </w:r>
      <w:r w:rsidRPr="003D4813">
        <w:t xml:space="preserve">. </w:t>
      </w:r>
      <w:r>
        <w:t xml:space="preserve">Finally, you learned in Chapter 18 that § 165(c)(3) personal losses are not deductible except in the case of certain casualty and theft losses, subject to severe restrictions under § 165(h). </w:t>
      </w:r>
      <w:r w:rsidRPr="003D4813">
        <w:t>Thus, you cannot deduct the cost of an entertaining night out at the movies with</w:t>
      </w:r>
      <w:r>
        <w:t xml:space="preserve"> friends (a current expense), </w:t>
      </w:r>
      <w:r w:rsidRPr="003D4813">
        <w:t xml:space="preserve">depreciate the </w:t>
      </w:r>
      <w:r>
        <w:t xml:space="preserve">cost </w:t>
      </w:r>
      <w:r w:rsidRPr="003D4813">
        <w:t xml:space="preserve">basis of woodworking equipment that you use to </w:t>
      </w:r>
      <w:r>
        <w:t xml:space="preserve">create furniture only for your home (a nondeductible capital expenditure), or deduct the § 1001 loss on the sale of a personal-use car for an amount realized less than basis. </w:t>
      </w:r>
    </w:p>
    <w:p w:rsidR="0078310B" w:rsidRDefault="0078310B" w:rsidP="0078310B">
      <w:pPr>
        <w:widowControl w:val="0"/>
        <w:spacing w:after="120"/>
        <w:ind w:firstLine="288"/>
        <w:jc w:val="both"/>
      </w:pPr>
      <w:r>
        <w:t>Should</w:t>
      </w:r>
      <w:r w:rsidRPr="003D4813">
        <w:t xml:space="preserve"> entertainment and hobby costs remain entirely nondeductible, however, if they </w:t>
      </w:r>
      <w:r w:rsidRPr="003D4813">
        <w:rPr>
          <w:i/>
        </w:rPr>
        <w:t xml:space="preserve">also </w:t>
      </w:r>
      <w:r w:rsidRPr="003D4813">
        <w:t xml:space="preserve">happen to generate includable </w:t>
      </w:r>
      <w:r>
        <w:t>§ 61 Gross Income</w:t>
      </w:r>
      <w:r w:rsidRPr="003D4813">
        <w:t xml:space="preserve">, as well, unlike the above examples? Instead of going to the cinema </w:t>
      </w:r>
      <w:r>
        <w:t xml:space="preserve">for entertainment, suppose that </w:t>
      </w:r>
      <w:r w:rsidRPr="003D4813">
        <w:t>you visit a casino, instead, and win a few j</w:t>
      </w:r>
      <w:r>
        <w:t xml:space="preserve">ackpots on your placed bets. Or suppose that you sell </w:t>
      </w:r>
      <w:r w:rsidRPr="003D4813">
        <w:t xml:space="preserve">furniture that you enjoy making at local summer </w:t>
      </w:r>
      <w:r>
        <w:t>art fairs.</w:t>
      </w:r>
      <w:r w:rsidRPr="003D4813">
        <w:t xml:space="preserve"> </w:t>
      </w:r>
      <w:r>
        <w:t>Should Congress tax earnings</w:t>
      </w:r>
      <w:r w:rsidRPr="003D4813">
        <w:t xml:space="preserve"> from fun—rath</w:t>
      </w:r>
      <w:r>
        <w:t>er than from business or investment—i</w:t>
      </w:r>
      <w:r w:rsidRPr="003D4813">
        <w:t xml:space="preserve">n a </w:t>
      </w:r>
      <w:r>
        <w:rPr>
          <w:i/>
        </w:rPr>
        <w:t>gross receipts</w:t>
      </w:r>
      <w:r w:rsidRPr="005162CE">
        <w:t xml:space="preserve"> manner</w:t>
      </w:r>
      <w:r w:rsidRPr="003D4813">
        <w:t>, without any deduction allowance</w:t>
      </w:r>
      <w:r>
        <w:t>s, rather than in the usual net profit manner inherent in an SHS income tax</w:t>
      </w:r>
      <w:r w:rsidRPr="003D4813">
        <w:t xml:space="preserve">? </w:t>
      </w:r>
      <w:r>
        <w:t xml:space="preserve">After all, you also learned in Chapter 1 that a tax conforming to SHS income tax principles should not doubly tax the same dollars to the same taxpayer, which generally requires that the costs of producing </w:t>
      </w:r>
      <w:r w:rsidRPr="005962FB">
        <w:rPr>
          <w:i/>
        </w:rPr>
        <w:t>includable Gross Income</w:t>
      </w:r>
      <w: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rsidR="0078310B" w:rsidRDefault="0078310B" w:rsidP="0078310B">
      <w:pPr>
        <w:widowControl w:val="0"/>
        <w:ind w:firstLine="288"/>
        <w:jc w:val="both"/>
      </w:pPr>
      <w:r>
        <w:t xml:space="preserve">The next chapter will address allocating costs between clearly personal consumption activities and clearly profit-oriented activities. The subtly different issue addressed in this chapter is how to determine, in the first instance, whether an activity is a business or other profit-oriented activity or only a personal consumption activity. Moreover, if the activity is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 </w:t>
      </w:r>
    </w:p>
    <w:p w:rsidR="0078310B" w:rsidRDefault="0078310B" w:rsidP="0078310B">
      <w:pPr>
        <w:widowControl w:val="0"/>
        <w:ind w:firstLine="288"/>
        <w:jc w:val="both"/>
      </w:pPr>
    </w:p>
    <w:p w:rsidR="0078310B" w:rsidRPr="005C0287" w:rsidRDefault="0078310B" w:rsidP="0078310B">
      <w:pPr>
        <w:pStyle w:val="Heading2"/>
        <w:spacing w:before="0"/>
        <w:rPr>
          <w:sz w:val="32"/>
          <w:szCs w:val="32"/>
          <w:u w:val="single"/>
        </w:rPr>
      </w:pPr>
      <w:bookmarkStart w:id="351" w:name="_Toc395790649"/>
      <w:r w:rsidRPr="005C0287">
        <w:rPr>
          <w:sz w:val="32"/>
          <w:szCs w:val="32"/>
          <w:u w:val="single"/>
        </w:rPr>
        <w:t>A. Gambling losses: § 165(d)</w:t>
      </w:r>
      <w:bookmarkEnd w:id="351"/>
    </w:p>
    <w:p w:rsidR="0078310B" w:rsidRDefault="0078310B" w:rsidP="0078310B">
      <w:pPr>
        <w:widowControl w:val="0"/>
      </w:pPr>
    </w:p>
    <w:p w:rsidR="0078310B" w:rsidRDefault="0078310B" w:rsidP="0078310B">
      <w:pPr>
        <w:widowControl w:val="0"/>
        <w:spacing w:after="120"/>
        <w:ind w:firstLine="288"/>
        <w:jc w:val="both"/>
      </w:pPr>
      <w:r>
        <w:t>Connor is a lawyer who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w:t>
      </w:r>
    </w:p>
    <w:p w:rsidR="0078310B" w:rsidRDefault="0078310B" w:rsidP="0078310B">
      <w:pPr>
        <w:widowControl w:val="0"/>
        <w:spacing w:after="120"/>
        <w:ind w:firstLine="288"/>
        <w:jc w:val="both"/>
      </w:pPr>
      <w:r>
        <w:t>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w:t>
      </w:r>
      <w:r w:rsidR="00FE5819">
        <w:t>ainst his law practice earnings.</w:t>
      </w:r>
    </w:p>
    <w:p w:rsidR="0078310B" w:rsidRDefault="002B3596" w:rsidP="0078310B">
      <w:pPr>
        <w:widowControl w:val="0"/>
        <w:spacing w:after="120"/>
        <w:ind w:firstLine="288"/>
        <w:jc w:val="both"/>
      </w:pPr>
      <w:hyperlink r:id="rId971" w:history="1">
        <w:r w:rsidR="0078310B" w:rsidRPr="00FE5819">
          <w:rPr>
            <w:rStyle w:val="Hyperlink"/>
          </w:rPr>
          <w:t>Section 165</w:t>
        </w:r>
      </w:hyperlink>
      <w:r w:rsidR="0078310B">
        <w:t xml:space="preserve">(d) occupies the field with respect to gambling losses, and it instructs that “[l]osses from wagering transactions shall be allowed only to the extent of the gains from such transactions.” </w:t>
      </w:r>
    </w:p>
    <w:p w:rsidR="0078310B" w:rsidRPr="00816147" w:rsidRDefault="0078310B" w:rsidP="0078310B">
      <w:pPr>
        <w:widowControl w:val="0"/>
        <w:spacing w:after="120"/>
        <w:ind w:firstLine="288"/>
        <w:jc w:val="both"/>
      </w:pPr>
      <w:r>
        <w:t xml:space="preserve">In a superficial way, § 165(d) may appear to operate very similarly to §§ 469 and 163(d), both of which you studied in Chapter 16, but § 165(d) is a fundamentally different provision. Recall that </w:t>
      </w:r>
      <w:hyperlink r:id="rId972" w:history="1">
        <w:r w:rsidRPr="00FE5819">
          <w:rPr>
            <w:rStyle w:val="Hyperlink"/>
          </w:rPr>
          <w:t>§ 469</w:t>
        </w:r>
      </w:hyperlink>
      <w:r>
        <w:t xml:space="preserve"> allows current deduction of expenses, depreciation, and § 165(c)(1) or (2) losses incurred in passive activities </w:t>
      </w:r>
      <w:r>
        <w:rPr>
          <w:i/>
        </w:rPr>
        <w:t xml:space="preserve">only </w:t>
      </w:r>
      <w:r>
        <w:t xml:space="preserve">to the extent of aggregate passive Gross Income for the year, and </w:t>
      </w:r>
      <w:hyperlink r:id="rId973" w:history="1">
        <w:r w:rsidRPr="00FE5819">
          <w:rPr>
            <w:rStyle w:val="Hyperlink"/>
          </w:rPr>
          <w:t>§ 163</w:t>
        </w:r>
      </w:hyperlink>
      <w:r>
        <w:t xml:space="preserve">(d) permits current deduction of investment interest </w:t>
      </w:r>
      <w:r>
        <w:rPr>
          <w:i/>
        </w:rPr>
        <w:t xml:space="preserve">only </w:t>
      </w:r>
      <w:r>
        <w:t xml:space="preserve">to the extent of net investment income for the year. </w:t>
      </w:r>
      <w:r w:rsidRPr="00123B49">
        <w:t>In this manner, the excess deductions cannot be used to “shelter” unrelated income, just as Connor’s gambling net loss cannot be used to offset income from his law practice under § 165(d).</w:t>
      </w:r>
      <w:r>
        <w:t xml:space="preserve">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 business/investment deductions,</w:t>
      </w:r>
      <w:r>
        <w:rPr>
          <w:rStyle w:val="FootnoteReference"/>
        </w:rPr>
        <w:footnoteReference w:id="693"/>
      </w:r>
      <w:r>
        <w:t xml:space="preserve">—only the sheltering effect is problematic—whereas Connor’s gambling weekend activity represents personal consumption. In other words, unlike §§ 469 and 163(d), § 165(d) is no mere timing rule </w:t>
      </w:r>
      <w:r w:rsidRPr="00816147">
        <w:t>for what are truly business or inv</w:t>
      </w:r>
      <w:r>
        <w:t>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7E525C">
        <w:rPr>
          <w:i/>
        </w:rPr>
        <w:t>but</w:t>
      </w:r>
      <w:r>
        <w:rPr>
          <w:i/>
        </w:rPr>
        <w:t xml:space="preserve"> only to the extent of his gains</w:t>
      </w:r>
      <w:r>
        <w:t xml:space="preserve"> (to avoid doubly taxing him on the same dollars). The excess is pure (nondeductible) personal consumption. </w:t>
      </w:r>
    </w:p>
    <w:p w:rsidR="0078310B" w:rsidRDefault="0078310B" w:rsidP="0078310B">
      <w:pPr>
        <w:widowControl w:val="0"/>
        <w:ind w:firstLine="288"/>
        <w:jc w:val="both"/>
      </w:pPr>
      <w:r>
        <w:t>How are “losses” and “gains” measured for purposes of § 165(d), however? Does Connor realize a $90 gambling gain on Day 1 (the excess of the $100 payout over the $10 bet for that particular wager) and $10 and $20 gambling gains, respectively, for each of his two winning bets on Day 2? That is to say, do we measure gains and losses bet-by-bet, or is there another way to figure his gains and losses from wagering transactions this year?</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52" w:name="_Toc395790650"/>
      <w:r>
        <w:t>GENERIC LEGAL ADVICE MEMORANDA 2008-011</w:t>
      </w:r>
      <w:bookmarkEnd w:id="352"/>
    </w:p>
    <w:p w:rsidR="0078310B" w:rsidRPr="008636C1" w:rsidRDefault="0078310B" w:rsidP="0078310B">
      <w:pPr>
        <w:widowControl w:val="0"/>
        <w:jc w:val="center"/>
      </w:pPr>
      <w:r w:rsidRPr="008636C1">
        <w:t>www.irs.gov/pub/irs-utl/am2008011.pdf</w:t>
      </w:r>
    </w:p>
    <w:p w:rsidR="0078310B" w:rsidRDefault="0078310B" w:rsidP="0078310B">
      <w:pPr>
        <w:widowControl w:val="0"/>
      </w:pPr>
    </w:p>
    <w:p w:rsidR="0078310B" w:rsidRDefault="0078310B" w:rsidP="0078310B">
      <w:pPr>
        <w:widowControl w:val="0"/>
        <w:spacing w:after="120"/>
        <w:ind w:firstLine="288"/>
        <w:jc w:val="both"/>
      </w:pPr>
      <w:r>
        <w:t>This Chief Counsel Advice responds to your request for assistance about a recurring issue in litigation. This advice may not be used or cited as precedent.</w:t>
      </w:r>
    </w:p>
    <w:p w:rsidR="0078310B" w:rsidRDefault="0078310B" w:rsidP="0078310B">
      <w:pPr>
        <w:widowControl w:val="0"/>
        <w:spacing w:after="120"/>
        <w:jc w:val="both"/>
      </w:pPr>
      <w:r>
        <w:t>ISSUE</w:t>
      </w:r>
    </w:p>
    <w:p w:rsidR="0078310B" w:rsidRDefault="0078310B" w:rsidP="0078310B">
      <w:pPr>
        <w:widowControl w:val="0"/>
        <w:spacing w:after="120"/>
        <w:ind w:firstLine="288"/>
        <w:jc w:val="both"/>
      </w:pPr>
      <w:r>
        <w:t>How does a casual gambler determine wagering gains and losses from slot machine play?</w:t>
      </w:r>
    </w:p>
    <w:p w:rsidR="0078310B" w:rsidRDefault="0078310B" w:rsidP="0078310B">
      <w:pPr>
        <w:widowControl w:val="0"/>
        <w:spacing w:after="120"/>
        <w:jc w:val="both"/>
      </w:pPr>
      <w:r>
        <w:t>FACTS</w:t>
      </w:r>
    </w:p>
    <w:p w:rsidR="0078310B" w:rsidRDefault="0078310B" w:rsidP="0078310B">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rsidR="0078310B" w:rsidRDefault="0078310B" w:rsidP="0078310B">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rsidR="0078310B" w:rsidRDefault="0078310B" w:rsidP="0078310B">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rsidR="0078310B" w:rsidRDefault="0078310B" w:rsidP="0078310B">
      <w:pPr>
        <w:widowControl w:val="0"/>
        <w:spacing w:after="120"/>
        <w:jc w:val="both"/>
      </w:pPr>
      <w:r>
        <w:t>ANALYSIS</w:t>
      </w:r>
    </w:p>
    <w:p w:rsidR="0078310B" w:rsidRDefault="0078310B" w:rsidP="0078310B">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rsidR="0078310B" w:rsidRDefault="0078310B" w:rsidP="0078310B">
      <w:pPr>
        <w:widowControl w:val="0"/>
        <w:spacing w:after="120"/>
        <w:ind w:firstLine="288"/>
        <w:jc w:val="both"/>
      </w:pPr>
      <w:r w:rsidRPr="00FE77EA">
        <w:t>Section 165 (a)</w:t>
      </w:r>
      <w:r>
        <w:t xml:space="preserve"> allows a deduction for any loss sustained during the taxable year and not compensated for by insurance or otherwise.</w:t>
      </w:r>
    </w:p>
    <w:p w:rsidR="0078310B" w:rsidRDefault="0078310B" w:rsidP="0078310B">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rsidR="0078310B" w:rsidRDefault="0078310B" w:rsidP="0078310B">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rsidR="0078310B" w:rsidRDefault="0078310B" w:rsidP="0078310B">
      <w:pPr>
        <w:widowControl w:val="0"/>
        <w:spacing w:after="120"/>
        <w:ind w:firstLine="288"/>
        <w:jc w:val="both"/>
        <w:rPr>
          <w:i/>
        </w:rPr>
      </w:pPr>
      <w:r w:rsidRPr="007406C7">
        <w:rPr>
          <w:i/>
        </w:rPr>
        <w:t>Wagering Gains and Wagering Losses</w:t>
      </w:r>
    </w:p>
    <w:p w:rsidR="0078310B" w:rsidRDefault="0078310B" w:rsidP="0078310B">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rsidR="0078310B" w:rsidRDefault="0078310B" w:rsidP="0078310B">
      <w:pPr>
        <w:widowControl w:val="0"/>
        <w:spacing w:after="120"/>
        <w:ind w:firstLine="288"/>
        <w:jc w:val="both"/>
      </w:pPr>
      <w:r>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94"/>
        <w:t>[1]</w:t>
      </w:r>
      <w:r>
        <w:t xml:space="preserve"> </w:t>
      </w:r>
    </w:p>
    <w:p w:rsidR="0078310B" w:rsidRDefault="0078310B" w:rsidP="0078310B">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rsidR="0078310B" w:rsidRDefault="0078310B" w:rsidP="0078310B">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695"/>
        <w:t>[2]</w:t>
      </w:r>
      <w:r>
        <w:t xml:space="preserve"> </w:t>
      </w:r>
    </w:p>
    <w:p w:rsidR="0078310B" w:rsidRDefault="0078310B" w:rsidP="0078310B">
      <w:pPr>
        <w:widowControl w:val="0"/>
        <w:spacing w:after="120"/>
        <w:ind w:firstLine="288"/>
        <w:jc w:val="both"/>
      </w:pPr>
      <w:r w:rsidRPr="001E58BB">
        <w:rPr>
          <w:i/>
        </w:rPr>
        <w:t>Calculating the Taxpayer’s Gains and Losses</w:t>
      </w:r>
      <w:r>
        <w:t xml:space="preserve"> </w:t>
      </w:r>
    </w:p>
    <w:p w:rsidR="0078310B" w:rsidRDefault="0078310B" w:rsidP="0078310B">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rsidR="0078310B" w:rsidRDefault="0078310B" w:rsidP="0078310B">
      <w:pPr>
        <w:widowControl w:val="0"/>
        <w:spacing w:after="120"/>
        <w:ind w:firstLine="288"/>
        <w:jc w:val="both"/>
      </w:pPr>
      <w:r>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rsidR="0078310B" w:rsidRDefault="0078310B" w:rsidP="0078310B">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rsidR="0078310B" w:rsidRDefault="0078310B" w:rsidP="0078310B">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rsidR="0078310B" w:rsidRDefault="0078310B" w:rsidP="0078310B">
      <w:pPr>
        <w:widowControl w:val="0"/>
        <w:jc w:val="center"/>
      </w:pPr>
      <w:r>
        <w:t>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As indicated in the GLAM, the § 165(d) deduction is an Itemized Deduction for casual gamblers like Connor, but it is not a § 67 MID subject to the 2% floor (because listed in </w:t>
      </w:r>
      <w:hyperlink r:id="rId974" w:history="1">
        <w:r w:rsidRPr="00FE5819">
          <w:rPr>
            <w:rStyle w:val="Hyperlink"/>
          </w:rPr>
          <w:t>§ 67</w:t>
        </w:r>
      </w:hyperlink>
      <w:r>
        <w:t>(b)(3)).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Pr>
          <w:i/>
        </w:rPr>
        <w:t>i.e.</w:t>
      </w:r>
      <w: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75" w:history="1">
        <w:r w:rsidRPr="00FE5819">
          <w:rPr>
            <w:rStyle w:val="Hyperlink"/>
          </w:rPr>
          <w:t>§ 62</w:t>
        </w:r>
      </w:hyperlink>
      <w:r>
        <w:t>(a)(1), rather than as an Itemized Deduction, ensuring that the every dollar of allowable § 165(d) deduction actually reduces the tax base.</w:t>
      </w:r>
      <w:r>
        <w:rPr>
          <w:rStyle w:val="FootnoteReference"/>
        </w:rPr>
        <w:footnoteReference w:id="696"/>
      </w:r>
      <w:r>
        <w:t xml:space="preserve"> As you learned in Chapter 1, Part B., an Itemized Deduction, in contrast, is taken below the line and cannot be deducted by those who take the Standard Deduction, instead. Thus, the § 165(d) deduction for the casual gambler reduces the tax base only to the ex</w:t>
      </w:r>
      <w:r w:rsidR="00FE5819">
        <w:t>t</w:t>
      </w:r>
      <w:r>
        <w:t>ent it, along with other Itemized Deductions, exceed the Standard Deduction.</w:t>
      </w:r>
    </w:p>
    <w:p w:rsidR="0078310B" w:rsidRDefault="0078310B" w:rsidP="0078310B">
      <w:pPr>
        <w:widowControl w:val="0"/>
        <w:spacing w:after="120"/>
        <w:ind w:firstLine="288"/>
        <w:jc w:val="both"/>
      </w:pPr>
      <w:r>
        <w:t xml:space="preserve">What about the travel and other associated costs incurred by the professional gambler? By its terms, § 165(d) applies only to wagering “loss.” You learned in Chapter 1 that “loss” is a term of art in tax that refers to unrecovered </w:t>
      </w:r>
      <w:r w:rsidRPr="007F111A">
        <w:rPr>
          <w:i/>
        </w:rPr>
        <w:t>basis</w:t>
      </w:r>
      <w:r>
        <w:t xml:space="preserve">—in this context, created by the bets placed. Nevertheless, a few Code sections define “loss” in a special way </w:t>
      </w:r>
      <w:r w:rsidRPr="000F6C25">
        <w:rPr>
          <w:i/>
        </w:rPr>
        <w:t>for purposes of that particular Code section</w:t>
      </w:r>
      <w:r>
        <w:rPr>
          <w:i/>
        </w:rPr>
        <w:t xml:space="preserve"> only</w:t>
      </w:r>
      <w:r>
        <w:t xml:space="preserve">, which can sometimes be confusing for students. For example, you have learned that § 469 specially defines a passive activity “loss” as the excess of passive deductions over passive Gross Income. In Chapter 21, you will learn that a net operating “loss” is generally defined in §§ 172(c) and (d) as the excess of currently allowable business and investment deductions over business and investment Gross Income. But § 165(d) does not contain any special definition of “loss” unique to wagering transactions, which means that there is a strong argument that § 165(d) should apply only to the </w:t>
      </w:r>
      <w:r w:rsidRPr="00F46FEC">
        <w:rPr>
          <w:i/>
        </w:rPr>
        <w:t>basis</w:t>
      </w:r>
      <w:r>
        <w:t xml:space="preserve"> created by placing wagers, not the associated </w:t>
      </w:r>
      <w:hyperlink r:id="rId976" w:history="1">
        <w:r w:rsidRPr="00FE5819">
          <w:rPr>
            <w:rStyle w:val="Hyperlink"/>
          </w:rPr>
          <w:t>§ 162</w:t>
        </w:r>
      </w:hyperlink>
      <w:r>
        <w:t xml:space="preserve"> business “expenses” incurred by a professional gambler. This interpretation is even stronger because the provision resides in § 165, which otherwise uses “loss” in its general tax-term-of-art sense of unrecovered basis.</w:t>
      </w:r>
    </w:p>
    <w:p w:rsidR="0078310B" w:rsidRDefault="0078310B" w:rsidP="0078310B">
      <w:pPr>
        <w:widowControl w:val="0"/>
        <w:ind w:firstLine="288"/>
        <w:jc w:val="both"/>
      </w:pPr>
      <w:r>
        <w:t>Nevertheless, until recently the Tax Court (and at least one Circuit Court of Appeals) had held that the associated costs incurred by the professional gambler are also limited to wagering gains under § 165(d).</w:t>
      </w:r>
      <w:r>
        <w:rPr>
          <w:rStyle w:val="FootnoteReference"/>
        </w:rPr>
        <w:footnoteReference w:id="697"/>
      </w:r>
      <w:r>
        <w:t xml:space="preserve"> The Tax Court has now abandoned this position in </w:t>
      </w:r>
      <w:r>
        <w:rPr>
          <w:i/>
        </w:rPr>
        <w:t>Mayo v. Commissioner</w:t>
      </w:r>
      <w:r>
        <w:t>,</w:t>
      </w:r>
      <w:r>
        <w:rPr>
          <w:rStyle w:val="FootnoteReference"/>
        </w:rPr>
        <w:footnoteReference w:id="698"/>
      </w:r>
      <w:r>
        <w:t xml:space="preserve"> however, and the government has acquiesced in this decision.</w:t>
      </w:r>
      <w:r>
        <w:rPr>
          <w:rStyle w:val="FootnoteReference"/>
        </w:rPr>
        <w:footnoteReference w:id="699"/>
      </w:r>
      <w:r>
        <w:t xml:space="preserve"> Thus, otherwise allowable § 162 business expenses of the professional gambler (such as travel costs) are not limited by § 165(d).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53" w:name="_Toc395790651"/>
      <w:r w:rsidRPr="004B5DFC">
        <w:rPr>
          <w:u w:val="single"/>
        </w:rPr>
        <w:t>Problem</w:t>
      </w:r>
      <w:bookmarkEnd w:id="353"/>
    </w:p>
    <w:p w:rsidR="0078310B" w:rsidRPr="005C0287" w:rsidRDefault="0078310B" w:rsidP="0078310B">
      <w:pPr>
        <w:pStyle w:val="Heading3"/>
        <w:spacing w:before="0" w:beforeAutospacing="0" w:after="0" w:afterAutospacing="0"/>
        <w:jc w:val="center"/>
        <w:rPr>
          <w:b w:val="0"/>
        </w:rPr>
      </w:pPr>
    </w:p>
    <w:p w:rsidR="0078310B" w:rsidRPr="004B7372" w:rsidRDefault="0078310B" w:rsidP="0078310B">
      <w:pPr>
        <w:widowControl w:val="0"/>
        <w:ind w:firstLine="288"/>
        <w:jc w:val="both"/>
      </w:pPr>
      <w:r>
        <w:t>Describe Connor’s tax consequences from his gambling weekend in Las Vegas using the numbers described at the beginning of this Part A. How much must Connor include in his § 61 Gross Income? How much can he deduct under § 165(d)? What if he takes the Standard Deduction?</w:t>
      </w:r>
    </w:p>
    <w:p w:rsidR="0078310B" w:rsidRDefault="0078310B" w:rsidP="0078310B">
      <w:pPr>
        <w:widowControl w:val="0"/>
      </w:pPr>
    </w:p>
    <w:p w:rsidR="0078310B" w:rsidRPr="005C0287" w:rsidRDefault="0078310B" w:rsidP="0078310B">
      <w:pPr>
        <w:pStyle w:val="Heading2"/>
        <w:spacing w:before="0"/>
        <w:rPr>
          <w:sz w:val="32"/>
          <w:szCs w:val="32"/>
          <w:u w:val="single"/>
        </w:rPr>
      </w:pPr>
      <w:bookmarkStart w:id="354" w:name="_Toc395790652"/>
      <w:r w:rsidRPr="005C0287">
        <w:rPr>
          <w:sz w:val="32"/>
          <w:szCs w:val="32"/>
          <w:u w:val="single"/>
        </w:rPr>
        <w:t>B. Hobby losses: § 183</w:t>
      </w:r>
      <w:bookmarkEnd w:id="354"/>
    </w:p>
    <w:p w:rsidR="0078310B" w:rsidRDefault="0078310B" w:rsidP="0078310B">
      <w:pPr>
        <w:widowControl w:val="0"/>
      </w:pPr>
    </w:p>
    <w:p w:rsidR="0078310B" w:rsidRDefault="0078310B" w:rsidP="0078310B">
      <w:pPr>
        <w:widowControl w:val="0"/>
        <w:spacing w:after="120"/>
        <w:ind w:firstLine="288"/>
        <w:jc w:val="both"/>
      </w:pPr>
      <w:r>
        <w:t xml:space="preserve">Our lawyer Connor earns $100,000 each year from his full-time law practice. He also enjoys woodworking in his spare time; his specialties are coffee tables and bookcases. His basement is filled with lathes, band saws, and other expensive woodworking equipment (that 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rsidR="0078310B" w:rsidRDefault="0078310B" w:rsidP="0078310B">
      <w:pPr>
        <w:widowControl w:val="0"/>
        <w:spacing w:after="120"/>
        <w:ind w:firstLine="288"/>
        <w:jc w:val="both"/>
      </w:pPr>
      <w:r>
        <w:t xml:space="preserve">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rsidR="0078310B" w:rsidRDefault="0078310B" w:rsidP="0078310B">
      <w:pPr>
        <w:widowControl w:val="0"/>
        <w:spacing w:after="120"/>
        <w:ind w:firstLine="288"/>
        <w:jc w:val="both"/>
      </w:pPr>
      <w:r>
        <w:t xml:space="preserve"> Prior to 1969, the only authority for a taxpayer like Connor to take </w:t>
      </w:r>
      <w:r w:rsidRPr="00263D28">
        <w:rPr>
          <w:i/>
        </w:rPr>
        <w:t>any</w:t>
      </w:r>
      <w: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700"/>
      </w:r>
      <w:r>
        <w:t xml:space="preserve"> Under this “primary purpose” test, taxpayers like Connor were permitted to deduct 100% of their costs (under the business and investment Code sections) or nothing (as personal consumption costs). In other words, Connor would have been denied all deductions prior to 1969 if he engages in his woodworking activity primarily as a hobby rather than in an attempt to earn a profit. </w:t>
      </w:r>
    </w:p>
    <w:p w:rsidR="0078310B" w:rsidRPr="0041231F" w:rsidRDefault="0078310B" w:rsidP="0078310B">
      <w:pPr>
        <w:widowControl w:val="0"/>
        <w:spacing w:after="120"/>
        <w:ind w:firstLine="288"/>
        <w:jc w:val="both"/>
      </w:pPr>
      <w:r>
        <w:t>One of the chief reas</w:t>
      </w:r>
      <w:r w:rsidRPr="00426338">
        <w:t>ons that Congress enacted §</w:t>
      </w:r>
      <w:r>
        <w:t xml:space="preserve"> 183 in 1969—which fully replaces the old “primary purpose” test—</w:t>
      </w:r>
      <w:r w:rsidRPr="00426338">
        <w:t xml:space="preserve">was to create a deduction (in § 183(b)(2)) that did not previously exist for taxpayers like Connor. As described below, </w:t>
      </w:r>
      <w:hyperlink r:id="rId977" w:history="1">
        <w:r w:rsidRPr="008314EC">
          <w:rPr>
            <w:rStyle w:val="Hyperlink"/>
          </w:rPr>
          <w:t>§ 183</w:t>
        </w:r>
      </w:hyperlink>
      <w:r w:rsidRPr="00426338">
        <w:t xml:space="preserve">(b)(2) </w:t>
      </w:r>
      <w:r>
        <w:t xml:space="preserve">essentially provides authority for a taxpayer who lacks a profit motive </w:t>
      </w:r>
      <w:r w:rsidRPr="00426338">
        <w:t xml:space="preserve">to </w:t>
      </w:r>
      <w:r>
        <w:t xml:space="preserve">nevertheless </w:t>
      </w:r>
      <w:r w:rsidRPr="00426338">
        <w:t>deduct</w:t>
      </w:r>
      <w:r>
        <w:t xml:space="preserve"> the</w:t>
      </w:r>
      <w:r w:rsidRPr="00426338">
        <w:t xml:space="preserve"> depreciation and expenses incur</w:t>
      </w:r>
      <w:r w:rsidR="008314EC">
        <w:t xml:space="preserve">red in the activity but </w:t>
      </w:r>
      <w:r w:rsidR="008314EC">
        <w:rPr>
          <w:i/>
        </w:rPr>
        <w:t xml:space="preserve">only </w:t>
      </w:r>
      <w:r w:rsidR="008314EC">
        <w:t>to the extent of the</w:t>
      </w:r>
      <w:r>
        <w:t xml:space="preserve"> Gross Income earned in </w:t>
      </w:r>
      <w:r w:rsidRPr="00426338">
        <w:t>the activity, with no carryover of excess deductions</w:t>
      </w:r>
      <w:r>
        <w:t xml:space="preserve"> to future years</w:t>
      </w:r>
      <w:r w:rsidRPr="00426338">
        <w:t>. In other words, §§ 183 and 165(d) operate very muc</w:t>
      </w:r>
      <w:r>
        <w:t>h alike. Congress need not go fu</w:t>
      </w:r>
      <w:r w:rsidRPr="00426338">
        <w:t>rther</w:t>
      </w:r>
      <w:r>
        <w:t xml:space="preserve">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thus should not offset earnings from his law practice. </w:t>
      </w:r>
    </w:p>
    <w:p w:rsidR="0078310B" w:rsidRDefault="0078310B" w:rsidP="0078310B">
      <w:pPr>
        <w:widowControl w:val="0"/>
        <w:spacing w:after="120"/>
        <w:ind w:firstLine="288"/>
        <w:jc w:val="both"/>
      </w:pPr>
      <w: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Pr>
          <w:i/>
        </w:rPr>
        <w:t>etc.</w:t>
      </w:r>
      <w:r>
        <w:t xml:space="preserve"> To be specific, by providing that “no deduction … shall be allowed </w:t>
      </w:r>
      <w:r w:rsidRPr="008E2D2E">
        <w:rPr>
          <w:i/>
        </w:rPr>
        <w:t>under this chapter</w:t>
      </w:r>
      <w:r>
        <w:t xml:space="preserve"> except as provided in this section” with respect to any activity that is “not engaged in for profit,” § 183(a) implicitly requires that a taxpayer invoking deduction authority under, say, §§ 162 or 212 must establish a profit motive. Nevertheless, the only taxpayers who actually need to worry about establishing a profit motive in order to take deductions directly under the business and investment provisions are those whose activity is operating at a loss in the sense that deductions generated by the activity (if they were allowed without limit) exceed the Gross Income generated by the activity for the year. Connor’s woodworking activity, for example, generates more depreciation and expense deductions ($1,000) than Gross Income ($400 of § 1001 gain) for the year. If Connor wishes to fully deduct the $1,000 in aggregate depreciation and expenses directly under §§ </w:t>
      </w:r>
      <w:r w:rsidR="008314EC">
        <w:t xml:space="preserve">179, </w:t>
      </w:r>
      <w:r>
        <w:t>167, 168, 162 or 212, and 163, he must establish a profit motive. Absent a profit motive, Connor is limited to the deduction authorized in § 183(b). Notice that § 183(b) contains those magic words “there shall be allowed a deduction ….”</w:t>
      </w:r>
    </w:p>
    <w:p w:rsidR="0078310B" w:rsidRDefault="00BB046A" w:rsidP="0078310B">
      <w:pPr>
        <w:widowControl w:val="0"/>
        <w:spacing w:after="120"/>
        <w:ind w:firstLine="288"/>
        <w:jc w:val="both"/>
      </w:pPr>
      <w:r>
        <w:t>Applied</w:t>
      </w:r>
      <w:r w:rsidR="0078310B">
        <w:t xml:space="preserve"> literally, § 183(a) denies even the personal consumption deductions that (by their nature) do not require a profit motive in the first place, such as the deduction for qualified residence interest and the deduction for personal casualty losses. Thus, </w:t>
      </w:r>
      <w:hyperlink r:id="rId978" w:history="1">
        <w:r w:rsidR="0078310B" w:rsidRPr="00BB046A">
          <w:rPr>
            <w:rStyle w:val="Hyperlink"/>
          </w:rPr>
          <w:t>§ 183</w:t>
        </w:r>
      </w:hyperlink>
      <w:r w:rsidR="0078310B">
        <w:t>(b)(1) first revives these sorts of deductions without limit. For example, assume that one of Connor’s expensive woodworking machines is stolen by a thief who breaks into his home while he is away for that weekend in Las Vegas and that Connor’s properly computed personal casualty loss deduction under §§ 165(c)(3) and (</w:t>
      </w:r>
      <w:r>
        <w:t>h) (studied in C</w:t>
      </w:r>
      <w:r w:rsidR="0078310B">
        <w:t>hapter</w:t>
      </w:r>
      <w:r>
        <w:t xml:space="preserve"> 18</w:t>
      </w:r>
      <w:r w:rsidR="0078310B">
        <w:t xml:space="preserve">) is $500. Under § 183(b)(1), Connor is permitted to fully deduct this $500 personal casualty loss, regardless of his lack of profit motive and regardless of the Gross Income earned in his woodworking activity. </w:t>
      </w:r>
    </w:p>
    <w:p w:rsidR="0078310B" w:rsidRPr="00B16EB1" w:rsidRDefault="0078310B" w:rsidP="0078310B">
      <w:pPr>
        <w:widowControl w:val="0"/>
        <w:spacing w:after="120"/>
        <w:ind w:firstLine="288"/>
        <w:jc w:val="both"/>
      </w:pPr>
      <w:r>
        <w:t xml:space="preserve">Section 183(b)(2) then allows Connor to deduct so much of his $1,000 of depreciation and expenses as does not exceed his Gross Income from the activity ($400) </w:t>
      </w:r>
      <w:r>
        <w:rPr>
          <w:i/>
        </w:rPr>
        <w:t>less</w:t>
      </w:r>
      <w: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35012B">
        <w:rPr>
          <w:i/>
        </w:rPr>
        <w:t>first</w:t>
      </w:r>
      <w:r>
        <w:t>. Only if woodworking Gross Income remains after accounting for the § 183(b)(1) amount can he deduct his depreciation and expenses under § 183(b)(2). If Connor had not suffered the theft, which means that he incurred no deductions described in § 183(b)(1) (the more usual case), he would be permitted to deduct $400 of his $1,000 in total depreciation and expenses under § 183(b)(2)—just enough to offset his woodworking Gross Income.</w:t>
      </w:r>
      <w:r>
        <w:rPr>
          <w:rStyle w:val="FootnoteReference"/>
        </w:rPr>
        <w:footnoteReference w:id="701"/>
      </w:r>
      <w:r>
        <w:t xml:space="preserve"> How do we know the extent to which the $400 of allowable deductions comes from the depreciation (which reduces the woodworking equipment’s basis) and how much comes from the expense deductions (which do not affect basis)? Connor may need to know that information if he later sells a piece of equipment. </w:t>
      </w:r>
      <w:hyperlink r:id="rId979" w:history="1">
        <w:r w:rsidRPr="00BB046A">
          <w:rPr>
            <w:rStyle w:val="Hyperlink"/>
          </w:rPr>
          <w:t>Treas. Reg. § 1.183-1</w:t>
        </w:r>
      </w:hyperlink>
      <w:r>
        <w:t xml:space="preserve">(b)(1) provides that deductions that affect property basis come </w:t>
      </w:r>
      <w:r>
        <w:rPr>
          <w:i/>
        </w:rPr>
        <w:t>last</w:t>
      </w:r>
      <w:r>
        <w:t xml:space="preserve">, which means that the $400 first consists of expense deductions (to the extent thereof) and only then depreciation. </w:t>
      </w:r>
    </w:p>
    <w:p w:rsidR="0078310B" w:rsidRPr="0035012B" w:rsidRDefault="0078310B" w:rsidP="0078310B">
      <w:pPr>
        <w:widowControl w:val="0"/>
        <w:spacing w:after="120"/>
        <w:ind w:firstLine="288"/>
        <w:jc w:val="both"/>
      </w:pPr>
      <w:r>
        <w:t xml:space="preserve">In short, Connor cannot use the excess $600 of deductions (the net loss) arising in his woodworking activity to offset any earnings from his law practice </w:t>
      </w:r>
      <w:r w:rsidRPr="003B42C9">
        <w:rPr>
          <w:i/>
        </w:rPr>
        <w:t>unless</w:t>
      </w:r>
      <w:r>
        <w:t xml:space="preserve"> he can establish a profit motive with respect to his woodworking activity. If Connor can establish a profit motive, his deductions are not taken under § 183(b)</w:t>
      </w:r>
      <w:r w:rsidR="00BB046A">
        <w:t xml:space="preserve"> but</w:t>
      </w:r>
      <w:r>
        <w:t xml:space="preserve"> rather are taken directly under §§ </w:t>
      </w:r>
      <w:r w:rsidR="00BB046A">
        <w:t xml:space="preserve">179, </w:t>
      </w:r>
      <w:r>
        <w:t>167, 168, 162 or 212, and 163, under which he would be permitted to fully deduct the entire $1,000 without limit,</w:t>
      </w:r>
      <w:r>
        <w:rPr>
          <w:rStyle w:val="FootnoteReference"/>
        </w:rPr>
        <w:footnoteReference w:id="702"/>
      </w:r>
      <w:r>
        <w:t xml:space="preserve"> $600 of which would necessarily offset income from his law practice.</w:t>
      </w:r>
      <w:r>
        <w:rPr>
          <w:rStyle w:val="FootnoteReference"/>
        </w:rPr>
        <w:footnoteReference w:id="703"/>
      </w:r>
      <w:r>
        <w:t xml:space="preserve"> If he cannot establish a profit motive for his woodworking activity, his only deduction is provided by § 183(b); the sheltering effect is disallowed. How can Connor establish a profit motive?</w:t>
      </w:r>
    </w:p>
    <w:p w:rsidR="0078310B" w:rsidRPr="004B5DFC" w:rsidRDefault="0078310B" w:rsidP="0078310B">
      <w:pPr>
        <w:pStyle w:val="Heading3"/>
        <w:spacing w:before="0" w:beforeAutospacing="0" w:after="120" w:afterAutospacing="0"/>
        <w:rPr>
          <w:i/>
        </w:rPr>
      </w:pPr>
      <w:bookmarkStart w:id="355" w:name="_Toc395790653"/>
      <w:r w:rsidRPr="004B5DFC">
        <w:rPr>
          <w:i/>
        </w:rPr>
        <w:t>Establishing a profit motive</w:t>
      </w:r>
      <w:bookmarkEnd w:id="355"/>
    </w:p>
    <w:p w:rsidR="0078310B" w:rsidRDefault="0078310B" w:rsidP="0078310B">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rsidR="0078310B" w:rsidRDefault="002B3596" w:rsidP="0078310B">
      <w:pPr>
        <w:widowControl w:val="0"/>
        <w:spacing w:after="120"/>
        <w:ind w:firstLine="288"/>
        <w:jc w:val="both"/>
      </w:pPr>
      <w:hyperlink r:id="rId980" w:history="1">
        <w:r w:rsidR="0078310B" w:rsidRPr="00BB046A">
          <w:rPr>
            <w:rStyle w:val="Hyperlink"/>
          </w:rPr>
          <w:t>Treas. Reg. § 1.183-2</w:t>
        </w:r>
      </w:hyperlink>
      <w:r w:rsidR="0078310B">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w:t>
      </w:r>
    </w:p>
    <w:p w:rsidR="0078310B" w:rsidRDefault="0078310B" w:rsidP="0078310B">
      <w:pPr>
        <w:widowControl w:val="0"/>
        <w:spacing w:after="120"/>
        <w:ind w:firstLine="288"/>
        <w:jc w:val="both"/>
      </w:pPr>
      <w:r>
        <w:t xml:space="preserve">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rsidR="0078310B" w:rsidRDefault="0078310B" w:rsidP="0078310B">
      <w:pPr>
        <w:widowControl w:val="0"/>
        <w:spacing w:after="120"/>
        <w:ind w:firstLine="288"/>
        <w:jc w:val="both"/>
      </w:pPr>
      <w:r>
        <w:t>Notice that each of the first three examples, which conclude that the taxpayer may not be engaging in the activity with a pr</w:t>
      </w:r>
      <w:r w:rsidRPr="008A07B5">
        <w:t xml:space="preserve">ofit motive, stresses that the taxpayer enjoys substantial outside income (which would be sheltered by the activity </w:t>
      </w:r>
      <w:r>
        <w:t xml:space="preserve">operating </w:t>
      </w:r>
      <w:r w:rsidRPr="008A07B5">
        <w:t xml:space="preserve">losses if not limited under § 183(b)). </w:t>
      </w:r>
      <w:r w:rsidR="00BB046A">
        <w:t>It is in this context that fact</w:t>
      </w:r>
      <w:r w:rsidRPr="008A07B5">
        <w:t xml:space="preserve">finders most commonly surmise that the taxpayer is engaging in the loss activity for enjoyment, recreation, or other reasons because </w:t>
      </w:r>
      <w:r>
        <w:t xml:space="preserve">(1) </w:t>
      </w:r>
      <w:r w:rsidRPr="008A07B5">
        <w:t>he does not need the a</w:t>
      </w:r>
      <w:r>
        <w:t xml:space="preserve">ctivity to provide a </w:t>
      </w:r>
      <w:r w:rsidRPr="008A07B5">
        <w:t>livelihood</w:t>
      </w:r>
      <w:r>
        <w:t xml:space="preserve"> and (2) the outside income can be sheltered by the activity losses if allowed</w:t>
      </w:r>
      <w:r w:rsidRPr="008A07B5">
        <w:t xml:space="preserve">. </w:t>
      </w:r>
      <w:r>
        <w:t>T</w:t>
      </w:r>
      <w:r w:rsidRPr="008A07B5">
        <w:t>he comb</w:t>
      </w:r>
      <w:r>
        <w:t>ination of pleasure plus wealth appears to be particularly difficult to overcome</w:t>
      </w:r>
      <w:r w:rsidRPr="008A07B5">
        <w:t xml:space="preserve">. </w:t>
      </w:r>
      <w:r>
        <w:t xml:space="preserve">In </w:t>
      </w:r>
      <w:r w:rsidRPr="008A07B5">
        <w:rPr>
          <w:i/>
        </w:rPr>
        <w:t>Bessenyey v. Commissioner</w:t>
      </w:r>
      <w:r w:rsidRPr="008A07B5">
        <w:t>,</w:t>
      </w:r>
      <w:r>
        <w:rPr>
          <w:rStyle w:val="FootnoteReference"/>
        </w:rPr>
        <w:footnoteReference w:id="704"/>
      </w:r>
      <w:r w:rsidRPr="008A07B5">
        <w:t xml:space="preserve"> </w:t>
      </w:r>
      <w:r>
        <w:t xml:space="preserve">a pre-§ 183 case decided under the “primary purpose” test, a </w:t>
      </w:r>
      <w:r w:rsidRPr="008A07B5">
        <w:t>rich Hungarian hei</w:t>
      </w:r>
      <w:r>
        <w:t xml:space="preserve">ress </w:t>
      </w:r>
      <w:r w:rsidRPr="008A07B5">
        <w:t>wished to replenish in America a rare horse breed she knew from her childhood in Hungary</w:t>
      </w:r>
      <w:r>
        <w:t>. She incurred heavy operating losses in the activity, the Tax Court determined that she lacked a profit motive, and the Second Circuit Court of Ap</w:t>
      </w:r>
      <w:r w:rsidRPr="00FE1EF0">
        <w:t xml:space="preserve">peals affirmed. </w:t>
      </w:r>
      <w:r>
        <w:t xml:space="preserve">It is </w:t>
      </w:r>
      <w:r w:rsidRPr="00FE1EF0">
        <w:t xml:space="preserve">better </w:t>
      </w:r>
      <w:r>
        <w:t xml:space="preserve">to be rather middle class if the taxpayer enjoys the activity. For example, the taxpayer in </w:t>
      </w:r>
      <w:r>
        <w:rPr>
          <w:i/>
        </w:rPr>
        <w:t>Churchman v. Commissioner</w:t>
      </w:r>
      <w:r w:rsidRPr="00A228CD">
        <w:rPr>
          <w:rStyle w:val="FootnoteReference"/>
        </w:rPr>
        <w:footnoteReference w:id="705"/>
      </w:r>
      <w:r>
        <w:t xml:space="preserve"> 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w:t>
      </w:r>
    </w:p>
    <w:p w:rsidR="0078310B" w:rsidRDefault="0078310B" w:rsidP="0078310B">
      <w:pPr>
        <w:widowControl w:val="0"/>
        <w:spacing w:after="120"/>
        <w:ind w:firstLine="288"/>
        <w:jc w:val="both"/>
      </w:pPr>
      <w:r>
        <w:t xml:space="preserve">Also worthy of note is the factor that considers whether assets used in the activity are expected to appreciate in value, thus eventually not only offsetting the year-to-year operating losses but producing an overall profit in the long run. This factor appears to provide a leg up to those (unlike Connor) whose activities involve land, such as farmers. For example, the taxpayer in </w:t>
      </w:r>
      <w:r>
        <w:rPr>
          <w:i/>
        </w:rPr>
        <w:t>Fields v. Commissioner</w:t>
      </w:r>
      <w:r w:rsidRPr="00B44F9A">
        <w:rPr>
          <w:rStyle w:val="FootnoteReference"/>
        </w:rPr>
        <w:footnoteReference w:id="706"/>
      </w:r>
      <w:r>
        <w:t xml:space="preserve"> was a full-time lawyer who raised cattle on his 73-acre farm on the weekends. Even though he suffered consistent operating losses from his cattle activity, he was held to have a profit motive, and one factor in his favor was that he expected the land to appreciate in value. </w:t>
      </w:r>
    </w:p>
    <w:p w:rsidR="0078310B" w:rsidRDefault="0078310B" w:rsidP="0078310B">
      <w:pPr>
        <w:widowControl w:val="0"/>
        <w:ind w:firstLine="288"/>
        <w:jc w:val="both"/>
      </w:pPr>
      <w:r>
        <w:t xml:space="preserve">Nevertheless, even taxpayers with relatively modest outside income who engage in an activity that involves land do not always win.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56" w:name="_Toc395790654"/>
      <w:r>
        <w:t>ZARINS v. COMMISSIONER</w:t>
      </w:r>
      <w:bookmarkEnd w:id="356"/>
    </w:p>
    <w:p w:rsidR="0078310B" w:rsidRDefault="0078310B" w:rsidP="0078310B">
      <w:pPr>
        <w:widowControl w:val="0"/>
        <w:jc w:val="center"/>
      </w:pPr>
      <w:r>
        <w:t xml:space="preserve">T.C. Memo. 2001-68, </w:t>
      </w:r>
      <w:r>
        <w:rPr>
          <w:i/>
        </w:rPr>
        <w:t>aff’d</w:t>
      </w:r>
      <w:r>
        <w:t xml:space="preserve">, 2002-1 U.S.T.C. (CCH) </w:t>
      </w:r>
      <w:r>
        <w:rPr>
          <w:rFonts w:cs="Times New Roman"/>
        </w:rPr>
        <w:t>¶</w:t>
      </w:r>
      <w:r>
        <w:t xml:space="preserve"> 50,471 (6</w:t>
      </w:r>
      <w:r w:rsidRPr="00F029C8">
        <w:rPr>
          <w:vertAlign w:val="superscript"/>
        </w:rPr>
        <w:t>th</w:t>
      </w:r>
      <w:r>
        <w:t xml:space="preserve"> Cir. 2002)</w:t>
      </w:r>
    </w:p>
    <w:p w:rsidR="0078310B" w:rsidRDefault="0078310B" w:rsidP="0078310B">
      <w:pPr>
        <w:widowControl w:val="0"/>
        <w:jc w:val="center"/>
      </w:pPr>
    </w:p>
    <w:p w:rsidR="0078310B" w:rsidRDefault="0078310B" w:rsidP="0078310B">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rsidR="0078310B" w:rsidRDefault="0078310B" w:rsidP="0078310B">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rsidR="0078310B" w:rsidRPr="00824721" w:rsidRDefault="0078310B" w:rsidP="0078310B">
      <w:pPr>
        <w:widowControl w:val="0"/>
        <w:spacing w:after="120"/>
        <w:ind w:firstLine="288"/>
        <w:jc w:val="both"/>
      </w:pPr>
      <w:r>
        <w:rPr>
          <w:i/>
        </w:rPr>
        <w:t>Starting the Tree Farm</w:t>
      </w:r>
    </w:p>
    <w:p w:rsidR="0078310B" w:rsidRDefault="0078310B" w:rsidP="0078310B">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rsidR="0078310B" w:rsidRDefault="0078310B" w:rsidP="0078310B">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rsidR="0078310B" w:rsidRDefault="0078310B" w:rsidP="0078310B">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rsidR="0078310B" w:rsidRDefault="0078310B" w:rsidP="0078310B">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rsidR="0078310B" w:rsidRDefault="0078310B" w:rsidP="0078310B">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rsidR="0078310B" w:rsidRDefault="0078310B" w:rsidP="0078310B">
      <w:pPr>
        <w:widowControl w:val="0"/>
        <w:spacing w:after="120"/>
        <w:ind w:firstLine="288"/>
        <w:jc w:val="both"/>
      </w:pPr>
      <w:r>
        <w:t>Petitioner had planted about 3,000 to 3,500 trees by the end of 1995, and about 5,000 by March 2000. He did not keep records of the number of trees he planted.</w:t>
      </w:r>
    </w:p>
    <w:p w:rsidR="0078310B" w:rsidRDefault="0078310B" w:rsidP="0078310B">
      <w:pPr>
        <w:widowControl w:val="0"/>
        <w:spacing w:after="120"/>
        <w:ind w:firstLine="288"/>
        <w:jc w:val="both"/>
      </w:pPr>
      <w:r>
        <w:rPr>
          <w:i/>
        </w:rPr>
        <w:t>Petitioner’s Business Records and Business Plan</w:t>
      </w:r>
    </w:p>
    <w:p w:rsidR="0078310B" w:rsidRDefault="0078310B" w:rsidP="0078310B">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rsidR="0078310B" w:rsidRDefault="0078310B" w:rsidP="0078310B">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rsidR="0078310B" w:rsidRDefault="0078310B" w:rsidP="0078310B">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rsidR="0078310B" w:rsidRDefault="0078310B" w:rsidP="0078310B">
      <w:pPr>
        <w:widowControl w:val="0"/>
        <w:spacing w:after="120"/>
        <w:ind w:firstLine="288"/>
        <w:jc w:val="both"/>
      </w:pPr>
      <w:r>
        <w:rPr>
          <w:i/>
        </w:rPr>
        <w:t>Petitioners’ Tax Returns</w:t>
      </w:r>
    </w:p>
    <w:p w:rsidR="0078310B" w:rsidRDefault="0078310B" w:rsidP="0078310B">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rsidR="0078310B" w:rsidRPr="00824721" w:rsidRDefault="0078310B" w:rsidP="0078310B">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rsidR="0078310B" w:rsidRDefault="0078310B" w:rsidP="0078310B">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rsidR="0078310B" w:rsidRDefault="0078310B" w:rsidP="0078310B">
      <w:pPr>
        <w:widowControl w:val="0"/>
        <w:spacing w:after="120"/>
      </w:pPr>
      <w:r>
        <w:t>Petitioners deducted the following amounts of farm expenses for tax years 1993 to 1998:</w:t>
      </w:r>
    </w:p>
    <w:p w:rsidR="0078310B" w:rsidRDefault="0078310B" w:rsidP="004B3B58">
      <w:pPr>
        <w:widowControl w:val="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rsidR="0078310B" w:rsidRDefault="0078310B" w:rsidP="004B3B58">
      <w:pPr>
        <w:widowControl w:val="0"/>
      </w:pPr>
      <w:r>
        <w:t xml:space="preserve">             Seeds and                132      354      423     1,320     638       --</w:t>
      </w:r>
      <w:r>
        <w:br/>
        <w:t xml:space="preserve">                 plants</w:t>
      </w:r>
    </w:p>
    <w:p w:rsidR="0078310B" w:rsidRDefault="0078310B" w:rsidP="004B3B58">
      <w:pPr>
        <w:widowControl w:val="0"/>
      </w:pPr>
      <w:r>
        <w:t xml:space="preserve">             Fertilizers                352        --         --           19         2        --</w:t>
      </w:r>
    </w:p>
    <w:p w:rsidR="0078310B" w:rsidRDefault="0078310B" w:rsidP="004B3B58">
      <w:pPr>
        <w:widowControl w:val="0"/>
      </w:pPr>
      <w:r>
        <w:t xml:space="preserve">             Labor                       --          80      150           --         --        --</w:t>
      </w:r>
    </w:p>
    <w:p w:rsidR="0078310B" w:rsidRDefault="0078310B" w:rsidP="0078310B">
      <w:pPr>
        <w:widowControl w:val="0"/>
      </w:pPr>
      <w:r>
        <w:t xml:space="preserve">             Custom hire            613  10,721   1,107           --         --        --</w:t>
      </w:r>
    </w:p>
    <w:p w:rsidR="0078310B" w:rsidRDefault="0078310B" w:rsidP="004B3B58">
      <w:pPr>
        <w:widowControl w:val="0"/>
      </w:pPr>
      <w:r>
        <w:t xml:space="preserve">                (machine work)</w:t>
      </w:r>
    </w:p>
    <w:p w:rsidR="0078310B" w:rsidRDefault="0078310B" w:rsidP="004B3B58">
      <w:pPr>
        <w:widowControl w:val="0"/>
      </w:pPr>
      <w:r>
        <w:t xml:space="preserve">            Advertising                --         --         --            --          --     688</w:t>
      </w:r>
    </w:p>
    <w:p w:rsidR="0078310B" w:rsidRDefault="0078310B" w:rsidP="004B3B58">
      <w:pPr>
        <w:widowControl w:val="0"/>
      </w:pPr>
      <w:r>
        <w:t xml:space="preserve">            Depreciation</w:t>
      </w:r>
      <w:r>
        <w:rPr>
          <w:rStyle w:val="FootnoteReference"/>
        </w:rPr>
        <w:footnoteReference w:customMarkFollows="1" w:id="707"/>
        <w:t>[1]</w:t>
      </w:r>
      <w:r>
        <w:t xml:space="preserve">       3,331   3,550    3,243     2,268    718     483</w:t>
      </w:r>
    </w:p>
    <w:p w:rsidR="0078310B" w:rsidRDefault="0078310B" w:rsidP="004B3B58">
      <w:pPr>
        <w:widowControl w:val="0"/>
      </w:pPr>
      <w:r>
        <w:t xml:space="preserve">            Car and truck            896      870    1,200     1,307  1,242    383</w:t>
      </w:r>
    </w:p>
    <w:p w:rsidR="0078310B" w:rsidRDefault="0078310B" w:rsidP="004B3B58">
      <w:pPr>
        <w:widowControl w:val="0"/>
      </w:pPr>
      <w:r>
        <w:t xml:space="preserve">            Mortgage</w:t>
      </w:r>
    </w:p>
    <w:p w:rsidR="0078310B" w:rsidRDefault="0078310B" w:rsidP="004B3B58">
      <w:pPr>
        <w:widowControl w:val="0"/>
      </w:pPr>
      <w:r>
        <w:t xml:space="preserve">               interest                     --    3,955    3,556     3,533   4,030     --</w:t>
      </w:r>
    </w:p>
    <w:p w:rsidR="0078310B" w:rsidRDefault="0078310B" w:rsidP="004B3B58">
      <w:pPr>
        <w:widowControl w:val="0"/>
      </w:pPr>
      <w:r>
        <w:t xml:space="preserve">            Gasoline                1,456   2,595    1,844     1,781   1,359   709</w:t>
      </w:r>
    </w:p>
    <w:p w:rsidR="0078310B" w:rsidRDefault="0078310B" w:rsidP="004B3B58">
      <w:pPr>
        <w:widowControl w:val="0"/>
      </w:pPr>
      <w:r>
        <w:t xml:space="preserve">            Repairs and</w:t>
      </w:r>
    </w:p>
    <w:p w:rsidR="0078310B" w:rsidRDefault="0078310B" w:rsidP="004B3B58">
      <w:pPr>
        <w:widowControl w:val="0"/>
      </w:pPr>
      <w:r>
        <w:t xml:space="preserve">               maintenance            --    3,325       963        133     215  1,532</w:t>
      </w:r>
    </w:p>
    <w:p w:rsidR="0078310B" w:rsidRDefault="0078310B" w:rsidP="004B3B58">
      <w:pPr>
        <w:widowControl w:val="0"/>
      </w:pPr>
      <w:r>
        <w:t xml:space="preserve">            Insurance                  362      388      429        451     916      --</w:t>
      </w:r>
    </w:p>
    <w:p w:rsidR="0078310B" w:rsidRDefault="0078310B" w:rsidP="004B3B58">
      <w:pPr>
        <w:widowControl w:val="0"/>
      </w:pPr>
      <w:r>
        <w:t xml:space="preserve">            Supplies                 1,531   1,756   3,235     1,149  4,427     274</w:t>
      </w:r>
    </w:p>
    <w:p w:rsidR="0078310B" w:rsidRDefault="0078310B" w:rsidP="004B3B58">
      <w:pPr>
        <w:widowControl w:val="0"/>
      </w:pPr>
      <w:r>
        <w:t xml:space="preserve">            Taxes                        433      351      390        459     487      --</w:t>
      </w:r>
    </w:p>
    <w:p w:rsidR="0078310B" w:rsidRDefault="0078310B" w:rsidP="004B3B58">
      <w:pPr>
        <w:widowControl w:val="0"/>
      </w:pPr>
      <w:r>
        <w:t xml:space="preserve">            Utilities                   400       450      520        560     560     --</w:t>
      </w:r>
    </w:p>
    <w:p w:rsidR="0078310B" w:rsidRDefault="0078310B" w:rsidP="004B3B58">
      <w:pPr>
        <w:widowControl w:val="0"/>
      </w:pPr>
      <w:r>
        <w:t xml:space="preserve">            Machine parts            --          --         --         905       --       --</w:t>
      </w:r>
    </w:p>
    <w:p w:rsidR="0078310B" w:rsidRDefault="0078310B" w:rsidP="0078310B">
      <w:pPr>
        <w:widowControl w:val="0"/>
        <w:spacing w:after="120"/>
      </w:pPr>
      <w:r>
        <w:t xml:space="preserve">            Legal fee                    --          --         --          40        --       --</w:t>
      </w:r>
    </w:p>
    <w:p w:rsidR="0078310B" w:rsidRDefault="0078310B" w:rsidP="0078310B">
      <w:pPr>
        <w:widowControl w:val="0"/>
        <w:spacing w:after="120"/>
        <w:ind w:firstLine="288"/>
      </w:pPr>
      <w:r>
        <w:rPr>
          <w:i/>
        </w:rPr>
        <w:t>Opinion</w:t>
      </w:r>
    </w:p>
    <w:p w:rsidR="0078310B" w:rsidRDefault="0078310B" w:rsidP="0078310B">
      <w:pPr>
        <w:widowControl w:val="0"/>
        <w:spacing w:after="120"/>
        <w:ind w:firstLine="288"/>
      </w:pPr>
      <w:r>
        <w:rPr>
          <w:i/>
        </w:rPr>
        <w:t>A. Whether Petitioners Operated Their Tree Farm For Profit</w:t>
      </w:r>
    </w:p>
    <w:p w:rsidR="0078310B" w:rsidRDefault="0078310B" w:rsidP="0078310B">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rsidR="0078310B" w:rsidRDefault="0078310B" w:rsidP="0078310B">
      <w:pPr>
        <w:widowControl w:val="0"/>
        <w:spacing w:after="120"/>
        <w:ind w:firstLine="288"/>
        <w:jc w:val="both"/>
      </w:pPr>
      <w:r>
        <w:rPr>
          <w:i/>
        </w:rPr>
        <w:t>B. Application of the Factors</w:t>
      </w:r>
    </w:p>
    <w:p w:rsidR="0078310B" w:rsidRDefault="0078310B" w:rsidP="0078310B">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rsidR="0078310B" w:rsidRDefault="0078310B" w:rsidP="0078310B">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rsidR="0078310B" w:rsidRDefault="0078310B" w:rsidP="0078310B">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rsidR="0078310B" w:rsidRDefault="0078310B" w:rsidP="0078310B">
      <w:pPr>
        <w:widowControl w:val="0"/>
        <w:spacing w:after="120"/>
        <w:ind w:firstLine="288"/>
        <w:jc w:val="both"/>
      </w:pPr>
      <w:r>
        <w:t>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claimed on their 1994 and 1995 returns. These records do not establish that their tree farm had profit potential.</w:t>
      </w:r>
    </w:p>
    <w:p w:rsidR="0078310B" w:rsidRDefault="0078310B" w:rsidP="0078310B">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rsidR="0078310B" w:rsidRDefault="0078310B" w:rsidP="0078310B">
      <w:pPr>
        <w:widowControl w:val="0"/>
        <w:spacing w:after="120"/>
        <w:ind w:firstLine="288"/>
        <w:jc w:val="both"/>
      </w:pPr>
      <w:r>
        <w:t>This factor favors respondent.</w:t>
      </w:r>
    </w:p>
    <w:p w:rsidR="0078310B" w:rsidRDefault="0078310B" w:rsidP="0078310B">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rsidR="0078310B" w:rsidRDefault="0078310B" w:rsidP="0078310B">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rsidR="0078310B" w:rsidRDefault="0078310B" w:rsidP="0078310B">
      <w:pPr>
        <w:widowControl w:val="0"/>
        <w:spacing w:after="120"/>
        <w:ind w:firstLine="288"/>
        <w:jc w:val="both"/>
      </w:pPr>
      <w:r>
        <w:t>This factor favors respondent.</w:t>
      </w:r>
    </w:p>
    <w:p w:rsidR="0078310B" w:rsidRDefault="0078310B" w:rsidP="0078310B">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rsidR="0078310B" w:rsidRDefault="0078310B" w:rsidP="0078310B">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rsidR="0078310B" w:rsidRDefault="0078310B" w:rsidP="0078310B">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rsidR="0078310B" w:rsidRDefault="0078310B" w:rsidP="0078310B">
      <w:pPr>
        <w:widowControl w:val="0"/>
        <w:spacing w:after="120"/>
        <w:ind w:firstLine="288"/>
        <w:jc w:val="both"/>
      </w:pPr>
      <w:r>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rsidR="0078310B" w:rsidRDefault="0078310B" w:rsidP="0078310B">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rsidR="0078310B" w:rsidRDefault="0078310B" w:rsidP="0078310B">
      <w:pPr>
        <w:widowControl w:val="0"/>
        <w:spacing w:after="120"/>
        <w:ind w:firstLine="288"/>
        <w:jc w:val="both"/>
      </w:pPr>
      <w:r>
        <w:t>This factor favors respondent.</w:t>
      </w:r>
    </w:p>
    <w:p w:rsidR="0078310B" w:rsidRDefault="0078310B" w:rsidP="0078310B">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rsidR="0078310B" w:rsidRDefault="0078310B" w:rsidP="0078310B">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rsidR="0078310B" w:rsidRDefault="0078310B" w:rsidP="0078310B">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rsidR="0078310B" w:rsidRDefault="0078310B" w:rsidP="0078310B">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rsidR="0078310B" w:rsidRDefault="0078310B" w:rsidP="0078310B">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rsidR="0078310B" w:rsidRDefault="0078310B" w:rsidP="0078310B">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rsidR="0078310B" w:rsidRDefault="0078310B" w:rsidP="0078310B">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rsidR="0078310B" w:rsidRDefault="0078310B" w:rsidP="0078310B">
      <w:pPr>
        <w:widowControl w:val="0"/>
        <w:ind w:firstLine="288"/>
        <w:jc w:val="both"/>
      </w:pPr>
      <w:r>
        <w:rPr>
          <w:i/>
        </w:rPr>
        <w:t>10. Conclusion</w:t>
      </w:r>
      <w:r>
        <w:t>. We conclude that petitioners did not operate their tree farm for profit in 1994 and 1995.</w:t>
      </w:r>
    </w:p>
    <w:p w:rsidR="0078310B" w:rsidRDefault="0078310B" w:rsidP="0078310B">
      <w:pPr>
        <w:widowControl w:val="0"/>
        <w:jc w:val="center"/>
      </w:pPr>
      <w:r>
        <w:t>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Finally, one of the more amorp</w:t>
      </w:r>
      <w:r w:rsidR="00BB046A">
        <w:t>hous unlisted factors that fact</w:t>
      </w:r>
      <w:r>
        <w:t xml:space="preserve">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rsidR="0078310B" w:rsidRDefault="0078310B" w:rsidP="0078310B">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708"/>
      </w:r>
    </w:p>
    <w:p w:rsidR="0078310B" w:rsidRPr="00FC05CA" w:rsidRDefault="0078310B" w:rsidP="0078310B">
      <w:pPr>
        <w:widowControl w:val="0"/>
        <w:spacing w:after="120"/>
        <w:ind w:firstLine="288"/>
        <w:jc w:val="both"/>
      </w:pPr>
      <w:r>
        <w:t>In other words, look sincere!</w:t>
      </w:r>
    </w:p>
    <w:p w:rsidR="0078310B" w:rsidRPr="004B5DFC" w:rsidRDefault="0078310B" w:rsidP="0078310B">
      <w:pPr>
        <w:pStyle w:val="Heading3"/>
        <w:spacing w:before="0" w:beforeAutospacing="0" w:after="120" w:afterAutospacing="0"/>
        <w:rPr>
          <w:i/>
        </w:rPr>
      </w:pPr>
      <w:bookmarkStart w:id="357" w:name="_Toc395790655"/>
      <w:r w:rsidRPr="004B5DFC">
        <w:rPr>
          <w:i/>
        </w:rPr>
        <w:t>The § 183(d) presumption and § 183(e) election</w:t>
      </w:r>
      <w:bookmarkEnd w:id="357"/>
    </w:p>
    <w:p w:rsidR="0078310B" w:rsidRDefault="0078310B" w:rsidP="0078310B">
      <w:pPr>
        <w:widowControl w:val="0"/>
        <w:spacing w:after="120"/>
        <w:ind w:firstLine="288"/>
        <w:jc w:val="both"/>
      </w:pPr>
      <w: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1657B6">
        <w:rPr>
          <w:i/>
        </w:rPr>
        <w:t>lack</w:t>
      </w:r>
      <w:r>
        <w:t xml:space="preserve"> of profit motive) under </w:t>
      </w:r>
      <w:hyperlink r:id="rId981" w:history="1">
        <w:r w:rsidRPr="00BB046A">
          <w:rPr>
            <w:rStyle w:val="Hyperlink"/>
          </w:rPr>
          <w:t>§ 183</w:t>
        </w:r>
      </w:hyperlink>
      <w:r>
        <w:t xml:space="preserve">(d), which the IRS never attempts. Failure to earn a profit in three of the prior five years, however, does not mean that Connor suffers a presumption </w:t>
      </w:r>
      <w:r w:rsidRPr="001657B6">
        <w:rPr>
          <w:i/>
        </w:rPr>
        <w:t>against</w:t>
      </w:r>
      <w:r>
        <w:t xml:space="preserve"> a profit motive, as </w:t>
      </w:r>
      <w:hyperlink r:id="rId982" w:history="1">
        <w:r w:rsidRPr="00B041B9">
          <w:rPr>
            <w:rStyle w:val="Hyperlink"/>
          </w:rPr>
          <w:t>Treas. Reg. § 1.183-1</w:t>
        </w:r>
      </w:hyperlink>
      <w:r>
        <w:t xml:space="preserve">(c)(1)(ii)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rsidR="0078310B" w:rsidRDefault="0078310B" w:rsidP="0078310B">
      <w:pPr>
        <w:widowControl w:val="0"/>
        <w:spacing w:after="120"/>
        <w:ind w:firstLine="288"/>
        <w:jc w:val="both"/>
      </w:pPr>
      <w:r>
        <w:t xml:space="preserve">Let’s return to our original facts, in which this Year 1 is the first in which Connor participates in the summer art fair, and he suffers a $600 operating loss for the year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depreciation and expense deductions (thereby offsetting $600 of his law practice earnings) instead of deducting only $400 under § 183(b)(2), he can choose to make the election provided under § 183(e). The election allows him to fully deduct the $1,000 in Year 1 </w:t>
      </w:r>
      <w:r w:rsidRPr="00B041B9">
        <w:rPr>
          <w:i/>
        </w:rPr>
        <w:t>without establishing a profit motive</w:t>
      </w:r>
      <w:r>
        <w:t xml:space="preserve"> at the cost of </w:t>
      </w:r>
      <w:r w:rsidRPr="00B041B9">
        <w:rPr>
          <w:i/>
        </w:rPr>
        <w:t>extending the statute of limitations</w:t>
      </w:r>
      <w:r>
        <w:t xml:space="preserve"> beyond the usual three years to include the full § 183(d) period. Thus, if he fails to satisfy the § 183(d) presumption at the end of Year 5, the IRS can re-open his Year-1 and Year-2 returns and collect tax (and interest) if Connor fails to establish a profit motive for those years. If Connor does not make the § 183(e) election in Year 1, deducts the full $1,000 without IRS challenge in the good-faith belief that he would be able to establish a profit motive </w:t>
      </w:r>
      <w:r w:rsidR="00B041B9">
        <w:t xml:space="preserve">in Year 1 </w:t>
      </w:r>
      <w:r>
        <w:t xml:space="preserve">if challenged, but (alas) fails to show a profit in three of five years by the end of Year 5, Year 1 is a closed year under the usual three-year statute of limitations (absent fraud </w:t>
      </w:r>
      <w:r w:rsidR="00B041B9">
        <w:t xml:space="preserve">or a failure to file </w:t>
      </w:r>
      <w:r>
        <w:t xml:space="preserve">on Connor’s part). In that case, the IRS would not be able to collect additional tax for those years. </w:t>
      </w:r>
    </w:p>
    <w:p w:rsidR="0078310B" w:rsidRPr="004B5DFC" w:rsidRDefault="0078310B" w:rsidP="0078310B">
      <w:pPr>
        <w:pStyle w:val="Heading3"/>
        <w:spacing w:before="0" w:beforeAutospacing="0" w:after="120" w:afterAutospacing="0"/>
        <w:rPr>
          <w:i/>
        </w:rPr>
      </w:pPr>
      <w:bookmarkStart w:id="358" w:name="_Toc395790656"/>
      <w:r w:rsidRPr="004B5DFC">
        <w:rPr>
          <w:i/>
        </w:rPr>
        <w:t>Defining the scope of “the activity”</w:t>
      </w:r>
      <w:bookmarkEnd w:id="358"/>
    </w:p>
    <w:p w:rsidR="0078310B" w:rsidRDefault="0078310B" w:rsidP="0078310B">
      <w:pPr>
        <w:widowControl w:val="0"/>
        <w:spacing w:after="120"/>
        <w:ind w:firstLine="288"/>
        <w:jc w:val="both"/>
      </w:pPr>
      <w:r>
        <w:t xml:space="preserve">Recall from Chapter 16 that the § 469 passive activity loss (PAL) rules generally lump </w:t>
      </w:r>
      <w:r>
        <w:rPr>
          <w:i/>
        </w:rPr>
        <w:t>all</w:t>
      </w:r>
      <w:r>
        <w:t xml:space="preserve"> passive Gross Income and </w:t>
      </w:r>
      <w:r>
        <w:rPr>
          <w:i/>
        </w:rPr>
        <w:t xml:space="preserve">all </w:t>
      </w:r>
      <w:r>
        <w:t xml:space="preserve">passive deductions from </w:t>
      </w:r>
      <w:r>
        <w:rPr>
          <w:i/>
        </w:rPr>
        <w:t xml:space="preserve">all </w:t>
      </w:r>
      <w:r>
        <w:t xml:space="preserve">passive activities together in determining whether the taxpayer has suffered a PAL. Similarly, § 163(d) generally lumps </w:t>
      </w:r>
      <w:r>
        <w:rPr>
          <w:i/>
        </w:rPr>
        <w:t xml:space="preserve">all </w:t>
      </w:r>
      <w:r>
        <w:t xml:space="preserve">investment interest and </w:t>
      </w:r>
      <w:r>
        <w:rPr>
          <w:i/>
        </w:rPr>
        <w:t xml:space="preserve">all </w:t>
      </w:r>
      <w: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Thus, it becomes important to define the scope of each activity. </w:t>
      </w:r>
    </w:p>
    <w:p w:rsidR="0078310B" w:rsidRPr="00BB7699" w:rsidRDefault="002B3596" w:rsidP="0078310B">
      <w:pPr>
        <w:widowControl w:val="0"/>
        <w:spacing w:after="120"/>
        <w:ind w:firstLine="288"/>
        <w:jc w:val="both"/>
      </w:pPr>
      <w:hyperlink r:id="rId983" w:history="1">
        <w:r w:rsidR="0078310B" w:rsidRPr="00A66C23">
          <w:rPr>
            <w:rStyle w:val="Hyperlink"/>
          </w:rPr>
          <w:t>Treas. Reg. § 1.183-1</w:t>
        </w:r>
      </w:hyperlink>
      <w:r w:rsidR="0078310B">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w:t>
      </w:r>
    </w:p>
    <w:p w:rsidR="0078310B" w:rsidRDefault="0078310B" w:rsidP="0078310B">
      <w:pPr>
        <w:widowControl w:val="0"/>
        <w:ind w:firstLine="288"/>
        <w:jc w:val="both"/>
      </w:pPr>
      <w:r>
        <w:t xml:space="preserve">If you were the factfinder, would you have arrived at the Tax Court’s conclusion on this issue in the case below?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59" w:name="_Toc395790657"/>
      <w:r>
        <w:t>TOPPING v. COMMISSIONER</w:t>
      </w:r>
      <w:bookmarkEnd w:id="359"/>
    </w:p>
    <w:p w:rsidR="0078310B" w:rsidRPr="007B5CF4" w:rsidRDefault="0078310B" w:rsidP="0078310B">
      <w:pPr>
        <w:widowControl w:val="0"/>
        <w:jc w:val="center"/>
      </w:pPr>
      <w:r w:rsidRPr="007B5CF4">
        <w:t>T.C. Memo. 2007-92</w:t>
      </w:r>
    </w:p>
    <w:p w:rsidR="0078310B" w:rsidRDefault="0078310B" w:rsidP="0078310B">
      <w:pPr>
        <w:widowControl w:val="0"/>
      </w:pPr>
    </w:p>
    <w:p w:rsidR="0078310B" w:rsidRDefault="0078310B" w:rsidP="0078310B">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rsidR="0078310B" w:rsidRPr="007B2B30" w:rsidRDefault="0078310B" w:rsidP="0078310B">
      <w:pPr>
        <w:widowControl w:val="0"/>
        <w:spacing w:after="120"/>
        <w:jc w:val="both"/>
      </w:pPr>
      <w:r>
        <w:t>FINDINGS OF FACT</w:t>
      </w:r>
    </w:p>
    <w:p w:rsidR="0078310B" w:rsidRDefault="0078310B" w:rsidP="0078310B">
      <w:pPr>
        <w:widowControl w:val="0"/>
        <w:spacing w:after="120"/>
        <w:ind w:firstLine="288"/>
        <w:jc w:val="both"/>
      </w:pPr>
      <w:r>
        <w:t>Petitioner resided in Wellington, Florida, at the time of filing the petition. In 1998, petitioner was 46 years old and in the middle of a bitter divorce. She had no means of supporting herself. Petitioner held no job, had no college degree, and had not had any full-time employment for the past 25 years. Her significant assets consisted of a 16-year-old horse and a debt-encumbered condo in Wellington, Florida.</w:t>
      </w:r>
    </w:p>
    <w:p w:rsidR="0078310B" w:rsidRDefault="0078310B" w:rsidP="0078310B">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rsidR="0078310B" w:rsidRDefault="0078310B" w:rsidP="0078310B">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rsidR="0078310B" w:rsidRDefault="0078310B" w:rsidP="0078310B">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rsidR="0078310B" w:rsidRDefault="0078310B" w:rsidP="0078310B">
      <w:pPr>
        <w:widowControl w:val="0"/>
        <w:spacing w:after="120"/>
        <w:ind w:firstLine="288"/>
        <w:jc w:val="both"/>
      </w:pPr>
      <w:r>
        <w:t>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with one client, and then later split the cost with two clients.</w:t>
      </w:r>
    </w:p>
    <w:p w:rsidR="0078310B" w:rsidRDefault="0078310B" w:rsidP="0078310B">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rsidR="0078310B" w:rsidRDefault="0078310B" w:rsidP="0078310B">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rsidR="0078310B" w:rsidRDefault="0078310B" w:rsidP="0078310B">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rsidR="0078310B" w:rsidRDefault="0078310B" w:rsidP="0078310B">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rsidR="0078310B" w:rsidRDefault="0078310B" w:rsidP="0078310B">
      <w:pPr>
        <w:widowControl w:val="0"/>
        <w:spacing w:after="120"/>
        <w:ind w:firstLine="288"/>
        <w:jc w:val="both"/>
      </w:pPr>
      <w:r>
        <w:t>Petitioner uses her general knowledge of horses and specifically her knowledge of the 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rsidR="0078310B" w:rsidRDefault="0078310B" w:rsidP="0078310B">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rsidR="0078310B" w:rsidRDefault="0078310B" w:rsidP="0078310B">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78310B" w:rsidRPr="00361E9C" w:rsidTr="005337BA">
        <w:trPr>
          <w:jc w:val="center"/>
        </w:trPr>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 </w:t>
            </w:r>
          </w:p>
        </w:tc>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Net Loss of</w:t>
            </w:r>
          </w:p>
        </w:tc>
        <w:tc>
          <w:tcPr>
            <w:tcW w:w="0" w:type="auto"/>
            <w:tcBorders>
              <w:bottom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Net Income of</w:t>
            </w:r>
          </w:p>
        </w:tc>
      </w:tr>
      <w:tr w:rsidR="0078310B" w:rsidRPr="00361E9C" w:rsidTr="005337BA">
        <w:trPr>
          <w:jc w:val="center"/>
        </w:trPr>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Tax Year</w:t>
            </w:r>
          </w:p>
        </w:tc>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Horse Activity</w:t>
            </w:r>
          </w:p>
        </w:tc>
        <w:tc>
          <w:tcPr>
            <w:tcW w:w="0" w:type="auto"/>
            <w:tcBorders>
              <w:bottom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Topping White</w:t>
            </w:r>
          </w:p>
        </w:tc>
      </w:tr>
      <w:tr w:rsidR="0078310B" w:rsidRPr="00361E9C" w:rsidTr="005337BA">
        <w:trPr>
          <w:jc w:val="center"/>
        </w:trPr>
        <w:tc>
          <w:tcPr>
            <w:tcW w:w="0" w:type="auto"/>
            <w:tcBorders>
              <w:bottom w:val="single" w:sz="8" w:space="0" w:color="000000"/>
            </w:tcBorders>
            <w:vAlign w:val="center"/>
            <w:hideMark/>
          </w:tcPr>
          <w:p w:rsidR="0078310B" w:rsidRPr="00361E9C" w:rsidRDefault="0078310B" w:rsidP="005337BA">
            <w:pPr>
              <w:widowControl w:val="0"/>
              <w:rPr>
                <w:rFonts w:eastAsia="Times New Roman" w:cs="Times New Roman"/>
              </w:rPr>
            </w:pPr>
          </w:p>
        </w:tc>
        <w:tc>
          <w:tcPr>
            <w:tcW w:w="0" w:type="auto"/>
            <w:vAlign w:val="center"/>
            <w:hideMark/>
          </w:tcPr>
          <w:p w:rsidR="0078310B" w:rsidRPr="00361E9C" w:rsidRDefault="0078310B" w:rsidP="005337BA">
            <w:pPr>
              <w:widowControl w:val="0"/>
              <w:rPr>
                <w:rFonts w:eastAsia="Times New Roman" w:cs="Times New Roman"/>
                <w:sz w:val="20"/>
                <w:szCs w:val="20"/>
              </w:rPr>
            </w:pPr>
          </w:p>
        </w:tc>
        <w:tc>
          <w:tcPr>
            <w:tcW w:w="0" w:type="auto"/>
            <w:vAlign w:val="center"/>
            <w:hideMark/>
          </w:tcPr>
          <w:p w:rsidR="0078310B" w:rsidRPr="00361E9C" w:rsidRDefault="0078310B" w:rsidP="005337BA">
            <w:pPr>
              <w:widowControl w:val="0"/>
              <w:rPr>
                <w:rFonts w:eastAsia="Times New Roman" w:cs="Times New Roman"/>
                <w:sz w:val="20"/>
                <w:szCs w:val="20"/>
              </w:rPr>
            </w:pPr>
          </w:p>
        </w:tc>
      </w:tr>
      <w:tr w:rsidR="0078310B" w:rsidRPr="00361E9C" w:rsidTr="005337BA">
        <w:trPr>
          <w:jc w:val="center"/>
        </w:trPr>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1998</w:t>
            </w:r>
          </w:p>
        </w:tc>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Pr>
                <w:rFonts w:eastAsia="Times New Roman" w:cs="Times New Roman"/>
              </w:rPr>
              <w:t>$</w:t>
            </w:r>
            <w:r w:rsidRPr="00361E9C">
              <w:rPr>
                <w:rFonts w:eastAsia="Times New Roman" w:cs="Times New Roman"/>
              </w:rPr>
              <w:t>47,123</w:t>
            </w:r>
          </w:p>
        </w:tc>
        <w:tc>
          <w:tcPr>
            <w:tcW w:w="0" w:type="auto"/>
            <w:tcBorders>
              <w:bottom w:val="single" w:sz="8" w:space="0" w:color="000000"/>
            </w:tcBorders>
            <w:vAlign w:val="center"/>
            <w:hideMark/>
          </w:tcPr>
          <w:p w:rsidR="0078310B" w:rsidRPr="00361E9C" w:rsidRDefault="0078310B" w:rsidP="005337BA">
            <w:pPr>
              <w:widowControl w:val="0"/>
              <w:jc w:val="center"/>
              <w:rPr>
                <w:rFonts w:eastAsia="Times New Roman" w:cs="Times New Roman"/>
              </w:rPr>
            </w:pPr>
            <w:r>
              <w:rPr>
                <w:rFonts w:eastAsia="Times New Roman" w:cs="Times New Roman"/>
              </w:rPr>
              <w:t>$</w:t>
            </w:r>
            <w:r w:rsidRPr="00361E9C">
              <w:rPr>
                <w:rFonts w:eastAsia="Times New Roman" w:cs="Times New Roman"/>
              </w:rPr>
              <w:t>200,908</w:t>
            </w:r>
          </w:p>
        </w:tc>
      </w:tr>
      <w:tr w:rsidR="0078310B" w:rsidRPr="00361E9C" w:rsidTr="005337BA">
        <w:trPr>
          <w:jc w:val="center"/>
        </w:trPr>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1999</w:t>
            </w:r>
          </w:p>
        </w:tc>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80,735 </w:t>
            </w:r>
          </w:p>
        </w:tc>
        <w:tc>
          <w:tcPr>
            <w:tcW w:w="0" w:type="auto"/>
            <w:tcBorders>
              <w:bottom w:val="single" w:sz="8" w:space="0" w:color="000000"/>
            </w:tcBorders>
            <w:vAlign w:val="center"/>
            <w:hideMark/>
          </w:tcPr>
          <w:p w:rsidR="0078310B" w:rsidRPr="00361E9C" w:rsidRDefault="0078310B" w:rsidP="005337BA">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157,239 </w:t>
            </w:r>
          </w:p>
        </w:tc>
      </w:tr>
      <w:tr w:rsidR="0078310B" w:rsidRPr="00361E9C" w:rsidTr="005337BA">
        <w:trPr>
          <w:jc w:val="center"/>
        </w:trPr>
        <w:tc>
          <w:tcPr>
            <w:tcW w:w="0" w:type="auto"/>
            <w:tcBorders>
              <w:bottom w:val="single" w:sz="8" w:space="0" w:color="000000"/>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2000</w:t>
            </w:r>
          </w:p>
        </w:tc>
        <w:tc>
          <w:tcPr>
            <w:tcW w:w="0" w:type="auto"/>
            <w:tcBorders>
              <w:bottom w:val="single" w:sz="8" w:space="0" w:color="000000"/>
              <w:right w:val="single" w:sz="8" w:space="0" w:color="000000"/>
            </w:tcBorders>
            <w:vAlign w:val="center"/>
            <w:hideMark/>
          </w:tcPr>
          <w:p w:rsidR="0078310B" w:rsidRPr="00361E9C" w:rsidRDefault="0078310B" w:rsidP="005337BA">
            <w:pPr>
              <w:widowControl w:val="0"/>
              <w:rPr>
                <w:rFonts w:eastAsia="Times New Roman" w:cs="Times New Roman"/>
              </w:rPr>
            </w:pPr>
            <w:r>
              <w:rPr>
                <w:rFonts w:eastAsia="Times New Roman" w:cs="Times New Roman"/>
              </w:rPr>
              <w:t xml:space="preserve">     </w:t>
            </w:r>
            <w:r w:rsidRPr="00361E9C">
              <w:rPr>
                <w:rFonts w:eastAsia="Times New Roman" w:cs="Times New Roman"/>
              </w:rPr>
              <w:t>206,080</w:t>
            </w:r>
          </w:p>
        </w:tc>
        <w:tc>
          <w:tcPr>
            <w:tcW w:w="0" w:type="auto"/>
            <w:tcBorders>
              <w:bottom w:val="single" w:sz="8" w:space="0" w:color="000000"/>
            </w:tcBorders>
            <w:vAlign w:val="center"/>
            <w:hideMark/>
          </w:tcPr>
          <w:p w:rsidR="0078310B" w:rsidRPr="00361E9C" w:rsidRDefault="0078310B" w:rsidP="005337BA">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499,908 </w:t>
            </w:r>
          </w:p>
        </w:tc>
      </w:tr>
      <w:tr w:rsidR="0078310B" w:rsidRPr="00361E9C" w:rsidTr="005337BA">
        <w:trPr>
          <w:jc w:val="center"/>
        </w:trPr>
        <w:tc>
          <w:tcPr>
            <w:tcW w:w="0" w:type="auto"/>
            <w:tcBorders>
              <w:right w:val="single" w:sz="8" w:space="0" w:color="000000"/>
            </w:tcBorders>
            <w:vAlign w:val="center"/>
            <w:hideMark/>
          </w:tcPr>
          <w:p w:rsidR="0078310B" w:rsidRPr="00361E9C" w:rsidRDefault="0078310B" w:rsidP="005337BA">
            <w:pPr>
              <w:widowControl w:val="0"/>
              <w:jc w:val="center"/>
              <w:rPr>
                <w:rFonts w:eastAsia="Times New Roman" w:cs="Times New Roman"/>
              </w:rPr>
            </w:pPr>
            <w:r w:rsidRPr="00361E9C">
              <w:rPr>
                <w:rFonts w:eastAsia="Times New Roman" w:cs="Times New Roman"/>
              </w:rPr>
              <w:t>2001</w:t>
            </w:r>
          </w:p>
        </w:tc>
        <w:tc>
          <w:tcPr>
            <w:tcW w:w="0" w:type="auto"/>
            <w:tcBorders>
              <w:right w:val="single" w:sz="8" w:space="0" w:color="000000"/>
            </w:tcBorders>
            <w:vAlign w:val="center"/>
            <w:hideMark/>
          </w:tcPr>
          <w:p w:rsidR="0078310B" w:rsidRPr="00361E9C" w:rsidRDefault="0078310B" w:rsidP="005337BA">
            <w:pPr>
              <w:widowControl w:val="0"/>
              <w:rPr>
                <w:rFonts w:eastAsia="Times New Roman" w:cs="Times New Roman"/>
              </w:rPr>
            </w:pPr>
            <w:r>
              <w:rPr>
                <w:rFonts w:eastAsia="Times New Roman" w:cs="Times New Roman"/>
              </w:rPr>
              <w:t xml:space="preserve">     </w:t>
            </w:r>
            <w:r w:rsidRPr="00361E9C">
              <w:rPr>
                <w:rFonts w:eastAsia="Times New Roman" w:cs="Times New Roman"/>
              </w:rPr>
              <w:t>275,169</w:t>
            </w:r>
          </w:p>
        </w:tc>
        <w:tc>
          <w:tcPr>
            <w:tcW w:w="0" w:type="auto"/>
            <w:vAlign w:val="center"/>
            <w:hideMark/>
          </w:tcPr>
          <w:p w:rsidR="0078310B" w:rsidRPr="00361E9C" w:rsidRDefault="0078310B" w:rsidP="005337BA">
            <w:pPr>
              <w:widowControl w:val="0"/>
              <w:jc w:val="center"/>
              <w:rPr>
                <w:rFonts w:eastAsia="Times New Roman" w:cs="Times New Roman"/>
              </w:rPr>
            </w:pPr>
            <w:r>
              <w:rPr>
                <w:rFonts w:eastAsia="Times New Roman" w:cs="Times New Roman"/>
              </w:rPr>
              <w:t xml:space="preserve">  </w:t>
            </w:r>
            <w:r w:rsidRPr="00361E9C">
              <w:rPr>
                <w:rFonts w:eastAsia="Times New Roman" w:cs="Times New Roman"/>
              </w:rPr>
              <w:t>322,459 </w:t>
            </w:r>
          </w:p>
        </w:tc>
      </w:tr>
    </w:tbl>
    <w:p w:rsidR="0078310B" w:rsidRDefault="0078310B" w:rsidP="0078310B">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Year</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Gross Income</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Cash Expenses</w:t>
            </w:r>
          </w:p>
        </w:tc>
        <w:tc>
          <w:tcPr>
            <w:tcW w:w="0" w:type="auto"/>
            <w:tcBorders>
              <w:bottom w:val="single" w:sz="8" w:space="0" w:color="000000"/>
            </w:tcBorders>
            <w:vAlign w:val="center"/>
            <w:hideMark/>
          </w:tcPr>
          <w:p w:rsidR="0078310B" w:rsidRDefault="0078310B" w:rsidP="005337BA">
            <w:pPr>
              <w:widowControl w:val="0"/>
              <w:jc w:val="center"/>
            </w:pPr>
            <w:r>
              <w:t>Net Income</w:t>
            </w:r>
          </w:p>
        </w:tc>
      </w:tr>
      <w:tr w:rsidR="0078310B" w:rsidTr="005337BA">
        <w:trPr>
          <w:jc w:val="center"/>
        </w:trPr>
        <w:tc>
          <w:tcPr>
            <w:tcW w:w="0" w:type="auto"/>
            <w:tcBorders>
              <w:bottom w:val="single" w:sz="8" w:space="0" w:color="000000"/>
            </w:tcBorders>
            <w:vAlign w:val="center"/>
            <w:hideMark/>
          </w:tcPr>
          <w:p w:rsidR="0078310B" w:rsidRDefault="0078310B" w:rsidP="005337BA">
            <w:pPr>
              <w:widowControl w:val="0"/>
            </w:pPr>
          </w:p>
        </w:tc>
        <w:tc>
          <w:tcPr>
            <w:tcW w:w="0" w:type="auto"/>
            <w:vAlign w:val="center"/>
            <w:hideMark/>
          </w:tcPr>
          <w:p w:rsidR="0078310B" w:rsidRDefault="0078310B" w:rsidP="005337BA">
            <w:pPr>
              <w:widowControl w:val="0"/>
              <w:rPr>
                <w:sz w:val="20"/>
                <w:szCs w:val="20"/>
              </w:rPr>
            </w:pPr>
          </w:p>
        </w:tc>
        <w:tc>
          <w:tcPr>
            <w:tcW w:w="0" w:type="auto"/>
            <w:vAlign w:val="center"/>
            <w:hideMark/>
          </w:tcPr>
          <w:p w:rsidR="0078310B" w:rsidRDefault="0078310B" w:rsidP="005337BA">
            <w:pPr>
              <w:widowControl w:val="0"/>
              <w:rPr>
                <w:sz w:val="20"/>
                <w:szCs w:val="20"/>
              </w:rPr>
            </w:pPr>
          </w:p>
        </w:tc>
        <w:tc>
          <w:tcPr>
            <w:tcW w:w="0" w:type="auto"/>
            <w:vAlign w:val="center"/>
            <w:hideMark/>
          </w:tcPr>
          <w:p w:rsidR="0078310B" w:rsidRDefault="0078310B" w:rsidP="005337BA">
            <w:pPr>
              <w:widowControl w:val="0"/>
              <w:rPr>
                <w:sz w:val="20"/>
                <w:szCs w:val="20"/>
              </w:rPr>
            </w:pP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1998  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$253,965</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$100,180</w:t>
            </w:r>
          </w:p>
        </w:tc>
        <w:tc>
          <w:tcPr>
            <w:tcW w:w="0" w:type="auto"/>
            <w:tcBorders>
              <w:bottom w:val="single" w:sz="8" w:space="0" w:color="000000"/>
            </w:tcBorders>
            <w:vAlign w:val="center"/>
            <w:hideMark/>
          </w:tcPr>
          <w:p w:rsidR="0078310B" w:rsidRDefault="0078310B" w:rsidP="005337BA">
            <w:pPr>
              <w:widowControl w:val="0"/>
              <w:jc w:val="center"/>
            </w:pPr>
            <w:r>
              <w:t>$153,785</w:t>
            </w: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pPr>
            <w:r>
              <w:t xml:space="preserve">1999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276,453 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199,949 </w:t>
            </w:r>
          </w:p>
        </w:tc>
        <w:tc>
          <w:tcPr>
            <w:tcW w:w="0" w:type="auto"/>
            <w:tcBorders>
              <w:bottom w:val="single" w:sz="8" w:space="0" w:color="000000"/>
            </w:tcBorders>
            <w:vAlign w:val="center"/>
            <w:hideMark/>
          </w:tcPr>
          <w:p w:rsidR="0078310B" w:rsidRDefault="0078310B" w:rsidP="005337BA">
            <w:pPr>
              <w:widowControl w:val="0"/>
              <w:jc w:val="center"/>
            </w:pPr>
            <w:r>
              <w:t xml:space="preserve">    76,504 </w:t>
            </w: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pPr>
            <w:r>
              <w:t xml:space="preserve">2000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707,521 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413,693 </w:t>
            </w:r>
          </w:p>
        </w:tc>
        <w:tc>
          <w:tcPr>
            <w:tcW w:w="0" w:type="auto"/>
            <w:tcBorders>
              <w:bottom w:val="single" w:sz="8" w:space="0" w:color="000000"/>
            </w:tcBorders>
            <w:vAlign w:val="center"/>
            <w:hideMark/>
          </w:tcPr>
          <w:p w:rsidR="0078310B" w:rsidRDefault="0078310B" w:rsidP="005337BA">
            <w:pPr>
              <w:widowControl w:val="0"/>
              <w:jc w:val="center"/>
            </w:pPr>
            <w:r>
              <w:t xml:space="preserve">  293,828 </w:t>
            </w: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pPr>
            <w:r>
              <w:t xml:space="preserve">2001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542,183 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494,893 </w:t>
            </w:r>
          </w:p>
        </w:tc>
        <w:tc>
          <w:tcPr>
            <w:tcW w:w="0" w:type="auto"/>
            <w:tcBorders>
              <w:bottom w:val="single" w:sz="8" w:space="0" w:color="000000"/>
            </w:tcBorders>
            <w:vAlign w:val="center"/>
            <w:hideMark/>
          </w:tcPr>
          <w:p w:rsidR="0078310B" w:rsidRDefault="0078310B" w:rsidP="005337BA">
            <w:pPr>
              <w:widowControl w:val="0"/>
              <w:jc w:val="center"/>
            </w:pPr>
            <w:r>
              <w:t xml:space="preserve">    47,290 </w:t>
            </w: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2002  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523,038 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485,279 </w:t>
            </w:r>
          </w:p>
        </w:tc>
        <w:tc>
          <w:tcPr>
            <w:tcW w:w="0" w:type="auto"/>
            <w:tcBorders>
              <w:bottom w:val="single" w:sz="8" w:space="0" w:color="000000"/>
            </w:tcBorders>
            <w:vAlign w:val="center"/>
            <w:hideMark/>
          </w:tcPr>
          <w:p w:rsidR="0078310B" w:rsidRDefault="0078310B" w:rsidP="005337BA">
            <w:pPr>
              <w:widowControl w:val="0"/>
              <w:jc w:val="center"/>
            </w:pPr>
            <w:r>
              <w:t xml:space="preserve">    37,759 </w:t>
            </w: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2003  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841,564 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495,422 </w:t>
            </w:r>
          </w:p>
        </w:tc>
        <w:tc>
          <w:tcPr>
            <w:tcW w:w="0" w:type="auto"/>
            <w:tcBorders>
              <w:bottom w:val="single" w:sz="8" w:space="0" w:color="000000"/>
            </w:tcBorders>
            <w:vAlign w:val="center"/>
            <w:hideMark/>
          </w:tcPr>
          <w:p w:rsidR="0078310B" w:rsidRDefault="0078310B" w:rsidP="005337BA">
            <w:pPr>
              <w:widowControl w:val="0"/>
              <w:jc w:val="center"/>
            </w:pPr>
            <w:r>
              <w:t xml:space="preserve">  346,142 </w:t>
            </w:r>
          </w:p>
        </w:tc>
      </w:tr>
      <w:tr w:rsidR="0078310B" w:rsidTr="005337BA">
        <w:trPr>
          <w:jc w:val="center"/>
        </w:trPr>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2004  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498,826 </w:t>
            </w:r>
          </w:p>
        </w:tc>
        <w:tc>
          <w:tcPr>
            <w:tcW w:w="0" w:type="auto"/>
            <w:tcBorders>
              <w:bottom w:val="single" w:sz="8" w:space="0" w:color="000000"/>
              <w:right w:val="single" w:sz="8" w:space="0" w:color="000000"/>
            </w:tcBorders>
            <w:vAlign w:val="center"/>
            <w:hideMark/>
          </w:tcPr>
          <w:p w:rsidR="0078310B" w:rsidRDefault="0078310B" w:rsidP="005337BA">
            <w:pPr>
              <w:widowControl w:val="0"/>
              <w:jc w:val="center"/>
            </w:pPr>
            <w:r>
              <w:t xml:space="preserve">  506,887 </w:t>
            </w:r>
          </w:p>
        </w:tc>
        <w:tc>
          <w:tcPr>
            <w:tcW w:w="0" w:type="auto"/>
            <w:tcBorders>
              <w:bottom w:val="single" w:sz="8" w:space="0" w:color="000000"/>
            </w:tcBorders>
            <w:vAlign w:val="center"/>
            <w:hideMark/>
          </w:tcPr>
          <w:p w:rsidR="0078310B" w:rsidRDefault="0078310B" w:rsidP="005337BA">
            <w:pPr>
              <w:widowControl w:val="0"/>
              <w:jc w:val="center"/>
            </w:pPr>
            <w:r>
              <w:t xml:space="preserve">   (8,061) </w:t>
            </w:r>
          </w:p>
        </w:tc>
      </w:tr>
    </w:tbl>
    <w:p w:rsidR="0078310B" w:rsidRDefault="0078310B" w:rsidP="0078310B">
      <w:pPr>
        <w:widowControl w:val="0"/>
        <w:spacing w:before="240" w:after="120"/>
        <w:ind w:firstLine="288"/>
        <w:jc w:val="both"/>
      </w:pPr>
      <w:r>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rsidR="0078310B" w:rsidRDefault="0078310B" w:rsidP="0078310B">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rsidR="0078310B" w:rsidRDefault="0078310B" w:rsidP="0078310B">
      <w:pPr>
        <w:widowControl w:val="0"/>
        <w:spacing w:after="120"/>
        <w:ind w:left="720" w:right="720"/>
        <w:jc w:val="both"/>
        <w:rPr>
          <w:rFonts w:eastAsia="Times New Roman" w:cs="Times New Roman"/>
        </w:rPr>
      </w:pPr>
      <w:r w:rsidRPr="00D03A6A">
        <w:rPr>
          <w:rFonts w:eastAsia="Times New Roman" w:cs="Times New Roman"/>
        </w:rPr>
        <w:t>It has been determined that the amounts claimed as Schedule C horse racing expenses for the tax years ending 12/31/99, 12/31/2000 and 12/31/2001 are not allowable as such since said activity is deemed to</w:t>
      </w:r>
      <w:r>
        <w:rPr>
          <w:rFonts w:eastAsia="Times New Roman" w:cs="Times New Roman"/>
        </w:rPr>
        <w:t xml:space="preserve"> be an activity not engaged in</w:t>
      </w:r>
      <w:r w:rsidRPr="00D03A6A">
        <w:rPr>
          <w:rFonts w:eastAsia="Times New Roman" w:cs="Times New Roman"/>
        </w:rPr>
        <w:t xml:space="preserve"> for profit. It has further been determined that said expenses are allowable as Schedule A expenses subject to the applicable Adjusted </w:t>
      </w:r>
      <w:r>
        <w:rPr>
          <w:rFonts w:eastAsia="Times New Roman" w:cs="Times New Roman"/>
        </w:rPr>
        <w:t>Gross Income</w:t>
      </w:r>
      <w:r w:rsidRPr="00D03A6A">
        <w:rPr>
          <w:rFonts w:eastAsia="Times New Roman" w:cs="Times New Roman"/>
        </w:rPr>
        <w:t xml:space="preserve"> limitations. Accordingly, your taxable income is increased by the disallowed expenses adjustment amounts.</w:t>
      </w:r>
    </w:p>
    <w:p w:rsidR="0078310B" w:rsidRDefault="0078310B" w:rsidP="0078310B">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rsidR="0078310B" w:rsidRPr="007B2B30" w:rsidRDefault="0078310B" w:rsidP="0078310B">
      <w:pPr>
        <w:widowControl w:val="0"/>
        <w:spacing w:after="120"/>
        <w:jc w:val="both"/>
      </w:pPr>
      <w:r>
        <w:t>OPINION</w:t>
      </w:r>
    </w:p>
    <w:p w:rsidR="0078310B" w:rsidRDefault="0078310B" w:rsidP="0078310B">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rsidR="0078310B" w:rsidRDefault="0078310B" w:rsidP="0078310B">
      <w:pPr>
        <w:widowControl w:val="0"/>
        <w:spacing w:after="120"/>
        <w:ind w:firstLine="288"/>
        <w:jc w:val="both"/>
      </w:pPr>
      <w:r>
        <w:rPr>
          <w:i/>
        </w:rPr>
        <w:t>Application of § 183</w:t>
      </w:r>
    </w:p>
    <w:p w:rsidR="0078310B" w:rsidRDefault="0078310B" w:rsidP="0078310B">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rsidR="0078310B" w:rsidRDefault="0078310B" w:rsidP="0078310B">
      <w:pPr>
        <w:widowControl w:val="0"/>
        <w:spacing w:after="120"/>
        <w:ind w:firstLine="288"/>
        <w:jc w:val="both"/>
      </w:pPr>
      <w:r w:rsidRPr="00D03A6A">
        <w:rPr>
          <w:i/>
        </w:rPr>
        <w:t>Whether Petitioner</w:t>
      </w:r>
      <w:r>
        <w:rPr>
          <w:i/>
        </w:rPr>
        <w:t>’</w:t>
      </w:r>
      <w:r w:rsidRPr="00D03A6A">
        <w:rPr>
          <w:i/>
        </w:rPr>
        <w:t>s Undertakings May Be Treated as One Activity</w:t>
      </w:r>
    </w:p>
    <w:p w:rsidR="0078310B" w:rsidRPr="001F577D" w:rsidRDefault="0078310B" w:rsidP="0078310B">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rsidR="0078310B" w:rsidRDefault="0078310B" w:rsidP="0078310B">
      <w:pPr>
        <w:widowControl w:val="0"/>
        <w:spacing w:after="120"/>
        <w:ind w:firstLine="288"/>
        <w:jc w:val="both"/>
      </w:pPr>
      <w:r>
        <w:t xml:space="preserve">We have considered these and other factors in determining whether the taxpayer’s 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rsidR="0078310B" w:rsidRDefault="0078310B" w:rsidP="0078310B">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rsidR="0078310B" w:rsidRDefault="0078310B" w:rsidP="0078310B">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rsidR="0078310B" w:rsidRDefault="0078310B" w:rsidP="0078310B">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rsidR="0078310B" w:rsidRDefault="0078310B" w:rsidP="0078310B">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rsidR="0078310B" w:rsidRDefault="0078310B" w:rsidP="0078310B">
      <w:pPr>
        <w:widowControl w:val="0"/>
        <w:spacing w:after="120"/>
        <w:ind w:firstLine="288"/>
        <w:jc w:val="both"/>
      </w:pPr>
      <w:r>
        <w:t xml:space="preserve"> Respondent cites several cases where we held that the taxpayer’s activities could not be 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rsidR="0078310B" w:rsidRDefault="0078310B" w:rsidP="0078310B">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rsidR="0078310B" w:rsidRDefault="0078310B" w:rsidP="0078310B">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rsidR="0078310B" w:rsidRDefault="0078310B" w:rsidP="0078310B">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rsidR="0078310B" w:rsidRDefault="0078310B" w:rsidP="0078310B">
      <w:pPr>
        <w:widowControl w:val="0"/>
        <w:spacing w:after="120"/>
        <w:ind w:firstLine="288"/>
        <w:jc w:val="both"/>
      </w:pPr>
      <w:r>
        <w:t>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known on the basis of her name to her clients in the equestrian world does not somehow make her activities with her equestrian-related contacts separate from her design business, which also bears her name.</w:t>
      </w:r>
    </w:p>
    <w:p w:rsidR="0078310B" w:rsidRDefault="0078310B" w:rsidP="0078310B">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rsidR="0078310B" w:rsidRDefault="0078310B" w:rsidP="0078310B">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709"/>
        <w:t>[4]</w:t>
      </w:r>
    </w:p>
    <w:p w:rsidR="0078310B" w:rsidRDefault="0078310B" w:rsidP="0078310B">
      <w:pPr>
        <w:widowControl w:val="0"/>
        <w:ind w:right="720"/>
        <w:jc w:val="center"/>
        <w:rPr>
          <w:rFonts w:eastAsia="Times New Roman" w:cs="Times New Roman"/>
        </w:rPr>
      </w:pPr>
      <w:r>
        <w:rPr>
          <w:rFonts w:eastAsia="Times New Roman" w:cs="Times New Roman"/>
        </w:rPr>
        <w:t>__________________________________</w:t>
      </w:r>
    </w:p>
    <w:p w:rsidR="0078310B" w:rsidRDefault="0078310B" w:rsidP="0078310B">
      <w:pPr>
        <w:widowControl w:val="0"/>
      </w:pPr>
    </w:p>
    <w:p w:rsidR="0078310B" w:rsidRDefault="0078310B" w:rsidP="0078310B">
      <w:pPr>
        <w:widowControl w:val="0"/>
        <w:ind w:firstLine="288"/>
        <w:jc w:val="both"/>
      </w:pPr>
      <w:r>
        <w:t xml:space="preserve">Even if a taxpayer establishes a profit motive so that the activity is considered a true business or investment activity (with deductions taken directly under the business and investment deduction provisions rather than § 183(b)), the inquiry does not necessarily end there. The particular deductions at issue may not be properly </w:t>
      </w:r>
      <w:r w:rsidRPr="008C7D0F">
        <w:rPr>
          <w:i/>
        </w:rPr>
        <w:t>allocable</w:t>
      </w:r>
      <w:r>
        <w:t xml:space="preserve"> to the business, as occurred with Mr. Vitale.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60" w:name="_Toc395790658"/>
      <w:r>
        <w:t>Hobby or Business: Brothel-Hopping Scrutinized by the IRS</w:t>
      </w:r>
      <w:r w:rsidRPr="0017156F">
        <w:rPr>
          <w:rStyle w:val="FootnoteReference"/>
          <w:b w:val="0"/>
        </w:rPr>
        <w:footnoteReference w:id="710"/>
      </w:r>
    </w:p>
    <w:p w:rsidR="0078310B" w:rsidRDefault="0078310B" w:rsidP="0078310B">
      <w:pPr>
        <w:pStyle w:val="Heading3"/>
        <w:spacing w:before="0" w:beforeAutospacing="0" w:after="0" w:afterAutospacing="0"/>
        <w:jc w:val="center"/>
        <w:rPr>
          <w:b w:val="0"/>
        </w:rPr>
      </w:pPr>
      <w:r w:rsidRPr="004B5DFC">
        <w:rPr>
          <w:b w:val="0"/>
        </w:rPr>
        <w:t>Robert W. Wood</w:t>
      </w:r>
      <w:bookmarkEnd w:id="360"/>
    </w:p>
    <w:p w:rsidR="0078310B" w:rsidRPr="0050196F" w:rsidRDefault="0078310B" w:rsidP="0078310B">
      <w:pPr>
        <w:pStyle w:val="Heading3"/>
        <w:spacing w:before="0" w:beforeAutospacing="0" w:after="0" w:afterAutospacing="0"/>
        <w:jc w:val="center"/>
      </w:pPr>
    </w:p>
    <w:p w:rsidR="0078310B" w:rsidRDefault="0078310B" w:rsidP="0078310B">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rsidR="0078310B" w:rsidRDefault="0078310B" w:rsidP="0078310B">
      <w:pPr>
        <w:widowControl w:val="0"/>
        <w:spacing w:after="120"/>
        <w:ind w:firstLine="288"/>
        <w:jc w:val="both"/>
      </w:pPr>
      <w:r>
        <w:t>Not surprisingly, profits help. The IRC presumes that if you make a profit in three out of five consecutive years, then you may have a legitimate business. But if you fall short of this presumption, you’ll have to find other ways of convincing the IRS that you are truly in business. If you are unlucky enough to have a loss every year for 20 years, you will have to do a very good job of convincing them, and few such taxpayers can do so.</w:t>
      </w:r>
    </w:p>
    <w:p w:rsidR="0078310B" w:rsidRDefault="0078310B" w:rsidP="0078310B">
      <w:pPr>
        <w:widowControl w:val="0"/>
        <w:spacing w:after="120"/>
        <w:ind w:firstLine="288"/>
        <w:jc w:val="both"/>
      </w:pPr>
      <w:r>
        <w:rPr>
          <w:i/>
        </w:rPr>
        <w:t>Steamy “Business”</w:t>
      </w:r>
    </w:p>
    <w:p w:rsidR="0078310B" w:rsidRDefault="0078310B" w:rsidP="0078310B">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rsidR="0078310B" w:rsidRDefault="0078310B" w:rsidP="0078310B">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rsidR="0078310B" w:rsidRDefault="0078310B" w:rsidP="0078310B">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rsidR="0078310B" w:rsidRDefault="0078310B" w:rsidP="0078310B">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rsidR="0078310B" w:rsidRDefault="0078310B" w:rsidP="0078310B">
      <w:pPr>
        <w:widowControl w:val="0"/>
        <w:spacing w:after="120"/>
        <w:ind w:firstLine="288"/>
        <w:jc w:val="both"/>
      </w:pPr>
      <w:r w:rsidRPr="00867664">
        <w:rPr>
          <w:i/>
        </w:rPr>
        <w:t>The Pen Is Mightier Than the Sword?</w:t>
      </w:r>
    </w:p>
    <w:p w:rsidR="0078310B" w:rsidRDefault="0078310B" w:rsidP="0078310B">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rsidR="0078310B" w:rsidRDefault="0078310B" w:rsidP="0078310B">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rsidR="0078310B" w:rsidRDefault="0078310B" w:rsidP="0078310B">
      <w:pPr>
        <w:widowControl w:val="0"/>
        <w:jc w:val="center"/>
      </w:pPr>
      <w:r>
        <w:t>______________________________________</w:t>
      </w:r>
    </w:p>
    <w:p w:rsidR="0078310B" w:rsidRDefault="0078310B" w:rsidP="0078310B">
      <w:pPr>
        <w:widowControl w:val="0"/>
        <w:ind w:firstLine="288"/>
      </w:pPr>
    </w:p>
    <w:p w:rsidR="0078310B" w:rsidRDefault="0078310B" w:rsidP="0078310B">
      <w:pPr>
        <w:widowControl w:val="0"/>
        <w:ind w:firstLine="288"/>
        <w:jc w:val="both"/>
      </w:pPr>
      <w:r>
        <w:t xml:space="preserve">Similarly, the </w:t>
      </w:r>
      <w:r>
        <w:rPr>
          <w:i/>
        </w:rPr>
        <w:t>Topping</w:t>
      </w:r>
      <w:r>
        <w:t xml:space="preserve"> court also addressed this additional issue (deleted from the excerpt above). Even if Ms. Topping succeeded in establishing that the equestrian and design undertakings were a single “activity” that showed a profit, the IRS argued that many of the equestrian costs were nevertheless not deductible as “ordinary” and “necessary” business expenses within the meaning of § 162, providing a great segue to the next chapter, which considers how to determine whether costs are properly allocable to a true business or investment.</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61" w:name="_Toc395790659"/>
      <w:r w:rsidRPr="00A875AE">
        <w:rPr>
          <w:u w:val="single"/>
        </w:rPr>
        <w:t>Problems</w:t>
      </w:r>
      <w:bookmarkEnd w:id="361"/>
    </w:p>
    <w:p w:rsidR="0078310B" w:rsidRPr="0017156F"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Rose is a dentist who earns $150,000 each year from her 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 of Gross Income on sales of her travel guides online! Alas, the air fare, hotel, and other travel costs incurred to produce the guide totaled $20,000. That is to say, she incurred a loss (excess of potential deductions over Gross Income) of </w:t>
      </w:r>
      <w:r w:rsidR="00C660E2">
        <w:t>$19,900 for Year 1 with respect to this activity.</w:t>
      </w:r>
    </w:p>
    <w:p w:rsidR="0078310B" w:rsidRDefault="0078310B" w:rsidP="0078310B">
      <w:pPr>
        <w:widowControl w:val="0"/>
        <w:spacing w:after="120"/>
        <w:ind w:left="288"/>
        <w:jc w:val="both"/>
        <w:rPr>
          <w:b/>
        </w:rPr>
      </w:pPr>
      <w:r>
        <w:rPr>
          <w:b/>
        </w:rPr>
        <w:t>a.</w:t>
      </w:r>
      <w:r>
        <w:t xml:space="preserve"> How much can Rose deduct—and under which Code section—if she succeeds in establishing a profit motive?</w:t>
      </w:r>
      <w:r>
        <w:rPr>
          <w:b/>
        </w:rPr>
        <w:t xml:space="preserve"> </w:t>
      </w:r>
    </w:p>
    <w:p w:rsidR="0078310B" w:rsidRDefault="0078310B" w:rsidP="0078310B">
      <w:pPr>
        <w:widowControl w:val="0"/>
        <w:spacing w:after="120"/>
        <w:ind w:left="288"/>
        <w:jc w:val="both"/>
      </w:pPr>
      <w:r>
        <w:rPr>
          <w:b/>
        </w:rPr>
        <w:t>b.</w:t>
      </w:r>
      <w:r>
        <w:t xml:space="preserve"> How much can Rose deduct—and under which Code section—if she fails to establish a profit motive?</w:t>
      </w:r>
    </w:p>
    <w:p w:rsidR="0078310B" w:rsidRDefault="0078310B" w:rsidP="0078310B">
      <w:pPr>
        <w:widowControl w:val="0"/>
        <w:spacing w:after="120"/>
        <w:ind w:left="288"/>
        <w:jc w:val="both"/>
      </w:pPr>
      <w:r>
        <w:rPr>
          <w:b/>
        </w:rPr>
        <w:t>c.</w:t>
      </w:r>
      <w:r>
        <w:t xml:space="preserve"> Suppose that Rose has no profit motive in Years 1 through 4 and that her Gross Income and co</w:t>
      </w:r>
      <w:r w:rsidR="00792F22">
        <w:t xml:space="preserve">sts incurred to produce the </w:t>
      </w:r>
      <w:r>
        <w:t xml:space="preserve">travel guides are as follows for each year. After traveling to Asia and Africa in Year 1, she visits less exotic locations that are less expensive to visit in Years 2, 3, and 4. </w:t>
      </w:r>
    </w:p>
    <w:p w:rsidR="0078310B" w:rsidRDefault="0078310B" w:rsidP="0078310B">
      <w:pPr>
        <w:widowControl w:val="0"/>
        <w:spacing w:after="120"/>
      </w:pPr>
      <w:r>
        <w:tab/>
      </w:r>
      <w:r>
        <w:tab/>
      </w:r>
      <w:r>
        <w:tab/>
      </w:r>
      <w:r>
        <w:tab/>
      </w:r>
      <w:r>
        <w:rPr>
          <w:u w:val="single"/>
        </w:rPr>
        <w:t>Gross Income</w:t>
      </w:r>
      <w:r>
        <w:tab/>
      </w:r>
      <w:r>
        <w:tab/>
        <w:t xml:space="preserve">    </w:t>
      </w:r>
      <w:r w:rsidRPr="002863F8">
        <w:rPr>
          <w:u w:val="single"/>
        </w:rPr>
        <w:t xml:space="preserve">Potential </w:t>
      </w:r>
      <w:r>
        <w:rPr>
          <w:u w:val="single"/>
        </w:rPr>
        <w:t xml:space="preserve">Deductions </w:t>
      </w:r>
    </w:p>
    <w:p w:rsidR="0078310B" w:rsidRDefault="0078310B" w:rsidP="0078310B">
      <w:pPr>
        <w:widowControl w:val="0"/>
      </w:pPr>
      <w:r>
        <w:tab/>
      </w:r>
      <w:r>
        <w:tab/>
        <w:t>Year 1                    $    100                                 $20,000</w:t>
      </w:r>
    </w:p>
    <w:p w:rsidR="0078310B" w:rsidRDefault="0078310B" w:rsidP="0078310B">
      <w:pPr>
        <w:widowControl w:val="0"/>
        <w:ind w:left="720" w:firstLine="720"/>
      </w:pPr>
      <w:r>
        <w:t>Year 2                       6,000                                     5,500</w:t>
      </w:r>
    </w:p>
    <w:p w:rsidR="0078310B" w:rsidRDefault="0078310B" w:rsidP="0078310B">
      <w:pPr>
        <w:widowControl w:val="0"/>
        <w:ind w:left="720" w:firstLine="720"/>
      </w:pPr>
      <w:r>
        <w:t>Year 3                     10,000                                     9,000</w:t>
      </w:r>
    </w:p>
    <w:p w:rsidR="0078310B" w:rsidRDefault="0078310B" w:rsidP="0078310B">
      <w:pPr>
        <w:widowControl w:val="0"/>
        <w:spacing w:after="120"/>
        <w:ind w:left="720" w:firstLine="720"/>
      </w:pPr>
      <w:r>
        <w:t xml:space="preserve">Year 4                       8,000  </w:t>
      </w:r>
      <w:r>
        <w:tab/>
        <w:t xml:space="preserve">                                6,600</w:t>
      </w:r>
    </w:p>
    <w:p w:rsidR="0078310B" w:rsidRDefault="0078310B" w:rsidP="0078310B">
      <w:pPr>
        <w:widowControl w:val="0"/>
        <w:spacing w:after="120"/>
        <w:ind w:left="288"/>
        <w:jc w:val="both"/>
      </w:pPr>
      <w:r>
        <w:t>At the beginning of Year 5, Rose steps back and considers that, in light of her unexpected profits, she might be able to make a business of her travel guide endeavor! She thus develops a profit motive before taking her Year-5 trip. Alas, she travels to the outback in Australia, incurring $15,000 in costs and generating only $2,000 in sales of her travel guide for Year 5. How much can Rose deduct?</w:t>
      </w:r>
    </w:p>
    <w:p w:rsidR="0078310B" w:rsidRPr="000E25B9" w:rsidRDefault="0078310B" w:rsidP="0078310B">
      <w:pPr>
        <w:widowControl w:val="0"/>
        <w:spacing w:after="120"/>
        <w:ind w:left="288"/>
        <w:jc w:val="both"/>
      </w:pPr>
      <w:r>
        <w:rPr>
          <w:b/>
        </w:rPr>
        <w:t>d.</w:t>
      </w:r>
      <w:r>
        <w:t xml:space="preserve"> Same as </w:t>
      </w:r>
      <w:r>
        <w:rPr>
          <w:b/>
        </w:rPr>
        <w:t>c.</w:t>
      </w:r>
      <w: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quit her dentist practice and work full-time at her new business. What may Rose consider doing in Year 1? </w:t>
      </w:r>
    </w:p>
    <w:p w:rsidR="0078310B" w:rsidRDefault="0078310B" w:rsidP="0078310B">
      <w:pPr>
        <w:widowControl w:val="0"/>
        <w:spacing w:after="120"/>
        <w:ind w:left="288"/>
        <w:jc w:val="both"/>
      </w:pPr>
      <w:r w:rsidRPr="005E3384">
        <w:rPr>
          <w:rFonts w:eastAsia="Times New Roman" w:cs="Times New Roman"/>
          <w:b/>
        </w:rPr>
        <w:t>e.</w:t>
      </w:r>
      <w:r w:rsidRPr="005E3384">
        <w:rPr>
          <w:rFonts w:eastAsia="Times New Roman" w:cs="Times New Roman"/>
        </w:rPr>
        <w:t xml:space="preserve"> Rose the dentist does not write travel guides. Instead, Rose the dentist lives on a small farm just outside </w:t>
      </w:r>
      <w:r>
        <w:rPr>
          <w:rFonts w:eastAsia="Times New Roman" w:cs="Times New Roman"/>
        </w:rPr>
        <w:t>the city limits and enjoys growing</w:t>
      </w:r>
      <w:r w:rsidRPr="005E3384">
        <w:rPr>
          <w:rFonts w:eastAsia="Times New Roman" w:cs="Times New Roman"/>
        </w:rPr>
        <w:t xml:space="preserve"> strawberries, blueberries, and hay during the spring and summer seasons. She sells the berries at a roadside stand </w:t>
      </w:r>
      <w:r>
        <w:rPr>
          <w:rFonts w:eastAsia="Times New Roman" w:cs="Times New Roman"/>
        </w:rPr>
        <w:t xml:space="preserve">on the weekends </w:t>
      </w:r>
      <w:r w:rsidRPr="005E3384">
        <w:rPr>
          <w:rFonts w:eastAsia="Times New Roman" w:cs="Times New Roman"/>
        </w:rPr>
        <w:t>and uses the hay to feed her horses, which she also rides at equestrian events. This year (Year 1) Rose earns $10,000 of Gross Income and incurs only $5,0</w:t>
      </w:r>
      <w:r>
        <w:rPr>
          <w:rFonts w:eastAsia="Times New Roman" w:cs="Times New Roman"/>
        </w:rPr>
        <w:t xml:space="preserve">00 of costs (expenses, depreciation of her farm equipment, </w:t>
      </w:r>
      <w:r>
        <w:rPr>
          <w:rFonts w:eastAsia="Times New Roman" w:cs="Times New Roman"/>
          <w:i/>
        </w:rPr>
        <w:t>etc.</w:t>
      </w:r>
      <w:r>
        <w:t>)</w:t>
      </w:r>
      <w:r w:rsidRPr="005E3384">
        <w:rPr>
          <w:rFonts w:eastAsia="Times New Roman" w:cs="Times New Roman"/>
        </w:rPr>
        <w:t xml:space="preserve"> with respect </w:t>
      </w:r>
      <w:r>
        <w:rPr>
          <w:rFonts w:eastAsia="Times New Roman" w:cs="Times New Roman"/>
        </w:rPr>
        <w:t xml:space="preserve">to her berry and hay crops; </w:t>
      </w:r>
      <w:r w:rsidRPr="005E3384">
        <w:rPr>
          <w:rFonts w:eastAsia="Times New Roman" w:cs="Times New Roman"/>
        </w:rPr>
        <w:t xml:space="preserve">she earns $1,000 in prizes at her equestrian events but incurs $4,000 in costs. How much can Rose deduct—and under which Code sections? </w:t>
      </w:r>
    </w:p>
    <w:p w:rsidR="0078310B" w:rsidRDefault="0078310B" w:rsidP="0078310B">
      <w:pPr>
        <w:widowControl w:val="0"/>
        <w:spacing w:after="120"/>
        <w:sectPr w:rsidR="0078310B" w:rsidSect="005337BA">
          <w:headerReference w:type="default" r:id="rId984"/>
          <w:footnotePr>
            <w:numRestart w:val="eachSect"/>
          </w:footnotePr>
          <w:type w:val="continuous"/>
          <w:pgSz w:w="12240" w:h="15840" w:code="1"/>
          <w:pgMar w:top="1440" w:right="1440" w:bottom="1440" w:left="1440" w:header="1008" w:footer="720" w:gutter="0"/>
          <w:cols w:space="720"/>
          <w:titlePg/>
          <w:docGrid w:linePitch="360"/>
        </w:sectPr>
      </w:pPr>
    </w:p>
    <w:p w:rsidR="0078310B" w:rsidRPr="00FF1CB9" w:rsidRDefault="0078310B" w:rsidP="0078310B">
      <w:pPr>
        <w:widowControl w:val="0"/>
        <w:rPr>
          <w:b/>
        </w:rPr>
      </w:pPr>
    </w:p>
    <w:p w:rsidR="0078310B" w:rsidRPr="0017156F" w:rsidRDefault="0078310B" w:rsidP="0078310B">
      <w:pPr>
        <w:pStyle w:val="Heading2"/>
        <w:spacing w:before="0"/>
        <w:rPr>
          <w:sz w:val="36"/>
          <w:szCs w:val="36"/>
        </w:rPr>
      </w:pPr>
      <w:bookmarkStart w:id="362" w:name="_Toc395790660"/>
      <w:r w:rsidRPr="0017156F">
        <w:rPr>
          <w:sz w:val="36"/>
          <w:szCs w:val="36"/>
        </w:rPr>
        <w:t xml:space="preserve">Chapter 20: Allocating Costs Between </w:t>
      </w:r>
    </w:p>
    <w:p w:rsidR="0078310B" w:rsidRPr="0017156F" w:rsidRDefault="0078310B" w:rsidP="0078310B">
      <w:pPr>
        <w:pStyle w:val="Heading2"/>
        <w:spacing w:before="0"/>
        <w:rPr>
          <w:sz w:val="36"/>
          <w:szCs w:val="36"/>
          <w:u w:val="single"/>
        </w:rPr>
      </w:pPr>
      <w:r w:rsidRPr="0017156F">
        <w:rPr>
          <w:sz w:val="36"/>
          <w:szCs w:val="36"/>
          <w:u w:val="single"/>
        </w:rPr>
        <w:t>Income Production and Personal Consumption</w:t>
      </w:r>
      <w:bookmarkEnd w:id="362"/>
    </w:p>
    <w:p w:rsidR="0078310B" w:rsidRDefault="0078310B" w:rsidP="0078310B">
      <w:pPr>
        <w:widowControl w:val="0"/>
        <w:spacing w:after="120"/>
      </w:pPr>
    </w:p>
    <w:p w:rsidR="0078310B" w:rsidRDefault="0078310B" w:rsidP="0078310B">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rsidR="0078310B" w:rsidRDefault="0078310B" w:rsidP="0078310B">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rsidR="0078310B" w:rsidRDefault="0078310B" w:rsidP="0078310B">
      <w:pPr>
        <w:widowControl w:val="0"/>
        <w:ind w:firstLine="288"/>
        <w:jc w:val="both"/>
      </w:pPr>
    </w:p>
    <w:p w:rsidR="0078310B" w:rsidRPr="0017156F" w:rsidRDefault="0078310B" w:rsidP="0078310B">
      <w:pPr>
        <w:pStyle w:val="Heading2"/>
        <w:spacing w:before="0"/>
        <w:rPr>
          <w:sz w:val="32"/>
          <w:szCs w:val="32"/>
          <w:u w:val="single"/>
        </w:rPr>
      </w:pPr>
      <w:bookmarkStart w:id="363" w:name="_Toc395790661"/>
      <w:r w:rsidRPr="0017156F">
        <w:rPr>
          <w:sz w:val="32"/>
          <w:szCs w:val="32"/>
          <w:u w:val="single"/>
        </w:rPr>
        <w:t>A. The meaning of “ordinary” and “necessary”</w:t>
      </w:r>
      <w:bookmarkEnd w:id="363"/>
    </w:p>
    <w:p w:rsidR="0078310B" w:rsidRDefault="0078310B" w:rsidP="0078310B">
      <w:pPr>
        <w:widowControl w:val="0"/>
      </w:pPr>
    </w:p>
    <w:p w:rsidR="0078310B" w:rsidRDefault="0078310B" w:rsidP="0078310B">
      <w:pPr>
        <w:widowControl w:val="0"/>
        <w:spacing w:after="120"/>
        <w:ind w:firstLine="288"/>
        <w:jc w:val="both"/>
      </w:pPr>
      <w:r>
        <w:t xml:space="preserve">Recall from Chapter 1 that the starting point in analyzing whether wealth reductions can be deducted is finding the Code section that contains the magic words “there shall be allowed a deduction” and satisfying each of its requirements. But the analysis sometimes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rsidR="0078310B" w:rsidRDefault="0078310B" w:rsidP="0078310B">
      <w:pPr>
        <w:widowControl w:val="0"/>
        <w:spacing w:after="120"/>
        <w:ind w:firstLine="288"/>
        <w:jc w:val="both"/>
      </w:pPr>
      <w:r>
        <w:t xml:space="preserve">With respect to expenses, however, the </w:t>
      </w:r>
      <w:r w:rsidRPr="00885348">
        <w:rPr>
          <w:i/>
        </w:rPr>
        <w:t>starting</w:t>
      </w:r>
      <w:r>
        <w:t xml:space="preserve"> point is </w:t>
      </w:r>
      <w:hyperlink r:id="rId985" w:history="1">
        <w:r w:rsidRPr="006D6769">
          <w:rPr>
            <w:rStyle w:val="Hyperlink"/>
          </w:rPr>
          <w:t>§ 162</w:t>
        </w:r>
      </w:hyperlink>
      <w:r>
        <w:t xml:space="preserve"> (in the case of a business activity) or </w:t>
      </w:r>
      <w:hyperlink r:id="rId986"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rsidR="0078310B" w:rsidRDefault="0078310B" w:rsidP="0078310B">
      <w:pPr>
        <w:widowControl w:val="0"/>
        <w:spacing w:after="120"/>
        <w:ind w:firstLine="288"/>
        <w:jc w:val="both"/>
      </w:pPr>
      <w:r>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 and for which he had no legal 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rsidR="0078310B" w:rsidRDefault="0078310B" w:rsidP="0078310B">
      <w:pPr>
        <w:widowControl w:val="0"/>
        <w:spacing w:after="120"/>
        <w:ind w:firstLine="288"/>
        <w:jc w:val="both"/>
      </w:pPr>
      <w:r>
        <w:t xml:space="preserve">The decision in </w:t>
      </w:r>
      <w:r>
        <w:rPr>
          <w:i/>
        </w:rPr>
        <w:t>Welch v. Helvering</w:t>
      </w:r>
      <w:r w:rsidRPr="00444031">
        <w:rPr>
          <w:rStyle w:val="FootnoteReference"/>
        </w:rPr>
        <w:footnoteReference w:id="711"/>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712"/>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713"/>
      </w:r>
      <w:r>
        <w:t xml:space="preserve"> Although the decision ultimately turned on the “expense” requirement, Justice Cardozo’s opinion in </w:t>
      </w:r>
      <w:r>
        <w:rPr>
          <w:i/>
        </w:rPr>
        <w:t>Welch</w:t>
      </w:r>
      <w:r>
        <w:t xml:space="preserve"> is nevertheless more often quoted today for its (ultimately unnecessary) dicta in defining “ordinary” and “necessary.”</w:t>
      </w:r>
    </w:p>
    <w:p w:rsidR="0078310B" w:rsidRDefault="0078310B" w:rsidP="0078310B">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714"/>
      </w:r>
      <w:r>
        <w:t xml:space="preserve"> Justice Cardozo did not explain why the meaning of the word “necessary” in § 162 should be informed by its interpretation in </w:t>
      </w:r>
      <w:r>
        <w:rPr>
          <w:i/>
        </w:rPr>
        <w:t>McCulloch v. Maryland</w:t>
      </w:r>
      <w:r>
        <w:t>,</w:t>
      </w:r>
      <w:r>
        <w:rPr>
          <w:rStyle w:val="FootnoteReference"/>
        </w:rPr>
        <w:footnoteReference w:id="715"/>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rsidR="0078310B" w:rsidRDefault="0078310B" w:rsidP="0078310B">
      <w:pPr>
        <w:widowControl w:val="0"/>
        <w:spacing w:after="120"/>
        <w:ind w:firstLine="288"/>
        <w:jc w:val="both"/>
      </w:pPr>
      <w:r>
        <w:t>Similarly, the “ordinary” test, while perhaps slightly more substantial, is also fairly easy to satisfy. Justice Cardozo stated:</w:t>
      </w:r>
    </w:p>
    <w:p w:rsidR="0078310B" w:rsidRDefault="0078310B" w:rsidP="0078310B">
      <w:pPr>
        <w:widowControl w:val="0"/>
        <w:spacing w:after="120"/>
        <w:ind w:left="720" w:right="720"/>
        <w:jc w:val="both"/>
      </w:pPr>
      <w:r>
        <w:t>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for any verbal formula that will supply a ready touchstone. The standard set up by the statute is not a rule of law; it is rather a way of life. Life in all its fullness must supply the answer to the riddle.</w:t>
      </w:r>
      <w:r>
        <w:rPr>
          <w:rStyle w:val="FootnoteReference"/>
        </w:rPr>
        <w:footnoteReference w:id="716"/>
      </w:r>
    </w:p>
    <w:p w:rsidR="0078310B" w:rsidRDefault="0078310B" w:rsidP="0078310B">
      <w:pPr>
        <w:widowControl w:val="0"/>
        <w:spacing w:after="120"/>
        <w:jc w:val="both"/>
      </w:pPr>
      <w:r>
        <w:t>In other words, even an infrequent outlay can be “ordinary” if it is not unusual according to industry norms.</w:t>
      </w:r>
      <w:r>
        <w:rPr>
          <w:rStyle w:val="FootnoteReference"/>
        </w:rPr>
        <w:footnoteReference w:id="717"/>
      </w:r>
      <w:r>
        <w:t xml:space="preserve"> Some lower courts have added the gloss that an outlay must be “reasonable,” as well, to be ordinary and necessary.</w:t>
      </w:r>
      <w:r>
        <w:rPr>
          <w:rStyle w:val="FootnoteReference"/>
        </w:rPr>
        <w:footnoteReference w:id="718"/>
      </w:r>
    </w:p>
    <w:p w:rsidR="0078310B" w:rsidRDefault="0078310B" w:rsidP="0078310B">
      <w:pPr>
        <w:widowControl w:val="0"/>
        <w:spacing w:after="120"/>
        <w:ind w:firstLine="288"/>
        <w:jc w:val="both"/>
      </w:pPr>
      <w:r>
        <w:t>These thresholds for “ordinary and necessary” are so easy to meet that they have not played a substantial part in denying expense deductions. For example, the expenses incurred in operating a private Lear jet by the owner of a timber farm in Oregon are “ordinary and necessary.”</w:t>
      </w:r>
      <w:r>
        <w:rPr>
          <w:rStyle w:val="FootnoteReference"/>
        </w:rPr>
        <w:footnoteReference w:id="719"/>
      </w:r>
      <w:r>
        <w:t xml:space="preserve"> In extreme cases, however, these standards can be used to deny truly idiosyncratic costs that are better allocated to the taxpayer’s personal sphere. For example, a manufacturer of custom plywood products was denied deduction of the costs of a weekend trip for 120 people to the Super Bowl, including business clients, because the costs were not ordinary and necessary.</w:t>
      </w:r>
      <w:r>
        <w:rPr>
          <w:rStyle w:val="FootnoteReference"/>
        </w:rPr>
        <w:footnoteReference w:id="720"/>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721"/>
      </w:r>
    </w:p>
    <w:p w:rsidR="0078310B" w:rsidRDefault="0078310B" w:rsidP="0078310B">
      <w:pPr>
        <w:widowControl w:val="0"/>
        <w:spacing w:after="120"/>
        <w:ind w:firstLine="288"/>
        <w:jc w:val="both"/>
      </w:pPr>
      <w:r>
        <w:t xml:space="preserve">As noted above, Mr. Welch’s repayment of debts not legally owed in the course of developing </w:t>
      </w:r>
      <w:r w:rsidRPr="004919F3">
        <w:rPr>
          <w:i/>
        </w:rPr>
        <w:t>new</w:t>
      </w:r>
      <w:r>
        <w:t xml:space="preserve"> goodwill for his new business venture failed the “expense” requirement in § 162. In contrast, the payment of obligations not legally owed in order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17, exploring the particular line between those education costs that can be deducted under Treas. Reg. § 1.162-5 as business expenses (because repairing previously existing human capital) and those that cannot (because creating new human capital). </w:t>
      </w:r>
    </w:p>
    <w:p w:rsidR="0078310B" w:rsidRDefault="0078310B" w:rsidP="0078310B">
      <w:pPr>
        <w:widowControl w:val="0"/>
        <w:spacing w:after="120"/>
        <w:ind w:firstLine="288"/>
        <w:jc w:val="both"/>
      </w:pPr>
      <w:r>
        <w:t xml:space="preserve">In </w:t>
      </w:r>
      <w:r>
        <w:rPr>
          <w:i/>
        </w:rPr>
        <w:t>Dunn &amp; McCarthy, Inc. v. Commissioner</w:t>
      </w:r>
      <w:r>
        <w:t>,</w:t>
      </w:r>
      <w:r>
        <w:rPr>
          <w:rStyle w:val="FootnoteReference"/>
        </w:rPr>
        <w:footnoteReference w:id="722"/>
      </w:r>
      <w:r>
        <w:t xml:space="preserve"> for example, the president of a corporation who 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rsidR="0078310B" w:rsidRDefault="0078310B" w:rsidP="0078310B">
      <w:pPr>
        <w:widowControl w:val="0"/>
        <w:spacing w:after="120"/>
        <w:ind w:left="720" w:right="720"/>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rsidR="0078310B" w:rsidRDefault="0078310B" w:rsidP="0078310B">
      <w:pPr>
        <w:widowControl w:val="0"/>
        <w:spacing w:after="120"/>
        <w:ind w:left="720" w:right="720"/>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723"/>
      </w:r>
    </w:p>
    <w:p w:rsidR="0078310B" w:rsidRDefault="0078310B" w:rsidP="0078310B">
      <w:pPr>
        <w:widowControl w:val="0"/>
        <w:spacing w:after="120"/>
        <w:ind w:firstLine="288"/>
        <w:jc w:val="both"/>
      </w:pPr>
      <w:r>
        <w:t>The IRS now agrees with this distinction, as evidenced in Revenue Ruling 76-203.</w:t>
      </w:r>
      <w:r>
        <w:rPr>
          <w:rStyle w:val="FootnoteReference"/>
        </w:rPr>
        <w:footnoteReference w:id="724"/>
      </w:r>
      <w:r>
        <w:t xml:space="preserve"> In that ruling, the taxpayer’s furniture and storage warehouse burned to the ground, totally destroying the 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rsidR="0078310B" w:rsidRDefault="0078310B" w:rsidP="0078310B">
      <w:pPr>
        <w:widowControl w:val="0"/>
        <w:spacing w:after="120"/>
        <w:ind w:firstLine="288"/>
        <w:jc w:val="both"/>
      </w:pPr>
      <w:r>
        <w:t>The goodwill at issue, however, must pertain to the business at issue when the taxpayer has more than one business. For example, the cou</w:t>
      </w:r>
      <w:r w:rsidR="006D6769">
        <w:t>ntry music singer Conway Twitty</w:t>
      </w:r>
      <w:r>
        <w:t xml:space="preserve"> earned most of his income as an entertainer. Nevertheless, he and several of his friends decided to open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25"/>
      </w:r>
      <w:r>
        <w:t xml:space="preserve"> The government argued that there was no relationship between Twitty Burger and the singer’s business of being a country music entertainer, but the Tax Court agreed with Mr. Twitty and allowed the deduction. </w:t>
      </w:r>
    </w:p>
    <w:p w:rsidR="0078310B" w:rsidRPr="00B21BD8" w:rsidRDefault="0078310B" w:rsidP="0078310B">
      <w:pPr>
        <w:pStyle w:val="Heading3"/>
        <w:spacing w:before="0" w:beforeAutospacing="0" w:after="120" w:afterAutospacing="0"/>
        <w:rPr>
          <w:i/>
        </w:rPr>
      </w:pPr>
      <w:bookmarkStart w:id="364" w:name="_Toc395790662"/>
      <w:r w:rsidRPr="00B21BD8">
        <w:rPr>
          <w:i/>
        </w:rPr>
        <w:t>Lobbying costs as business expenses</w:t>
      </w:r>
      <w:bookmarkEnd w:id="364"/>
    </w:p>
    <w:p w:rsidR="0078310B" w:rsidRDefault="0078310B" w:rsidP="0078310B">
      <w:pPr>
        <w:widowControl w:val="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26"/>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87" w:history="1">
        <w:r w:rsidRPr="00E32D10">
          <w:rPr>
            <w:rStyle w:val="Hyperlink"/>
          </w:rPr>
          <w:t>§ 162</w:t>
        </w:r>
      </w:hyperlink>
      <w:r>
        <w:t>(e) to disallow the deduction of direct lobbying expenses at the Federal and state—but not local—levels. The amendments also newly prohibited deduction of costs incurred in contacting certain Federal officials. The costs of grassroots lobbying and intervening in a political campaign continue to be nondeductible as business expenses—even at the local level.</w:t>
      </w:r>
      <w:r>
        <w:rPr>
          <w:rStyle w:val="FootnoteReference"/>
        </w:rPr>
        <w:footnoteReference w:id="727"/>
      </w:r>
      <w:r>
        <w:t xml:space="preserv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65" w:name="_Toc395790663"/>
      <w:r>
        <w:t>GEARY v. COMMISSIONER</w:t>
      </w:r>
      <w:bookmarkEnd w:id="365"/>
    </w:p>
    <w:p w:rsidR="0078310B" w:rsidRDefault="0078310B" w:rsidP="0078310B">
      <w:pPr>
        <w:widowControl w:val="0"/>
        <w:jc w:val="center"/>
      </w:pPr>
      <w:r>
        <w:t>235 F.3d 1207 (9</w:t>
      </w:r>
      <w:r w:rsidRPr="00D17307">
        <w:rPr>
          <w:vertAlign w:val="superscript"/>
        </w:rPr>
        <w:t>th</w:t>
      </w:r>
      <w:r>
        <w:t xml:space="preserve"> Cir. 2000)</w:t>
      </w:r>
    </w:p>
    <w:p w:rsidR="0078310B" w:rsidRDefault="0078310B" w:rsidP="0078310B">
      <w:pPr>
        <w:widowControl w:val="0"/>
      </w:pPr>
    </w:p>
    <w:p w:rsidR="0078310B" w:rsidRPr="00FF6941" w:rsidRDefault="0078310B" w:rsidP="0078310B">
      <w:pPr>
        <w:widowControl w:val="0"/>
        <w:spacing w:after="120"/>
        <w:ind w:firstLine="288"/>
        <w:jc w:val="both"/>
      </w:pPr>
      <w:r>
        <w:t xml:space="preserve">Before </w:t>
      </w:r>
      <w:r>
        <w:rPr>
          <w:smallCaps/>
        </w:rPr>
        <w:t>Fletcher</w:t>
      </w:r>
      <w:r>
        <w:t>, O’</w:t>
      </w:r>
      <w:r>
        <w:rPr>
          <w:smallCaps/>
        </w:rPr>
        <w:t>Scannlain</w:t>
      </w:r>
      <w:r>
        <w:t xml:space="preserve">, and </w:t>
      </w:r>
      <w:r>
        <w:rPr>
          <w:smallCaps/>
        </w:rPr>
        <w:t>Gould, Circuit Judges.</w:t>
      </w:r>
    </w:p>
    <w:p w:rsidR="0078310B" w:rsidRDefault="0078310B" w:rsidP="0078310B">
      <w:pPr>
        <w:widowControl w:val="0"/>
        <w:spacing w:after="120"/>
        <w:ind w:firstLine="288"/>
        <w:jc w:val="both"/>
      </w:pPr>
      <w:r>
        <w:rPr>
          <w:smallCaps/>
        </w:rPr>
        <w:t>O’Scannlain</w:t>
      </w:r>
      <w:r w:rsidRPr="00955787">
        <w:rPr>
          <w:smallCaps/>
        </w:rPr>
        <w:t>, Circuit Judge</w:t>
      </w:r>
      <w:r>
        <w:rPr>
          <w:smallCaps/>
        </w:rPr>
        <w:t xml:space="preserve">: </w:t>
      </w:r>
      <w:r>
        <w:t>We must decide whether a taxpayer is entitled to an income tax deduction for expenses incurred to place a proposition affecting his working conditions on a local ballot.</w:t>
      </w:r>
    </w:p>
    <w:p w:rsidR="0078310B" w:rsidRDefault="0078310B" w:rsidP="0078310B">
      <w:pPr>
        <w:widowControl w:val="0"/>
        <w:spacing w:after="120"/>
        <w:jc w:val="center"/>
      </w:pPr>
      <w:r>
        <w:t>I</w:t>
      </w:r>
    </w:p>
    <w:p w:rsidR="0078310B" w:rsidRDefault="0078310B" w:rsidP="0078310B">
      <w:pPr>
        <w:widowControl w:val="0"/>
        <w:spacing w:after="120"/>
        <w:ind w:firstLine="288"/>
        <w:jc w:val="both"/>
      </w:pPr>
      <w:r>
        <w:t>Robert Geary, a veteran officer of the San Francisco Police Department, appeals a judgment from the Tax Court upholding the Commissioner’s determination of a deficiency in his income tax for the 1993 tax year and an assessment of an accuracy-related penalty. The Tax Court disallowed Geary’s claimed deduction of $9,711.49 in purported “business expenses” incurred under the following circumstances.</w:t>
      </w:r>
    </w:p>
    <w:p w:rsidR="0078310B" w:rsidRDefault="0078310B" w:rsidP="0078310B">
      <w:pPr>
        <w:widowControl w:val="0"/>
        <w:spacing w:after="120"/>
        <w:ind w:firstLine="288"/>
        <w:jc w:val="both"/>
      </w:pPr>
      <w:r>
        <w:t>In response to a 1992 San Francisco Police Department policy to encourage creative community policing strategies, Geary began patrolling his beat with a ventriloquist’s dummy, whom he named Officer Brendan O’Smarty (“the dummy” or “Officer O’Smarty”). Geary patrolled San Francisco’s ethnically diverse North Beach neighborhood and used the dummy to assist him in breaking down language and cultural barriers with neighborhood residents. Geary’s unusual approach to community policing attracted national and international media attention, from Turkish television coverage to the front page of the New York Times. Geary realized income as a result of this media attention. Geary signed an option contract with Golden Door Productions to develop a story concept for a film and received over $14,000 when his concept was sold to Interscope Communications. Geary also earned income as a hand model.</w:t>
      </w:r>
    </w:p>
    <w:p w:rsidR="0078310B" w:rsidRDefault="0078310B" w:rsidP="0078310B">
      <w:pPr>
        <w:widowControl w:val="0"/>
        <w:spacing w:after="120"/>
        <w:ind w:firstLine="288"/>
        <w:jc w:val="both"/>
      </w:pPr>
      <w:r>
        <w:t>When Geary’s supervisors became aware of his community policing technique, they told him to “get rid of the puppet because it makes the department look stupid.” Geary protested and insisted on meeting with department officials about Officer O’Smarty. At the meeting, it was decided that Geary would need prior written departmental approval before taking Officer O’Smarty on future patrols. The plight of Officer O’Smarty stirred the San Francisco Board of Supervisors to pass a resolution urging the mayor to instruct the chief of police to allow Geary to continue patrolling with the dummy. The mayor resisted the Board’s entreaty and the resolution was ignored.</w:t>
      </w:r>
    </w:p>
    <w:p w:rsidR="0078310B" w:rsidRDefault="0078310B" w:rsidP="0078310B">
      <w:pPr>
        <w:widowControl w:val="0"/>
        <w:spacing w:after="120"/>
        <w:ind w:firstLine="288"/>
        <w:jc w:val="both"/>
      </w:pPr>
      <w:r>
        <w:t>At this point, it occurred to Geary that he should let the San Francisco voters decide whether he should be permitted to use the dummy as he saw fit. He formed the Committee to Save Puppet Officer Brendan O’Smarty and circulated a petition to place the issue before the voters. As required by California law, the San Francisco City Attorney certified that the ballot title appearing on the petition was “presented as a true and impartial statement of the proposed measure.” The proposed text of the declaration of policy as it appeared on the petition recited that the measure would allow Geary to decide when to team up with Officer O’Smarty in order “to develop greater trust between the community and the Police Department, improve communications between the department and the general public, and help remove barriers which hamper the goals of the department.”</w:t>
      </w:r>
    </w:p>
    <w:p w:rsidR="0078310B" w:rsidRDefault="0078310B" w:rsidP="0078310B">
      <w:pPr>
        <w:widowControl w:val="0"/>
        <w:spacing w:after="120"/>
        <w:ind w:firstLine="288"/>
        <w:jc w:val="both"/>
      </w:pPr>
      <w:r>
        <w:t>Geary secured sufficient signatures to place the measure on the ballot as “Proposition BB” and the public approved the proposition the following November. Geary incurred $11,465 in petition circulation and promotion expenses and deducted this amount from his 1993 income taxes as Schedule C advertising expenses. Of this amount, Geary paid $9,088.60 to a professional petition signature collector to obtain the nearly 10,000 signatures required for his proposition to be placed on the ballot. Geary paid an additional $622.89 in connection with the circulation of the ballot petition for a total of $9,711.49 in expenses related to the circulation of the petition and collection of signatures. The remaining $1,753.51 was spent for slate card mailings, paid argument in the ballot pamphlet, and other expenses designed to promote the proposition.</w:t>
      </w:r>
    </w:p>
    <w:p w:rsidR="0078310B" w:rsidRDefault="0078310B" w:rsidP="0078310B">
      <w:pPr>
        <w:widowControl w:val="0"/>
        <w:spacing w:after="120"/>
        <w:ind w:firstLine="288"/>
        <w:jc w:val="both"/>
      </w:pPr>
      <w:r>
        <w:t xml:space="preserve">The IRS disallowed Geary’s entire Schedule C deduction, issued a notice of deficiency in the amount of $3,499, and assessed an accuracy-related penalty under </w:t>
      </w:r>
      <w:r w:rsidRPr="008A60DA">
        <w:t>26 U.S.C. § 6662(a)</w:t>
      </w:r>
      <w:r>
        <w:t xml:space="preserve"> and </w:t>
      </w:r>
      <w:r w:rsidRPr="008A60DA">
        <w:t>(b)(1)</w:t>
      </w:r>
      <w:r>
        <w:t xml:space="preserve"> in the amount of $700. Geary petitioned for a redetermination of the deficiency and penalty in Tax Court. He contended that these expenses were “ordinary and necessary expenses” of his business [income attributable to the puppet activity earned outside of his police salary] or, in the alternative, unreimbursed employee business expenses, and hence deductible under </w:t>
      </w:r>
      <w:r w:rsidRPr="008A60DA">
        <w:t>26 U.S.C. § 162(a)</w:t>
      </w:r>
      <w:r>
        <w:t xml:space="preserve">. Geary was the sole witness to testify at trial. On April 5, 1999, the Tax Court entered judgment for the Commissioner, holding that such expenses were nondeductible under </w:t>
      </w:r>
      <w:r w:rsidRPr="003A54AF">
        <w:t>26 U.S.C. § 162(e)(2)(B)</w:t>
      </w:r>
      <w:r>
        <w:t xml:space="preserve">, which disallows business deductions for expenses incurred “in connection with any attempt to influence the general public, or segments thereof, with respect to elections, legislative matters, or referendums.” The court rejected Geary’s contention that his primary purpose in placing the measure on the ballot was to inform the voters of his creative community policing efforts and to let them decide whether he should continue to patrol with Officer O’Smarty. The court concluded that “taken as a whole, petitioner’s actions show a clear intent to influence the general public.” The court also determined that Geary was subject to an accuracy-related penalty under </w:t>
      </w:r>
      <w:r w:rsidRPr="00777B30">
        <w:t>26 U.S.C. § 6662(b)(1)</w:t>
      </w:r>
      <w:r>
        <w:t xml:space="preserve"> because he negligently claimed a deduction for such expenses.</w:t>
      </w:r>
    </w:p>
    <w:p w:rsidR="0078310B" w:rsidRDefault="0078310B" w:rsidP="0078310B">
      <w:pPr>
        <w:widowControl w:val="0"/>
        <w:spacing w:after="120"/>
        <w:ind w:firstLine="288"/>
        <w:jc w:val="both"/>
      </w:pPr>
      <w:r>
        <w:t>On appeal, Geary claims that the Tax Court erred in characterizing his effort to place his puppet proposition on the ballot as an attempt to influence the public. He insists that he merely wished to inform the voters in neutral terms about the issue and let them decide for themselves. Geary has conceded that $1,753.51 of his total claimed advertising deduction, not related to petition circulation or signature collection, was incurred in an attempt to influence the public. Thus, only the $9,711.49 in petition-related expenses are at issue in this appeal.</w:t>
      </w:r>
    </w:p>
    <w:p w:rsidR="0078310B" w:rsidRDefault="0078310B" w:rsidP="0078310B">
      <w:pPr>
        <w:widowControl w:val="0"/>
        <w:spacing w:after="120"/>
        <w:jc w:val="center"/>
      </w:pPr>
      <w:r>
        <w:t>II</w:t>
      </w:r>
    </w:p>
    <w:p w:rsidR="0078310B" w:rsidRDefault="0078310B" w:rsidP="0078310B">
      <w:pPr>
        <w:widowControl w:val="0"/>
        <w:spacing w:after="120"/>
        <w:ind w:firstLine="288"/>
        <w:jc w:val="both"/>
      </w:pPr>
      <w:r>
        <w:t xml:space="preserve">Since 1918, regulations promulgated by the Treasury have provided that expenses incurred for the promotion or defeat of legislation are not deductible as business expenses. </w:t>
      </w:r>
      <w:r w:rsidRPr="00F46AEC">
        <w:rPr>
          <w:i/>
        </w:rPr>
        <w:t>See</w:t>
      </w:r>
      <w:r>
        <w:t xml:space="preserve"> </w:t>
      </w:r>
      <w:r w:rsidRPr="00F46AEC">
        <w:rPr>
          <w:i/>
        </w:rPr>
        <w:t>Cammarano v. U.S.</w:t>
      </w:r>
      <w:r>
        <w:t xml:space="preserve">, 358 U.S. 498 </w:t>
      </w:r>
      <w:r w:rsidRPr="00F46AEC">
        <w:t>(1959)</w:t>
      </w:r>
      <w:r>
        <w:t xml:space="preserve">. In </w:t>
      </w:r>
      <w:r w:rsidRPr="00F46AEC">
        <w:rPr>
          <w:i/>
        </w:rPr>
        <w:t>Cammarano</w:t>
      </w:r>
      <w:r>
        <w:t xml:space="preserve">, the Supreme Court held that these regulations applied equally to referenda; hence, expenses incurred by liquor retailers and distributors in an effort to encourage voters to vote against a state prohibition initiative were not deductible as ordinary and necessary business expenses. </w:t>
      </w:r>
      <w:r w:rsidRPr="00F46AEC">
        <w:rPr>
          <w:i/>
        </w:rPr>
        <w:t>Id.</w:t>
      </w:r>
      <w:r w:rsidRPr="00F46AEC">
        <w:t xml:space="preserve"> at 505-12</w:t>
      </w:r>
      <w:r>
        <w:t xml:space="preserve">. In the Revenue Act of 1962, Congress codified this portion of the </w:t>
      </w:r>
      <w:r w:rsidRPr="00F46AEC">
        <w:rPr>
          <w:i/>
        </w:rPr>
        <w:t>Cammarano</w:t>
      </w:r>
      <w:r>
        <w:t xml:space="preserve"> decision, adding </w:t>
      </w:r>
      <w:r w:rsidRPr="00F46AEC">
        <w:t>§ 162(e) to the Internal Revenue Code</w:t>
      </w:r>
      <w:r>
        <w:t xml:space="preserve">. Revenue Act of 1962, Pub. L. 87-834 § 3(a). Section 162(e)[(1)(C)] provided that there would be no deduction for “any amount paid or incurred … in connection with any attempt to influence the general public, or segments thereof, with respect to elections, legislative matters, or referendums.” This provision was meant to disallow deductions “for expenses incurred in connection with what is usually called “grassroot” campaigns intended to develop a point of view among the public generally ….” </w:t>
      </w:r>
      <w:r>
        <w:rPr>
          <w:smallCaps/>
        </w:rPr>
        <w:t xml:space="preserve">S. Rep. </w:t>
      </w:r>
      <w:r w:rsidRPr="005562E5">
        <w:rPr>
          <w:smallCaps/>
        </w:rPr>
        <w:t>No.</w:t>
      </w:r>
      <w:r>
        <w:t xml:space="preserve"> 87-1881, 1962 U.S.C.C.A.N. 3297, 3326.</w:t>
      </w:r>
    </w:p>
    <w:p w:rsidR="0078310B" w:rsidRDefault="0078310B" w:rsidP="0078310B">
      <w:pPr>
        <w:widowControl w:val="0"/>
        <w:spacing w:after="120"/>
        <w:ind w:firstLine="288"/>
        <w:jc w:val="both"/>
      </w:pPr>
      <w:r>
        <w:t>Geary contends that his petition circulation and signature collection expenses were not incurred in an attempt to “influence the public” under § 162(e)[(1)(C)]. He insists that his efforts to place Proposition BB on the ballot were borne solely from a desire to inform the public about the police puppet issue and to let the voters decide whether he should continue to patrol with Officer O’Smarty. He relies heavily on the fact that the San Francisco City Attorney certified that the ballot title appearing on the ballot petition was a “true and impartial statement of the purpose of the proposed measure.” He also insists that the signature collectors did not tell anyone to vote for or against the measure.</w:t>
      </w:r>
    </w:p>
    <w:p w:rsidR="0078310B" w:rsidRDefault="0078310B" w:rsidP="0078310B">
      <w:pPr>
        <w:widowControl w:val="0"/>
        <w:spacing w:after="120"/>
        <w:ind w:firstLine="288"/>
        <w:jc w:val="both"/>
      </w:pPr>
      <w:r>
        <w:t>We disagree. The plain language of § 162(e)[(1)(C)] renders nondeductible “any amount paid or incurred … in connection with any attempt to influence the general public ….” The expenses at issue here were clearly “in connection with” Geary’s attempt to influence the public with respect to the puppet proposition. The circulation of the petition and collection of signatures were necessary first steps in Geary’s overall promotion of the proposition.</w:t>
      </w:r>
    </w:p>
    <w:p w:rsidR="0078310B" w:rsidRDefault="0078310B" w:rsidP="0078310B">
      <w:pPr>
        <w:widowControl w:val="0"/>
        <w:spacing w:after="120"/>
        <w:ind w:firstLine="288"/>
        <w:jc w:val="both"/>
      </w:pPr>
      <w:r>
        <w:t xml:space="preserve">In </w:t>
      </w:r>
      <w:r w:rsidRPr="00CD0605">
        <w:rPr>
          <w:i/>
        </w:rPr>
        <w:t>Washburn v. Commissioner</w:t>
      </w:r>
      <w:r w:rsidRPr="00CD0605">
        <w:t>, 283 F.2d 839 (8th Cir. 1960)</w:t>
      </w:r>
      <w:r>
        <w:t xml:space="preserve">, the Eighth Circuit squarely rejected arguments virtually identical to Geary’s. In </w:t>
      </w:r>
      <w:r w:rsidRPr="00CD0605">
        <w:rPr>
          <w:i/>
        </w:rPr>
        <w:t>Washburn</w:t>
      </w:r>
      <w:r>
        <w:t>, the taxpayer claimed a deduction for signature collection expenses he incurred in an effort to place a referendum on the ballot that would repeal a certain legislative act. The taxpayer claimed that he did not incur these expenses in order to influence the public, but merely to place the referendum on the ballot. The court rejected this argument:</w:t>
      </w:r>
    </w:p>
    <w:p w:rsidR="0078310B" w:rsidRDefault="0078310B" w:rsidP="0078310B">
      <w:pPr>
        <w:widowControl w:val="0"/>
        <w:spacing w:after="120"/>
        <w:ind w:left="720" w:right="720"/>
        <w:jc w:val="both"/>
      </w:pPr>
      <w:r>
        <w:t xml:space="preserve">The facts in the instant case come within the purview of </w:t>
      </w:r>
      <w:r w:rsidRPr="00CD0605">
        <w:rPr>
          <w:i/>
        </w:rPr>
        <w:t>Strauss</w:t>
      </w:r>
      <w:r>
        <w:t xml:space="preserve"> and </w:t>
      </w:r>
      <w:r w:rsidRPr="00CD0605">
        <w:rPr>
          <w:i/>
        </w:rPr>
        <w:t>Cammarano</w:t>
      </w:r>
      <w:r>
        <w:t xml:space="preserve">. Here the taxpayer expended money for the purpose of obtaining sufficient signatures to make possible the referendum of an existing state statute to the people under the same state constitutional provision involved in </w:t>
      </w:r>
      <w:r w:rsidRPr="00E30483">
        <w:rPr>
          <w:i/>
        </w:rPr>
        <w:t>Strauss</w:t>
      </w:r>
      <w:r>
        <w:t>…. The taxpayer here argues that he expended these funds only for the purpose of securing signatures to make possible the referendum, and not for the promotion or defeat of legislation. But obviously he was doing it for the purpose of annulling the existing legislation. Having found this purpose as a fact, the Tax Court necessarily held the expenditures nondeductible under the specific provisions of the Treasury Regulations.</w:t>
      </w:r>
    </w:p>
    <w:p w:rsidR="0078310B" w:rsidRDefault="0078310B" w:rsidP="0078310B">
      <w:pPr>
        <w:widowControl w:val="0"/>
        <w:spacing w:after="120"/>
        <w:ind w:firstLine="288"/>
        <w:jc w:val="both"/>
      </w:pPr>
      <w:r>
        <w:t xml:space="preserve">Here, too, the Tax Court found that Geary incurred the petition circulation and signature collection expenses for the purpose of influencing the public. This finding is not clearly erroneous. Geary began his efforts to place Proposition BB on the ballot in response to the police department’s restrictions on his use of Officer O’Smarty. He paid for the expenses at issue through his “Committee to Save Puppet Officer Brendan O’Smarty,” which he formed, according to his own testimony, for the express purpose of getting the proposition passed. The petition he circulated contained the text of the proposed declaration of policy in addition to a “true and impartial” ballot title certified by the City Attorney as required by the California Election Code. After securing Proposition BB’s place on the ballot, Geary incurred additional expenses to promote the measure and to ensure its passage. Thus, there can be little doubt that Geary incurred the disputed petition circulation expenses in connection with—and, in fact, as an integral part of—his overall attempt to persuade the public. </w:t>
      </w:r>
    </w:p>
    <w:p w:rsidR="0078310B" w:rsidRDefault="0078310B" w:rsidP="0078310B">
      <w:pPr>
        <w:widowControl w:val="0"/>
        <w:spacing w:after="120"/>
        <w:ind w:firstLine="288"/>
        <w:jc w:val="both"/>
      </w:pPr>
      <w:r>
        <w:t xml:space="preserve">In the words of Judge Learned Hand, “political agitation as such is outside the statute, however innocent the aim …. Controversies of that sort must be conducted without public subvention; the Treasury stands aside from them.“ </w:t>
      </w:r>
      <w:r w:rsidRPr="00E30483">
        <w:rPr>
          <w:i/>
        </w:rPr>
        <w:t>Slee v. Comm’r</w:t>
      </w:r>
      <w:r w:rsidRPr="00E30483">
        <w:t>, 42 F.2d 184, 185 (2d Cir. 1930)</w:t>
      </w:r>
      <w:r>
        <w:t xml:space="preserve">, quoted in </w:t>
      </w:r>
      <w:r w:rsidRPr="00E30483">
        <w:rPr>
          <w:i/>
        </w:rPr>
        <w:t>Cammarano</w:t>
      </w:r>
      <w:r w:rsidRPr="00E30483">
        <w:t>, 358 U.S. at 512</w:t>
      </w:r>
      <w:r>
        <w:t>. Accordingly, we reject Geary’s attempt to receive “public subvention” for his campaign on behalf of Officer O’Smarty.</w:t>
      </w:r>
    </w:p>
    <w:p w:rsidR="0078310B" w:rsidRDefault="0078310B" w:rsidP="0078310B">
      <w:pPr>
        <w:widowControl w:val="0"/>
        <w:spacing w:after="120"/>
        <w:jc w:val="center"/>
      </w:pPr>
      <w:r>
        <w:t>III</w:t>
      </w:r>
    </w:p>
    <w:p w:rsidR="0078310B" w:rsidRDefault="0078310B" w:rsidP="0078310B">
      <w:pPr>
        <w:widowControl w:val="0"/>
        <w:spacing w:after="120"/>
        <w:ind w:firstLine="288"/>
        <w:jc w:val="both"/>
      </w:pPr>
      <w:r w:rsidRPr="00E30483">
        <w:t>26 U.S.C. § 6662(a)</w:t>
      </w:r>
      <w:r>
        <w:t xml:space="preserve"> provides for an accuracy-related penalty equal to 20 percent of any underpayment attributable to, among other things, “negligence or disregard of rules or regulations.” </w:t>
      </w:r>
      <w:r w:rsidRPr="00E30483">
        <w:t>26 U.S.C. § 6662(b)(1)</w:t>
      </w:r>
      <w:r>
        <w:t>. The Tax Court upheld the Commissioner’s assessment of a penalty against Geary pursuant to this section.</w:t>
      </w:r>
    </w:p>
    <w:p w:rsidR="0078310B" w:rsidRDefault="0078310B" w:rsidP="0078310B">
      <w:pPr>
        <w:widowControl w:val="0"/>
        <w:ind w:firstLine="288"/>
        <w:jc w:val="both"/>
      </w:pPr>
      <w:r w:rsidRPr="00E30483">
        <w:t>26 U.S.C. § 6664(c)(1)</w:t>
      </w:r>
      <w:r>
        <w:t xml:space="preserve"> provides that no penalty shall be imposed under </w:t>
      </w:r>
      <w:r w:rsidRPr="00E30483">
        <w:t>§ 6662</w:t>
      </w:r>
      <w:r>
        <w:t xml:space="preserve"> “if it is shown that there was a reasonable cause for such [underpayment] and that the taxpayer acted in good faith ….” </w:t>
      </w:r>
      <w:r w:rsidRPr="00E30483">
        <w:t>26 U.S.C. § 6664(c)(1)</w:t>
      </w:r>
      <w:r>
        <w:t xml:space="preserve">. According to the Treasury regulations, “circumstances that may indicate reasonable cause and good faith include an honest misunderstanding of fact or law that is reasonable in light of all of the facts and circumstances, including the experience, knowledge, and education of the taxpayer.” 26 C.F.R. § 1.6661-6(b). Given the unusual facts of this case, Geary’s relative lack of experience, and the absence of case law on point from this circuit, we conclude that Geary’s underpayment was not attributable to negligence but rather amounted to no more than an honest misunderstanding of law that was reasonable in light of all the facts and circumstances. </w:t>
      </w:r>
      <w:r w:rsidRPr="00E30483">
        <w:rPr>
          <w:i/>
        </w:rPr>
        <w:t>See</w:t>
      </w:r>
      <w:r>
        <w:t xml:space="preserve"> </w:t>
      </w:r>
      <w:r w:rsidRPr="00E30483">
        <w:rPr>
          <w:i/>
        </w:rPr>
        <w:t>Stanford v. Comm’r</w:t>
      </w:r>
      <w:r w:rsidRPr="00E30483">
        <w:t>, 152 F.3d 450, 460-61 (5th Cir. 1998)</w:t>
      </w:r>
      <w:r>
        <w:t xml:space="preserve"> (vacating penalty where taxpayer’s underpayment was reasonable under the circumstances). We accordingly reverse the Tax Court’s affirmance of Geary’s accuracy-related penalty.</w:t>
      </w:r>
    </w:p>
    <w:p w:rsidR="0078310B" w:rsidRDefault="0078310B" w:rsidP="0078310B">
      <w:pPr>
        <w:widowControl w:val="0"/>
        <w:jc w:val="center"/>
      </w:pPr>
      <w:r>
        <w:t>_____________________________________________</w:t>
      </w:r>
    </w:p>
    <w:p w:rsidR="0078310B" w:rsidRDefault="0078310B" w:rsidP="0078310B">
      <w:pPr>
        <w:pStyle w:val="Heading3"/>
        <w:spacing w:before="0" w:beforeAutospacing="0" w:after="0" w:afterAutospacing="0"/>
        <w:ind w:left="288"/>
        <w:rPr>
          <w:b w:val="0"/>
        </w:rPr>
      </w:pPr>
      <w:bookmarkStart w:id="366" w:name="_Toc395790664"/>
    </w:p>
    <w:p w:rsidR="0078310B" w:rsidRPr="00B21BD8" w:rsidRDefault="0078310B" w:rsidP="0078310B">
      <w:pPr>
        <w:pStyle w:val="Heading3"/>
        <w:spacing w:before="0" w:beforeAutospacing="0" w:after="120" w:afterAutospacing="0"/>
        <w:rPr>
          <w:i/>
        </w:rPr>
      </w:pPr>
      <w:r w:rsidRPr="00B21BD8">
        <w:rPr>
          <w:i/>
        </w:rPr>
        <w:t>Bribes and kickbacks, fines and penalties, treble damages under the antitrust laws, and the end of the common law public policy exception (or is it?)</w:t>
      </w:r>
      <w:bookmarkEnd w:id="366"/>
    </w:p>
    <w:p w:rsidR="0078310B" w:rsidRDefault="0078310B" w:rsidP="0078310B">
      <w:pPr>
        <w:widowControl w:val="0"/>
        <w:spacing w:after="120"/>
        <w:ind w:firstLine="288"/>
        <w:jc w:val="both"/>
      </w:pPr>
      <w:r>
        <w:t xml:space="preserve">Prior to 1969, some courts attempted to disallow the deduction of business expenses that they found to be contrary to </w:t>
      </w:r>
      <w:r w:rsidR="00E32D10">
        <w:t>“</w:t>
      </w:r>
      <w:r>
        <w:t>public policy,</w:t>
      </w:r>
      <w:r w:rsidR="00E32D10">
        <w:t>”</w:t>
      </w:r>
      <w:r>
        <w:t xml:space="preserve"> even though the costs otherwise satisfied the ordinary and necessary tests and even though the Supreme Court typically (though not always) reversed. For example, the lower courts denied deductions for rent and wages paid by the operators of an illegal gambling enterprise, but the Supreme Court reversed in </w:t>
      </w:r>
      <w:r>
        <w:rPr>
          <w:i/>
        </w:rPr>
        <w:t>Commissioner v. Sullivan</w:t>
      </w:r>
      <w:r>
        <w:t>,</w:t>
      </w:r>
      <w:r>
        <w:rPr>
          <w:rStyle w:val="FootnoteReference"/>
        </w:rPr>
        <w:footnoteReference w:id="728"/>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29"/>
      </w:r>
      <w:r>
        <w:t xml:space="preserve"> Similarly, the lower courts denied deduction as business expenses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30"/>
      </w:r>
      <w:r>
        <w:t xml:space="preserve"> Nevertheless, the Supreme Court did see some room for deduction disallowance on public policy grounds. In </w:t>
      </w:r>
      <w:r>
        <w:rPr>
          <w:i/>
        </w:rPr>
        <w:t>Tank Truck Rentals v. Commissioner</w:t>
      </w:r>
      <w:r>
        <w:t>,</w:t>
      </w:r>
      <w:r>
        <w:rPr>
          <w:rStyle w:val="FootnoteReference"/>
        </w:rPr>
        <w:footnoteReference w:id="731"/>
      </w:r>
      <w:r>
        <w:t xml:space="preserve"> for example, the Court agreed that business expense deductions for government fines and penalties incurred by the business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32"/>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33"/>
      </w:r>
    </w:p>
    <w:p w:rsidR="0078310B" w:rsidRDefault="0078310B" w:rsidP="0078310B">
      <w:pPr>
        <w:widowControl w:val="0"/>
        <w:spacing w:after="120"/>
        <w:ind w:firstLine="288"/>
        <w:jc w:val="both"/>
      </w:pPr>
      <w:r>
        <w:t xml:space="preserve">Is augmenting the pain of the punishment the goal of denying normative deductions, </w:t>
      </w:r>
      <w:r>
        <w:rPr>
          <w:i/>
        </w:rPr>
        <w:t>i.e.</w:t>
      </w:r>
      <w:r>
        <w:t xml:space="preserve">,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39.6% bracket would suffer a punishment of 39.6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rsidR="0078310B" w:rsidRDefault="0078310B" w:rsidP="0078310B">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34"/>
      </w:r>
    </w:p>
    <w:p w:rsidR="0078310B" w:rsidRDefault="0078310B" w:rsidP="0078310B">
      <w:pPr>
        <w:widowControl w:val="0"/>
        <w:spacing w:after="120"/>
        <w:ind w:firstLine="288"/>
        <w:jc w:val="both"/>
      </w:pPr>
      <w:r>
        <w:t xml:space="preserve">Under </w:t>
      </w:r>
      <w:hyperlink r:id="rId988" w:history="1">
        <w:r w:rsidRPr="00E32D10">
          <w:rPr>
            <w:rStyle w:val="Hyperlink"/>
          </w:rPr>
          <w:t>§ 162</w:t>
        </w:r>
      </w:hyperlink>
      <w:r>
        <w:t xml:space="preserve">(f), the payment must (1) constitute a “fine or penalty” (encompassing both civil and criminal fines and penalties but not civil damages), (2) be paid “to a government,” and (3) be incurred because of “the violation of any law.” Indeed, </w:t>
      </w:r>
      <w:hyperlink r:id="rId989" w:history="1">
        <w:r w:rsidRPr="00E32D10">
          <w:rPr>
            <w:rStyle w:val="Hyperlink"/>
          </w:rPr>
          <w:t>Treas. Reg. § 1.162-21</w:t>
        </w:r>
      </w:hyperlink>
      <w:r>
        <w:t xml:space="preserve">(b)(2) specifically states that “[c]ompensatory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rsidR="00E32D10">
        <w:t>in nature. E</w:t>
      </w:r>
      <w:r>
        <w:t>xamples include British Petroleum’s fines in connection with the Deepwater Horizon oil spill and several bank fines in connection with the financial crisis.</w:t>
      </w:r>
      <w:r>
        <w:rPr>
          <w:rStyle w:val="FootnoteReference"/>
        </w:rPr>
        <w:footnoteReference w:id="735"/>
      </w:r>
      <w:r>
        <w:t xml:space="preserve"> You can be sure that much negotiation goes into the drafting of these settlement agreements.</w:t>
      </w:r>
      <w:r>
        <w:rPr>
          <w:rStyle w:val="FootnoteReference"/>
        </w:rPr>
        <w:footnoteReference w:id="736"/>
      </w:r>
    </w:p>
    <w:p w:rsidR="0078310B" w:rsidRPr="009D7191" w:rsidRDefault="0078310B" w:rsidP="0078310B">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37"/>
      </w:r>
      <w:r>
        <w:t xml:space="preserve"> </w:t>
      </w:r>
    </w:p>
    <w:p w:rsidR="0078310B" w:rsidRDefault="0078310B" w:rsidP="0078310B">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all deductions and thus be taxed on Gross Income. In 1982, Congress enacted </w:t>
      </w:r>
      <w:hyperlink r:id="rId990" w:history="1">
        <w:r w:rsidRPr="00E32D10">
          <w:rPr>
            <w:rStyle w:val="Hyperlink"/>
          </w:rPr>
          <w:t>§ 280E</w:t>
        </w:r>
      </w:hyperlink>
      <w:r>
        <w:t xml:space="preserve">, which provides that “no deduction or credit” shall be allowed with respect to a business consisting of trafficking in controlled substances. A basis offset (or an offset for Cost of Goods Sold under inventory accounting, described in Chapter 13), however, is not mechanically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rsidR="0078310B" w:rsidRDefault="0078310B" w:rsidP="0078310B">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Thus,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rsidR="0078310B" w:rsidRDefault="0078310B" w:rsidP="0078310B">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held that the doctrine survives to deny § 165 loss deductions in certain circumstances. In </w:t>
      </w:r>
      <w:r>
        <w:rPr>
          <w:i/>
        </w:rPr>
        <w:t>Mazzei v. Commissioner</w:t>
      </w:r>
      <w:r>
        <w:t>,</w:t>
      </w:r>
      <w:r>
        <w:rPr>
          <w:rStyle w:val="FootnoteReference"/>
        </w:rPr>
        <w:footnoteReference w:id="738"/>
      </w:r>
      <w:r>
        <w:t xml:space="preserve"> a reviewed opinion heard by the entire Tax Court, the taxpayer suffered a theft of $20,000, which he sought to deduct under §§ 165(c)(3) and (h) (studied in Chapter 18). The 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rsidR="0078310B" w:rsidRDefault="0078310B" w:rsidP="0078310B">
      <w:pPr>
        <w:widowControl w:val="0"/>
        <w:spacing w:after="120"/>
        <w:ind w:firstLine="288"/>
        <w:jc w:val="both"/>
      </w:pPr>
      <w:r>
        <w:t xml:space="preserve">In contrast, Judges Sterrett (in dissent) and Tannenwald (in his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rsidR="0078310B" w:rsidRPr="00641D9A" w:rsidRDefault="0078310B" w:rsidP="0078310B">
      <w:pPr>
        <w:widowControl w:val="0"/>
        <w:spacing w:after="120"/>
        <w:ind w:left="720" w:right="720"/>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39"/>
      </w:r>
    </w:p>
    <w:p w:rsidR="0078310B" w:rsidRDefault="0078310B" w:rsidP="0078310B">
      <w:pPr>
        <w:widowControl w:val="0"/>
        <w:spacing w:after="120"/>
        <w:ind w:firstLine="288"/>
        <w:jc w:val="both"/>
      </w:pPr>
      <w:r>
        <w:t>Judge Tannenwald responded:</w:t>
      </w:r>
    </w:p>
    <w:p w:rsidR="0078310B" w:rsidRDefault="0078310B" w:rsidP="0078310B">
      <w:pPr>
        <w:widowControl w:val="0"/>
        <w:spacing w:after="120"/>
        <w:ind w:left="720" w:right="720"/>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40"/>
      </w:r>
    </w:p>
    <w:p w:rsidR="0078310B" w:rsidRDefault="0078310B" w:rsidP="0078310B">
      <w:pPr>
        <w:widowControl w:val="0"/>
        <w:spacing w:after="120"/>
        <w:ind w:firstLine="288"/>
        <w:jc w:val="both"/>
      </w:pPr>
      <w:r>
        <w:t xml:space="preserve">Favorably citing </w:t>
      </w:r>
      <w:r>
        <w:rPr>
          <w:i/>
        </w:rPr>
        <w:t xml:space="preserve">Mazzei, </w:t>
      </w:r>
      <w:r>
        <w:t>Revenue Ruling 81-24</w:t>
      </w:r>
      <w:r>
        <w:rPr>
          <w:rStyle w:val="FootnoteReference"/>
        </w:rPr>
        <w:footnoteReference w:id="741"/>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rsidR="0078310B" w:rsidRPr="00B21BD8" w:rsidRDefault="0078310B" w:rsidP="0078310B">
      <w:pPr>
        <w:pStyle w:val="Heading3"/>
        <w:spacing w:before="0" w:beforeAutospacing="0" w:after="120" w:afterAutospacing="0"/>
        <w:rPr>
          <w:i/>
        </w:rPr>
      </w:pPr>
      <w:bookmarkStart w:id="367" w:name="_Toc395790665"/>
      <w:r w:rsidRPr="00B21BD8">
        <w:rPr>
          <w:i/>
        </w:rPr>
        <w:t>Excess compensation</w:t>
      </w:r>
      <w:bookmarkEnd w:id="367"/>
    </w:p>
    <w:p w:rsidR="0078310B" w:rsidRDefault="002B3596" w:rsidP="0078310B">
      <w:pPr>
        <w:widowControl w:val="0"/>
        <w:spacing w:after="120"/>
        <w:ind w:firstLine="288"/>
        <w:jc w:val="both"/>
      </w:pPr>
      <w:hyperlink r:id="rId991" w:history="1">
        <w:r w:rsidR="0078310B" w:rsidRPr="00E32D10">
          <w:rPr>
            <w:rStyle w:val="Hyperlink"/>
          </w:rPr>
          <w:t>Section 162</w:t>
        </w:r>
      </w:hyperlink>
      <w:r w:rsidR="0078310B">
        <w:t>(a)(1) explicitly lists “</w:t>
      </w:r>
      <w:r w:rsidR="0078310B" w:rsidRPr="005E61CD">
        <w:t>a reasonable al</w:t>
      </w:r>
      <w:r w:rsidR="0078310B">
        <w:t>lowance for salaries or other compensation for personal services actually rendered” as an example of a deductible ordinary and necessary business expense. This provision, enacted in 1918, appears to have been a codification of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income tax liability during WWI.</w:t>
      </w:r>
      <w:r w:rsidR="0078310B">
        <w:rPr>
          <w:rStyle w:val="FootnoteReference"/>
        </w:rPr>
        <w:footnoteReference w:id="742"/>
      </w:r>
      <w:r w:rsidR="0078310B">
        <w:t xml:space="preserve"> After the repeal of the Excess Profits Tax, however, the provision remained. Over time, it has come to be interpreted primarily as a </w:t>
      </w:r>
      <w:r w:rsidR="0078310B">
        <w:rPr>
          <w:i/>
        </w:rPr>
        <w:t xml:space="preserve">limit </w:t>
      </w:r>
      <w:r w:rsidR="0078310B">
        <w:t xml:space="preserve">on how much of an employee’s salary can be deducted as a business expense—usually in the context of the closely held corporation that attempts to disguise nondeductible dividends as deductible salary paid to its owner-employees. Thus, </w:t>
      </w:r>
      <w:hyperlink r:id="rId992" w:history="1">
        <w:r w:rsidR="0078310B" w:rsidRPr="00E32D10">
          <w:rPr>
            <w:rStyle w:val="Hyperlink"/>
          </w:rPr>
          <w:t>Treas. Reg. § 1.162-7</w:t>
        </w:r>
      </w:hyperlink>
      <w:r w:rsidR="0078310B">
        <w:t>(b)(1) provides that “[a]n ostensible salary paid by a corporation may be a distribution of a dividend on stock. This is likely to occur in the case of a corporation having few shareholders, practically all of whom draw salaries.”</w:t>
      </w:r>
      <w:r w:rsidR="0078310B">
        <w:rPr>
          <w:rStyle w:val="FootnoteReference"/>
        </w:rPr>
        <w:footnoteReference w:id="743"/>
      </w:r>
      <w:r w:rsidR="0078310B" w:rsidRPr="003C3E44">
        <w:t xml:space="preserve"> </w:t>
      </w:r>
    </w:p>
    <w:p w:rsidR="0078310B" w:rsidRDefault="0078310B" w:rsidP="0078310B">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 Thus, 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shifting of wealth from one to another without any increase in aggregate wealth—in this case, a shift in the allocation of the corporation’s profits (if any) from other workers and shareholders of the corporation to the corporation’s executives.</w:t>
      </w:r>
    </w:p>
    <w:p w:rsidR="0078310B" w:rsidRDefault="0078310B" w:rsidP="0078310B">
      <w:pPr>
        <w:widowControl w:val="0"/>
        <w:spacing w:after="120"/>
        <w:ind w:left="720" w:right="720"/>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44"/>
      </w:r>
      <w:r>
        <w:t xml:space="preserve"> </w:t>
      </w:r>
    </w:p>
    <w:p w:rsidR="0078310B" w:rsidRDefault="0078310B" w:rsidP="0078310B">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45"/>
      </w:r>
      <w:r>
        <w:t xml:space="preserve"> imposing a deduction limit on the “excess” salary could actually increase the economy’s overall efficiency. </w:t>
      </w:r>
    </w:p>
    <w:p w:rsidR="0078310B" w:rsidRDefault="0078310B" w:rsidP="0078310B">
      <w:pPr>
        <w:widowControl w:val="0"/>
        <w:ind w:firstLine="288"/>
        <w:jc w:val="both"/>
      </w:pPr>
      <w:r>
        <w:t xml:space="preserve">Because the “reasonable” standard in § 162(a)(1) looks in part to similar compensation packages paid by similar companies, § 162(a)(1) has not proved effective at limiting deduction of executive pay, as it has ballooned across the board. Thus, Congress enacted </w:t>
      </w:r>
      <w:hyperlink r:id="rId993" w:history="1">
        <w:r w:rsidRPr="00B9612A">
          <w:rPr>
            <w:rStyle w:val="Hyperlink"/>
          </w:rPr>
          <w:t>§ 162</w:t>
        </w:r>
      </w:hyperlink>
      <w:r>
        <w:t>(m) in 1993. While the original bill would have denied deduction for almost all executive compensation in excess of $1 million, the enacted provision added a hugely important exception for “performance-based compensation,” which frees from the deduction limit compensation paid on meeting certain performance goals identified by a compensation committee of the board of directors “comprised solely of 2 or more outside directors.”</w:t>
      </w:r>
      <w:r>
        <w:rPr>
          <w:rStyle w:val="FootnoteReference"/>
        </w:rPr>
        <w:footnoteReference w:id="746"/>
      </w:r>
      <w:r>
        <w:t xml:space="preserve"> In practice, this exception has swallowed the rule.</w:t>
      </w:r>
      <w:r w:rsidRPr="00234331">
        <w:rPr>
          <w:rStyle w:val="FootnoteReference"/>
        </w:rPr>
        <w:footnoteReference w:id="747"/>
      </w:r>
    </w:p>
    <w:p w:rsidR="0078310B" w:rsidRPr="004E4EC5" w:rsidRDefault="0078310B" w:rsidP="0078310B">
      <w:pPr>
        <w:widowControl w:val="0"/>
        <w:ind w:firstLine="288"/>
        <w:jc w:val="both"/>
      </w:pPr>
    </w:p>
    <w:p w:rsidR="0078310B" w:rsidRPr="0017156F" w:rsidRDefault="0078310B" w:rsidP="0078310B">
      <w:pPr>
        <w:pStyle w:val="Heading2"/>
        <w:spacing w:before="0"/>
        <w:rPr>
          <w:color w:val="000000"/>
          <w:sz w:val="32"/>
          <w:szCs w:val="32"/>
          <w:u w:val="single"/>
        </w:rPr>
      </w:pPr>
      <w:bookmarkStart w:id="368" w:name="_Toc395790666"/>
      <w:r w:rsidRPr="0017156F">
        <w:rPr>
          <w:sz w:val="32"/>
          <w:szCs w:val="32"/>
          <w:u w:val="single"/>
        </w:rPr>
        <w:t>B. The origin-of-the-claim test</w:t>
      </w:r>
      <w:bookmarkEnd w:id="368"/>
    </w:p>
    <w:p w:rsidR="0078310B" w:rsidRDefault="0078310B" w:rsidP="0078310B">
      <w:pPr>
        <w:widowControl w:val="0"/>
        <w:ind w:right="720"/>
      </w:pPr>
    </w:p>
    <w:p w:rsidR="0078310B" w:rsidRDefault="0078310B" w:rsidP="0078310B">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48"/>
      </w:r>
      <w:r>
        <w:t>)</w:t>
      </w:r>
    </w:p>
    <w:p w:rsidR="0078310B" w:rsidRPr="00E60126"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69" w:name="_Toc395790667"/>
      <w:r>
        <w:t>UNITED STATES v. GILMORE</w:t>
      </w:r>
      <w:bookmarkEnd w:id="369"/>
    </w:p>
    <w:p w:rsidR="0078310B" w:rsidRDefault="0078310B" w:rsidP="0078310B">
      <w:pPr>
        <w:widowControl w:val="0"/>
        <w:jc w:val="center"/>
      </w:pPr>
      <w:r>
        <w:t>372 U.S. 39 (1963)</w:t>
      </w:r>
    </w:p>
    <w:p w:rsidR="0078310B" w:rsidRDefault="0078310B" w:rsidP="0078310B">
      <w:pPr>
        <w:widowControl w:val="0"/>
      </w:pPr>
    </w:p>
    <w:p w:rsidR="0078310B" w:rsidRDefault="0078310B" w:rsidP="0078310B">
      <w:pPr>
        <w:widowControl w:val="0"/>
        <w:spacing w:after="120"/>
        <w:ind w:firstLine="288"/>
        <w:jc w:val="both"/>
      </w:pPr>
      <w:r>
        <w:rPr>
          <w:smallCaps/>
        </w:rPr>
        <w:t>Justice Harlan</w:t>
      </w:r>
      <w:r>
        <w:t xml:space="preserve"> delivered the opinion of the court.</w:t>
      </w:r>
    </w:p>
    <w:p w:rsidR="0078310B" w:rsidRDefault="0078310B" w:rsidP="0078310B">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rsidR="0078310B" w:rsidRDefault="0078310B" w:rsidP="0078310B">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rsidR="0078310B" w:rsidRDefault="0078310B" w:rsidP="0078310B">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49"/>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rsidR="0078310B" w:rsidRDefault="0078310B" w:rsidP="0078310B">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that to the extent that such stockholdings were community property, the wife, allegedly the innocent party in the divorce proceeding, was entitled under California law to more than a one-half interest in such property.</w:t>
      </w:r>
      <w:r>
        <w:rPr>
          <w:rStyle w:val="FootnoteReference"/>
        </w:rPr>
        <w:footnoteReference w:customMarkFollows="1" w:id="750"/>
        <w:t>[6]</w:t>
      </w:r>
    </w:p>
    <w:p w:rsidR="0078310B" w:rsidRDefault="0078310B" w:rsidP="0078310B">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rsidR="0078310B" w:rsidRDefault="0078310B" w:rsidP="0078310B">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rsidR="0078310B" w:rsidRDefault="0078310B" w:rsidP="0078310B">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70" w:name="1100-43"/>
      <w:r>
        <w:t>[§ 262(a).]</w:t>
      </w:r>
      <w:bookmarkEnd w:id="370"/>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rsidR="0078310B" w:rsidRDefault="0078310B" w:rsidP="0078310B">
      <w:pPr>
        <w:widowControl w:val="0"/>
        <w:spacing w:after="120"/>
        <w:ind w:left="720" w:right="720"/>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rsidR="0078310B" w:rsidRDefault="0078310B" w:rsidP="0078310B">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rsidR="0078310B" w:rsidRDefault="0078310B" w:rsidP="0078310B">
      <w:pPr>
        <w:widowControl w:val="0"/>
        <w:spacing w:after="120"/>
        <w:jc w:val="center"/>
      </w:pPr>
      <w:r>
        <w:t>I</w:t>
      </w:r>
    </w:p>
    <w:p w:rsidR="0078310B" w:rsidRDefault="0078310B" w:rsidP="0078310B">
      <w:pPr>
        <w:widowControl w:val="0"/>
        <w:spacing w:after="120"/>
        <w:ind w:firstLine="288"/>
        <w:jc w:val="both"/>
      </w:pPr>
      <w:r>
        <w:t>For income tax purposes Congress has seen fit to regard an individual as having two personalities: “one is [as] a seeker after profit who can deduct the expenses incurred in that search; the other is [as] a creature satisfying his needs as a human and those of his family but who cannot deduct such consumption and related expenditures.”</w:t>
      </w:r>
      <w:r>
        <w:rPr>
          <w:rStyle w:val="FootnoteReference"/>
        </w:rPr>
        <w:footnoteReference w:customMarkFollows="1" w:id="751"/>
        <w:t>[11]</w:t>
      </w:r>
      <w:r>
        <w:t xml:space="preserve"> The Government regards [§ 212(2)] as embodying a category of the expenses embraced in the first of these roles.</w:t>
      </w:r>
    </w:p>
    <w:p w:rsidR="0078310B" w:rsidRDefault="0078310B" w:rsidP="0078310B">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rsidR="0078310B" w:rsidRDefault="0078310B" w:rsidP="0078310B">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rsidR="0078310B" w:rsidRDefault="0078310B" w:rsidP="0078310B">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rsidR="0078310B" w:rsidRDefault="0078310B" w:rsidP="0078310B">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rsidR="0078310B" w:rsidRDefault="0078310B" w:rsidP="0078310B">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rsidR="0078310B" w:rsidRDefault="0078310B" w:rsidP="0078310B">
      <w:pPr>
        <w:widowControl w:val="0"/>
        <w:spacing w:after="120"/>
        <w:ind w:left="720" w:right="720"/>
        <w:jc w:val="both"/>
      </w:pPr>
      <w:r>
        <w:t>Legal expenses do not become deductible merely because they are paid for services 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rsidR="0078310B" w:rsidRDefault="0078310B" w:rsidP="0078310B">
      <w:pPr>
        <w:widowControl w:val="0"/>
        <w:spacing w:after="120"/>
        <w:ind w:left="720" w:right="720"/>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rsidR="0078310B" w:rsidRDefault="0078310B" w:rsidP="0078310B">
      <w:pPr>
        <w:widowControl w:val="0"/>
        <w:spacing w:after="120"/>
        <w:ind w:left="720" w:right="720"/>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rsidR="0078310B" w:rsidRDefault="0078310B" w:rsidP="0078310B">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rsidR="0078310B" w:rsidRDefault="0078310B" w:rsidP="0078310B">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52"/>
        <w:t>[15]</w:t>
      </w:r>
      <w:r>
        <w:t xml:space="preserve"> and would not be compatible with the basic lines of expense deductibility drawn by Congress.</w:t>
      </w:r>
      <w:r>
        <w:rPr>
          <w:rStyle w:val="FootnoteReference"/>
        </w:rPr>
        <w:footnoteReference w:customMarkFollows="1" w:id="753"/>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rsidR="0078310B" w:rsidRDefault="0078310B" w:rsidP="0078310B">
      <w:pPr>
        <w:widowControl w:val="0"/>
        <w:spacing w:after="120"/>
        <w:ind w:firstLine="288"/>
        <w:jc w:val="both"/>
      </w:pPr>
      <w:r>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54"/>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rsidR="0078310B" w:rsidRDefault="0078310B" w:rsidP="0078310B">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rsidR="0078310B" w:rsidRDefault="0078310B" w:rsidP="0078310B">
      <w:pPr>
        <w:widowControl w:val="0"/>
        <w:spacing w:after="120"/>
        <w:ind w:firstLine="288"/>
        <w:jc w:val="both"/>
      </w:pPr>
      <w:r>
        <w:t>We turn then to the determinative question in this case: did the wife’s claims respecting respondent’s stockholdings arise in connection with his profit-seeking activities?</w:t>
      </w:r>
    </w:p>
    <w:p w:rsidR="0078310B" w:rsidRDefault="0078310B" w:rsidP="0078310B">
      <w:pPr>
        <w:widowControl w:val="0"/>
        <w:spacing w:after="120"/>
        <w:jc w:val="center"/>
      </w:pPr>
      <w:r>
        <w:t>II</w:t>
      </w:r>
    </w:p>
    <w:p w:rsidR="0078310B" w:rsidRDefault="0078310B" w:rsidP="0078310B">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rsidR="0078310B" w:rsidRDefault="0078310B" w:rsidP="0078310B">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rsidR="0078310B" w:rsidRDefault="0078310B" w:rsidP="0078310B">
      <w:pPr>
        <w:widowControl w:val="0"/>
        <w:jc w:val="center"/>
      </w:pPr>
      <w:r>
        <w:t>____________________________________________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Mr. Gilmore made two arguments in support of deducting at least a portion of his divorce litigation costs. First, he relied on the predecessor to </w:t>
      </w:r>
      <w:hyperlink r:id="rId994" w:history="1">
        <w:r w:rsidRPr="00B9612A">
          <w:rPr>
            <w:rStyle w:val="Hyperlink"/>
          </w:rPr>
          <w:t>§ 212</w:t>
        </w:r>
      </w:hyperlink>
      <w:r>
        <w:t>(2) by arguing that the community property claims of his wife could cause him to lose income-producing property (the stock in his 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95" w:history="1">
        <w:r w:rsidRPr="00B9612A">
          <w:rPr>
            <w:rStyle w:val="Hyperlink"/>
          </w:rPr>
          <w:t>Treas. Reg. § 1.262-1</w:t>
        </w:r>
      </w:hyperlink>
      <w:r>
        <w:t>(b) “generally” (using that word) confirms this characterization.</w:t>
      </w:r>
    </w:p>
    <w:p w:rsidR="0078310B" w:rsidRDefault="0078310B" w:rsidP="0078310B">
      <w:pPr>
        <w:widowControl w:val="0"/>
        <w:spacing w:after="120"/>
        <w:ind w:firstLine="288"/>
        <w:jc w:val="both"/>
      </w:pPr>
      <w:r>
        <w:t>Treas. Reg. § 1.262-1(b) goes on to state, however, that the costs incurred by a recipient of tax alimony to negotiate the tax alimony terms or to enforce payment are deductible under § 212(1) as expenses incurred “for the production or collection of income.” While this rule may appear to be inconsistent with the origin-of-the-claim test (because alimony negotiation and enforcement have their origins in the alimony recipient’s personal life), this rule is necessary in order to honor SHS normative principles. Recall from Chapter 9 that tax alimony is includable in Gross Income. Thus, SHS principles require that the costs directly connected to producing this stream of includable Gross Income should be deductible to avoid doubly taxing the same dollars to the same taxpayer—even though the includable Gross Income arises in the taxpayer’s personal sphere and not out of a profit motive. In other words, this rule is consistent with the deduction allowance</w:t>
      </w:r>
      <w:r w:rsidR="00B9612A">
        <w:t>s</w:t>
      </w:r>
      <w:r>
        <w:t xml:space="preserve"> in </w:t>
      </w:r>
      <w:r w:rsidR="00B9612A">
        <w:t xml:space="preserve">§§ 165(d) and </w:t>
      </w:r>
      <w:r>
        <w:t>183(b), studied i</w:t>
      </w:r>
      <w:r w:rsidR="00B9612A">
        <w:t>n the last chapter, which essentially allow</w:t>
      </w:r>
      <w:r>
        <w:t xml:space="preserve"> deductions to the extent of the Gross Income earned in the personal activity. </w:t>
      </w:r>
    </w:p>
    <w:p w:rsidR="0078310B" w:rsidRDefault="0078310B" w:rsidP="0078310B">
      <w:pPr>
        <w:widowControl w:val="0"/>
        <w:spacing w:after="120"/>
        <w:ind w:firstLine="288"/>
        <w:jc w:val="both"/>
      </w:pPr>
      <w:r>
        <w:t>In addition, do not forget the § 212(3) tax expenditure (which has nothing to do with measuring SHS income properly), allowing deduction of expenses incurred “in connection with the determination, collection, or refund of any tax.” As you learned in Chapter 18, Treas. Reg. § 1.212-1(</w:t>
      </w:r>
      <w:r>
        <w:rPr>
          <w:i/>
        </w:rPr>
        <w:t>l</w:t>
      </w:r>
      <w:r>
        <w:t xml:space="preserve">) interprets this language generously to apply to costs incurred “for tax counsel,” </w:t>
      </w:r>
      <w:r>
        <w:rPr>
          <w:i/>
        </w:rPr>
        <w:t>i.e.</w:t>
      </w:r>
      <w:r>
        <w:t xml:space="preserve">, tax-planning expenses. Thus, the costs incurred by </w:t>
      </w:r>
      <w:r>
        <w:rPr>
          <w:i/>
        </w:rPr>
        <w:t xml:space="preserve">both </w:t>
      </w:r>
      <w:r>
        <w:t>parties to a divorce are deductible to the extent properly allocable to costs incurred for tax advice in structuring the alimony, child support, and property settlements with an eye on their tax consequences. All of these § 212 deductions are MIDs, however, subject to the 2% floor in § 67.</w:t>
      </w:r>
    </w:p>
    <w:p w:rsidR="0078310B" w:rsidRPr="003A0FEE" w:rsidRDefault="0078310B" w:rsidP="0078310B">
      <w:pPr>
        <w:pStyle w:val="Heading3"/>
        <w:spacing w:before="0" w:beforeAutospacing="0" w:after="120" w:afterAutospacing="0"/>
        <w:rPr>
          <w:i/>
        </w:rPr>
      </w:pPr>
      <w:bookmarkStart w:id="371" w:name="_Toc395790668"/>
      <w:r w:rsidRPr="003A0FEE">
        <w:rPr>
          <w:i/>
        </w:rPr>
        <w:t>Gilmore II</w:t>
      </w:r>
      <w:bookmarkEnd w:id="371"/>
    </w:p>
    <w:p w:rsidR="0078310B" w:rsidRDefault="0078310B" w:rsidP="0078310B">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55"/>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56"/>
      </w:r>
      <w:r>
        <w:t xml:space="preserve"> </w:t>
      </w:r>
    </w:p>
    <w:p w:rsidR="0078310B" w:rsidRDefault="0078310B" w:rsidP="0078310B">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57"/>
      </w:r>
      <w:r>
        <w:t xml:space="preserve"> In view of the Supreme Court’s earlier decision, however, was that result correct? Did not the Supreme Court conclude that these costs </w:t>
      </w:r>
      <w:r w:rsidR="00716FC5">
        <w:t>were current expenses incurred to dissolve t</w:t>
      </w:r>
      <w:r>
        <w:t xml:space="preserve">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court decisions. </w:t>
      </w:r>
    </w:p>
    <w:p w:rsidR="0078310B" w:rsidRPr="003A0FEE" w:rsidRDefault="0078310B" w:rsidP="0078310B">
      <w:pPr>
        <w:pStyle w:val="Heading3"/>
        <w:spacing w:before="0" w:beforeAutospacing="0" w:after="120" w:afterAutospacing="0"/>
        <w:rPr>
          <w:i/>
        </w:rPr>
      </w:pPr>
      <w:bookmarkStart w:id="372" w:name="_Toc395790669"/>
      <w:r w:rsidRPr="003A0FEE">
        <w:rPr>
          <w:i/>
        </w:rPr>
        <w:t>How far back do we go in looking for the “origin” of a cost?</w:t>
      </w:r>
      <w:bookmarkEnd w:id="372"/>
    </w:p>
    <w:p w:rsidR="0078310B" w:rsidRDefault="0078310B" w:rsidP="0078310B">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58"/>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the § 183(b)(2) deduction limit (which, absent a profit motive, would have limited his deductions to the amount of Gross Income generated by the book sales for the year). The Tax Court nevertheless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rsidR="0078310B" w:rsidRDefault="0078310B" w:rsidP="0078310B">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rsidR="0078310B" w:rsidRDefault="0078310B" w:rsidP="0078310B">
      <w:pPr>
        <w:widowControl w:val="0"/>
        <w:spacing w:after="120"/>
        <w:ind w:firstLine="288"/>
        <w:jc w:val="both"/>
      </w:pPr>
      <w:r w:rsidRPr="00D655EF">
        <w:rPr>
          <w:b/>
        </w:rPr>
        <w:t>Harden v. Commissioner.</w:t>
      </w:r>
      <w:r>
        <w:rPr>
          <w:rStyle w:val="FootnoteReference"/>
        </w:rPr>
        <w:footnoteReference w:id="759"/>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rsidR="0078310B" w:rsidRPr="00AF0ECA" w:rsidRDefault="0078310B" w:rsidP="0078310B">
      <w:pPr>
        <w:widowControl w:val="0"/>
        <w:spacing w:after="120"/>
        <w:ind w:firstLine="288"/>
        <w:jc w:val="both"/>
      </w:pPr>
      <w:r w:rsidRPr="00D655EF">
        <w:rPr>
          <w:b/>
        </w:rPr>
        <w:t>Peckham v. Commissioner.</w:t>
      </w:r>
      <w:r>
        <w:rPr>
          <w:rStyle w:val="FootnoteReference"/>
        </w:rPr>
        <w:footnoteReference w:id="760"/>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In addition,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rsidR="0078310B" w:rsidRDefault="0078310B" w:rsidP="0078310B">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61"/>
      </w:r>
      <w:r>
        <w:t xml:space="preserve"> </w:t>
      </w:r>
    </w:p>
    <w:p w:rsidR="0078310B" w:rsidRPr="003A0FEE" w:rsidRDefault="0078310B" w:rsidP="0078310B">
      <w:pPr>
        <w:pStyle w:val="Heading3"/>
        <w:spacing w:before="0" w:beforeAutospacing="0" w:after="120" w:afterAutospacing="0"/>
        <w:rPr>
          <w:i/>
        </w:rPr>
      </w:pPr>
      <w:bookmarkStart w:id="373" w:name="_Toc395790670"/>
      <w:r w:rsidRPr="003A0FEE">
        <w:rPr>
          <w:i/>
        </w:rPr>
        <w:t>The origin of commuting, clothing, and meal costs unconnected to travel or entertainment</w:t>
      </w:r>
      <w:bookmarkEnd w:id="373"/>
    </w:p>
    <w:p w:rsidR="0078310B" w:rsidRDefault="0078310B" w:rsidP="0078310B">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Thus, </w:t>
      </w:r>
      <w:hyperlink r:id="rId996"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97"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62"/>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63"/>
      </w:r>
      <w:r>
        <w:t xml:space="preserve"> </w:t>
      </w:r>
    </w:p>
    <w:p w:rsidR="0078310B" w:rsidRDefault="0078310B" w:rsidP="0078310B">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the lawyer deduct the suit costs as business expenses under § 162?</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74" w:name="_Toc395790671"/>
      <w:r>
        <w:t>PEVSNER v. COMMISSIONER</w:t>
      </w:r>
      <w:bookmarkEnd w:id="374"/>
    </w:p>
    <w:p w:rsidR="0078310B" w:rsidRDefault="0078310B" w:rsidP="0078310B">
      <w:pPr>
        <w:widowControl w:val="0"/>
        <w:jc w:val="center"/>
      </w:pPr>
      <w:r>
        <w:t>628 F.2d 467 (5</w:t>
      </w:r>
      <w:r w:rsidRPr="00577FCB">
        <w:rPr>
          <w:vertAlign w:val="superscript"/>
        </w:rPr>
        <w:t>th</w:t>
      </w:r>
      <w:r>
        <w:t xml:space="preserve"> Cir. 1980)</w:t>
      </w:r>
    </w:p>
    <w:p w:rsidR="0078310B" w:rsidRDefault="0078310B" w:rsidP="0078310B">
      <w:pPr>
        <w:widowControl w:val="0"/>
      </w:pPr>
    </w:p>
    <w:p w:rsidR="0078310B" w:rsidRDefault="0078310B" w:rsidP="0078310B">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rsidR="0078310B" w:rsidRDefault="0078310B" w:rsidP="0078310B">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rsidR="0078310B" w:rsidRDefault="0078310B" w:rsidP="0078310B">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rsidR="0078310B" w:rsidRDefault="0078310B" w:rsidP="0078310B">
      <w:pPr>
        <w:widowControl w:val="0"/>
        <w:spacing w:after="120"/>
        <w:ind w:firstLine="288"/>
        <w:jc w:val="both"/>
      </w:pPr>
      <w:r>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rsidR="0078310B" w:rsidRDefault="0078310B" w:rsidP="0078310B">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rsidR="0078310B" w:rsidRDefault="0078310B" w:rsidP="0078310B">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rsidR="0078310B" w:rsidRDefault="0078310B" w:rsidP="0078310B">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375" w:name="ref3"/>
      <w:r>
        <w:t>.</w:t>
      </w:r>
      <w:bookmarkEnd w:id="375"/>
      <w:r>
        <w:rPr>
          <w:rStyle w:val="FootnoteReference"/>
        </w:rPr>
        <w:footnoteReference w:customMarkFollows="1" w:id="764"/>
        <w:t>[3]</w:t>
      </w:r>
      <w:r>
        <w:t xml:space="preserve"> </w:t>
      </w:r>
    </w:p>
    <w:p w:rsidR="0078310B" w:rsidRDefault="0078310B" w:rsidP="0078310B">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rsidR="0078310B" w:rsidRDefault="0078310B" w:rsidP="0078310B">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rsidR="0078310B" w:rsidRDefault="0078310B" w:rsidP="0078310B">
      <w:pPr>
        <w:widowControl w:val="0"/>
        <w:spacing w:after="120"/>
        <w:ind w:left="720" w:right="720"/>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rsidR="0078310B" w:rsidRDefault="0078310B" w:rsidP="0078310B">
      <w:pPr>
        <w:widowControl w:val="0"/>
        <w:spacing w:after="120"/>
        <w:jc w:val="both"/>
      </w:pPr>
      <w:r w:rsidRPr="00A1634C">
        <w:t>T.C. Memo 1979-311 at 9-10</w:t>
      </w:r>
      <w:r>
        <w:t>.</w:t>
      </w:r>
    </w:p>
    <w:p w:rsidR="0078310B" w:rsidRDefault="0078310B" w:rsidP="0078310B">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rsidR="0078310B" w:rsidRDefault="0078310B" w:rsidP="0078310B">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rsidR="0078310B" w:rsidRDefault="0078310B" w:rsidP="0078310B">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rsidR="0078310B" w:rsidRDefault="0078310B" w:rsidP="0078310B">
      <w:pPr>
        <w:widowControl w:val="0"/>
        <w:jc w:val="center"/>
      </w:pPr>
      <w:r>
        <w:t>_______________________________________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Several cases have similarly denied deduction by television news anchors of the cost of their on-air clothing and accessories, even if they would not otherwise wear them outside of their work environment.</w:t>
      </w:r>
      <w:r>
        <w:rPr>
          <w:rStyle w:val="FootnoteReference"/>
        </w:rPr>
        <w:footnoteReference w:id="765"/>
      </w:r>
      <w:r>
        <w:t xml:space="preserve"> An easy example of deducible clothing costs would be the cost of a clown outfit worn by a professional clown. Interesting tidbit: Sweden’s income tax rules contain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66"/>
      </w:r>
    </w:p>
    <w:p w:rsidR="0078310B" w:rsidRDefault="0078310B" w:rsidP="0078310B">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76" w:name="_Toc395790672"/>
      <w:r>
        <w:t>MOSS v. COMMISSIONER</w:t>
      </w:r>
      <w:bookmarkEnd w:id="376"/>
    </w:p>
    <w:p w:rsidR="0078310B" w:rsidRDefault="0078310B" w:rsidP="0078310B">
      <w:pPr>
        <w:widowControl w:val="0"/>
        <w:jc w:val="center"/>
      </w:pPr>
      <w:r>
        <w:t>758 F.2d 211 (7</w:t>
      </w:r>
      <w:r w:rsidRPr="00D0203A">
        <w:rPr>
          <w:vertAlign w:val="superscript"/>
        </w:rPr>
        <w:t>th</w:t>
      </w:r>
      <w:r>
        <w:t xml:space="preserve"> Cir. 1985)</w:t>
      </w:r>
    </w:p>
    <w:p w:rsidR="0078310B" w:rsidRDefault="0078310B" w:rsidP="0078310B">
      <w:pPr>
        <w:widowControl w:val="0"/>
      </w:pPr>
    </w:p>
    <w:p w:rsidR="0078310B" w:rsidRDefault="0078310B" w:rsidP="0078310B">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rsidR="0078310B" w:rsidRDefault="0078310B" w:rsidP="0078310B">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rsidR="0078310B" w:rsidRDefault="0078310B" w:rsidP="0078310B">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78310B" w:rsidRDefault="0078310B" w:rsidP="0078310B">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rsidR="0078310B" w:rsidRDefault="0078310B" w:rsidP="0078310B">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78310B" w:rsidRDefault="0078310B" w:rsidP="0078310B">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rsidR="0078310B" w:rsidRDefault="0078310B" w:rsidP="0078310B">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rsidR="0078310B" w:rsidRDefault="0078310B" w:rsidP="0078310B">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rsidR="0078310B" w:rsidRDefault="0078310B" w:rsidP="0078310B">
      <w:pPr>
        <w:widowControl w:val="0"/>
        <w:spacing w:after="120"/>
        <w:ind w:firstLine="288"/>
        <w:jc w:val="both"/>
      </w:pPr>
      <w: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78310B" w:rsidRDefault="0078310B" w:rsidP="0078310B">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78310B" w:rsidRDefault="0078310B" w:rsidP="0078310B">
      <w:pPr>
        <w:widowControl w:val="0"/>
        <w:jc w:val="center"/>
      </w:pPr>
      <w:r>
        <w:t>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rsidR="0078310B" w:rsidRDefault="0078310B" w:rsidP="0078310B">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business context) than she otherwise would have spent eating alone at home?</w:t>
      </w:r>
    </w:p>
    <w:p w:rsidR="0078310B" w:rsidRDefault="0078310B" w:rsidP="0078310B">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 Thus,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rsidR="0078310B" w:rsidRDefault="0078310B" w:rsidP="0078310B">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98"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xml:space="preserve">. For example, Judge Posner notes that § 162(a)(2) specifically allows deduction of the taxpayer’s own meal costs incurred while traveling “away from home in pursuit of a trade or business,” discussed in Part C., below. Today, § 274(n)(1) reduces the deductible amount of travel meal expenses by 50%. The taxpayer staying at a hotel on a 3-day business trip likely spends more on her hotel breakfast, lunch, and dinner than she would have spent at home, and the 50% rule essentially accounts for this incremental (extra) cost. </w:t>
      </w:r>
    </w:p>
    <w:p w:rsidR="0078310B" w:rsidRDefault="0078310B" w:rsidP="0078310B">
      <w:pPr>
        <w:widowControl w:val="0"/>
        <w:spacing w:after="120"/>
        <w:ind w:firstLine="288"/>
        <w:jc w:val="both"/>
      </w:pPr>
      <w:r>
        <w:t xml:space="preserve">Even if the taxpayer is not in travel status within the meaning of § 162(a)(2), Judge Posner agrees that a taxpayer can sometimes deduct the cost of his own meals (today, 50%)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rsidR="0078310B" w:rsidRPr="001D476F" w:rsidRDefault="0078310B" w:rsidP="0078310B">
      <w:pPr>
        <w:widowControl w:val="0"/>
        <w:spacing w:after="120"/>
        <w:ind w:firstLine="288"/>
        <w:jc w:val="both"/>
      </w:pPr>
      <w:r>
        <w:t xml:space="preserve">Judge Posner cites a Ninth Circuit Court of Appeals case, however, in which co-workers were permitted to deduct their meal costs (today, 50%) even though they ate together every day, but the facts were unusual. The taxpayers in </w:t>
      </w:r>
      <w:r>
        <w:rPr>
          <w:i/>
        </w:rPr>
        <w:t>Sibla v. Commissioner</w:t>
      </w:r>
      <w:r>
        <w:t xml:space="preserve"> were Los Angeles firefighters. </w:t>
      </w:r>
    </w:p>
    <w:p w:rsidR="0078310B" w:rsidRDefault="0078310B" w:rsidP="0078310B">
      <w:pPr>
        <w:widowControl w:val="0"/>
        <w:spacing w:after="120"/>
        <w:ind w:left="720" w:right="720"/>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rsidR="0078310B" w:rsidRDefault="0078310B" w:rsidP="0078310B">
      <w:pPr>
        <w:widowControl w:val="0"/>
        <w:spacing w:after="120"/>
        <w:ind w:left="720" w:right="720"/>
        <w:jc w:val="both"/>
      </w:pPr>
      <w:r>
        <w:t>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rsidR="0078310B" w:rsidRDefault="0078310B" w:rsidP="0078310B">
      <w:pPr>
        <w:widowControl w:val="0"/>
        <w:spacing w:after="120"/>
        <w:ind w:left="720" w:right="720"/>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rsidR="0078310B" w:rsidRDefault="0078310B" w:rsidP="0078310B">
      <w:pPr>
        <w:widowControl w:val="0"/>
        <w:spacing w:after="120"/>
        <w:ind w:left="720" w:right="720"/>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67"/>
      </w:r>
    </w:p>
    <w:p w:rsidR="0078310B" w:rsidRPr="009B25DE" w:rsidRDefault="0078310B" w:rsidP="0078310B">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rsidR="0078310B" w:rsidRDefault="0078310B" w:rsidP="0078310B">
      <w:pPr>
        <w:widowControl w:val="0"/>
        <w:spacing w:after="120"/>
        <w:ind w:left="720" w:right="720"/>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rsidR="0078310B" w:rsidRDefault="0078310B" w:rsidP="0078310B">
      <w:pPr>
        <w:widowControl w:val="0"/>
        <w:spacing w:after="120"/>
        <w:ind w:left="720" w:right="720"/>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rsidR="0078310B" w:rsidRDefault="0078310B" w:rsidP="0078310B">
      <w:pPr>
        <w:widowControl w:val="0"/>
        <w:spacing w:after="120"/>
        <w:ind w:left="720" w:right="720"/>
        <w:jc w:val="both"/>
      </w:pPr>
      <w:r>
        <w:t>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68"/>
        <w:t>[4]</w:t>
      </w:r>
    </w:p>
    <w:p w:rsidR="0078310B" w:rsidRDefault="0078310B" w:rsidP="0078310B">
      <w:pPr>
        <w:widowControl w:val="0"/>
        <w:spacing w:after="120"/>
        <w:ind w:left="720" w:right="720"/>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rsidR="0078310B" w:rsidRDefault="0078310B" w:rsidP="0078310B">
      <w:pPr>
        <w:widowControl w:val="0"/>
        <w:spacing w:after="120"/>
        <w:ind w:left="720" w:right="720"/>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rsidR="0078310B" w:rsidRDefault="0078310B" w:rsidP="0078310B">
      <w:pPr>
        <w:widowControl w:val="0"/>
        <w:spacing w:after="120"/>
        <w:ind w:left="720" w:right="720"/>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69"/>
      </w:r>
    </w:p>
    <w:p w:rsidR="0078310B" w:rsidRDefault="0078310B" w:rsidP="0078310B">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77" w:name="_Toc395790673"/>
      <w:r w:rsidRPr="003A0FEE">
        <w:rPr>
          <w:u w:val="single"/>
        </w:rPr>
        <w:t>Problems</w:t>
      </w:r>
      <w:bookmarkEnd w:id="377"/>
    </w:p>
    <w:p w:rsidR="0078310B" w:rsidRPr="005312BA" w:rsidRDefault="0078310B" w:rsidP="0078310B">
      <w:pPr>
        <w:pStyle w:val="Heading3"/>
        <w:spacing w:before="0" w:beforeAutospacing="0" w:after="0" w:afterAutospacing="0"/>
        <w:jc w:val="center"/>
        <w:rPr>
          <w:b w:val="0"/>
        </w:rPr>
      </w:pPr>
    </w:p>
    <w:p w:rsidR="0078310B" w:rsidRPr="00DB0BF0" w:rsidRDefault="0078310B" w:rsidP="0078310B">
      <w:pPr>
        <w:widowControl w:val="0"/>
        <w:spacing w:after="120"/>
        <w:ind w:firstLine="288"/>
        <w:jc w:val="both"/>
      </w:pPr>
      <w:r>
        <w:rPr>
          <w:b/>
        </w:rPr>
        <w:t>1.</w:t>
      </w:r>
      <w:r>
        <w:t xml:space="preserve"> Return to </w:t>
      </w:r>
      <w:r>
        <w:rPr>
          <w:i/>
        </w:rPr>
        <w:t xml:space="preserve">Amos v. Commissioner </w:t>
      </w:r>
      <w:r>
        <w:t>in Chapter 17, Part B. Can Mr. Rodman deduct as a § 162 ordinary and necessary business expense the $200,000 that he paid to Mr. Amos arising out of his behavior during an NBA game?</w:t>
      </w:r>
    </w:p>
    <w:p w:rsidR="0078310B" w:rsidRDefault="0078310B" w:rsidP="0078310B">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rsidR="0078310B" w:rsidRDefault="0078310B" w:rsidP="0078310B">
      <w:pPr>
        <w:pStyle w:val="ListParagraph"/>
        <w:widowControl w:val="0"/>
        <w:numPr>
          <w:ilvl w:val="0"/>
          <w:numId w:val="27"/>
        </w:numPr>
        <w:ind w:left="648"/>
        <w:jc w:val="both"/>
      </w:pPr>
      <w:r>
        <w:t>$300 for time negotiating the child support payments that she will receive from Mort;</w:t>
      </w:r>
    </w:p>
    <w:p w:rsidR="0078310B" w:rsidRDefault="0078310B" w:rsidP="0078310B">
      <w:pPr>
        <w:pStyle w:val="ListParagraph"/>
        <w:widowControl w:val="0"/>
        <w:numPr>
          <w:ilvl w:val="0"/>
          <w:numId w:val="27"/>
        </w:numPr>
        <w:ind w:left="648"/>
        <w:jc w:val="both"/>
      </w:pPr>
      <w:r>
        <w:t>$200 for time negotiating alimony payments that she will receive from Mort;</w:t>
      </w:r>
    </w:p>
    <w:p w:rsidR="0078310B" w:rsidRDefault="0078310B" w:rsidP="0078310B">
      <w:pPr>
        <w:pStyle w:val="ListParagraph"/>
        <w:widowControl w:val="0"/>
        <w:numPr>
          <w:ilvl w:val="0"/>
          <w:numId w:val="27"/>
        </w:numPr>
        <w:ind w:left="648"/>
        <w:jc w:val="both"/>
      </w:pPr>
      <w:r>
        <w:t>$500 for time negotiating their property settlement involving their investment portfolio; and</w:t>
      </w:r>
    </w:p>
    <w:p w:rsidR="0078310B" w:rsidRDefault="0078310B" w:rsidP="0078310B">
      <w:pPr>
        <w:pStyle w:val="ListParagraph"/>
        <w:widowControl w:val="0"/>
        <w:numPr>
          <w:ilvl w:val="0"/>
          <w:numId w:val="27"/>
        </w:numPr>
        <w:spacing w:after="120"/>
        <w:ind w:left="648"/>
        <w:jc w:val="both"/>
      </w:pPr>
      <w:r>
        <w:t>$1,000 for time spent on other matters.</w:t>
      </w:r>
    </w:p>
    <w:p w:rsidR="0078310B" w:rsidRDefault="0078310B" w:rsidP="0078310B">
      <w:pPr>
        <w:widowControl w:val="0"/>
        <w:spacing w:after="120"/>
        <w:jc w:val="both"/>
      </w:pPr>
      <w:r>
        <w:t>Mortimer paid his lawyer $3,000 and made the same request, and his lawyer responded with the following itemization:</w:t>
      </w:r>
    </w:p>
    <w:p w:rsidR="0078310B" w:rsidRDefault="0078310B" w:rsidP="0078310B">
      <w:pPr>
        <w:pStyle w:val="ListParagraph"/>
        <w:widowControl w:val="0"/>
        <w:numPr>
          <w:ilvl w:val="0"/>
          <w:numId w:val="27"/>
        </w:numPr>
        <w:ind w:left="648"/>
        <w:jc w:val="both"/>
      </w:pPr>
      <w:r>
        <w:t>$400 for time negotiating the child support payments;</w:t>
      </w:r>
    </w:p>
    <w:p w:rsidR="0078310B" w:rsidRDefault="0078310B" w:rsidP="0078310B">
      <w:pPr>
        <w:pStyle w:val="ListParagraph"/>
        <w:widowControl w:val="0"/>
        <w:numPr>
          <w:ilvl w:val="0"/>
          <w:numId w:val="27"/>
        </w:numPr>
        <w:ind w:left="648"/>
        <w:jc w:val="both"/>
      </w:pPr>
      <w:r>
        <w:t>$500 for time negotiating alimony payments;</w:t>
      </w:r>
    </w:p>
    <w:p w:rsidR="0078310B" w:rsidRDefault="0078310B" w:rsidP="0078310B">
      <w:pPr>
        <w:pStyle w:val="ListParagraph"/>
        <w:widowControl w:val="0"/>
        <w:numPr>
          <w:ilvl w:val="0"/>
          <w:numId w:val="27"/>
        </w:numPr>
        <w:ind w:left="648"/>
        <w:jc w:val="both"/>
      </w:pPr>
      <w:r>
        <w:t>$700 for time negotiating their property settlement; and</w:t>
      </w:r>
    </w:p>
    <w:p w:rsidR="0078310B" w:rsidRDefault="0078310B" w:rsidP="0078310B">
      <w:pPr>
        <w:pStyle w:val="ListParagraph"/>
        <w:widowControl w:val="0"/>
        <w:numPr>
          <w:ilvl w:val="0"/>
          <w:numId w:val="27"/>
        </w:numPr>
        <w:spacing w:after="120"/>
        <w:ind w:left="648"/>
        <w:jc w:val="both"/>
      </w:pPr>
      <w:r>
        <w:t>$1,400 for time spent on other matters.</w:t>
      </w:r>
    </w:p>
    <w:p w:rsidR="0078310B" w:rsidRDefault="0078310B" w:rsidP="0078310B">
      <w:pPr>
        <w:widowControl w:val="0"/>
        <w:spacing w:after="120"/>
        <w:ind w:firstLine="288"/>
        <w:jc w:val="both"/>
      </w:pPr>
      <w:r>
        <w:rPr>
          <w:b/>
        </w:rPr>
        <w:t>a.</w:t>
      </w:r>
      <w:r>
        <w:t xml:space="preserve"> What amount, if any, can each deduct?</w:t>
      </w:r>
    </w:p>
    <w:p w:rsidR="0078310B" w:rsidRDefault="0078310B" w:rsidP="0078310B">
      <w:pPr>
        <w:widowControl w:val="0"/>
        <w:ind w:left="288"/>
        <w:jc w:val="both"/>
      </w:pPr>
      <w:r>
        <w:rPr>
          <w:b/>
        </w:rPr>
        <w:t>b.</w:t>
      </w:r>
      <w:r>
        <w:t xml:space="preserve"> During the first year after the divorce, Mortimer failed to pay either the required child support payments ($15,000) or alimony payment ($5,000) to which he agreed in their settlement agreement. Melanie again employed her lawyer to bring a civil action to collect the amounts owed, and Mortimer finally paid without litigation. Melanie paid her lawyer $1,000 for her time spent on the matter. What amount, if any, can Melanie deduct? </w:t>
      </w:r>
    </w:p>
    <w:p w:rsidR="0078310B" w:rsidRDefault="0078310B" w:rsidP="0078310B">
      <w:pPr>
        <w:widowControl w:val="0"/>
        <w:ind w:firstLine="288"/>
        <w:jc w:val="both"/>
      </w:pPr>
    </w:p>
    <w:p w:rsidR="0078310B" w:rsidRDefault="0078310B" w:rsidP="0078310B">
      <w:pPr>
        <w:widowControl w:val="0"/>
        <w:spacing w:after="120"/>
        <w:ind w:firstLine="288"/>
        <w:jc w:val="both"/>
      </w:pPr>
      <w:r>
        <w:rPr>
          <w:b/>
        </w:rPr>
        <w:t>3.</w:t>
      </w:r>
      <w:r>
        <w:t xml:space="preserve"> Mernie Baidoff is a securities broker whose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rsidR="0078310B" w:rsidRDefault="0078310B" w:rsidP="0078310B">
      <w:pPr>
        <w:widowControl w:val="0"/>
        <w:spacing w:after="120"/>
        <w:ind w:firstLine="288"/>
        <w:jc w:val="both"/>
      </w:pPr>
      <w:r>
        <w:rPr>
          <w:b/>
        </w:rPr>
        <w:t>a.</w:t>
      </w:r>
      <w:r>
        <w:t xml:space="preserve"> What amount, if any, can Mernie deduct?</w:t>
      </w:r>
    </w:p>
    <w:p w:rsidR="0078310B" w:rsidRDefault="0078310B" w:rsidP="0078310B">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rsidR="0078310B" w:rsidRPr="00986C1E" w:rsidRDefault="0078310B" w:rsidP="0078310B">
      <w:pPr>
        <w:widowControl w:val="0"/>
        <w:ind w:left="288"/>
        <w:jc w:val="both"/>
      </w:pPr>
    </w:p>
    <w:p w:rsidR="0078310B" w:rsidRPr="005312BA" w:rsidRDefault="0078310B" w:rsidP="0078310B">
      <w:pPr>
        <w:pStyle w:val="Heading2"/>
        <w:spacing w:before="0"/>
        <w:rPr>
          <w:sz w:val="32"/>
          <w:szCs w:val="32"/>
          <w:u w:val="single"/>
        </w:rPr>
      </w:pPr>
      <w:bookmarkStart w:id="378" w:name="_Toc395790674"/>
      <w:r w:rsidRPr="005312BA">
        <w:rPr>
          <w:sz w:val="32"/>
          <w:szCs w:val="32"/>
          <w:u w:val="single"/>
        </w:rPr>
        <w:t>C. Travel and entertainment costs</w:t>
      </w:r>
      <w:bookmarkEnd w:id="378"/>
    </w:p>
    <w:p w:rsidR="0078310B" w:rsidRDefault="0078310B" w:rsidP="0078310B">
      <w:pPr>
        <w:widowControl w:val="0"/>
        <w:ind w:right="720" w:firstLine="288"/>
      </w:pPr>
    </w:p>
    <w:p w:rsidR="0078310B" w:rsidRPr="00504B16" w:rsidRDefault="002B3596" w:rsidP="0078310B">
      <w:pPr>
        <w:widowControl w:val="0"/>
        <w:spacing w:after="120"/>
        <w:ind w:firstLine="288"/>
        <w:jc w:val="both"/>
      </w:pPr>
      <w:hyperlink r:id="rId999" w:history="1">
        <w:r w:rsidR="0078310B" w:rsidRPr="00755C80">
          <w:rPr>
            <w:rStyle w:val="Hyperlink"/>
          </w:rPr>
          <w:t>Section 162</w:t>
        </w:r>
      </w:hyperlink>
      <w:r w:rsidR="0078310B">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1000" w:history="1">
        <w:r w:rsidR="0078310B" w:rsidRPr="00755C80">
          <w:rPr>
            <w:rStyle w:val="Hyperlink"/>
          </w:rPr>
          <w:t>§ 274</w:t>
        </w:r>
      </w:hyperlink>
      <w:r w:rsidR="0078310B">
        <w:t xml:space="preserve">(n)(1), other travel costs are 100% deductible, such as the cost of transportation, hotels, and tips. Section 274(d) now imposes strict substantiation requirements for the deduction of business travel costs (as well as entertainment costs), but the penultimate sentence excuses some recordkeeping “in the case of an expense which does not exceed an amount prescribed pursuant to regulations.” Under the authority of </w:t>
      </w:r>
      <w:hyperlink r:id="rId1001" w:history="1">
        <w:r w:rsidR="0078310B" w:rsidRPr="00755C80">
          <w:rPr>
            <w:rStyle w:val="Hyperlink"/>
          </w:rPr>
          <w:t>Treas. Reg. §§ 1.274-5</w:t>
        </w:r>
      </w:hyperlink>
      <w:r w:rsidR="0078310B">
        <w:t xml:space="preserve">(g) and (j), the IRS periodically issues a Notice (supplanting prior annual Revenue Procedures)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sidR="0078310B">
        <w:rPr>
          <w:i/>
        </w:rPr>
        <w:t>per diem</w:t>
      </w:r>
      <w:r w:rsidR="0078310B">
        <w:t xml:space="preserve"> amount for meals in lieu of retaining receipts.</w:t>
      </w:r>
      <w:r w:rsidR="0078310B">
        <w:rPr>
          <w:rStyle w:val="FootnoteReference"/>
        </w:rPr>
        <w:footnoteReference w:id="770"/>
      </w:r>
      <w:r w:rsidR="0078310B">
        <w:t xml:space="preserve"> They adopt the mileage rates issued by the General Services Administration (GSA), as well as the </w:t>
      </w:r>
      <w:r w:rsidR="0078310B">
        <w:rPr>
          <w:i/>
        </w:rPr>
        <w:t>per diem</w:t>
      </w:r>
      <w:r w:rsidR="0078310B">
        <w:t xml:space="preserve"> meal rates issued by the GSA for different localities.</w:t>
      </w:r>
      <w:r w:rsidR="0078310B">
        <w:rPr>
          <w:rStyle w:val="FootnoteReference"/>
        </w:rPr>
        <w:footnoteReference w:id="771"/>
      </w:r>
      <w:r w:rsidR="0078310B">
        <w:t xml:space="preserve"> </w:t>
      </w:r>
      <w:r w:rsidR="0078310B" w:rsidRPr="00193698">
        <w:t>Taxpayers</w:t>
      </w:r>
      <w:r w:rsidR="0078310B">
        <w:t xml:space="preserve"> can keep and use actual receipts, instead, but the set mileage and </w:t>
      </w:r>
      <w:r w:rsidR="0078310B" w:rsidRPr="002E70D9">
        <w:rPr>
          <w:i/>
        </w:rPr>
        <w:t>per diem</w:t>
      </w:r>
      <w:r w:rsidR="0078310B">
        <w:t xml:space="preserve"> meal rates </w:t>
      </w:r>
      <w:r w:rsidR="0078310B" w:rsidRPr="002E70D9">
        <w:t>are</w:t>
      </w:r>
      <w:r w:rsidR="0078310B">
        <w:t xml:space="preserve"> simple and widely used. As usual, only 50% of the meal </w:t>
      </w:r>
      <w:r w:rsidR="0078310B">
        <w:rPr>
          <w:i/>
        </w:rPr>
        <w:t>per diem</w:t>
      </w:r>
      <w:r w:rsidR="0078310B">
        <w:t xml:space="preserve"> is deductible because of the § 274(n)(1) limit. </w:t>
      </w:r>
    </w:p>
    <w:p w:rsidR="0078310B" w:rsidRPr="008519FA" w:rsidRDefault="0078310B" w:rsidP="0078310B">
      <w:pPr>
        <w:pStyle w:val="Heading3"/>
        <w:spacing w:before="0" w:beforeAutospacing="0" w:after="120" w:afterAutospacing="0"/>
        <w:rPr>
          <w:i/>
        </w:rPr>
      </w:pPr>
      <w:bookmarkStart w:id="379" w:name="_Toc395790675"/>
      <w:r w:rsidRPr="008519FA">
        <w:rPr>
          <w:i/>
        </w:rPr>
        <w:t>“Away from home in pursuit of a trade or business”</w:t>
      </w:r>
      <w:bookmarkEnd w:id="379"/>
    </w:p>
    <w:p w:rsidR="0078310B" w:rsidRPr="008A0DDF" w:rsidRDefault="0078310B" w:rsidP="0078310B">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Thus,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rsidR="0078310B" w:rsidRDefault="0078310B" w:rsidP="0078310B">
      <w:pPr>
        <w:widowControl w:val="0"/>
        <w:spacing w:after="120"/>
        <w:ind w:firstLine="288"/>
        <w:jc w:val="both"/>
      </w:pPr>
      <w:r>
        <w:t xml:space="preserve">The taxpayer in </w:t>
      </w:r>
      <w:r>
        <w:rPr>
          <w:i/>
        </w:rPr>
        <w:t>United States v. Correll</w:t>
      </w:r>
      <w:r w:rsidRPr="00266B6A">
        <w:rPr>
          <w:rStyle w:val="FootnoteReference"/>
        </w:rPr>
        <w:footnoteReference w:id="772"/>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Thus, Mr. Correll could not deduct his breakfast and lunch costs. In effect, Mr. Correll was like Mr. Moss. The Court said:</w:t>
      </w:r>
    </w:p>
    <w:p w:rsidR="0078310B" w:rsidRDefault="0078310B" w:rsidP="0078310B">
      <w:pPr>
        <w:widowControl w:val="0"/>
        <w:spacing w:after="120"/>
        <w:ind w:left="720" w:right="720"/>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rsidR="0078310B" w:rsidRDefault="0078310B" w:rsidP="0078310B">
      <w:pPr>
        <w:widowControl w:val="0"/>
        <w:spacing w:after="120"/>
        <w:ind w:left="720" w:right="720"/>
        <w:jc w:val="both"/>
      </w:pPr>
      <w:r>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78310B" w:rsidRDefault="0078310B" w:rsidP="0078310B">
      <w:pPr>
        <w:widowControl w:val="0"/>
        <w:spacing w:after="120"/>
        <w:ind w:left="720" w:right="720"/>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73"/>
      </w:r>
    </w:p>
    <w:p w:rsidR="0078310B" w:rsidRDefault="0078310B" w:rsidP="0078310B">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was located in Mobile, Alabama, where the railroad provided an office to Mr. Flowers. Nevertheless, he preferred to live in Jackson, and the railroad and Mr. Flowers came to an agreement that he could continue to live in Jackson, Mississippi, so long as he traveled to Mobile (at his own expense) periodically. His old law firm in Jackson permitted him to work out of an office there, which Mr. Flowers furnished at his own cost. “The railroad, however, furnished telephone service and a typewriter and desk for his secretary. It also paid the secretary’s expenses while in Jackson.”</w:t>
      </w:r>
      <w:r>
        <w:rPr>
          <w:rStyle w:val="FootnoteReference"/>
        </w:rPr>
        <w:footnoteReference w:id="774"/>
      </w:r>
      <w:r>
        <w:t xml:space="preserve"> Mr. Flowers traveled to Mobile when necessary, but he worked more than twice as many days at his office in Jackson on railroad business than he did in Mobile. Mr. Flowers sought to deduct under § 162(a)(2) the transportation costs (mileage costs) that he incurred in traveling back and forth between Mobile and Jackson, as well as his hotel and meal costs while in Mobile.</w:t>
      </w:r>
    </w:p>
    <w:p w:rsidR="0078310B" w:rsidRDefault="0078310B" w:rsidP="0078310B">
      <w:pPr>
        <w:widowControl w:val="0"/>
        <w:ind w:firstLine="288"/>
        <w:jc w:val="both"/>
      </w:pPr>
      <w:r>
        <w:t xml:space="preserve">The lower courts and the government disagreed regarding the location of what has come to be called the taxpayer’s “tax home”—the place from which he had to be “away” to be entitled to deduct travel expenses under § 162(a)(2). The government and Tax Court (at the trial level) took the position that his “tax home” was Mobile, Alabama, where the railroad’s headquarters (and the office provided to Mr. Flowers by his employer) was located. Thus, they contended that Mr. Flowers was not traveling “away from home” within the meaning of § 162 when he was traveling </w:t>
      </w:r>
      <w:r w:rsidRPr="00D722F1">
        <w:rPr>
          <w:i/>
        </w:rPr>
        <w:t>to</w:t>
      </w:r>
      <w:r>
        <w:t xml:space="preserve"> Mobile from Jackson. The 5</w:t>
      </w:r>
      <w:r w:rsidRPr="00554BE3">
        <w:rPr>
          <w:vertAlign w:val="superscript"/>
        </w:rPr>
        <w:t>th</w:t>
      </w:r>
      <w:r>
        <w:t xml:space="preserve"> Circuit, in contrast, determined that his “tax home” was where his personal residence was located in Jackson, Mississippi, and permitted him to deduct his costs under § 162(a)(2) when he traveled to Mobile. Because the Fifth Circuit Court of Appeals stance (which was consistent with the position taken by the Second Circuit Court of Appeals) differed from that in the Tax Court and the Fourth Circuit Court of Appeals,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80" w:name="_Toc395790676"/>
      <w:r>
        <w:t>COMMISSIONER v. FLOWERS</w:t>
      </w:r>
      <w:bookmarkEnd w:id="380"/>
    </w:p>
    <w:p w:rsidR="0078310B" w:rsidRPr="00370828" w:rsidRDefault="0078310B" w:rsidP="0078310B">
      <w:pPr>
        <w:widowControl w:val="0"/>
        <w:jc w:val="center"/>
      </w:pPr>
      <w:r>
        <w:t>326 U.S. 465 (1946).</w:t>
      </w:r>
    </w:p>
    <w:p w:rsidR="0078310B" w:rsidRDefault="0078310B" w:rsidP="0078310B">
      <w:pPr>
        <w:widowControl w:val="0"/>
        <w:ind w:firstLine="288"/>
      </w:pPr>
    </w:p>
    <w:p w:rsidR="0078310B" w:rsidRDefault="0078310B" w:rsidP="0078310B">
      <w:pPr>
        <w:widowControl w:val="0"/>
        <w:spacing w:after="120"/>
        <w:ind w:firstLine="288"/>
        <w:jc w:val="both"/>
      </w:pPr>
      <w:r>
        <w:t>[The facts are described above.] Three conditions must thus be satisfied before a traveling expense deduction may be made under § 162(a)(2):</w:t>
      </w:r>
    </w:p>
    <w:p w:rsidR="0078310B" w:rsidRDefault="0078310B" w:rsidP="0078310B">
      <w:pPr>
        <w:widowControl w:val="0"/>
        <w:spacing w:after="120"/>
        <w:ind w:left="720" w:right="720"/>
        <w:jc w:val="both"/>
      </w:pPr>
      <w:r>
        <w:t>(1) The expense must be a reasonable and necessary traveling expense, as that term is generally understood. This includes such items as transportation fares and food and lodging expenses incurred while traveling.</w:t>
      </w:r>
    </w:p>
    <w:p w:rsidR="0078310B" w:rsidRDefault="0078310B" w:rsidP="0078310B">
      <w:pPr>
        <w:widowControl w:val="0"/>
        <w:spacing w:after="120"/>
        <w:ind w:left="720" w:right="720"/>
        <w:jc w:val="both"/>
      </w:pPr>
      <w:r>
        <w:t>(2) The expense must be incurred “while away from home.”</w:t>
      </w:r>
    </w:p>
    <w:p w:rsidR="0078310B" w:rsidRDefault="0078310B" w:rsidP="0078310B">
      <w:pPr>
        <w:widowControl w:val="0"/>
        <w:spacing w:after="120"/>
        <w:ind w:left="720" w:right="720"/>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78310B" w:rsidRDefault="0078310B" w:rsidP="0078310B">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rsidR="0078310B" w:rsidRDefault="0078310B" w:rsidP="0078310B">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75"/>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rsidR="0078310B" w:rsidRDefault="0078310B" w:rsidP="0078310B">
      <w:pPr>
        <w:widowControl w:val="0"/>
        <w:spacing w:after="120"/>
        <w:ind w:firstLine="288"/>
        <w:jc w:val="both"/>
      </w:pPr>
      <w: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rsidR="0078310B" w:rsidRDefault="0078310B" w:rsidP="0078310B">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rsidR="0078310B" w:rsidRDefault="0078310B" w:rsidP="0078310B">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78310B" w:rsidRDefault="0078310B" w:rsidP="0078310B">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78310B" w:rsidRDefault="0078310B" w:rsidP="0078310B">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78310B" w:rsidRDefault="0078310B" w:rsidP="0078310B">
      <w:pPr>
        <w:widowControl w:val="0"/>
        <w:jc w:val="center"/>
      </w:pPr>
      <w:r>
        <w:t>__________________________________________</w:t>
      </w:r>
    </w:p>
    <w:p w:rsidR="0078310B" w:rsidRPr="00EB33BD" w:rsidRDefault="0078310B" w:rsidP="0078310B">
      <w:pPr>
        <w:widowControl w:val="0"/>
        <w:ind w:firstLine="288"/>
      </w:pPr>
    </w:p>
    <w:p w:rsidR="0078310B" w:rsidRPr="000C4A69" w:rsidRDefault="0078310B" w:rsidP="0078310B">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76"/>
      </w:r>
    </w:p>
    <w:p w:rsidR="0078310B" w:rsidRDefault="0078310B" w:rsidP="0078310B">
      <w:pPr>
        <w:widowControl w:val="0"/>
        <w:spacing w:after="120"/>
        <w:ind w:firstLine="288"/>
        <w:jc w:val="both"/>
      </w:pPr>
      <w:r>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similar to those incurred by Mr. Flowers, who chose to have a long commute rather than move to his new job’s location. </w:t>
      </w:r>
    </w:p>
    <w:p w:rsidR="0078310B" w:rsidRDefault="0078310B" w:rsidP="0078310B">
      <w:pPr>
        <w:widowControl w:val="0"/>
        <w:ind w:firstLine="288"/>
        <w:jc w:val="both"/>
      </w:pPr>
      <w:r>
        <w:t xml:space="preserve">But how long is “temporary”? Once again, the lower courts disagreed on this issue, and Congress eventually amended </w:t>
      </w:r>
      <w:hyperlink r:id="rId1002"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rsidR="0078310B" w:rsidRPr="00D56E7F"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81" w:name="_Toc395790677"/>
      <w:r>
        <w:t>REVENUE RULING 93-86</w:t>
      </w:r>
      <w:bookmarkEnd w:id="381"/>
    </w:p>
    <w:p w:rsidR="0078310B" w:rsidRDefault="0078310B" w:rsidP="0078310B">
      <w:pPr>
        <w:widowControl w:val="0"/>
        <w:jc w:val="center"/>
      </w:pPr>
      <w:r>
        <w:t>1993-2 C.B. 71</w:t>
      </w:r>
    </w:p>
    <w:p w:rsidR="0078310B" w:rsidRDefault="0078310B" w:rsidP="0078310B">
      <w:pPr>
        <w:widowControl w:val="0"/>
      </w:pPr>
    </w:p>
    <w:p w:rsidR="0078310B" w:rsidRDefault="0078310B" w:rsidP="0078310B">
      <w:pPr>
        <w:widowControl w:val="0"/>
        <w:spacing w:after="120"/>
        <w:jc w:val="both"/>
      </w:pPr>
      <w:r>
        <w:t>ISSUE</w:t>
      </w:r>
    </w:p>
    <w:p w:rsidR="0078310B" w:rsidRDefault="0078310B" w:rsidP="0078310B">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rsidR="0078310B" w:rsidRDefault="0078310B" w:rsidP="0078310B">
      <w:pPr>
        <w:widowControl w:val="0"/>
        <w:spacing w:after="120"/>
        <w:jc w:val="both"/>
      </w:pPr>
      <w:r>
        <w:t>FACTS</w:t>
      </w:r>
    </w:p>
    <w:p w:rsidR="0078310B" w:rsidRDefault="0078310B" w:rsidP="0078310B">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rsidR="0078310B" w:rsidRDefault="0078310B" w:rsidP="0078310B">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rsidR="0078310B" w:rsidRDefault="0078310B" w:rsidP="0078310B">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rsidR="0078310B" w:rsidRDefault="0078310B" w:rsidP="0078310B">
      <w:pPr>
        <w:widowControl w:val="0"/>
        <w:spacing w:after="120"/>
        <w:jc w:val="both"/>
      </w:pPr>
      <w:r>
        <w:t>LAW AND ANALYSIS</w:t>
      </w:r>
    </w:p>
    <w:p w:rsidR="0078310B" w:rsidRDefault="0078310B" w:rsidP="0078310B">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rsidR="0078310B" w:rsidRDefault="0078310B" w:rsidP="0078310B">
      <w:pPr>
        <w:widowControl w:val="0"/>
        <w:spacing w:after="120"/>
        <w:ind w:firstLine="288"/>
        <w:jc w:val="both"/>
      </w:pPr>
      <w:r>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rsidR="0078310B" w:rsidRDefault="0078310B" w:rsidP="0078310B">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rsidR="0078310B" w:rsidRDefault="0078310B" w:rsidP="0078310B">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rsidR="0078310B" w:rsidRDefault="0078310B" w:rsidP="0078310B">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rsidR="0078310B" w:rsidRDefault="0078310B" w:rsidP="0078310B">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rsidR="0078310B" w:rsidRDefault="0078310B" w:rsidP="0078310B">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amendment is effective for costs paid or incurred after December 31, 1992.</w:t>
      </w:r>
    </w:p>
    <w:p w:rsidR="0078310B" w:rsidRDefault="0078310B" w:rsidP="0078310B">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78310B" w:rsidRDefault="0078310B" w:rsidP="0078310B">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rsidR="0078310B" w:rsidRDefault="0078310B" w:rsidP="0078310B">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rsidR="0078310B" w:rsidRDefault="0078310B" w:rsidP="0078310B">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rsidR="0078310B" w:rsidRDefault="0078310B" w:rsidP="0078310B">
      <w:pPr>
        <w:widowControl w:val="0"/>
        <w:spacing w:after="120"/>
        <w:jc w:val="both"/>
      </w:pPr>
      <w:r>
        <w:t>HOLDING</w:t>
      </w:r>
    </w:p>
    <w:p w:rsidR="0078310B" w:rsidRDefault="0078310B" w:rsidP="0078310B">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78310B" w:rsidRDefault="0078310B" w:rsidP="0078310B">
      <w:pPr>
        <w:widowControl w:val="0"/>
        <w:jc w:val="center"/>
      </w:pPr>
      <w:r>
        <w:t>______________________________________</w:t>
      </w:r>
    </w:p>
    <w:p w:rsidR="0078310B" w:rsidRDefault="0078310B" w:rsidP="0078310B">
      <w:pPr>
        <w:widowControl w:val="0"/>
      </w:pPr>
    </w:p>
    <w:p w:rsidR="0078310B" w:rsidRPr="00F55671" w:rsidRDefault="0078310B" w:rsidP="0078310B">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rsidR="0078310B" w:rsidRDefault="0078310B" w:rsidP="0078310B">
      <w:pPr>
        <w:widowControl w:val="0"/>
        <w:ind w:firstLine="288"/>
        <w:jc w:val="both"/>
      </w:pPr>
      <w:r>
        <w:t xml:space="preserve">Notice that the ruling concedes that a taxpayer’s “regular place of abode in a real and substantial sense” can be considered his “tax home” for purposes of § 162(a)(2)—if and only if the taxpayer has 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82" w:name="_Toc395790678"/>
      <w:r>
        <w:t>HENDERSON v. COMMISSIONER</w:t>
      </w:r>
      <w:bookmarkEnd w:id="382"/>
    </w:p>
    <w:p w:rsidR="0078310B" w:rsidRPr="00F5064A" w:rsidRDefault="0078310B" w:rsidP="0078310B">
      <w:pPr>
        <w:widowControl w:val="0"/>
        <w:jc w:val="center"/>
      </w:pPr>
      <w:r>
        <w:t>143 F.3d 497 (9</w:t>
      </w:r>
      <w:r w:rsidRPr="00D4099E">
        <w:rPr>
          <w:vertAlign w:val="superscript"/>
        </w:rPr>
        <w:t>th</w:t>
      </w:r>
      <w:r>
        <w:t xml:space="preserve"> Cir.), </w:t>
      </w:r>
      <w:r>
        <w:rPr>
          <w:i/>
        </w:rPr>
        <w:t>cert. denied</w:t>
      </w:r>
      <w:r>
        <w:t>, 525 U.S. 877 (1998)</w:t>
      </w:r>
    </w:p>
    <w:p w:rsidR="0078310B" w:rsidRDefault="0078310B" w:rsidP="0078310B">
      <w:pPr>
        <w:widowControl w:val="0"/>
      </w:pPr>
    </w:p>
    <w:p w:rsidR="0078310B" w:rsidRDefault="0078310B" w:rsidP="0078310B">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rsidR="0078310B" w:rsidRDefault="0078310B" w:rsidP="0078310B">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rsidR="0078310B" w:rsidRDefault="0078310B" w:rsidP="0078310B">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rsidR="0078310B" w:rsidRDefault="0078310B" w:rsidP="0078310B">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rsidR="0078310B" w:rsidRDefault="0078310B" w:rsidP="0078310B">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rsidR="0078310B" w:rsidRDefault="0078310B" w:rsidP="0078310B">
      <w:pPr>
        <w:widowControl w:val="0"/>
        <w:spacing w:after="120"/>
        <w:ind w:firstLine="288"/>
        <w:jc w:val="both"/>
      </w:pPr>
      <w:r w:rsidRPr="00093B23">
        <w:t>Internal Revenue Code § 162(a)(2)</w:t>
      </w:r>
      <w:r>
        <w:t xml:space="preserve"> allows a deduction for all ordinary and necessary “traveling 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rsidR="0078310B" w:rsidRDefault="0078310B" w:rsidP="0078310B">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rsidR="0078310B" w:rsidRDefault="0078310B" w:rsidP="0078310B">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rsidR="0078310B" w:rsidRDefault="0078310B" w:rsidP="0078310B">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rsidR="0078310B" w:rsidRDefault="0078310B" w:rsidP="0078310B">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rsidR="0078310B" w:rsidRDefault="0078310B" w:rsidP="0078310B">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Similarly, we believe the determination of whether a taxpayer has a tax home or is an itinerant depends on the facts of each case and should be reviewed for clear error. Considering these factors, the Tax Court did not clearly err when it concluded that Henderson is an itinerant taxpayer.</w:t>
      </w:r>
    </w:p>
    <w:p w:rsidR="0078310B" w:rsidRDefault="0078310B" w:rsidP="0078310B">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rsidR="0078310B" w:rsidRDefault="0078310B" w:rsidP="0078310B">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rsidR="0078310B" w:rsidRDefault="0078310B" w:rsidP="0078310B">
      <w:pPr>
        <w:widowControl w:val="0"/>
        <w:spacing w:after="120"/>
        <w:ind w:left="720" w:right="720"/>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rsidR="0078310B" w:rsidRDefault="0078310B" w:rsidP="0078310B">
      <w:pPr>
        <w:widowControl w:val="0"/>
        <w:spacing w:after="120"/>
        <w:jc w:val="both"/>
      </w:pPr>
      <w:r w:rsidRPr="002100D1">
        <w:rPr>
          <w:i/>
          <w:iCs/>
        </w:rPr>
        <w:t>Hantzis,</w:t>
      </w:r>
      <w:r w:rsidRPr="002100D1">
        <w:t xml:space="preserve"> 638 F.2d at 255</w:t>
      </w:r>
      <w:r>
        <w:t>.</w:t>
      </w:r>
    </w:p>
    <w:p w:rsidR="0078310B" w:rsidRDefault="0078310B" w:rsidP="0078310B">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rsidR="0078310B" w:rsidRDefault="0078310B" w:rsidP="0078310B">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rsidR="0078310B" w:rsidRDefault="0078310B" w:rsidP="0078310B">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rsidR="0078310B" w:rsidRDefault="0078310B" w:rsidP="0078310B">
      <w:pPr>
        <w:widowControl w:val="0"/>
        <w:spacing w:after="120"/>
        <w:ind w:firstLine="288"/>
        <w:jc w:val="both"/>
      </w:pPr>
      <w:r>
        <w:t>AFFIRMED.</w:t>
      </w:r>
    </w:p>
    <w:p w:rsidR="0078310B" w:rsidRDefault="0078310B" w:rsidP="0078310B">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rsidR="0078310B" w:rsidRDefault="0078310B" w:rsidP="0078310B">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rsidR="0078310B" w:rsidRDefault="0078310B" w:rsidP="0078310B">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77"/>
        <w:t>[1]</w:t>
      </w:r>
    </w:p>
    <w:p w:rsidR="0078310B" w:rsidRDefault="0078310B" w:rsidP="0078310B">
      <w:pPr>
        <w:widowControl w:val="0"/>
        <w:ind w:firstLine="288"/>
        <w:jc w:val="both"/>
      </w:pPr>
      <w:r>
        <w:t>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78"/>
        <w:t>[2]</w:t>
      </w:r>
      <w:r>
        <w:t xml:space="preserve"> Given the dearth of authority or common sense supporting the Commissioner’s view, we are free to encourage happy family arrangements like those between Henderson and his mom and dad. In the name of family values, I respectfully dissent.</w:t>
      </w:r>
    </w:p>
    <w:p w:rsidR="0078310B" w:rsidRDefault="0078310B" w:rsidP="0078310B">
      <w:pPr>
        <w:widowControl w:val="0"/>
        <w:jc w:val="center"/>
      </w:pPr>
      <w:r>
        <w:t>_________________________________________</w:t>
      </w:r>
    </w:p>
    <w:p w:rsidR="0078310B" w:rsidRDefault="0078310B" w:rsidP="0078310B">
      <w:pPr>
        <w:widowControl w:val="0"/>
        <w:ind w:firstLine="288"/>
      </w:pPr>
    </w:p>
    <w:p w:rsidR="0078310B" w:rsidRDefault="0078310B" w:rsidP="0078310B">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that are subject to the 2% floor in § 67. In other words, you learned that the deduction of unreimbursed employee business expenses is severely constrained.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79"/>
      </w:r>
      <w:r>
        <w:t xml:space="preserve"> Because the above-the-line deduction would perfectly offset the § 61(a)(1) Gross Income inclusion of the reimbursement itself, </w:t>
      </w:r>
      <w:hyperlink r:id="rId1003" w:history="1">
        <w:r w:rsidRPr="00021457">
          <w:rPr>
            <w:rStyle w:val="Hyperlink"/>
          </w:rPr>
          <w:t>Treas. Reg. § 1.62-2</w:t>
        </w:r>
      </w:hyperlink>
      <w:r>
        <w:t xml:space="preserve">(c)(4) permits the employee to ignore both (forgoing the deduction and excluding the reimbursement) for administrative ease (which can also reduce payroll taxes). Thus,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rsidR="0078310B" w:rsidRDefault="0078310B" w:rsidP="0078310B">
      <w:pPr>
        <w:widowControl w:val="0"/>
        <w:spacing w:after="120"/>
        <w:ind w:firstLine="288"/>
        <w:jc w:val="both"/>
      </w:pPr>
      <w:r>
        <w:t xml:space="preserve">How does the employer and employee account for a reimbursement of otherwise deductible </w:t>
      </w:r>
      <w:r w:rsidRPr="00D55A1C">
        <w:rPr>
          <w:i/>
        </w:rPr>
        <w:t>meal or entertainment costs</w:t>
      </w:r>
      <w:r>
        <w:t xml:space="preserve"> (with the latter considered below) in light of the 50% reduction rule for such costs in </w:t>
      </w:r>
      <w:hyperlink r:id="rId1004" w:history="1">
        <w:r w:rsidRPr="00021457">
          <w:rPr>
            <w:rStyle w:val="Hyperlink"/>
          </w:rPr>
          <w:t>§ 274</w:t>
        </w:r>
      </w:hyperlink>
      <w:r>
        <w:t xml:space="preserve">(n)(1)? Unlike transportation costs (such as air fare or mileage) and hotel costs, it might appear that the includable reimbursement and deductible meal or entertainment costs are </w:t>
      </w:r>
      <w:r w:rsidRPr="00CA2DCA">
        <w:rPr>
          <w:i/>
        </w:rPr>
        <w:t>not</w:t>
      </w:r>
      <w:r>
        <w:t xml:space="preserve"> a wash because the employee would include 100% of the reimbursement under § 61(a)(1) but would be permitted to deduct only 50% of the meal cost under §§ 162 and 274(n)(1). Notice, however, that § 274(n)(2) lists several exceptions to the § 274(n)(1) 50% reduction rule. The very first exception cross-references several subsections of § 274(e), including § 274(e)(3). Under § 274(e)(3), the </w:t>
      </w:r>
      <w:r>
        <w:rPr>
          <w:i/>
        </w:rPr>
        <w:t>employee’s</w:t>
      </w:r>
      <w:r>
        <w:t xml:space="preserve"> deduction is freed from the 50% reduction rule because the </w:t>
      </w:r>
      <w:r>
        <w:rPr>
          <w:i/>
        </w:rPr>
        <w:t xml:space="preserve">employer’s </w:t>
      </w:r>
      <w:r>
        <w:t>deduction will be subject to the § 274(n)(1) 50% reduction when it takes its own § 162 deductions for the reimbursed costs. (This relationship is one reason why the employee must substantiate such costs to the employer under § 62(c)(1) for the reimbursement to qualify as being made under an accountable plan, as the employer needs the information to substantiate its own deduction of the reimbursement.)</w:t>
      </w:r>
    </w:p>
    <w:p w:rsidR="0078310B" w:rsidRDefault="0078310B" w:rsidP="0078310B">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as described at the beginning of this section, 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Whether he properly excluded the reimbursement turns on whether he could properly deduct his travel expenses under § 162(a)(2). </w:t>
      </w:r>
    </w:p>
    <w:p w:rsidR="0078310B" w:rsidRDefault="0078310B" w:rsidP="0078310B">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rsidR="0078310B" w:rsidRDefault="0078310B" w:rsidP="0078310B">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itinerant? Or is the majority’s approach the only administratively feasible way to avoid opening the door to abuse? (Keep this incremental cost idea in mind when we arrive at the § 280A(c) so-called home office deduction in Part D.)</w:t>
      </w:r>
    </w:p>
    <w:p w:rsidR="0078310B" w:rsidRPr="008519FA" w:rsidRDefault="0078310B" w:rsidP="0078310B">
      <w:pPr>
        <w:pStyle w:val="Heading3"/>
        <w:spacing w:before="0" w:beforeAutospacing="0" w:after="120" w:afterAutospacing="0"/>
        <w:rPr>
          <w:i/>
        </w:rPr>
      </w:pPr>
      <w:bookmarkStart w:id="383" w:name="_Toc395790679"/>
      <w:r w:rsidRPr="008519FA">
        <w:rPr>
          <w:i/>
        </w:rPr>
        <w:t>Mixed trips</w:t>
      </w:r>
      <w:bookmarkEnd w:id="383"/>
    </w:p>
    <w:p w:rsidR="0078310B" w:rsidRDefault="0078310B" w:rsidP="0078310B">
      <w:pPr>
        <w:widowControl w:val="0"/>
        <w:spacing w:after="120"/>
        <w:ind w:firstLine="288"/>
        <w:jc w:val="both"/>
      </w:pPr>
      <w:r>
        <w:t xml:space="preserve">Suppose that Pat travels by plane from Los Angeles to New York City for business meetings scheduled for Tuesday, Wednesday, Thursday, and Friday. She arrives on Monday evening, and she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rsidR="0078310B" w:rsidRDefault="002B3596" w:rsidP="0078310B">
      <w:pPr>
        <w:widowControl w:val="0"/>
        <w:spacing w:after="120"/>
        <w:ind w:firstLine="288"/>
        <w:jc w:val="both"/>
      </w:pPr>
      <w:hyperlink r:id="rId1005" w:history="1">
        <w:r w:rsidR="0078310B" w:rsidRPr="00021457">
          <w:rPr>
            <w:rStyle w:val="Hyperlink"/>
          </w:rPr>
          <w:t>Treas. Reg. § 1.162-2</w:t>
        </w:r>
      </w:hyperlink>
      <w:r w:rsidR="0078310B">
        <w:t xml:space="preserve">(a) first provides that travel expenses must be “reasonable and necessary in the conduct of the taxpayer’s business and directly attributable to it” to be deductible. Thus, her meal (50%), lodging, and incidental costs (such as taxi fares) for Monday evening through </w:t>
      </w:r>
      <w:r w:rsidR="00021457">
        <w:t xml:space="preserve">Saturday morning are clearly </w:t>
      </w:r>
      <w:r w:rsidR="0078310B">
        <w:t>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rsidR="0078310B" w:rsidRDefault="0078310B" w:rsidP="0078310B">
      <w:pPr>
        <w:widowControl w:val="0"/>
        <w:spacing w:after="120"/>
        <w:ind w:firstLine="288"/>
        <w:jc w:val="both"/>
      </w:pPr>
      <w:r>
        <w:t>What about the air fare? In the wholly domestic context, Treas. Reg. § 1.162-2(b)(1) once again 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80"/>
      </w:r>
      <w:r>
        <w:t xml:space="preserve"> </w:t>
      </w:r>
    </w:p>
    <w:p w:rsidR="0078310B" w:rsidRPr="008519FA" w:rsidRDefault="0078310B" w:rsidP="0078310B">
      <w:pPr>
        <w:pStyle w:val="Heading3"/>
        <w:spacing w:before="0" w:beforeAutospacing="0" w:after="120" w:afterAutospacing="0"/>
        <w:rPr>
          <w:i/>
        </w:rPr>
      </w:pPr>
      <w:bookmarkStart w:id="384" w:name="_Toc395790680"/>
      <w:r w:rsidRPr="008519FA">
        <w:rPr>
          <w:i/>
        </w:rPr>
        <w:t>§ 274: entertainment</w:t>
      </w:r>
      <w:bookmarkEnd w:id="384"/>
    </w:p>
    <w:p w:rsidR="0078310B" w:rsidRDefault="0078310B" w:rsidP="0078310B">
      <w:pPr>
        <w:widowControl w:val="0"/>
        <w:spacing w:after="120"/>
        <w:ind w:firstLine="288"/>
        <w:jc w:val="both"/>
      </w:pPr>
      <w:r>
        <w:t>Like meals, entertainment—even if undertaken for business reasons—typically provides personal consumption benefits, which makes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81"/>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rsidR="0078310B" w:rsidRDefault="0078310B" w:rsidP="0078310B">
      <w:pPr>
        <w:widowControl w:val="0"/>
        <w:spacing w:after="120"/>
        <w:ind w:firstLine="288"/>
        <w:jc w:val="both"/>
      </w:pPr>
      <w:r>
        <w:t xml:space="preserve">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satisfy the low “ordinary” and “necessary” thresholds of § 162 continue to be deductible so long as they satisfy the additional restrictions now found in § 274, including the 50% reduction rule in § 274(n)(1) and the § 274(d) substantiation rules mentioned earlier, notwithstanding periodic additional calls to restrict the deductibility of entertainment </w:t>
      </w:r>
      <w:r w:rsidR="005B4E69">
        <w:t xml:space="preserve">costs as </w:t>
      </w:r>
      <w:r>
        <w:t>business expenses.</w:t>
      </w:r>
      <w:r>
        <w:rPr>
          <w:rStyle w:val="FootnoteReference"/>
        </w:rPr>
        <w:footnoteReference w:id="782"/>
      </w:r>
      <w:r>
        <w:t xml:space="preserve"> Notice that </w:t>
      </w:r>
      <w:r w:rsidRPr="00636A94">
        <w:t>§ 274</w:t>
      </w:r>
      <w:r>
        <w:t xml:space="preserve"> does not grant the authority to take deductions, as it does not contain the magic words “there shall be allowed a deduction.” Rather, § 274 is a Code section that takes away </w:t>
      </w:r>
      <w:r w:rsidRPr="009F29E6">
        <w:rPr>
          <w:i/>
        </w:rPr>
        <w:t>otherwise allowable</w:t>
      </w:r>
      <w:r>
        <w:t xml:space="preserve"> deductions, </w:t>
      </w:r>
      <w:r>
        <w:rPr>
          <w:i/>
        </w:rPr>
        <w:t>i.e.</w:t>
      </w:r>
      <w:r>
        <w:t>, deductions that satisfy each of the terms of a Code section that does con</w:t>
      </w:r>
      <w:r w:rsidR="005B4E69">
        <w:t xml:space="preserve">tain those magic words, including the “ordinary and necessary” tests in </w:t>
      </w:r>
      <w:r>
        <w:t>§§ 162 or 212.</w:t>
      </w:r>
    </w:p>
    <w:p w:rsidR="0078310B" w:rsidRDefault="0078310B" w:rsidP="0078310B">
      <w:pPr>
        <w:widowControl w:val="0"/>
        <w:spacing w:after="120"/>
        <w:ind w:firstLine="288"/>
        <w:jc w:val="both"/>
      </w:pPr>
      <w:r>
        <w:t xml:space="preserve">Under </w:t>
      </w:r>
      <w:hyperlink r:id="rId1006" w:history="1">
        <w:r w:rsidRPr="00636A94">
          <w:rPr>
            <w:rStyle w:val="Hyperlink"/>
          </w:rPr>
          <w:t>§ 274</w:t>
        </w:r>
      </w:hyperlink>
      <w:r>
        <w:t xml:space="preserve">(a)(1)(A), business entertainment activity expenses that satisfy § 162 are nevertheless disallowed unless they also meet either the “directly related” test or the “associated with” test. The Treasury Regulations fill in the content of those tests. </w:t>
      </w:r>
    </w:p>
    <w:p w:rsidR="0078310B" w:rsidRDefault="0078310B" w:rsidP="0078310B">
      <w:pPr>
        <w:widowControl w:val="0"/>
        <w:spacing w:after="120"/>
        <w:ind w:firstLine="288"/>
        <w:jc w:val="both"/>
      </w:pPr>
      <w:r w:rsidRPr="00B53F82">
        <w:rPr>
          <w:b/>
        </w:rPr>
        <w:t>“Directly related” test.</w:t>
      </w:r>
      <w:r w:rsidRPr="00FE0210">
        <w:rPr>
          <w:b/>
        </w:rPr>
        <w:t xml:space="preserve"> </w:t>
      </w:r>
      <w:r>
        <w:t xml:space="preserve">The most common means of satisfying the “directly related” test is to meet the four requirements in </w:t>
      </w:r>
      <w:hyperlink r:id="rId1007" w:history="1">
        <w:r w:rsidRPr="00636A94">
          <w:rPr>
            <w:rStyle w:val="Hyperlink"/>
          </w:rPr>
          <w:t>Treas. Reg. § 1.274-2</w:t>
        </w:r>
      </w:hyperlink>
      <w:r w:rsidR="00636A94">
        <w:t>(c)</w:t>
      </w:r>
      <w:r>
        <w:t>:</w:t>
      </w:r>
    </w:p>
    <w:p w:rsidR="0078310B" w:rsidRDefault="0078310B" w:rsidP="0078310B">
      <w:pPr>
        <w:pStyle w:val="ListParagraph"/>
        <w:widowControl w:val="0"/>
        <w:numPr>
          <w:ilvl w:val="0"/>
          <w:numId w:val="28"/>
        </w:numPr>
        <w:spacing w:after="120"/>
        <w:ind w:left="648"/>
        <w:contextualSpacing w:val="0"/>
        <w:jc w:val="both"/>
      </w:pPr>
      <w:r>
        <w:t>The taxpayer must have more than a “general expectation” that future income will arise from the entertainment. Thus, the nurturing of general goodwill is not sufficient to satisfy this requirement, though the taxpayer need not “show that income or other business benefit actually resulted from each and every expenditure for which a deduction is claimed.”</w:t>
      </w:r>
      <w:r>
        <w:rPr>
          <w:rStyle w:val="FootnoteReference"/>
        </w:rPr>
        <w:footnoteReference w:id="783"/>
      </w:r>
    </w:p>
    <w:p w:rsidR="0078310B" w:rsidRDefault="0078310B" w:rsidP="0078310B">
      <w:pPr>
        <w:pStyle w:val="ListParagraph"/>
        <w:widowControl w:val="0"/>
        <w:numPr>
          <w:ilvl w:val="0"/>
          <w:numId w:val="28"/>
        </w:numPr>
        <w:spacing w:after="120"/>
        <w:ind w:left="648"/>
        <w:contextualSpacing w:val="0"/>
        <w:jc w:val="both"/>
      </w:pPr>
      <w:r>
        <w:t>During the “entertainment period,” the taxpayer “actively engaged in a business meeting, negotiation, discussion, or other bona fide business transaction.”</w:t>
      </w:r>
      <w:r>
        <w:rPr>
          <w:rStyle w:val="FootnoteReference"/>
        </w:rPr>
        <w:footnoteReference w:id="784"/>
      </w:r>
    </w:p>
    <w:p w:rsidR="0078310B" w:rsidRDefault="0078310B" w:rsidP="0078310B">
      <w:pPr>
        <w:pStyle w:val="ListParagraph"/>
        <w:widowControl w:val="0"/>
        <w:numPr>
          <w:ilvl w:val="0"/>
          <w:numId w:val="28"/>
        </w:numPr>
        <w:spacing w:after="120"/>
        <w:ind w:left="648"/>
        <w:contextualSpacing w:val="0"/>
        <w:jc w:val="both"/>
      </w:pPr>
      <w:r>
        <w:t>The “principal character … of the combined business and entertainment … was the active conduct of the taxpayer’s trade or business.” The regulation clarifies that this test is failed with respect to “hunting or fishing trips or on yachts and other pleasure boats unless the taxpayer clearly establishes to the contrary.”</w:t>
      </w:r>
      <w:r>
        <w:rPr>
          <w:rStyle w:val="FootnoteReference"/>
        </w:rPr>
        <w:footnoteReference w:id="785"/>
      </w:r>
    </w:p>
    <w:p w:rsidR="0078310B" w:rsidRDefault="0078310B" w:rsidP="0078310B">
      <w:pPr>
        <w:pStyle w:val="ListParagraph"/>
        <w:widowControl w:val="0"/>
        <w:numPr>
          <w:ilvl w:val="0"/>
          <w:numId w:val="28"/>
        </w:numPr>
        <w:spacing w:after="120"/>
        <w:ind w:left="648"/>
        <w:jc w:val="both"/>
      </w:pPr>
      <w:r>
        <w:t>Only those actively engaged in the conduct of the trade or business during the entertainment are present (with an exception for spouses found in Treas. Reg. § 1.274-2(d)(4)).</w:t>
      </w:r>
      <w:r>
        <w:rPr>
          <w:rStyle w:val="FootnoteReference"/>
        </w:rPr>
        <w:footnoteReference w:id="786"/>
      </w:r>
    </w:p>
    <w:p w:rsidR="0078310B" w:rsidRDefault="0078310B" w:rsidP="0078310B">
      <w:pPr>
        <w:widowControl w:val="0"/>
        <w:spacing w:after="120"/>
        <w:ind w:firstLine="288"/>
        <w:jc w:val="both"/>
      </w:pPr>
      <w:r>
        <w:t>Alternatively, the directly related test is satisfied if the entertainment occurs “in a clear business setting directly in furtherance of the taxpayer’s trade or business,” such as the sponsorship of a hospitality room at a business convention. Another example provided is “entertainment of business representatives and civic leaders at the opening of a new hotel or theatrical production, where the clear purpose of the taxpayer is to obtain business publicity rather than to create or maintain the goodwill of the recipients of the entertainment ….”</w:t>
      </w:r>
      <w:r>
        <w:rPr>
          <w:rStyle w:val="FootnoteReference"/>
        </w:rPr>
        <w:footnoteReference w:id="787"/>
      </w:r>
      <w:r>
        <w:t xml:space="preserve"> </w:t>
      </w:r>
    </w:p>
    <w:p w:rsidR="0078310B" w:rsidRDefault="0078310B" w:rsidP="0078310B">
      <w:pPr>
        <w:widowControl w:val="0"/>
        <w:spacing w:after="120"/>
        <w:ind w:firstLine="288"/>
        <w:jc w:val="both"/>
      </w:pPr>
      <w:r>
        <w:t>Providing entertainment that will be included in the income of another as a prize or compensation can also satisfy the directly related test. “For example, if a manufacturer of products provides a vacation trip for retailers of his products who exceed sales quotas, as a prize or award includable in gross income, the expenditure will be considered directly related to the active conduct of the taxpayer’s trade or business.”</w:t>
      </w:r>
      <w:r>
        <w:rPr>
          <w:rStyle w:val="FootnoteReference"/>
        </w:rPr>
        <w:footnoteReference w:id="788"/>
      </w:r>
    </w:p>
    <w:p w:rsidR="0078310B" w:rsidRDefault="0078310B" w:rsidP="0078310B">
      <w:pPr>
        <w:widowControl w:val="0"/>
        <w:spacing w:after="120"/>
        <w:ind w:firstLine="288"/>
        <w:jc w:val="both"/>
      </w:pPr>
      <w:r>
        <w:t>Finally, the directly related test is failed if it occurs “under circumstances where there [is] little or no possibility of engaging in the active conduct of trade or business” because the “distractions are substantial,” such as business meetings “at night clubs, theaters, and sporting events, or during essentially social gatherings such as cocktail parties.” Similarly, the directly related test is failed if the entertainment includes “persons other than business associates at places such as cocktail lounges, country clubs, golf and athletic clubs, or at vacation resorts.”</w:t>
      </w:r>
      <w:r>
        <w:rPr>
          <w:rStyle w:val="FootnoteReference"/>
        </w:rPr>
        <w:footnoteReference w:id="789"/>
      </w:r>
    </w:p>
    <w:p w:rsidR="0078310B" w:rsidRDefault="0078310B" w:rsidP="0078310B">
      <w:pPr>
        <w:widowControl w:val="0"/>
        <w:spacing w:after="120"/>
        <w:ind w:firstLine="288"/>
        <w:jc w:val="both"/>
      </w:pPr>
      <w:r>
        <w:t>Thus, if Sandra takes current business clients to a theater production simply to maintain a good business relationship (goodwill) with them, her costs are not deductible as business expenses because the entertainment fails the directly related test. Suppose, however, that Sandra takes those same clients to the theater to celebrate the successful completion of a business negotiation with them earlier that afternoon. On these changed facts, the entertainment may sati</w:t>
      </w:r>
      <w:r w:rsidR="00636A94">
        <w:t xml:space="preserve">sfy the “associated with” test under </w:t>
      </w:r>
      <w:hyperlink r:id="rId1008" w:history="1">
        <w:r w:rsidR="00636A94" w:rsidRPr="00636A94">
          <w:rPr>
            <w:rStyle w:val="Hyperlink"/>
          </w:rPr>
          <w:t>Treas. Reg. § 1.274-2</w:t>
        </w:r>
      </w:hyperlink>
      <w:r w:rsidR="00636A94">
        <w:t>(d).</w:t>
      </w:r>
    </w:p>
    <w:p w:rsidR="0078310B" w:rsidRDefault="0078310B" w:rsidP="0078310B">
      <w:pPr>
        <w:widowControl w:val="0"/>
        <w:spacing w:after="120"/>
        <w:ind w:firstLine="288"/>
        <w:jc w:val="both"/>
      </w:pPr>
      <w:r>
        <w:rPr>
          <w:b/>
        </w:rPr>
        <w:t xml:space="preserve">“Associated with” </w:t>
      </w:r>
      <w:r w:rsidRPr="00B53F82">
        <w:rPr>
          <w:b/>
        </w:rPr>
        <w:t>test.</w:t>
      </w:r>
      <w:r>
        <w:t xml:space="preserve"> Entertainment that fails the directly related test can nevertheless satisfy the associated with test if it both (1) is associated with the active conduct of a trade or business and (2) directly precedes or follows a “substantial and bona fide business discussion.”</w:t>
      </w:r>
      <w:r>
        <w:rPr>
          <w:rStyle w:val="FootnoteReference"/>
        </w:rPr>
        <w:footnoteReference w:id="790"/>
      </w:r>
      <w:r>
        <w:t xml:space="preserve"> To satisfy the first requirement, the taxpayer must establish that he “had a clear business purpose in making the expenditure, such as to obtain new business or to encourage the continuation of an existing business relationship.”</w:t>
      </w:r>
      <w:r>
        <w:rPr>
          <w:rStyle w:val="FootnoteReference"/>
        </w:rPr>
        <w:footnoteReference w:id="791"/>
      </w:r>
      <w:r>
        <w:t xml:space="preserve"> Under the latter phrase, entertainment costs incurred merely to create or maintain goodwill can satisfy the associated with test even though it fails the directly related test—so long as the second requirement is also satisfied. The bona fide business discussion must be “substantial in relation to the entertainment” though it is “not necessary that more time be devoted to business than to entertainment to meet this requirement.”</w:t>
      </w:r>
      <w:r>
        <w:rPr>
          <w:rStyle w:val="FootnoteReference"/>
        </w:rPr>
        <w:footnoteReference w:id="792"/>
      </w:r>
      <w:r>
        <w:t xml:space="preserve"> Rather, the taxpayer must show only that “the principal character of the combined entertainment and business activity [is] the active conduct of business.”</w:t>
      </w:r>
      <w:r>
        <w:rPr>
          <w:rStyle w:val="FootnoteReference"/>
        </w:rPr>
        <w:footnoteReference w:id="793"/>
      </w:r>
      <w:r>
        <w:t xml:space="preserve"> The requirement that the bona fide business discussion directly precede or follow the entertainment can be satisfied even if they do not occur on the same day in some cases. “For example, if a group of business associates comes from out of town to the taxpayer’s place of business to hold a substantial business discussion, the entertainment of such business guests and their wives on the evening prior to, or on the evening of the day following, the business discussion would generally be regarded as directly preceding or following such discussion.”</w:t>
      </w:r>
      <w:r>
        <w:rPr>
          <w:rStyle w:val="FootnoteReference"/>
        </w:rPr>
        <w:footnoteReference w:id="794"/>
      </w:r>
    </w:p>
    <w:p w:rsidR="0078310B" w:rsidRDefault="0078310B" w:rsidP="0078310B">
      <w:pPr>
        <w:widowControl w:val="0"/>
        <w:spacing w:after="120"/>
        <w:ind w:firstLine="288"/>
        <w:jc w:val="both"/>
      </w:pPr>
      <w:r>
        <w:t xml:space="preserve">With respect to entertainment conducted by employees and reimbursed by the employer, these rules (including the need to satisfy either the directly related test or associated with test and to reduce the deduction by 50% under </w:t>
      </w:r>
      <w:hyperlink r:id="rId1009" w:history="1">
        <w:r w:rsidRPr="00F7618C">
          <w:rPr>
            <w:rStyle w:val="Hyperlink"/>
          </w:rPr>
          <w:t>§ 274</w:t>
        </w:r>
      </w:hyperlink>
      <w:r>
        <w:t xml:space="preserve">(n)(1)) apply only once—either to the employer or to the employee. They apply to the employer (and not the employee) </w:t>
      </w:r>
      <w:r>
        <w:rPr>
          <w:i/>
        </w:rPr>
        <w:t xml:space="preserve">unless </w:t>
      </w:r>
      <w:r>
        <w:t>the employer includes the reimbursement in the employee’s wages as additional compensation. In that (unusual) case, the employee is stuck with satisfying one of the § 274(a) tests and suffering the 50% deduction reduction.</w:t>
      </w:r>
      <w:r>
        <w:rPr>
          <w:rStyle w:val="FootnoteReference"/>
        </w:rPr>
        <w:footnoteReference w:id="795"/>
      </w:r>
      <w:r>
        <w:t xml:space="preserve"> Moreover, because the expense would then be considered an </w:t>
      </w:r>
      <w:r>
        <w:rPr>
          <w:i/>
        </w:rPr>
        <w:t xml:space="preserve">unreimbursed </w:t>
      </w:r>
      <w:r>
        <w:t>business expense, it would also be a § 67 MID</w:t>
      </w:r>
      <w:r w:rsidR="00F7618C">
        <w:t xml:space="preserve"> for the employee</w:t>
      </w:r>
      <w:r>
        <w:t xml:space="preserve">, as described in Chapter 1, Part B. </w:t>
      </w:r>
    </w:p>
    <w:p w:rsidR="0078310B" w:rsidRPr="008519FA" w:rsidRDefault="0078310B" w:rsidP="0078310B">
      <w:pPr>
        <w:pStyle w:val="Heading3"/>
        <w:spacing w:before="0" w:beforeAutospacing="0" w:after="120" w:afterAutospacing="0"/>
        <w:rPr>
          <w:i/>
        </w:rPr>
      </w:pPr>
      <w:bookmarkStart w:id="385" w:name="_Toc395790681"/>
      <w:r w:rsidRPr="008519FA">
        <w:rPr>
          <w:i/>
        </w:rPr>
        <w:t>§ 274: business meals</w:t>
      </w:r>
      <w:bookmarkEnd w:id="385"/>
    </w:p>
    <w:p w:rsidR="0078310B" w:rsidRDefault="0078310B" w:rsidP="0078310B">
      <w:pPr>
        <w:widowControl w:val="0"/>
        <w:spacing w:after="120"/>
        <w:ind w:firstLine="288"/>
        <w:jc w:val="both"/>
      </w:pPr>
      <w:r>
        <w:t>Prior to 1986, business meals unconnected to business travel could be deducted so long as the meal occurred in a setting conducive to business discussion, even if no business was actually discussed before, during, or after the meal. After 1986, such meals must satisfy the same “directly related” or “associated with” tests that apply to entertainment costs generally.</w:t>
      </w:r>
      <w:r>
        <w:rPr>
          <w:rStyle w:val="FootnoteReference"/>
        </w:rPr>
        <w:footnoteReference w:id="796"/>
      </w:r>
      <w:r>
        <w:t xml:space="preserve"> </w:t>
      </w:r>
    </w:p>
    <w:p w:rsidR="0078310B" w:rsidRDefault="0078310B" w:rsidP="0078310B">
      <w:pPr>
        <w:widowControl w:val="0"/>
        <w:spacing w:after="120"/>
        <w:ind w:firstLine="288"/>
        <w:jc w:val="both"/>
      </w:pPr>
      <w:r>
        <w:t xml:space="preserve">In addition, §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97"/>
      </w:r>
      <w:r>
        <w:t xml:space="preserve"> Thus, if a business meal that costs $800 is considered lavish to the extent that it exceeds,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98"/>
      </w:r>
      <w:r>
        <w:t xml:space="preserve"> In practice, § 274(k) has not often been invoked by the IRS to reduce deductions. </w:t>
      </w:r>
    </w:p>
    <w:p w:rsidR="0078310B" w:rsidRPr="008519FA" w:rsidRDefault="0078310B" w:rsidP="0078310B">
      <w:pPr>
        <w:pStyle w:val="Heading3"/>
        <w:spacing w:before="0" w:beforeAutospacing="0" w:after="120" w:afterAutospacing="0"/>
        <w:rPr>
          <w:i/>
        </w:rPr>
      </w:pPr>
      <w:bookmarkStart w:id="386" w:name="_Toc395790682"/>
      <w:r w:rsidRPr="008519FA">
        <w:rPr>
          <w:i/>
        </w:rPr>
        <w:t>Substantiation of costs</w:t>
      </w:r>
      <w:bookmarkEnd w:id="386"/>
    </w:p>
    <w:p w:rsidR="0078310B" w:rsidRDefault="0078310B" w:rsidP="0078310B">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rsidR="007518FB">
        <w:t>ss entertainment, travel</w:t>
      </w:r>
      <w:r>
        <w:t>, and meal costs supplant</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799"/>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t xml:space="preserve">estimated </w:t>
      </w:r>
      <w:r w:rsidRPr="00962A3C">
        <w:t xml:space="preserve">entertainment </w:t>
      </w:r>
      <w:r>
        <w:t xml:space="preserve">and travel </w:t>
      </w:r>
      <w:r w:rsidRPr="00962A3C">
        <w:t xml:space="preserve">expenses even though he failed to keep receipts and otherwise record the business reason for the </w:t>
      </w:r>
      <w:r>
        <w:t xml:space="preserve">travel and </w:t>
      </w:r>
      <w:r w:rsidRPr="00962A3C">
        <w:t>entertainment</w:t>
      </w:r>
      <w:r>
        <w:t xml:space="preserve"> costs</w:t>
      </w:r>
      <w:r w:rsidRPr="00962A3C">
        <w:t>.</w:t>
      </w:r>
      <w:r>
        <w:rPr>
          <w:rStyle w:val="FootnoteReference"/>
        </w:rPr>
        <w:footnoteReference w:id="800"/>
      </w:r>
      <w:r>
        <w:t xml:space="preserve"> Section </w:t>
      </w:r>
      <w:r w:rsidRPr="00962A3C">
        <w:t>274(d) and the regulations thereunder now forbid this kind of guesswork with respect to travel and entertainment expenses.</w:t>
      </w:r>
      <w:r>
        <w:rPr>
          <w:rStyle w:val="FootnoteReference"/>
        </w:rPr>
        <w:footnoteReference w:id="801"/>
      </w:r>
      <w:r w:rsidRPr="00962A3C">
        <w:t xml:space="preserve"> </w:t>
      </w:r>
      <w:r>
        <w:t>Today, the taxpayer must retain receipts and record the time and place of the entertainment, the business purpose of the meeting, and the business relationship of the attendees.</w:t>
      </w:r>
      <w:r>
        <w:rPr>
          <w:rStyle w:val="FootnoteReference"/>
        </w:rPr>
        <w:footnoteReference w:id="802"/>
      </w:r>
    </w:p>
    <w:p w:rsidR="0078310B" w:rsidRDefault="0078310B" w:rsidP="0078310B">
      <w:pPr>
        <w:widowControl w:val="0"/>
        <w:ind w:firstLine="288"/>
        <w:jc w:val="both"/>
      </w:pPr>
      <w:r w:rsidRPr="00962A3C">
        <w:t>This brief introduction to § 274 is not exhaustive. Other provisions address conventions and seminars outside North America or on cruise ships (§ 27</w:t>
      </w:r>
      <w:r>
        <w:t>4(h))</w:t>
      </w:r>
      <w:r w:rsidRPr="00962A3C">
        <w:t>, entertainment tickets (§ 274(</w:t>
      </w:r>
      <w:r w:rsidRPr="00962A3C">
        <w:rPr>
          <w:i/>
        </w:rPr>
        <w:t>l</w:t>
      </w:r>
      <w:r w:rsidRPr="00962A3C">
        <w:t>)), cer</w:t>
      </w:r>
      <w:r>
        <w:t xml:space="preserve">tain travel expenses (§ 274(m)), and more.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387" w:name="_Toc395790683"/>
      <w:r w:rsidRPr="008519FA">
        <w:rPr>
          <w:u w:val="single"/>
        </w:rPr>
        <w:t>Problems</w:t>
      </w:r>
      <w:bookmarkEnd w:id="387"/>
    </w:p>
    <w:p w:rsidR="0078310B" w:rsidRPr="005312BA"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Saul is the s</w:t>
      </w:r>
      <w:r w:rsidR="00FA0F26">
        <w:t xml:space="preserve">ole owner of </w:t>
      </w:r>
      <w:r>
        <w:t>Informatech</w:t>
      </w:r>
      <w:r w:rsidR="00FA0F26">
        <w:t xml:space="preserve"> LLC</w:t>
      </w:r>
      <w:r>
        <w:t>,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w:t>
      </w:r>
      <w:r w:rsidR="00FA0F26">
        <w:t xml:space="preserve">ek 3. Saul’s meetings with </w:t>
      </w:r>
      <w:r>
        <w:t xml:space="preserve">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(and the executives’ spouses) celebrate with dinner and a show at the local playhouse (at Saul’s expense). Saul spends Saturday through Friday on vacation skiing before returning to Palo Alto on Saturday evening of Week 3. </w:t>
      </w:r>
    </w:p>
    <w:p w:rsidR="0078310B" w:rsidRDefault="0078310B" w:rsidP="0078310B">
      <w:pPr>
        <w:widowControl w:val="0"/>
        <w:spacing w:after="120"/>
        <w:ind w:firstLine="288"/>
        <w:jc w:val="both"/>
      </w:pPr>
      <w:r>
        <w:t>Saul incurs the following costs with respect to his trip:</w:t>
      </w:r>
    </w:p>
    <w:p w:rsidR="0078310B" w:rsidRDefault="00A74D47" w:rsidP="0078310B">
      <w:pPr>
        <w:pStyle w:val="ListParagraph"/>
        <w:widowControl w:val="0"/>
        <w:numPr>
          <w:ilvl w:val="0"/>
          <w:numId w:val="26"/>
        </w:numPr>
        <w:spacing w:after="120"/>
        <w:ind w:left="648"/>
        <w:jc w:val="both"/>
      </w:pPr>
      <w:r>
        <w:t xml:space="preserve">round trip </w:t>
      </w:r>
      <w:r w:rsidR="0078310B">
        <w:t xml:space="preserve">air fare: $500  </w:t>
      </w:r>
    </w:p>
    <w:p w:rsidR="0078310B" w:rsidRDefault="0078310B" w:rsidP="0078310B">
      <w:pPr>
        <w:pStyle w:val="ListParagraph"/>
        <w:widowControl w:val="0"/>
        <w:numPr>
          <w:ilvl w:val="0"/>
          <w:numId w:val="26"/>
        </w:numPr>
        <w:spacing w:after="120"/>
        <w:ind w:left="648"/>
        <w:jc w:val="both"/>
      </w:pPr>
      <w:r>
        <w:t>lodging: $250 each night</w:t>
      </w:r>
    </w:p>
    <w:p w:rsidR="0078310B" w:rsidRDefault="0078310B" w:rsidP="0078310B">
      <w:pPr>
        <w:pStyle w:val="ListParagraph"/>
        <w:widowControl w:val="0"/>
        <w:numPr>
          <w:ilvl w:val="0"/>
          <w:numId w:val="26"/>
        </w:numPr>
        <w:spacing w:after="120"/>
        <w:ind w:left="648"/>
        <w:jc w:val="both"/>
      </w:pPr>
      <w:r>
        <w:t>breakfast each day: $15</w:t>
      </w:r>
    </w:p>
    <w:p w:rsidR="0078310B" w:rsidRDefault="0078310B" w:rsidP="0078310B">
      <w:pPr>
        <w:pStyle w:val="ListParagraph"/>
        <w:widowControl w:val="0"/>
        <w:numPr>
          <w:ilvl w:val="0"/>
          <w:numId w:val="26"/>
        </w:numPr>
        <w:spacing w:after="120"/>
        <w:ind w:left="648"/>
        <w:jc w:val="both"/>
      </w:pPr>
      <w:r>
        <w:t>lunch each day: $20</w:t>
      </w:r>
    </w:p>
    <w:p w:rsidR="0078310B" w:rsidRDefault="0078310B" w:rsidP="0078310B">
      <w:pPr>
        <w:pStyle w:val="ListParagraph"/>
        <w:widowControl w:val="0"/>
        <w:numPr>
          <w:ilvl w:val="0"/>
          <w:numId w:val="26"/>
        </w:numPr>
        <w:spacing w:after="120"/>
        <w:ind w:left="648"/>
        <w:jc w:val="both"/>
      </w:pPr>
      <w:r>
        <w:t>dinner each day: $60 (except Friday of Week 2)</w:t>
      </w:r>
    </w:p>
    <w:p w:rsidR="0078310B" w:rsidRDefault="0078310B" w:rsidP="0078310B">
      <w:pPr>
        <w:pStyle w:val="ListParagraph"/>
        <w:widowControl w:val="0"/>
        <w:numPr>
          <w:ilvl w:val="0"/>
          <w:numId w:val="26"/>
        </w:numPr>
        <w:spacing w:after="120"/>
        <w:ind w:left="648"/>
        <w:jc w:val="both"/>
      </w:pPr>
      <w:r>
        <w:t>dinner on Friday of Week 2 for Saul, the two executives, and their spouses: $900</w:t>
      </w:r>
    </w:p>
    <w:p w:rsidR="0078310B" w:rsidRDefault="0078310B" w:rsidP="0078310B">
      <w:pPr>
        <w:pStyle w:val="ListParagraph"/>
        <w:widowControl w:val="0"/>
        <w:numPr>
          <w:ilvl w:val="0"/>
          <w:numId w:val="26"/>
        </w:numPr>
        <w:spacing w:after="120"/>
        <w:ind w:left="648"/>
        <w:jc w:val="both"/>
      </w:pPr>
      <w:r>
        <w:t>five tickets to the play: the tickets had a face amount of $100 each, but Saul had to purchase them through the hotel concierge for $120 each ($600) because the play was otherwise sold out and the concierge had to access the secondary market to find them</w:t>
      </w:r>
    </w:p>
    <w:p w:rsidR="0078310B" w:rsidRDefault="0078310B" w:rsidP="0078310B">
      <w:pPr>
        <w:pStyle w:val="ListParagraph"/>
        <w:widowControl w:val="0"/>
        <w:numPr>
          <w:ilvl w:val="0"/>
          <w:numId w:val="26"/>
        </w:numPr>
        <w:spacing w:after="120"/>
        <w:ind w:left="648"/>
        <w:jc w:val="both"/>
      </w:pPr>
      <w:r>
        <w:t>local transportation (taxis to and from the airport and around town): $300 from Sunday of Week 1 through Friday of Week 2, $100 from Saturday through Saturday of Week 3 (including $20 for the trip to the airport)</w:t>
      </w:r>
    </w:p>
    <w:p w:rsidR="0078310B" w:rsidRDefault="0078310B" w:rsidP="0078310B">
      <w:pPr>
        <w:pStyle w:val="ListParagraph"/>
        <w:widowControl w:val="0"/>
        <w:numPr>
          <w:ilvl w:val="0"/>
          <w:numId w:val="26"/>
        </w:numPr>
        <w:spacing w:after="120"/>
        <w:ind w:left="648"/>
        <w:jc w:val="both"/>
      </w:pPr>
      <w:r>
        <w:t>ski lift tickets: $100 each day</w:t>
      </w:r>
      <w:r w:rsidR="00A74D47">
        <w:t xml:space="preserve"> from Saturday of Week 2 through Friday of Week 3 ($700)</w:t>
      </w:r>
    </w:p>
    <w:p w:rsidR="0078310B" w:rsidRDefault="0078310B" w:rsidP="0078310B">
      <w:pPr>
        <w:widowControl w:val="0"/>
        <w:spacing w:after="120"/>
        <w:ind w:firstLine="288"/>
        <w:jc w:val="both"/>
      </w:pPr>
      <w:r>
        <w:rPr>
          <w:b/>
        </w:rPr>
        <w:t>a.</w:t>
      </w:r>
      <w:r>
        <w:t xml:space="preserve"> What are Saul’s tax consequences with respect to this trip? </w:t>
      </w:r>
    </w:p>
    <w:p w:rsidR="0078310B" w:rsidRPr="00491E57" w:rsidRDefault="0078310B" w:rsidP="0078310B">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w:t>
      </w:r>
      <w:r w:rsidR="00A74D47">
        <w:t xml:space="preserve">round trip </w:t>
      </w:r>
      <w:r>
        <w:t xml:space="preserve">air fare of $1,500 (instead of $500). </w:t>
      </w:r>
      <w:r>
        <w:rPr>
          <w:i/>
        </w:rPr>
        <w:t xml:space="preserve">See </w:t>
      </w:r>
      <w:hyperlink r:id="rId1010" w:history="1">
        <w:r w:rsidRPr="00A74D47">
          <w:rPr>
            <w:rStyle w:val="Hyperlink"/>
          </w:rPr>
          <w:t>§ 274</w:t>
        </w:r>
      </w:hyperlink>
      <w:r>
        <w:t>(c).</w:t>
      </w:r>
    </w:p>
    <w:p w:rsidR="0078310B" w:rsidRDefault="0078310B" w:rsidP="0078310B">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rsidR="0078310B" w:rsidRDefault="0078310B" w:rsidP="0078310B">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rsidR="0078310B" w:rsidRPr="00CD50F4" w:rsidRDefault="0078310B" w:rsidP="0078310B">
      <w:pPr>
        <w:widowControl w:val="0"/>
        <w:ind w:left="288"/>
        <w:jc w:val="both"/>
      </w:pPr>
    </w:p>
    <w:p w:rsidR="0078310B" w:rsidRPr="005312BA" w:rsidRDefault="0078310B" w:rsidP="0078310B">
      <w:pPr>
        <w:pStyle w:val="Heading2"/>
        <w:spacing w:before="0"/>
        <w:rPr>
          <w:sz w:val="32"/>
          <w:szCs w:val="32"/>
          <w:u w:val="single"/>
        </w:rPr>
      </w:pPr>
      <w:bookmarkStart w:id="388" w:name="_Toc395790684"/>
      <w:r w:rsidRPr="005312BA">
        <w:rPr>
          <w:sz w:val="32"/>
          <w:szCs w:val="32"/>
          <w:u w:val="single"/>
        </w:rPr>
        <w:t>D. Use of a personal residence for income production</w:t>
      </w:r>
      <w:bookmarkEnd w:id="388"/>
    </w:p>
    <w:p w:rsidR="0078310B" w:rsidRDefault="0078310B" w:rsidP="0078310B">
      <w:pPr>
        <w:widowControl w:val="0"/>
        <w:jc w:val="both"/>
      </w:pPr>
    </w:p>
    <w:p w:rsidR="0078310B" w:rsidRDefault="0078310B" w:rsidP="0078310B">
      <w:pPr>
        <w:widowControl w:val="0"/>
        <w:spacing w:after="120"/>
        <w:ind w:firstLine="288"/>
        <w:jc w:val="both"/>
      </w:pPr>
      <w:r>
        <w:t>A personal residence can be converted wholly from personal use to income production or used only partly (or for only part of the year) for income production.</w:t>
      </w:r>
    </w:p>
    <w:p w:rsidR="0078310B" w:rsidRPr="00F86919" w:rsidRDefault="0078310B" w:rsidP="0078310B">
      <w:pPr>
        <w:pStyle w:val="Heading3"/>
        <w:spacing w:before="0" w:beforeAutospacing="0" w:after="120" w:afterAutospacing="0"/>
        <w:rPr>
          <w:i/>
        </w:rPr>
      </w:pPr>
      <w:bookmarkStart w:id="389" w:name="_Toc395790685"/>
      <w:r w:rsidRPr="00F86919">
        <w:rPr>
          <w:i/>
        </w:rPr>
        <w:t>Converting a former personal residence wholly to income production</w:t>
      </w:r>
      <w:bookmarkEnd w:id="389"/>
    </w:p>
    <w:p w:rsidR="0078310B" w:rsidRDefault="0078310B" w:rsidP="0078310B">
      <w:pPr>
        <w:widowControl w:val="0"/>
        <w:spacing w:after="120"/>
        <w:ind w:firstLine="288"/>
        <w:jc w:val="both"/>
      </w:pPr>
      <w:r>
        <w:t>A taxpayer who vacates her personal residence and converts it entirely to income production (</w:t>
      </w:r>
      <w:r>
        <w:rPr>
          <w:i/>
        </w:rPr>
        <w:t>e.g.</w:t>
      </w:r>
      <w:r>
        <w:t>, by renting the home to tenants) for all or part of a year must generally include the § 61 Gross Income generated and can generally begin depreciating the property’s basis under §§ 167 and 168 (studied in Chapter 14). If the property’s basis at the time of conversion exceeds the property’s fair market value (FMV), however, only the portion of the basis equal to t</w:t>
      </w:r>
      <w:r w:rsidR="00D510E6">
        <w:t xml:space="preserve">he lower FMV can be depreciated under </w:t>
      </w:r>
      <w:hyperlink r:id="rId1011" w:history="1">
        <w:r w:rsidR="00D510E6" w:rsidRPr="00D510E6">
          <w:rPr>
            <w:rStyle w:val="Hyperlink"/>
          </w:rPr>
          <w:t>Treas. Reg. § 1.167(g)-1</w:t>
        </w:r>
      </w:hyperlink>
      <w:r w:rsidR="00D510E6">
        <w:t>.</w:t>
      </w:r>
      <w:r>
        <w:t xml:space="preserve"> </w:t>
      </w:r>
    </w:p>
    <w:p w:rsidR="0078310B" w:rsidRDefault="0078310B" w:rsidP="0078310B">
      <w:pPr>
        <w:widowControl w:val="0"/>
        <w:spacing w:after="120"/>
        <w:ind w:firstLine="288"/>
        <w:jc w:val="both"/>
      </w:pPr>
      <w:r w:rsidRPr="00C74263">
        <w:t>For</w:t>
      </w:r>
      <w:r>
        <w:t xml:space="preserve"> example, assume that Joan purchases her home for $200,000 in Year 1. During the next five years, Joan lives in the home and thus cannot depreciate any part of her $200,000 basis. In Year 6, however, Joan moves out of the home and rents it to a tenant. If the home’s FMV is $250,000 at the time of conversion, Joan can begin to depreciate her entire $200,000 basis in the property. If, however, the property’s FMV is only $160,000 at the time of conversion,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rsidR="0078310B" w:rsidRDefault="0078310B" w:rsidP="0078310B">
      <w:pPr>
        <w:widowControl w:val="0"/>
        <w:spacing w:after="120"/>
        <w:ind w:firstLine="288"/>
        <w:jc w:val="both"/>
      </w:pPr>
      <w:r>
        <w:t>Neither can basis attributable to periods of personal use be the subject of a loss deduction under § 165(c)(2) when the property is sold. For purposes of computing the portion of a § 1001 realiz</w:t>
      </w:r>
      <w:r w:rsidR="00D510E6">
        <w:t>ed loss that is “allowable” under § 165</w:t>
      </w:r>
      <w:r>
        <w:t xml:space="preserve">, </w:t>
      </w:r>
      <w:hyperlink r:id="rId1012" w:history="1">
        <w:r w:rsidR="00D510E6" w:rsidRPr="00D510E6">
          <w:rPr>
            <w:rStyle w:val="Hyperlink"/>
          </w:rPr>
          <w:t>Treas. Reg. § 1.165-9</w:t>
        </w:r>
      </w:hyperlink>
      <w:r w:rsidR="00D510E6">
        <w:t xml:space="preserve">(b) requires the taxpayer to </w:t>
      </w:r>
      <w:r>
        <w:t xml:space="preserve">subtract from </w:t>
      </w:r>
      <w:r w:rsidR="00D510E6">
        <w:t xml:space="preserve">the </w:t>
      </w:r>
      <w:r>
        <w:t xml:space="preserve">amount realized the lesser of (1) the property’s FMV at the time of the conversion, reduced by any depreciation deductions taken, or (2) the property’s actual adjusted basis. </w:t>
      </w:r>
    </w:p>
    <w:p w:rsidR="0078310B" w:rsidRPr="00DD7C50" w:rsidRDefault="0078310B" w:rsidP="0078310B">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t xml:space="preserve">, however, 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$140,000 figure, Joan’s deductible loss is limited to $10,000. The remaining $40,000 of her $50,000 §</w:t>
      </w:r>
      <w:r w:rsidR="00381103">
        <w:t xml:space="preserve"> </w:t>
      </w:r>
      <w:r>
        <w:t>1001 realized loss represents a nondeductible personal consumption loss under § 165(c)(3) because attributable to the period during which she lived in the home.</w:t>
      </w:r>
      <w:r>
        <w:rPr>
          <w:rStyle w:val="FootnoteReference"/>
        </w:rPr>
        <w:footnoteReference w:id="803"/>
      </w:r>
      <w:r>
        <w:t xml:space="preserve"> </w:t>
      </w:r>
    </w:p>
    <w:p w:rsidR="0078310B" w:rsidRDefault="0078310B" w:rsidP="0078310B">
      <w:pPr>
        <w:widowControl w:val="0"/>
        <w:spacing w:after="120"/>
        <w:ind w:firstLine="288"/>
        <w:jc w:val="both"/>
      </w:pPr>
      <w:r>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w:t>
      </w:r>
      <w:r w:rsidR="00FA3AEF">
        <w:t>)(1) (if not</w:t>
      </w:r>
      <w:r>
        <w:t xml:space="preserve"> pertaining to rental property) or § 62(a)(4) (if pertaining to rental property).</w:t>
      </w:r>
    </w:p>
    <w:p w:rsidR="0078310B" w:rsidRDefault="0078310B" w:rsidP="0078310B">
      <w:pPr>
        <w:widowControl w:val="0"/>
        <w:spacing w:after="120"/>
        <w:ind w:firstLine="288"/>
        <w:jc w:val="both"/>
      </w:pPr>
      <w:r>
        <w:t xml:space="preserve">A notable exception to this usual paradigm pertains to homes that are rented for fewer than 15 days in a calendar year. In that case, </w:t>
      </w:r>
      <w:hyperlink r:id="rId1013"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804"/>
      </w:r>
    </w:p>
    <w:p w:rsidR="0078310B" w:rsidRPr="00F86919" w:rsidRDefault="0078310B" w:rsidP="0078310B">
      <w:pPr>
        <w:pStyle w:val="Heading3"/>
        <w:spacing w:before="0" w:beforeAutospacing="0" w:after="120" w:afterAutospacing="0"/>
        <w:rPr>
          <w:i/>
        </w:rPr>
      </w:pPr>
      <w:bookmarkStart w:id="390" w:name="_Toc395790686"/>
      <w:r w:rsidRPr="00F86919">
        <w:rPr>
          <w:i/>
        </w:rPr>
        <w:t>The so-called home office deduction</w:t>
      </w:r>
      <w:bookmarkEnd w:id="390"/>
    </w:p>
    <w:p w:rsidR="0078310B" w:rsidRDefault="0078310B" w:rsidP="0078310B">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with a proper measurement of “income” as a matter of tax theory? </w:t>
      </w:r>
    </w:p>
    <w:p w:rsidR="0078310B" w:rsidRDefault="0078310B" w:rsidP="0078310B">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3E64D7">
        <w:rPr>
          <w:i/>
        </w:rPr>
        <w:t>sufficient</w:t>
      </w:r>
      <w:r>
        <w:t xml:space="preserve"> to shift an outlay from the nondeductible personal consumption sphere to the deductible business sphere (recall the working parent’s nondeductible childcare costs), but satisfying the but for test </w:t>
      </w:r>
      <w:r w:rsidR="00FA3AEF">
        <w:t xml:space="preserve">should nevertheless always be a </w:t>
      </w:r>
      <w:r w:rsidR="00FA3AEF">
        <w:rPr>
          <w:i/>
        </w:rPr>
        <w:t xml:space="preserve">primary </w:t>
      </w:r>
      <w:r w:rsidRPr="00E47AF5">
        <w:t xml:space="preserve">threshold </w:t>
      </w:r>
      <w:r>
        <w:t xml:space="preserve">or floor—a necessary first step—before any business deduction is possible. Only outlays that would not have been incurred but for the business can plausibly be characterized as incremental (extra) costs incurred </w:t>
      </w:r>
      <w:r w:rsidRPr="000100E2">
        <w:rPr>
          <w:i/>
        </w:rPr>
        <w:t>because of</w:t>
      </w:r>
      <w:r>
        <w:t xml:space="preserve"> business needs. Perhaps even more should be required than a “but for” test, but never less.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rsidR="0078310B" w:rsidRDefault="0078310B" w:rsidP="0078310B">
      <w:pPr>
        <w:widowControl w:val="0"/>
        <w:spacing w:after="120"/>
        <w:ind w:firstLine="288"/>
        <w:jc w:val="both"/>
      </w:pPr>
      <w:r>
        <w:t xml:space="preserve">With respect to home office deductions, therefore,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Thus, when Congress enacted § 280A in 1976 with the express desire to limit such deductions, it created more administratively workable proxy tests to engage in the same inquiry indirectly.  </w:t>
      </w:r>
    </w:p>
    <w:p w:rsidR="0078310B" w:rsidRDefault="002B3596" w:rsidP="0078310B">
      <w:pPr>
        <w:widowControl w:val="0"/>
        <w:spacing w:after="120"/>
        <w:ind w:firstLine="288"/>
        <w:jc w:val="both"/>
      </w:pPr>
      <w:hyperlink r:id="rId1014" w:history="1">
        <w:r w:rsidR="0078310B" w:rsidRPr="00FA3AEF">
          <w:rPr>
            <w:rStyle w:val="Hyperlink"/>
          </w:rPr>
          <w:t>Section 280A</w:t>
        </w:r>
      </w:hyperlink>
      <w:r w:rsidR="0078310B">
        <w:t xml:space="preserve">(a) first disallows </w:t>
      </w:r>
      <w:r w:rsidR="0078310B">
        <w:rPr>
          <w:i/>
        </w:rPr>
        <w:t xml:space="preserve">all </w:t>
      </w:r>
      <w:r w:rsidR="0078310B">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sidR="0078310B">
        <w:rPr>
          <w:i/>
        </w:rPr>
        <w:t>e.g.</w:t>
      </w:r>
      <w:r w:rsidR="0078310B">
        <w:t xml:space="preserve">, business deductions under §§ 162, 167, 168, </w:t>
      </w:r>
      <w:r w:rsidR="0078310B">
        <w:rPr>
          <w:i/>
        </w:rPr>
        <w:t>etc.</w:t>
      </w:r>
      <w:r w:rsidR="0078310B">
        <w:t>), § 280A(c) must be satisfied.</w:t>
      </w:r>
      <w:r w:rsidR="0078310B">
        <w:rPr>
          <w:rStyle w:val="FootnoteReference"/>
        </w:rPr>
        <w:footnoteReference w:id="805"/>
      </w:r>
      <w:r w:rsidR="0078310B">
        <w:t xml:space="preserve"> With respect to home offices, the relevant subsection would be (c)(1), which allows such deductions only if the portion of the dwelling unit under consideration satisfies three tests. </w:t>
      </w:r>
    </w:p>
    <w:p w:rsidR="0078310B" w:rsidRDefault="0078310B" w:rsidP="0078310B">
      <w:pPr>
        <w:pStyle w:val="ListParagraph"/>
        <w:widowControl w:val="0"/>
        <w:numPr>
          <w:ilvl w:val="0"/>
          <w:numId w:val="34"/>
        </w:numPr>
        <w:spacing w:after="120"/>
        <w:ind w:left="64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rsidR="0078310B" w:rsidRDefault="0078310B" w:rsidP="0078310B">
      <w:pPr>
        <w:pStyle w:val="ListParagraph"/>
        <w:widowControl w:val="0"/>
        <w:numPr>
          <w:ilvl w:val="0"/>
          <w:numId w:val="34"/>
        </w:numPr>
        <w:spacing w:after="120"/>
        <w:ind w:left="64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rsidR="0078310B" w:rsidRDefault="0078310B" w:rsidP="0078310B">
      <w:pPr>
        <w:pStyle w:val="ListParagraph"/>
        <w:widowControl w:val="0"/>
        <w:numPr>
          <w:ilvl w:val="0"/>
          <w:numId w:val="34"/>
        </w:numPr>
        <w:spacing w:after="120"/>
        <w:ind w:left="648"/>
        <w:contextualSpacing w:val="0"/>
        <w:jc w:val="both"/>
      </w:pPr>
      <w:r w:rsidRPr="00677ABC">
        <w:rPr>
          <w:i/>
        </w:rPr>
        <w:t>Third</w:t>
      </w:r>
      <w:r>
        <w:t>, the space must be used (exclusively and regularly) in one of the three manners listed:</w:t>
      </w:r>
    </w:p>
    <w:p w:rsidR="0078310B" w:rsidRDefault="0078310B" w:rsidP="0078310B">
      <w:pPr>
        <w:widowControl w:val="0"/>
        <w:spacing w:after="120"/>
        <w:ind w:left="1152" w:hanging="432"/>
        <w:jc w:val="both"/>
      </w:pPr>
      <w:r>
        <w:t>(A) it is the “principal place of business” with respect to “any” of the taxpayer’s businesses (if the taxpayer has more than one business),</w:t>
      </w:r>
    </w:p>
    <w:p w:rsidR="0078310B" w:rsidRDefault="0078310B" w:rsidP="0078310B">
      <w:pPr>
        <w:widowControl w:val="0"/>
        <w:spacing w:after="120"/>
        <w:ind w:left="1152" w:hanging="432"/>
        <w:jc w:val="both"/>
      </w:pPr>
      <w:r>
        <w:t xml:space="preserve">(B) it is the place where the taxpayer meets with clients, patients, or customers “in the normal course of his trade or business,” or </w:t>
      </w:r>
    </w:p>
    <w:p w:rsidR="0078310B" w:rsidRDefault="0078310B" w:rsidP="0078310B">
      <w:pPr>
        <w:widowControl w:val="0"/>
        <w:spacing w:after="120"/>
        <w:ind w:left="1152" w:hanging="432"/>
        <w:jc w:val="both"/>
      </w:pPr>
      <w:r>
        <w:t>(C) if the space is a separate structure that is not attached to the dwelling, it is used “in connection with” the taxpayer’s business.</w:t>
      </w:r>
    </w:p>
    <w:p w:rsidR="0078310B" w:rsidRDefault="0078310B" w:rsidP="0078310B">
      <w:pPr>
        <w:widowControl w:val="0"/>
        <w:spacing w:after="120"/>
        <w:ind w:firstLine="288"/>
        <w:jc w:val="both"/>
      </w:pPr>
      <w:r>
        <w:t>For fans of classic television, a good example of (B) would be Dr. Huxtable’s ground floor office space in The Cosby Show. Bill Cosby’s character was on obstetrician whose family lived in a Brooklyn Heights townhouse, the basement level of which was used as his obstetrician office, where he met with his patients. A classic example of (C) is the author’s writing shed. Authors such as Mark Twain, Roald Dahl, George Bernard Shaw, Henry David Thorough, Michael Pollan, and Virginia Wolf, though not all American and not all writing after adoption of the income tax, wrote in separate sheds constructed on their property.</w:t>
      </w:r>
      <w:r>
        <w:rPr>
          <w:rStyle w:val="FootnoteReference"/>
        </w:rPr>
        <w:footnoteReference w:id="806"/>
      </w:r>
      <w:r>
        <w:t xml:space="preserve"> </w:t>
      </w:r>
    </w:p>
    <w:p w:rsidR="0078310B" w:rsidRDefault="0078310B" w:rsidP="0078310B">
      <w:pPr>
        <w:widowControl w:val="0"/>
        <w:spacing w:after="120"/>
        <w:ind w:firstLine="288"/>
        <w:jc w:val="both"/>
      </w:pPr>
      <w:r>
        <w:t xml:space="preserve">These tests serve effectively as proxies in attempting to determine the likelihood that the taxpayer incurred extra, incremental costs because of business use of his home. Thus,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rsidR="0078310B" w:rsidRDefault="0078310B" w:rsidP="0078310B">
      <w:pPr>
        <w:widowControl w:val="0"/>
        <w:ind w:firstLine="288"/>
        <w:jc w:val="both"/>
      </w:pPr>
      <w:r>
        <w:t xml:space="preserve">How “exclusive” must the use be?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391" w:name="_Toc395790687"/>
      <w:r>
        <w:t>RAYDEN v. COMMISSIONER</w:t>
      </w:r>
      <w:bookmarkEnd w:id="391"/>
    </w:p>
    <w:p w:rsidR="0078310B" w:rsidRDefault="0078310B" w:rsidP="0078310B">
      <w:pPr>
        <w:widowControl w:val="0"/>
        <w:jc w:val="center"/>
      </w:pPr>
      <w:r>
        <w:t>T.C. Memo. 2011-1</w:t>
      </w:r>
    </w:p>
    <w:p w:rsidR="0078310B" w:rsidRDefault="0078310B" w:rsidP="0078310B">
      <w:pPr>
        <w:widowControl w:val="0"/>
      </w:pPr>
    </w:p>
    <w:p w:rsidR="0078310B" w:rsidRDefault="0078310B" w:rsidP="0078310B">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807"/>
        <w:t>[2]</w:t>
      </w:r>
    </w:p>
    <w:p w:rsidR="0078310B" w:rsidRDefault="0078310B" w:rsidP="0078310B">
      <w:pPr>
        <w:widowControl w:val="0"/>
        <w:spacing w:after="120"/>
        <w:jc w:val="both"/>
      </w:pPr>
      <w:r>
        <w:t>FINDINGS OF FACT</w:t>
      </w:r>
    </w:p>
    <w:p w:rsidR="0078310B" w:rsidRDefault="0078310B" w:rsidP="0078310B">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rsidR="0078310B" w:rsidRDefault="0078310B" w:rsidP="0078310B">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rsidR="0078310B" w:rsidRDefault="0078310B" w:rsidP="0078310B">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rsidR="0078310B" w:rsidRDefault="0078310B" w:rsidP="0078310B">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rsidR="0078310B" w:rsidRDefault="0078310B" w:rsidP="0078310B">
      <w:pPr>
        <w:widowControl w:val="0"/>
        <w:spacing w:after="120"/>
        <w:ind w:firstLine="288"/>
        <w:jc w:val="both"/>
      </w:pPr>
      <w:r>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rsidR="0078310B" w:rsidRDefault="0078310B" w:rsidP="0078310B">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rsidR="0078310B" w:rsidRDefault="0078310B" w:rsidP="0078310B">
      <w:pPr>
        <w:widowControl w:val="0"/>
        <w:spacing w:after="120"/>
        <w:jc w:val="both"/>
      </w:pPr>
      <w:r>
        <w:t>OPINION</w:t>
      </w:r>
    </w:p>
    <w:p w:rsidR="0078310B" w:rsidRDefault="0078310B" w:rsidP="0078310B">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rsidR="0078310B" w:rsidRDefault="0078310B" w:rsidP="0078310B">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rsidR="0078310B" w:rsidRDefault="0078310B" w:rsidP="0078310B">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rsidR="0078310B" w:rsidRDefault="0078310B" w:rsidP="0078310B">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rsidR="0078310B" w:rsidRDefault="0078310B" w:rsidP="0078310B">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rsidR="0078310B" w:rsidRDefault="0078310B" w:rsidP="0078310B">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rsidR="0078310B" w:rsidRDefault="0078310B" w:rsidP="0078310B">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rsidR="0078310B" w:rsidRDefault="0078310B" w:rsidP="0078310B">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rsidR="0078310B" w:rsidRDefault="0078310B" w:rsidP="0078310B">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rsidR="0078310B" w:rsidRDefault="0078310B" w:rsidP="0078310B">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rsidR="0078310B" w:rsidRDefault="0078310B" w:rsidP="0078310B">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78310B" w:rsidTr="005337BA">
        <w:trPr>
          <w:tblHeader/>
        </w:trPr>
        <w:tc>
          <w:tcPr>
            <w:tcW w:w="0" w:type="auto"/>
            <w:tcBorders>
              <w:bottom w:val="single" w:sz="8" w:space="0" w:color="000000"/>
              <w:right w:val="single" w:sz="8" w:space="0" w:color="000000"/>
            </w:tcBorders>
            <w:vAlign w:val="center"/>
            <w:hideMark/>
          </w:tcPr>
          <w:p w:rsidR="0078310B" w:rsidRDefault="0078310B" w:rsidP="005337BA">
            <w:pPr>
              <w:widowControl w:val="0"/>
              <w:jc w:val="both"/>
              <w:rPr>
                <w:b/>
                <w:bCs/>
              </w:rPr>
            </w:pPr>
            <w:r>
              <w:rPr>
                <w:b/>
                <w:bCs/>
              </w:rPr>
              <w:t>Room</w:t>
            </w:r>
          </w:p>
        </w:tc>
        <w:tc>
          <w:tcPr>
            <w:tcW w:w="0" w:type="auto"/>
            <w:tcBorders>
              <w:bottom w:val="single" w:sz="8" w:space="0" w:color="000000"/>
            </w:tcBorders>
            <w:vAlign w:val="center"/>
            <w:hideMark/>
          </w:tcPr>
          <w:p w:rsidR="0078310B" w:rsidRDefault="0078310B" w:rsidP="005337BA">
            <w:pPr>
              <w:widowControl w:val="0"/>
              <w:jc w:val="both"/>
              <w:rPr>
                <w:b/>
                <w:bCs/>
              </w:rPr>
            </w:pPr>
            <w:r>
              <w:rPr>
                <w:b/>
                <w:bCs/>
              </w:rPr>
              <w:t>Square Feet</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Library</w:t>
            </w:r>
          </w:p>
        </w:tc>
        <w:tc>
          <w:tcPr>
            <w:tcW w:w="0" w:type="auto"/>
            <w:tcBorders>
              <w:bottom w:val="single" w:sz="8" w:space="0" w:color="000000"/>
            </w:tcBorders>
            <w:vAlign w:val="center"/>
            <w:hideMark/>
          </w:tcPr>
          <w:p w:rsidR="0078310B" w:rsidRDefault="0078310B" w:rsidP="005337BA">
            <w:pPr>
              <w:widowControl w:val="0"/>
              <w:jc w:val="both"/>
            </w:pPr>
            <w:r>
              <w:t>328.5</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Garage</w:t>
            </w:r>
          </w:p>
        </w:tc>
        <w:tc>
          <w:tcPr>
            <w:tcW w:w="0" w:type="auto"/>
            <w:tcBorders>
              <w:bottom w:val="single" w:sz="8" w:space="0" w:color="000000"/>
            </w:tcBorders>
            <w:vAlign w:val="center"/>
            <w:hideMark/>
          </w:tcPr>
          <w:p w:rsidR="0078310B" w:rsidRDefault="0078310B" w:rsidP="005337BA">
            <w:pPr>
              <w:widowControl w:val="0"/>
              <w:jc w:val="both"/>
            </w:pPr>
            <w:r>
              <w:t>1,102.5</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Living room</w:t>
            </w:r>
          </w:p>
        </w:tc>
        <w:tc>
          <w:tcPr>
            <w:tcW w:w="0" w:type="auto"/>
            <w:tcBorders>
              <w:bottom w:val="single" w:sz="8" w:space="0" w:color="000000"/>
            </w:tcBorders>
            <w:vAlign w:val="center"/>
            <w:hideMark/>
          </w:tcPr>
          <w:p w:rsidR="0078310B" w:rsidRDefault="0078310B" w:rsidP="005337BA">
            <w:pPr>
              <w:widowControl w:val="0"/>
              <w:jc w:val="both"/>
            </w:pPr>
            <w:r>
              <w:t>405.0</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Maid’s room</w:t>
            </w:r>
          </w:p>
        </w:tc>
        <w:tc>
          <w:tcPr>
            <w:tcW w:w="0" w:type="auto"/>
            <w:tcBorders>
              <w:bottom w:val="single" w:sz="8" w:space="0" w:color="000000"/>
            </w:tcBorders>
            <w:vAlign w:val="center"/>
            <w:hideMark/>
          </w:tcPr>
          <w:p w:rsidR="0078310B" w:rsidRDefault="0078310B" w:rsidP="005337BA">
            <w:pPr>
              <w:widowControl w:val="0"/>
              <w:jc w:val="both"/>
            </w:pPr>
            <w:r>
              <w:t>364.0</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Bedroom 3</w:t>
            </w:r>
          </w:p>
        </w:tc>
        <w:tc>
          <w:tcPr>
            <w:tcW w:w="0" w:type="auto"/>
            <w:tcBorders>
              <w:bottom w:val="single" w:sz="8" w:space="0" w:color="000000"/>
            </w:tcBorders>
            <w:vAlign w:val="center"/>
            <w:hideMark/>
          </w:tcPr>
          <w:p w:rsidR="0078310B" w:rsidRDefault="0078310B" w:rsidP="005337BA">
            <w:pPr>
              <w:widowControl w:val="0"/>
              <w:jc w:val="both"/>
            </w:pPr>
            <w:r>
              <w:t>444.0</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Bedroom 4</w:t>
            </w:r>
          </w:p>
        </w:tc>
        <w:tc>
          <w:tcPr>
            <w:tcW w:w="0" w:type="auto"/>
            <w:tcBorders>
              <w:bottom w:val="single" w:sz="8" w:space="0" w:color="000000"/>
            </w:tcBorders>
            <w:vAlign w:val="center"/>
            <w:hideMark/>
          </w:tcPr>
          <w:p w:rsidR="0078310B" w:rsidRDefault="0078310B" w:rsidP="005337BA">
            <w:pPr>
              <w:widowControl w:val="0"/>
              <w:jc w:val="both"/>
            </w:pPr>
            <w:r>
              <w:t>392.0</w:t>
            </w:r>
          </w:p>
        </w:tc>
      </w:tr>
      <w:tr w:rsidR="0078310B" w:rsidTr="005337BA">
        <w:tc>
          <w:tcPr>
            <w:tcW w:w="0" w:type="auto"/>
            <w:tcBorders>
              <w:bottom w:val="single" w:sz="8" w:space="0" w:color="000000"/>
              <w:right w:val="single" w:sz="8" w:space="0" w:color="000000"/>
            </w:tcBorders>
            <w:vAlign w:val="center"/>
            <w:hideMark/>
          </w:tcPr>
          <w:p w:rsidR="0078310B" w:rsidRDefault="0078310B" w:rsidP="005337BA">
            <w:pPr>
              <w:widowControl w:val="0"/>
              <w:jc w:val="both"/>
            </w:pPr>
            <w:r>
              <w:t>Hallway to 3 &amp; 4</w:t>
            </w:r>
          </w:p>
        </w:tc>
        <w:tc>
          <w:tcPr>
            <w:tcW w:w="0" w:type="auto"/>
            <w:tcBorders>
              <w:bottom w:val="single" w:sz="8" w:space="0" w:color="000000"/>
            </w:tcBorders>
            <w:vAlign w:val="center"/>
            <w:hideMark/>
          </w:tcPr>
          <w:p w:rsidR="0078310B" w:rsidRDefault="0078310B" w:rsidP="005337BA">
            <w:pPr>
              <w:widowControl w:val="0"/>
              <w:jc w:val="both"/>
            </w:pPr>
            <w:r>
              <w:t>186.0</w:t>
            </w:r>
          </w:p>
        </w:tc>
      </w:tr>
      <w:tr w:rsidR="0078310B" w:rsidTr="005337BA">
        <w:tc>
          <w:tcPr>
            <w:tcW w:w="0" w:type="auto"/>
            <w:tcBorders>
              <w:right w:val="single" w:sz="8" w:space="0" w:color="000000"/>
            </w:tcBorders>
            <w:vAlign w:val="center"/>
            <w:hideMark/>
          </w:tcPr>
          <w:p w:rsidR="0078310B" w:rsidRDefault="0078310B" w:rsidP="005337BA">
            <w:pPr>
              <w:widowControl w:val="0"/>
              <w:jc w:val="both"/>
            </w:pPr>
            <w:r>
              <w:t>Total</w:t>
            </w:r>
          </w:p>
        </w:tc>
        <w:tc>
          <w:tcPr>
            <w:tcW w:w="0" w:type="auto"/>
            <w:vAlign w:val="center"/>
            <w:hideMark/>
          </w:tcPr>
          <w:p w:rsidR="0078310B" w:rsidRDefault="0078310B" w:rsidP="005337BA">
            <w:pPr>
              <w:widowControl w:val="0"/>
              <w:jc w:val="both"/>
            </w:pPr>
            <w:r>
              <w:t>3,222.0</w:t>
            </w:r>
          </w:p>
        </w:tc>
      </w:tr>
    </w:tbl>
    <w:p w:rsidR="0078310B" w:rsidRDefault="0078310B" w:rsidP="0078310B">
      <w:pPr>
        <w:widowControl w:val="0"/>
        <w:ind w:firstLine="288"/>
        <w:jc w:val="both"/>
      </w:pPr>
    </w:p>
    <w:p w:rsidR="0078310B" w:rsidRDefault="0078310B" w:rsidP="0078310B">
      <w:pPr>
        <w:widowControl w:val="0"/>
        <w:spacing w:after="120"/>
        <w:ind w:firstLine="288"/>
        <w:jc w:val="both"/>
      </w:pPr>
      <w:r>
        <w:t>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rsidR="0078310B" w:rsidRDefault="0078310B" w:rsidP="0078310B">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rsidR="0078310B" w:rsidRDefault="0078310B" w:rsidP="0078310B">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rsidR="0078310B" w:rsidRDefault="0078310B" w:rsidP="0078310B">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rsidR="0078310B" w:rsidRDefault="0078310B" w:rsidP="0078310B">
      <w:pPr>
        <w:widowControl w:val="0"/>
        <w:jc w:val="center"/>
      </w:pPr>
      <w:r>
        <w:t>______________________________________________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The most difficult interpretive category is found in § 280A(c)(1)(A). What is the taxpayer’s “principal place of business” (for “any” of his businesses if </w:t>
      </w:r>
      <w:r w:rsidR="00FA3AEF">
        <w:t>s</w:t>
      </w:r>
      <w:r>
        <w:t xml:space="preserve">he has more than one)? Prior to the Supreme Court’s decision in </w:t>
      </w:r>
      <w:r>
        <w:rPr>
          <w:i/>
        </w:rPr>
        <w:t>Commissioner v. Soliman</w:t>
      </w:r>
      <w:r>
        <w:t>,</w:t>
      </w:r>
      <w:r>
        <w:rPr>
          <w:rStyle w:val="FootnoteReference"/>
        </w:rPr>
        <w:footnoteReference w:id="808"/>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809"/>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rsidR="0078310B" w:rsidRDefault="0078310B" w:rsidP="0078310B">
      <w:pPr>
        <w:widowControl w:val="0"/>
        <w:spacing w:after="120"/>
        <w:ind w:firstLine="288"/>
        <w:jc w:val="both"/>
      </w:pPr>
      <w:r>
        <w:t xml:space="preserve">The taxpayer in </w:t>
      </w:r>
      <w:r>
        <w:rPr>
          <w:i/>
        </w:rPr>
        <w:t xml:space="preserve">Soliman </w:t>
      </w:r>
      <w:r>
        <w:t>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his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810"/>
      </w:r>
      <w:r>
        <w:t xml:space="preserve"> The Supreme Court heard the case because of the variety of outcomes in similar cases in the Courts of Appeals.</w:t>
      </w:r>
    </w:p>
    <w:p w:rsidR="0078310B" w:rsidRDefault="0078310B" w:rsidP="0078310B">
      <w:pPr>
        <w:widowControl w:val="0"/>
        <w:spacing w:after="120"/>
        <w:ind w:firstLine="288"/>
        <w:jc w:val="both"/>
      </w:pPr>
      <w:r>
        <w:t>Reversing the lower court decision, the Supreme Court observed:</w:t>
      </w:r>
    </w:p>
    <w:p w:rsidR="0078310B" w:rsidRPr="00B327B7" w:rsidRDefault="0078310B" w:rsidP="0078310B">
      <w:pPr>
        <w:widowControl w:val="0"/>
        <w:spacing w:after="120"/>
        <w:ind w:left="720" w:right="720"/>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rsidR="0078310B" w:rsidRPr="00B327B7" w:rsidRDefault="0078310B" w:rsidP="0078310B">
      <w:pPr>
        <w:widowControl w:val="0"/>
        <w:spacing w:after="120"/>
        <w:ind w:left="720" w:right="720"/>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rsidR="0078310B" w:rsidRPr="00B327B7" w:rsidRDefault="0078310B" w:rsidP="0078310B">
      <w:pPr>
        <w:widowControl w:val="0"/>
        <w:spacing w:after="120"/>
        <w:ind w:left="720" w:right="720"/>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811"/>
      </w:r>
    </w:p>
    <w:p w:rsidR="0078310B" w:rsidRDefault="0078310B" w:rsidP="0078310B">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812"/>
      </w:r>
      <w:r>
        <w:t xml:space="preserve"> in making this determination, and (2) the time spent at the home office compared to the time spent at other business locati</w:t>
      </w:r>
      <w:r w:rsidR="004F6467">
        <w:t xml:space="preserve">ons. Because both parts of </w:t>
      </w:r>
      <w:r>
        <w:t xml:space="preserve">this two-part test pointed away from Dr. Soliman’s home office, the Court easily concluded that his home office was not Dr. Soliman’s “principal place of business.” </w:t>
      </w:r>
    </w:p>
    <w:p w:rsidR="0078310B" w:rsidRDefault="0078310B" w:rsidP="0078310B">
      <w:pPr>
        <w:widowControl w:val="0"/>
        <w:spacing w:after="120"/>
        <w:ind w:left="720" w:right="720"/>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813"/>
      </w:r>
    </w:p>
    <w:p w:rsidR="0078310B" w:rsidRDefault="0078310B" w:rsidP="0078310B">
      <w:pPr>
        <w:widowControl w:val="0"/>
        <w:spacing w:after="120"/>
        <w:ind w:firstLine="288"/>
        <w:jc w:val="both"/>
      </w:pPr>
      <w:r>
        <w:t xml:space="preserve">How would our Metropolitan Opera musician fare under this two part test? Unlike Dr. Soliman, the musician spent more time in his home office on essential activities than he did delivering the services for which he was paid at another location (the opera house). </w:t>
      </w:r>
    </w:p>
    <w:p w:rsidR="0078310B" w:rsidRDefault="0078310B" w:rsidP="0078310B">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1015" w:history="1">
        <w:r w:rsidRPr="006A1522">
          <w:rPr>
            <w:rStyle w:val="Hyperlink"/>
          </w:rPr>
          <w:t>§ 280A</w:t>
        </w:r>
      </w:hyperlink>
      <w:r>
        <w:t>(c)(1) now provides:</w:t>
      </w:r>
    </w:p>
    <w:p w:rsidR="0078310B" w:rsidRDefault="0078310B" w:rsidP="0078310B">
      <w:pPr>
        <w:widowControl w:val="0"/>
        <w:spacing w:after="120"/>
        <w:ind w:left="720" w:right="720"/>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rsidR="0078310B" w:rsidRPr="008B5300" w:rsidRDefault="0078310B" w:rsidP="0078310B">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likely available to Larry Lawyer, an employee, because the immediately preceding sentence provides that the “exclusive use” test will be satisfied with respect to an employee only if the home space is used “for the convenience of the employer.” Thus, if an employer provides work space to the employee in which to perform tasks, the “exclusive use” test is failed when the employee chooses to perform work tasks at home, instead. </w:t>
      </w:r>
    </w:p>
    <w:p w:rsidR="0078310B" w:rsidRDefault="0078310B" w:rsidP="0078310B">
      <w:pPr>
        <w:widowControl w:val="0"/>
        <w:spacing w:after="120"/>
        <w:ind w:firstLine="288"/>
        <w:jc w:val="both"/>
      </w:pPr>
      <w:r>
        <w:t xml:space="preserve">Even if all of these hurdles are surmounted and the taxpayer is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or income from an unrelated business of the taxpayer (or the taxpayer’s spouse, with whom he files a joint return). Thus, </w:t>
      </w:r>
      <w:hyperlink r:id="rId1016" w:history="1">
        <w:r w:rsidRPr="009A7107">
          <w:rPr>
            <w:rStyle w:val="Hyperlink"/>
          </w:rPr>
          <w:t>§ 280A</w:t>
        </w:r>
      </w:hyperlink>
      <w:r>
        <w:t xml:space="preserve">(c)(5)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814"/>
      </w:r>
      <w:r>
        <w:t xml:space="preserve"> and (2) advertising, supplies, professional fees, depreciation of business equipment, and any other non-home-related deductions allocable to the business.</w:t>
      </w:r>
      <w:r>
        <w:rPr>
          <w:rStyle w:val="FootnoteReference"/>
        </w:rPr>
        <w:footnoteReference w:id="815"/>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rsidR="0078310B" w:rsidRDefault="0078310B" w:rsidP="0078310B">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14.</w:t>
      </w:r>
      <w:r>
        <w:rPr>
          <w:rStyle w:val="FootnoteReference"/>
        </w:rPr>
        <w:footnoteReference w:id="816"/>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w:t>
      </w:r>
      <w:r w:rsidR="009A7107">
        <w:t xml:space="preserve">(allocable to the 90% of his home that is not his home office) </w:t>
      </w:r>
      <w:r>
        <w:t>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817"/>
      </w:r>
      <w:r>
        <w:t xml:space="preserve"> </w:t>
      </w:r>
    </w:p>
    <w:p w:rsidR="0078310B" w:rsidRDefault="0078310B" w:rsidP="0078310B">
      <w:pPr>
        <w:widowControl w:val="0"/>
        <w:spacing w:after="120"/>
        <w:ind w:firstLine="288"/>
        <w:jc w:val="both"/>
      </w:pPr>
      <w:r>
        <w:t xml:space="preserve">Applying the § 280A(c)(5) limit, how much of George’s home office depreciation and expenses can he actually deduct this year under the following assumptions? </w:t>
      </w:r>
    </w:p>
    <w:p w:rsidR="0078310B" w:rsidRDefault="0078310B" w:rsidP="0078310B">
      <w:pPr>
        <w:pStyle w:val="ListParagraph"/>
        <w:widowControl w:val="0"/>
        <w:numPr>
          <w:ilvl w:val="0"/>
          <w:numId w:val="30"/>
        </w:numPr>
        <w:spacing w:after="120"/>
        <w:ind w:left="648"/>
        <w:contextualSpacing w:val="0"/>
        <w:jc w:val="both"/>
      </w:pPr>
      <w:r>
        <w:t xml:space="preserve">Gross Income generated by George’s tree-trimming business is $9,000, </w:t>
      </w:r>
    </w:p>
    <w:p w:rsidR="0078310B" w:rsidRDefault="0078310B" w:rsidP="0078310B">
      <w:pPr>
        <w:pStyle w:val="ListParagraph"/>
        <w:widowControl w:val="0"/>
        <w:numPr>
          <w:ilvl w:val="0"/>
          <w:numId w:val="30"/>
        </w:numPr>
        <w:spacing w:after="120"/>
        <w:ind w:left="648"/>
        <w:contextualSpacing w:val="0"/>
        <w:jc w:val="both"/>
      </w:pPr>
      <w:r>
        <w:t xml:space="preserve">George pays $10,000 in interest on his home loan ($1,000 of which is allocable to his home office) and $6,000 in real property taxes ($600 of which is allocable to his home office), </w:t>
      </w:r>
    </w:p>
    <w:p w:rsidR="0078310B" w:rsidRDefault="0078310B" w:rsidP="0078310B">
      <w:pPr>
        <w:pStyle w:val="ListParagraph"/>
        <w:widowControl w:val="0"/>
        <w:numPr>
          <w:ilvl w:val="0"/>
          <w:numId w:val="30"/>
        </w:numPr>
        <w:spacing w:after="120"/>
        <w:ind w:left="64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rsidR="0078310B" w:rsidRDefault="0078310B" w:rsidP="0078310B">
      <w:pPr>
        <w:pStyle w:val="ListParagraph"/>
        <w:widowControl w:val="0"/>
        <w:numPr>
          <w:ilvl w:val="0"/>
          <w:numId w:val="30"/>
        </w:numPr>
        <w:spacing w:after="120"/>
        <w:ind w:left="648"/>
        <w:contextualSpacing w:val="0"/>
        <w:jc w:val="both"/>
      </w:pPr>
      <w:r>
        <w:t xml:space="preserve">the first-year depreciation for the $10,000 basis allocable to his home office is $246 (2.461% of $10,000), and </w:t>
      </w:r>
    </w:p>
    <w:p w:rsidR="0078310B" w:rsidRDefault="0078310B" w:rsidP="0078310B">
      <w:pPr>
        <w:pStyle w:val="ListParagraph"/>
        <w:widowControl w:val="0"/>
        <w:numPr>
          <w:ilvl w:val="0"/>
          <w:numId w:val="30"/>
        </w:numPr>
        <w:spacing w:after="120"/>
        <w:ind w:left="648"/>
        <w:contextualSpacing w:val="0"/>
        <w:jc w:val="both"/>
      </w:pPr>
      <w:r>
        <w:t xml:space="preserve">George’s aggregate cost for homeowners insurance, utilities, and repair bills is $20,000 ($2,000 of which is allocable to his home office). </w:t>
      </w:r>
    </w:p>
    <w:p w:rsidR="0078310B" w:rsidRDefault="0078310B" w:rsidP="0078310B">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Thus, of George’s aggregate $2,246 home office deduction, only $1,400 is allowed this year: $9,000 Gross Income </w:t>
      </w:r>
      <w:r>
        <w:rPr>
          <w:i/>
        </w:rPr>
        <w:t>less</w:t>
      </w:r>
      <w:r>
        <w:t xml:space="preserve"> </w:t>
      </w:r>
      <w:r w:rsidR="00487FB5">
        <w:t>$7,600 (</w:t>
      </w:r>
      <w:r>
        <w:t xml:space="preserve">$1,600 mortgage interest and real property tax allocable to the home office </w:t>
      </w:r>
      <w:r w:rsidR="00487FB5">
        <w:t xml:space="preserve">and </w:t>
      </w:r>
      <w:r>
        <w:t>$6,000 in business deductions unrelated to the home</w:t>
      </w:r>
      <w:r w:rsidR="00487FB5">
        <w:t>)</w:t>
      </w:r>
      <w:r>
        <w:t xml:space="preserv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rsidR="0078310B" w:rsidRDefault="0078310B" w:rsidP="0078310B">
      <w:pPr>
        <w:widowControl w:val="0"/>
        <w:spacing w:after="120"/>
        <w:ind w:firstLine="288"/>
        <w:jc w:val="both"/>
      </w:pPr>
      <w:r>
        <w:t xml:space="preserve">Whew! George has to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121(d)(5). </w:t>
      </w:r>
    </w:p>
    <w:p w:rsidR="0078310B" w:rsidRDefault="0078310B" w:rsidP="0078310B">
      <w:pPr>
        <w:widowControl w:val="0"/>
        <w:spacing w:after="120"/>
        <w:ind w:firstLine="288"/>
        <w:jc w:val="both"/>
      </w:pPr>
      <w:r>
        <w:t>In an effort to simplify life for taxpayers like George, the IRS issued Revenue Procedure 2013-13 in 2013,</w:t>
      </w:r>
      <w:r>
        <w:rPr>
          <w:rStyle w:val="FootnoteReference"/>
        </w:rPr>
        <w:footnoteReference w:id="818"/>
      </w:r>
      <w:r>
        <w:t xml:space="preserve"> which allows certain taxpayers otherwise satisfying the requirements of § 280A(c) to elect, if they wish, to use an optional safe harbor method in determining the home office deduction. If George elects to use this safe harbor method: </w:t>
      </w:r>
    </w:p>
    <w:p w:rsidR="0078310B" w:rsidRDefault="0078310B" w:rsidP="0078310B">
      <w:pPr>
        <w:pStyle w:val="ListParagraph"/>
        <w:widowControl w:val="0"/>
        <w:numPr>
          <w:ilvl w:val="0"/>
          <w:numId w:val="31"/>
        </w:numPr>
        <w:spacing w:after="120"/>
        <w:ind w:left="648"/>
        <w:contextualSpacing w:val="0"/>
        <w:jc w:val="both"/>
      </w:pPr>
      <w:r>
        <w:t xml:space="preserve">No depreciation deduction can be taken (thus avoiding the concomitant basis reduction). </w:t>
      </w:r>
    </w:p>
    <w:p w:rsidR="0078310B" w:rsidRDefault="0078310B" w:rsidP="0078310B">
      <w:pPr>
        <w:pStyle w:val="ListParagraph"/>
        <w:widowControl w:val="0"/>
        <w:numPr>
          <w:ilvl w:val="0"/>
          <w:numId w:val="31"/>
        </w:numPr>
        <w:spacing w:after="120"/>
        <w:ind w:left="648"/>
        <w:contextualSpacing w:val="0"/>
        <w:jc w:val="both"/>
      </w:pPr>
      <w:r>
        <w:t xml:space="preserve">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George’s above-the-line home office deduction. </w:t>
      </w:r>
    </w:p>
    <w:p w:rsidR="0078310B" w:rsidRDefault="0078310B" w:rsidP="0078310B">
      <w:pPr>
        <w:pStyle w:val="ListParagraph"/>
        <w:widowControl w:val="0"/>
        <w:numPr>
          <w:ilvl w:val="0"/>
          <w:numId w:val="31"/>
        </w:numPr>
        <w:spacing w:after="120"/>
        <w:ind w:left="64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rsidR="0078310B" w:rsidRDefault="0078310B" w:rsidP="0078310B">
      <w:pPr>
        <w:pStyle w:val="ListParagraph"/>
        <w:widowControl w:val="0"/>
        <w:numPr>
          <w:ilvl w:val="0"/>
          <w:numId w:val="31"/>
        </w:numPr>
        <w:spacing w:after="120"/>
        <w:ind w:left="64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Thus,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rsidR="0078310B" w:rsidRDefault="0078310B" w:rsidP="0078310B">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is not taken into account. In applying the § 280A(c)(5) ceiling, none of his $10,000 qualified residence interest or $6,000 real property tax is allocable to the home office. Thus, he retains $16,000 in Itemized Deductions (in addition to his above-the-line home office deduction) and, more important, preserves more Gross Income for his home office deduction under the § 280A(c)(5) ceiling. Thus,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 to substantiate his deduction.</w:t>
      </w:r>
      <w:r>
        <w:rPr>
          <w:rStyle w:val="FootnoteReference"/>
        </w:rPr>
        <w:footnoteReference w:id="819"/>
      </w:r>
    </w:p>
    <w:p w:rsidR="0078310B" w:rsidRDefault="0078310B" w:rsidP="0078310B">
      <w:pPr>
        <w:widowControl w:val="0"/>
        <w:ind w:firstLine="288"/>
        <w:jc w:val="both"/>
      </w:pPr>
    </w:p>
    <w:p w:rsidR="0078310B" w:rsidRPr="005312BA" w:rsidRDefault="0078310B" w:rsidP="0078310B">
      <w:pPr>
        <w:pStyle w:val="Heading2"/>
        <w:spacing w:before="0"/>
        <w:rPr>
          <w:sz w:val="32"/>
          <w:szCs w:val="32"/>
          <w:u w:val="single"/>
        </w:rPr>
      </w:pPr>
      <w:bookmarkStart w:id="392" w:name="_Toc395790688"/>
      <w:r w:rsidRPr="005312BA">
        <w:rPr>
          <w:sz w:val="32"/>
          <w:szCs w:val="32"/>
          <w:u w:val="single"/>
        </w:rPr>
        <w:t>E. Distinguishing between “business” and “investment”</w:t>
      </w:r>
      <w:bookmarkEnd w:id="392"/>
    </w:p>
    <w:p w:rsidR="0078310B" w:rsidRDefault="0078310B" w:rsidP="0078310B">
      <w:pPr>
        <w:widowControl w:val="0"/>
        <w:jc w:val="both"/>
      </w:pPr>
    </w:p>
    <w:p w:rsidR="0078310B" w:rsidRDefault="0078310B" w:rsidP="0078310B">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rsidR="0078310B" w:rsidRDefault="0078310B" w:rsidP="0078310B">
      <w:pPr>
        <w:widowControl w:val="0"/>
        <w:spacing w:after="120"/>
        <w:ind w:firstLine="288"/>
        <w:jc w:val="both"/>
      </w:pPr>
      <w:r>
        <w:t>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and 11.</w:t>
      </w:r>
      <w:r>
        <w:rPr>
          <w:rStyle w:val="FootnoteReference"/>
        </w:rPr>
        <w:footnoteReference w:id="820"/>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821"/>
      </w:r>
      <w:r>
        <w:t xml:space="preserve"> That is quite a significant difference!</w:t>
      </w:r>
    </w:p>
    <w:p w:rsidR="0078310B" w:rsidRDefault="0078310B" w:rsidP="0078310B">
      <w:pPr>
        <w:widowControl w:val="0"/>
        <w:ind w:firstLine="288"/>
        <w:jc w:val="both"/>
      </w:pPr>
      <w:r>
        <w:t xml:space="preserve">A few less significant differences between “business” and “investment” are worth considering (or reviewing) here. First, recall from Chapter 11 that nonbusiness bad debts are treated as short-term capital losses under </w:t>
      </w:r>
      <w:hyperlink r:id="rId1017" w:history="1">
        <w:r w:rsidRPr="004E5F9B">
          <w:rPr>
            <w:rStyle w:val="Hyperlink"/>
          </w:rPr>
          <w:t>§ 166</w:t>
        </w:r>
      </w:hyperlink>
      <w:r>
        <w:t xml:space="preserve">(d), whereas business bad debts are deductible as ordinary losses, unhampered by the § 1211(b) capital loss limitation rule. Moreover, as a sneak preview of the next chapter, to the extent business bad debts (and other business deductions) of an individual exceed Gross Income (including both business and investment Gross Income income) in the year realized, the excess (unusable) business deduction can be carried back or forward to other tax years under </w:t>
      </w:r>
      <w:hyperlink r:id="rId1018" w:history="1">
        <w:r w:rsidRPr="004E5F9B">
          <w:rPr>
            <w:rStyle w:val="Hyperlink"/>
          </w:rPr>
          <w:t>§ 172</w:t>
        </w:r>
      </w:hyperlink>
      <w:r>
        <w:t xml:space="preserve"> to reduce tax, whereas nonbusiness deductions (including § 166(d) bad-debt deductions) in excess of nonbusiness (investment) Gross Income cannot be carried to other years. </w:t>
      </w:r>
    </w:p>
    <w:p w:rsidR="0078310B" w:rsidRDefault="0078310B" w:rsidP="0078310B">
      <w:pPr>
        <w:widowControl w:val="0"/>
        <w:ind w:firstLine="288"/>
        <w:jc w:val="both"/>
      </w:pPr>
    </w:p>
    <w:p w:rsidR="0078310B" w:rsidRPr="004233C7" w:rsidRDefault="0078310B" w:rsidP="0078310B">
      <w:pPr>
        <w:pStyle w:val="Heading3"/>
        <w:spacing w:before="0" w:beforeAutospacing="0" w:after="120" w:afterAutospacing="0"/>
        <w:jc w:val="center"/>
      </w:pPr>
      <w:bookmarkStart w:id="393" w:name="_Toc395790689"/>
      <w:r>
        <w:t>UNITED STATES v. GENERES</w:t>
      </w:r>
      <w:bookmarkEnd w:id="393"/>
    </w:p>
    <w:p w:rsidR="0078310B" w:rsidRDefault="0078310B" w:rsidP="0078310B">
      <w:pPr>
        <w:widowControl w:val="0"/>
        <w:jc w:val="center"/>
      </w:pPr>
      <w:r>
        <w:t>405 U.S. 93 (1971)</w:t>
      </w:r>
    </w:p>
    <w:p w:rsidR="0078310B" w:rsidRDefault="0078310B" w:rsidP="0078310B">
      <w:pPr>
        <w:widowControl w:val="0"/>
        <w:ind w:firstLine="288"/>
        <w:jc w:val="both"/>
        <w:rPr>
          <w:smallCaps/>
        </w:rPr>
      </w:pPr>
    </w:p>
    <w:p w:rsidR="0078310B" w:rsidRDefault="0078310B" w:rsidP="0078310B">
      <w:pPr>
        <w:widowControl w:val="0"/>
        <w:spacing w:after="120"/>
        <w:ind w:firstLine="288"/>
        <w:jc w:val="both"/>
      </w:pPr>
      <w:r>
        <w:rPr>
          <w:smallCaps/>
        </w:rPr>
        <w:t>Mr. Justice Blackmun</w:t>
      </w:r>
      <w:r>
        <w:t xml:space="preserve"> delivered the opinion of the Court.</w:t>
      </w:r>
    </w:p>
    <w:p w:rsidR="0078310B" w:rsidRDefault="0078310B" w:rsidP="0078310B">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822"/>
        <w:t>[2]</w:t>
      </w:r>
    </w:p>
    <w:p w:rsidR="0078310B" w:rsidRDefault="0078310B" w:rsidP="0078310B">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rsidR="0078310B" w:rsidRDefault="0078310B" w:rsidP="0078310B">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rsidR="0078310B" w:rsidRDefault="0078310B" w:rsidP="0078310B">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Certiorari was granted to resolve a conflict among the circuits.</w:t>
      </w:r>
    </w:p>
    <w:p w:rsidR="0078310B" w:rsidRDefault="0078310B" w:rsidP="0078310B">
      <w:pPr>
        <w:widowControl w:val="0"/>
        <w:spacing w:after="120"/>
        <w:jc w:val="center"/>
      </w:pPr>
      <w:r>
        <w:t>I</w:t>
      </w:r>
    </w:p>
    <w:p w:rsidR="0078310B" w:rsidRDefault="0078310B" w:rsidP="0078310B">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rsidR="0078310B" w:rsidRDefault="0078310B" w:rsidP="0078310B">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rsidR="0078310B" w:rsidRDefault="0078310B" w:rsidP="0078310B">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78310B" w:rsidRDefault="0078310B" w:rsidP="0078310B">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78310B" w:rsidRDefault="0078310B" w:rsidP="0078310B">
      <w:pPr>
        <w:widowControl w:val="0"/>
        <w:spacing w:after="120"/>
        <w:ind w:firstLine="288"/>
        <w:jc w:val="both"/>
      </w:pPr>
      <w: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78310B" w:rsidRDefault="0078310B" w:rsidP="0078310B">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rsidR="0078310B" w:rsidRDefault="0078310B" w:rsidP="0078310B">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rsidR="0078310B" w:rsidRDefault="0078310B" w:rsidP="0078310B">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rsidR="0078310B" w:rsidRDefault="0078310B" w:rsidP="0078310B">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rsidR="0078310B" w:rsidRDefault="0078310B" w:rsidP="0078310B">
      <w:pPr>
        <w:widowControl w:val="0"/>
        <w:spacing w:after="120"/>
        <w:jc w:val="center"/>
      </w:pPr>
      <w:r>
        <w:t>II</w:t>
      </w:r>
    </w:p>
    <w:p w:rsidR="0078310B" w:rsidRDefault="0078310B" w:rsidP="0078310B">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78310B" w:rsidRDefault="0078310B" w:rsidP="0078310B">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rsidR="0078310B" w:rsidRDefault="0078310B" w:rsidP="0078310B">
      <w:pPr>
        <w:widowControl w:val="0"/>
        <w:spacing w:after="120"/>
        <w:ind w:firstLine="288"/>
        <w:jc w:val="both"/>
      </w:pPr>
      <w:r w:rsidRPr="0081162E">
        <w:rPr>
          <w:i/>
        </w:rPr>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78310B" w:rsidRDefault="0078310B" w:rsidP="0078310B">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rsidR="0078310B" w:rsidRDefault="0078310B" w:rsidP="0078310B">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rsidR="0078310B" w:rsidRDefault="0078310B" w:rsidP="0078310B">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rsidR="0078310B" w:rsidRDefault="0078310B" w:rsidP="0078310B">
      <w:pPr>
        <w:widowControl w:val="0"/>
        <w:spacing w:after="120"/>
        <w:jc w:val="center"/>
      </w:pPr>
      <w:r>
        <w:t>III</w:t>
      </w:r>
    </w:p>
    <w:p w:rsidR="0078310B" w:rsidRDefault="0078310B" w:rsidP="0078310B">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78310B" w:rsidRDefault="0078310B" w:rsidP="0078310B">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nonbusiness bad debts. 56 Stat. 820.</w:t>
      </w:r>
    </w:p>
    <w:p w:rsidR="0078310B" w:rsidRDefault="0078310B" w:rsidP="0078310B">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78310B" w:rsidRDefault="0078310B" w:rsidP="0078310B">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both motives—that of protecting the investment and that of protecting the salary—are inevitably involved, and an inquiry whether employee status provides a significant motivation will always produce an affirmative answer and result in a judgment for the taxpayer.</w:t>
      </w:r>
    </w:p>
    <w:p w:rsidR="0078310B" w:rsidRDefault="0078310B" w:rsidP="0078310B">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78310B" w:rsidRDefault="0078310B" w:rsidP="0078310B">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rsidR="0078310B" w:rsidRDefault="0078310B" w:rsidP="0078310B">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78310B" w:rsidRDefault="0078310B" w:rsidP="0078310B">
      <w:pPr>
        <w:widowControl w:val="0"/>
        <w:spacing w:after="120"/>
        <w:jc w:val="center"/>
      </w:pPr>
      <w:r>
        <w:t>IV</w:t>
      </w:r>
    </w:p>
    <w:p w:rsidR="0078310B" w:rsidRDefault="0078310B" w:rsidP="0078310B">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rsidR="0078310B" w:rsidRDefault="0078310B" w:rsidP="0078310B">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rsidR="0078310B" w:rsidRDefault="0078310B" w:rsidP="0078310B">
      <w:pPr>
        <w:widowControl w:val="0"/>
        <w:spacing w:after="120"/>
        <w:ind w:firstLine="288"/>
        <w:jc w:val="both"/>
      </w:pPr>
      <w: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rsidR="0078310B" w:rsidRDefault="0078310B" w:rsidP="0078310B">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rsidR="0078310B" w:rsidRDefault="0078310B" w:rsidP="0078310B">
      <w:pPr>
        <w:widowControl w:val="0"/>
        <w:spacing w:after="120"/>
        <w:ind w:firstLine="288"/>
        <w:jc w:val="both"/>
      </w:pPr>
      <w:r>
        <w:t>The judgment is reversed and the case is remanded with direction that judgment be entered for the United States.</w:t>
      </w:r>
    </w:p>
    <w:p w:rsidR="0078310B" w:rsidRDefault="0078310B" w:rsidP="0078310B">
      <w:pPr>
        <w:widowControl w:val="0"/>
        <w:ind w:firstLine="288"/>
        <w:jc w:val="both"/>
      </w:pPr>
      <w:r>
        <w:t>[The separate concurrences by Justices Marshall, White, and Brennan and the dissent by Justice Douglas are omitted.]</w:t>
      </w:r>
    </w:p>
    <w:p w:rsidR="0078310B" w:rsidRDefault="0078310B" w:rsidP="0078310B">
      <w:pPr>
        <w:widowControl w:val="0"/>
        <w:jc w:val="center"/>
      </w:pPr>
      <w:r>
        <w:t>________________________________________</w:t>
      </w:r>
    </w:p>
    <w:p w:rsidR="0078310B" w:rsidRDefault="0078310B" w:rsidP="0078310B">
      <w:pPr>
        <w:widowControl w:val="0"/>
        <w:ind w:firstLine="288"/>
        <w:jc w:val="both"/>
      </w:pPr>
    </w:p>
    <w:p w:rsidR="0078310B" w:rsidRDefault="0078310B" w:rsidP="0078310B">
      <w:pPr>
        <w:widowControl w:val="0"/>
        <w:spacing w:after="120"/>
        <w:ind w:firstLine="288"/>
        <w:jc w:val="both"/>
      </w:pPr>
      <w:r>
        <w:t xml:space="preserve">Recall the significant difference between business interest and investment interest, discussed in Chapter 16. </w:t>
      </w:r>
      <w:hyperlink r:id="rId1019" w:history="1">
        <w:r w:rsidRPr="004E5F9B">
          <w:rPr>
            <w:rStyle w:val="Hyperlink"/>
          </w:rPr>
          <w:t>Section 163</w:t>
        </w:r>
      </w:hyperlink>
      <w:r>
        <w:t xml:space="preserve"> does not limit the amount of business interest that can be deducted in any one year (though other Code sections may step in to limit the deduction of business interest, such as § 469). In comparison, § 163(d) limits the deduction of investment interest in any year to the amount of net investment income included in the same year, with the remainder carried forward for possible deduction in future years. </w:t>
      </w:r>
    </w:p>
    <w:p w:rsidR="0078310B" w:rsidRDefault="0078310B" w:rsidP="0078310B">
      <w:pPr>
        <w:widowControl w:val="0"/>
        <w:spacing w:after="120"/>
        <w:ind w:firstLine="288"/>
        <w:jc w:val="both"/>
      </w:pPr>
      <w:r>
        <w:t>Also recall from Chapter 1, Part B.</w:t>
      </w:r>
      <w:r w:rsidR="004E5F9B">
        <w:t>,</w:t>
      </w:r>
      <w:r>
        <w:t xml:space="preserve"> that many investment deductions are Itemized Deductions because not listed in </w:t>
      </w:r>
      <w:hyperlink r:id="rId1020"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823"/>
      </w:r>
      <w:r>
        <w:t xml:space="preserve"> Furthermore, many of these investment Itemized Deductions (though not all) are subject to reduction under the 2% floor described in </w:t>
      </w:r>
      <w:hyperlink r:id="rId1021" w:history="1">
        <w:r w:rsidRPr="004E5F9B">
          <w:rPr>
            <w:rStyle w:val="Hyperlink"/>
          </w:rPr>
          <w:t>§ 67</w:t>
        </w:r>
      </w:hyperlink>
      <w:r>
        <w:t xml:space="preserve"> for regular tax purposes and are completely disallowed under the Alternative Minimum Tax.</w:t>
      </w:r>
      <w:r>
        <w:rPr>
          <w:rStyle w:val="FootnoteReference"/>
        </w:rPr>
        <w:footnoteReference w:id="824"/>
      </w:r>
      <w:r>
        <w:t xml:space="preserve"> In a similar vein, the allowable gambling losses (under </w:t>
      </w:r>
      <w:hyperlink r:id="rId1022" w:history="1">
        <w:r w:rsidRPr="004E5F9B">
          <w:rPr>
            <w:rStyle w:val="Hyperlink"/>
          </w:rPr>
          <w:t>§ 165</w:t>
        </w:r>
      </w:hyperlink>
      <w:r>
        <w:t xml:space="preserve">(d)) deducted by the non-professional gambler are Itemized Deductions, worthless to the non-Itemizer, though they are protected from </w:t>
      </w:r>
      <w:r w:rsidR="004E5F9B">
        <w:t xml:space="preserve">both </w:t>
      </w:r>
      <w:r>
        <w:t>reduction under § 67 and disallowance under § 56(b)(1)(A)(i).</w:t>
      </w:r>
      <w:r>
        <w:rPr>
          <w:rStyle w:val="FootnoteReference"/>
        </w:rPr>
        <w:footnoteReference w:id="825"/>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1023" w:history="1">
        <w:r w:rsidRPr="00AE07A4">
          <w:rPr>
            <w:rStyle w:val="Hyperlink"/>
          </w:rPr>
          <w:t>§ 162</w:t>
        </w:r>
      </w:hyperlink>
      <w:r>
        <w:t>(a)(2), which the casual gambler cannot deduct, as discussed in Chapter 19, Part A.</w:t>
      </w:r>
    </w:p>
    <w:p w:rsidR="0078310B" w:rsidRDefault="0078310B" w:rsidP="0078310B">
      <w:pPr>
        <w:widowControl w:val="0"/>
        <w:spacing w:after="120"/>
        <w:ind w:firstLine="288"/>
        <w:jc w:val="both"/>
      </w:pPr>
      <w:r>
        <w:t xml:space="preserve">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Another important effect of “trader” status is the ability to elect mark-to-market accounting under </w:t>
      </w:r>
      <w:hyperlink r:id="rId1024" w:history="1">
        <w:r w:rsidRPr="0046361A">
          <w:rPr>
            <w:rStyle w:val="Hyperlink"/>
          </w:rPr>
          <w:t>§ 475</w:t>
        </w:r>
      </w:hyperlink>
      <w:r>
        <w:t>(f), under which the owner includes the appreciation in the security’s value at year’s end (or deducts the loss in value), adjusting basis, accordingly. The benefit obtained thereby is that these gains and losses are transformed from capital to ordinary. As traders, by definition, r</w:t>
      </w:r>
      <w:r w:rsidR="0046361A">
        <w:t xml:space="preserve">arely realize long-term </w:t>
      </w:r>
      <w:r>
        <w:t>gain (and thus do not benefit from the reduced tax rate for net capital gain</w:t>
      </w:r>
      <w:r w:rsidR="0046361A">
        <w:t xml:space="preserve"> if this gain is considered capital gain</w:t>
      </w:r>
      <w:r>
        <w:t xml:space="preserve">), transforming their trading (short term) capital gains and losses into ordinary gains and losses has only the beneficial effect of avoiding the </w:t>
      </w:r>
      <w:hyperlink r:id="rId1025" w:history="1">
        <w:r w:rsidRPr="0046361A">
          <w:rPr>
            <w:rStyle w:val="Hyperlink"/>
          </w:rPr>
          <w:t>§ 1211</w:t>
        </w:r>
      </w:hyperlink>
      <w:r>
        <w:t xml:space="preserve">(b) capital loss limitation rule. The threshold for reaching “trader” status is quite steep, however. </w:t>
      </w:r>
    </w:p>
    <w:p w:rsidR="0078310B" w:rsidRDefault="0078310B" w:rsidP="0078310B">
      <w:pPr>
        <w:widowControl w:val="0"/>
        <w:spacing w:after="120"/>
        <w:ind w:firstLine="288"/>
        <w:jc w:val="both"/>
      </w:pPr>
      <w:r>
        <w:t xml:space="preserve">In </w:t>
      </w:r>
      <w:r>
        <w:rPr>
          <w:i/>
        </w:rPr>
        <w:t>Assaderaghi v. Commissioner</w:t>
      </w:r>
      <w:r>
        <w:t>,</w:t>
      </w:r>
      <w:r>
        <w:rPr>
          <w:rStyle w:val="FootnoteReference"/>
        </w:rPr>
        <w:footnoteReference w:id="826"/>
      </w:r>
      <w:r>
        <w:t xml:space="preserve"> for example, the taxpayer had a full-time job earning $230,000 when he began buying and selling securities in 1994 and began trading options in 1995. After a decade, these activities increased significantly. For tax years 2008 and 2009, he claimed trader status. </w:t>
      </w:r>
    </w:p>
    <w:p w:rsidR="0078310B" w:rsidRDefault="0078310B" w:rsidP="0078310B">
      <w:pPr>
        <w:widowControl w:val="0"/>
        <w:spacing w:after="120"/>
        <w:ind w:left="720" w:right="720"/>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827"/>
        <w:t>[7]</w:t>
      </w:r>
      <w:r>
        <w:t xml:space="preserve"> Thus, 40% of Mr. Assaderaghi’s trades were same-day trades in 2008 and 19% were same-day trades in 2009.</w:t>
      </w:r>
    </w:p>
    <w:p w:rsidR="0078310B" w:rsidRDefault="0078310B" w:rsidP="0078310B">
      <w:pPr>
        <w:widowControl w:val="0"/>
        <w:ind w:left="720" w:right="720"/>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rsidR="0078310B" w:rsidRDefault="0078310B" w:rsidP="0078310B">
      <w:pPr>
        <w:widowControl w:val="0"/>
        <w:spacing w:after="120"/>
        <w:ind w:left="720" w:right="720"/>
        <w:jc w:val="both"/>
      </w:pPr>
      <w:r>
        <w:t>…</w:t>
      </w:r>
    </w:p>
    <w:p w:rsidR="0078310B" w:rsidRDefault="0078310B" w:rsidP="0078310B">
      <w:pPr>
        <w:widowControl w:val="0"/>
        <w:spacing w:after="120"/>
        <w:ind w:left="720" w:right="720"/>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rsidR="0078310B" w:rsidRDefault="0078310B" w:rsidP="0078310B">
      <w:pPr>
        <w:widowControl w:val="0"/>
        <w:spacing w:after="120"/>
        <w:ind w:firstLine="288"/>
        <w:jc w:val="both"/>
      </w:pPr>
      <w:r>
        <w:t xml:space="preserve">Applying these tests, the Tax Court concluded that Mr. Assaderaghi did not trade with sufficient frequency to qualify as a trader. </w:t>
      </w:r>
    </w:p>
    <w:p w:rsidR="0078310B" w:rsidRDefault="0078310B" w:rsidP="0078310B">
      <w:pPr>
        <w:widowControl w:val="0"/>
        <w:spacing w:after="120"/>
        <w:ind w:left="720" w:right="720"/>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rsidR="0078310B" w:rsidRDefault="0078310B" w:rsidP="0078310B">
      <w:pPr>
        <w:widowControl w:val="0"/>
        <w:spacing w:after="120"/>
        <w:ind w:left="720" w:right="720"/>
        <w:jc w:val="both"/>
      </w:pPr>
      <w:r>
        <w:t>We conclude that the number of days on which and the frequency with which Mr. Assaderaghi executed trades do not evidence the frequency, continuity, and regularity necessary to constitute a trade or business.</w:t>
      </w:r>
      <w:r>
        <w:rPr>
          <w:rStyle w:val="FootnoteReference"/>
        </w:rPr>
        <w:footnoteReference w:customMarkFollows="1" w:id="828"/>
        <w:t>[18]</w:t>
      </w:r>
    </w:p>
    <w:p w:rsidR="0078310B" w:rsidRDefault="0078310B" w:rsidP="0078310B">
      <w:pPr>
        <w:widowControl w:val="0"/>
        <w:spacing w:after="120"/>
        <w:ind w:left="720" w:right="720"/>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rsidR="0078310B" w:rsidRDefault="0078310B" w:rsidP="0078310B">
      <w:pPr>
        <w:widowControl w:val="0"/>
        <w:spacing w:after="120"/>
        <w:ind w:left="720" w:right="720"/>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829"/>
        <w:t>[20]</w:t>
      </w:r>
    </w:p>
    <w:p w:rsidR="0078310B" w:rsidRDefault="0078310B" w:rsidP="0078310B">
      <w:pPr>
        <w:widowControl w:val="0"/>
        <w:spacing w:after="120"/>
        <w:ind w:left="720" w:right="720"/>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rsidR="0078310B" w:rsidRDefault="0078310B" w:rsidP="0078310B">
      <w:pPr>
        <w:widowControl w:val="0"/>
        <w:spacing w:after="120"/>
        <w:ind w:right="720" w:firstLine="288"/>
        <w:jc w:val="both"/>
      </w:pPr>
    </w:p>
    <w:p w:rsidR="0078310B" w:rsidRDefault="0078310B" w:rsidP="0078310B">
      <w:pPr>
        <w:widowControl w:val="0"/>
        <w:spacing w:after="120"/>
        <w:ind w:right="720" w:firstLine="288"/>
        <w:jc w:val="both"/>
        <w:sectPr w:rsidR="0078310B" w:rsidSect="005337BA">
          <w:headerReference w:type="default" r:id="rId1026"/>
          <w:footerReference w:type="first" r:id="rId1027"/>
          <w:footnotePr>
            <w:numRestart w:val="eachSect"/>
          </w:footnotePr>
          <w:pgSz w:w="12240" w:h="15840" w:code="1"/>
          <w:pgMar w:top="1440" w:right="1440" w:bottom="1440" w:left="1440" w:header="1008" w:footer="720" w:gutter="0"/>
          <w:cols w:space="720"/>
          <w:titlePg/>
          <w:docGrid w:linePitch="360"/>
        </w:sectPr>
      </w:pPr>
    </w:p>
    <w:p w:rsidR="0078310B" w:rsidRDefault="0078310B" w:rsidP="0078310B">
      <w:pPr>
        <w:pStyle w:val="Heading1"/>
        <w:spacing w:before="0"/>
        <w:rPr>
          <w:b w:val="0"/>
          <w:sz w:val="40"/>
          <w:szCs w:val="40"/>
          <w:u w:val="none"/>
        </w:rPr>
      </w:pPr>
      <w:bookmarkStart w:id="394" w:name="_Toc395790690"/>
      <w:r w:rsidRPr="00EB78C3">
        <w:rPr>
          <w:sz w:val="40"/>
          <w:szCs w:val="40"/>
          <w:u w:val="none"/>
        </w:rPr>
        <w:t>Unit VII</w:t>
      </w:r>
      <w:r>
        <w:rPr>
          <w:sz w:val="40"/>
          <w:szCs w:val="40"/>
          <w:u w:val="none"/>
        </w:rPr>
        <w:t>:</w:t>
      </w:r>
    </w:p>
    <w:p w:rsidR="0078310B" w:rsidRPr="00EB78C3" w:rsidRDefault="0078310B" w:rsidP="0078310B">
      <w:pPr>
        <w:rPr>
          <w:sz w:val="36"/>
          <w:szCs w:val="36"/>
        </w:rPr>
      </w:pPr>
    </w:p>
    <w:p w:rsidR="0078310B" w:rsidRPr="00EB78C3" w:rsidRDefault="0078310B" w:rsidP="0078310B">
      <w:pPr>
        <w:pStyle w:val="Heading1"/>
        <w:spacing w:before="0"/>
        <w:rPr>
          <w:sz w:val="36"/>
          <w:szCs w:val="36"/>
        </w:rPr>
      </w:pPr>
      <w:r w:rsidRPr="00EB78C3">
        <w:rPr>
          <w:sz w:val="36"/>
          <w:szCs w:val="36"/>
        </w:rPr>
        <w:t>The Taxable Year and Methods of Accounting</w:t>
      </w:r>
      <w:bookmarkEnd w:id="394"/>
    </w:p>
    <w:p w:rsidR="0078310B" w:rsidRPr="00EB78C3" w:rsidRDefault="0078310B" w:rsidP="0078310B">
      <w:pPr>
        <w:pStyle w:val="Heading2"/>
        <w:spacing w:before="0" w:after="120"/>
        <w:rPr>
          <w:b w:val="0"/>
          <w:sz w:val="24"/>
          <w:szCs w:val="24"/>
        </w:rPr>
      </w:pPr>
      <w:bookmarkStart w:id="395" w:name="_Toc395790691"/>
    </w:p>
    <w:p w:rsidR="0078310B" w:rsidRDefault="0078310B" w:rsidP="0078310B">
      <w:pPr>
        <w:pStyle w:val="Heading2"/>
        <w:spacing w:before="0"/>
        <w:rPr>
          <w:b w:val="0"/>
        </w:rPr>
      </w:pPr>
      <w:r w:rsidRPr="00ED7FA5">
        <w:rPr>
          <w:u w:val="single"/>
        </w:rPr>
        <w:t>Introduction to Chapters 21 and 22</w:t>
      </w:r>
      <w:bookmarkEnd w:id="395"/>
    </w:p>
    <w:p w:rsidR="0078310B" w:rsidRPr="00594157" w:rsidRDefault="0078310B" w:rsidP="0078310B"/>
    <w:p w:rsidR="0078310B" w:rsidRDefault="0078310B" w:rsidP="0078310B">
      <w:pPr>
        <w:widowControl w:val="0"/>
        <w:spacing w:after="120"/>
        <w:ind w:firstLine="288"/>
        <w:jc w:val="both"/>
      </w:pPr>
      <w:r>
        <w:t>In this final unit, we shall examine the taxable year concept and the two major methods of accounting for Gross Income and expense items.</w:t>
      </w:r>
    </w:p>
    <w:p w:rsidR="0078310B" w:rsidRDefault="0078310B" w:rsidP="0078310B">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21 shall revisit the annual accounting tax principle and consider two additional provisions. </w:t>
      </w:r>
    </w:p>
    <w:p w:rsidR="0078310B" w:rsidRDefault="0078310B" w:rsidP="0078310B">
      <w:pPr>
        <w:widowControl w:val="0"/>
        <w:spacing w:after="120"/>
        <w:ind w:firstLine="288"/>
        <w:jc w:val="both"/>
      </w:pPr>
      <w:r>
        <w:t xml:space="preserve">Chapter 22 will explore the two most common methods of accounting that govern the timing of Gross Income inclusions and expense deductions: the cash method of accounting and the accrual method of accounting. While you were introduced to the basic rules in Chapter 10, Part C., here we delve more deeply into the history and development of the law, as well as examine the operative rules in more detail. </w:t>
      </w:r>
    </w:p>
    <w:p w:rsidR="0078310B" w:rsidRDefault="0078310B" w:rsidP="0078310B">
      <w:pPr>
        <w:widowControl w:val="0"/>
        <w:spacing w:after="120"/>
        <w:ind w:firstLine="288"/>
        <w:jc w:val="both"/>
        <w:sectPr w:rsidR="0078310B" w:rsidSect="005337BA">
          <w:headerReference w:type="default" r:id="rId1028"/>
          <w:footnotePr>
            <w:numRestart w:val="eachSect"/>
          </w:footnotePr>
          <w:pgSz w:w="12240" w:h="15840" w:code="1"/>
          <w:pgMar w:top="1440" w:right="1440" w:bottom="1440" w:left="1440" w:header="1008" w:footer="720" w:gutter="0"/>
          <w:cols w:space="720"/>
          <w:docGrid w:linePitch="360"/>
        </w:sectPr>
      </w:pPr>
    </w:p>
    <w:p w:rsidR="0078310B" w:rsidRDefault="0078310B" w:rsidP="0078310B">
      <w:pPr>
        <w:widowControl w:val="0"/>
        <w:jc w:val="both"/>
        <w:sectPr w:rsidR="0078310B" w:rsidSect="005337BA">
          <w:footerReference w:type="first" r:id="rId1029"/>
          <w:footnotePr>
            <w:numRestart w:val="eachSect"/>
          </w:footnotePr>
          <w:pgSz w:w="12240" w:h="15840" w:code="1"/>
          <w:pgMar w:top="1440" w:right="1440" w:bottom="1440" w:left="1440" w:header="1008" w:footer="720" w:gutter="0"/>
          <w:cols w:space="720"/>
          <w:titlePg/>
          <w:docGrid w:linePitch="360"/>
        </w:sectPr>
      </w:pPr>
    </w:p>
    <w:p w:rsidR="0078310B" w:rsidRPr="00EB78C3" w:rsidRDefault="0078310B" w:rsidP="0078310B">
      <w:pPr>
        <w:pStyle w:val="Heading2"/>
        <w:spacing w:before="0"/>
        <w:rPr>
          <w:sz w:val="36"/>
          <w:szCs w:val="36"/>
          <w:u w:val="single"/>
        </w:rPr>
      </w:pPr>
      <w:bookmarkStart w:id="396" w:name="_Toc395790692"/>
      <w:r w:rsidRPr="00EB78C3">
        <w:rPr>
          <w:sz w:val="36"/>
          <w:szCs w:val="36"/>
          <w:u w:val="single"/>
        </w:rPr>
        <w:t>Chapter 21: The Taxable Year</w:t>
      </w:r>
      <w:bookmarkEnd w:id="396"/>
      <w:r w:rsidRPr="00EB78C3">
        <w:rPr>
          <w:sz w:val="36"/>
          <w:szCs w:val="36"/>
          <w:u w:val="single"/>
        </w:rPr>
        <w:t xml:space="preserve"> </w:t>
      </w:r>
    </w:p>
    <w:p w:rsidR="0078310B" w:rsidRDefault="0078310B" w:rsidP="0078310B">
      <w:pPr>
        <w:widowControl w:val="0"/>
      </w:pPr>
    </w:p>
    <w:p w:rsidR="0078310B" w:rsidRDefault="0078310B" w:rsidP="0078310B">
      <w:pPr>
        <w:widowControl w:val="0"/>
        <w:spacing w:after="120"/>
        <w:ind w:firstLine="288"/>
        <w:jc w:val="both"/>
      </w:pPr>
      <w: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1030" w:history="1">
        <w:r w:rsidRPr="00E133AA">
          <w:rPr>
            <w:rStyle w:val="Hyperlink"/>
          </w:rPr>
          <w:t>§ 441</w:t>
        </w:r>
      </w:hyperlink>
      <w: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830"/>
      </w:r>
      <w:r>
        <w:t xml:space="preserve"> Thereafter, a taxpayer generally must obtain permission to change its taxable year under </w:t>
      </w:r>
      <w:hyperlink r:id="rId1031" w:history="1">
        <w:r w:rsidRPr="00E133AA">
          <w:rPr>
            <w:rStyle w:val="Hyperlink"/>
          </w:rPr>
          <w:t>§ 443</w:t>
        </w:r>
      </w:hyperlink>
      <w:r>
        <w:t xml:space="preserve"> in order that income does not slip through the cracks in the change year. The taxable year of most individuals is the calendar year. Some taxpayers, particularly corporations, may use a fiscal year to better conform to, say, a seasonal business. </w:t>
      </w:r>
    </w:p>
    <w:p w:rsidR="0078310B" w:rsidRDefault="0078310B" w:rsidP="0078310B">
      <w:pPr>
        <w:widowControl w:val="0"/>
        <w:ind w:firstLine="288"/>
        <w:jc w:val="both"/>
      </w:pPr>
      <w: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rsidR="0078310B" w:rsidRDefault="0078310B" w:rsidP="0078310B">
      <w:pPr>
        <w:widowControl w:val="0"/>
        <w:ind w:firstLine="288"/>
        <w:jc w:val="both"/>
      </w:pPr>
    </w:p>
    <w:p w:rsidR="0078310B" w:rsidRPr="00EB78C3" w:rsidRDefault="0078310B" w:rsidP="0078310B">
      <w:pPr>
        <w:pStyle w:val="Heading2"/>
        <w:spacing w:before="0"/>
        <w:rPr>
          <w:sz w:val="32"/>
          <w:szCs w:val="32"/>
          <w:u w:val="single"/>
        </w:rPr>
      </w:pPr>
      <w:bookmarkStart w:id="397" w:name="_Toc395790693"/>
      <w:r w:rsidRPr="00EB78C3">
        <w:rPr>
          <w:sz w:val="32"/>
          <w:szCs w:val="32"/>
          <w:u w:val="single"/>
        </w:rPr>
        <w:t>A. The annual accounting principle in general</w:t>
      </w:r>
      <w:bookmarkEnd w:id="397"/>
    </w:p>
    <w:p w:rsidR="0078310B" w:rsidRPr="00BF557F" w:rsidRDefault="0078310B" w:rsidP="0078310B">
      <w:pPr>
        <w:widowControl w:val="0"/>
        <w:jc w:val="both"/>
      </w:pPr>
    </w:p>
    <w:p w:rsidR="0078310B" w:rsidRDefault="0078310B" w:rsidP="0078310B">
      <w:pPr>
        <w:widowControl w:val="0"/>
        <w:spacing w:after="120"/>
        <w:ind w:firstLine="288"/>
        <w:jc w:val="both"/>
      </w:pPr>
      <w:r>
        <w:t>The “annual accounting principle” was first introduced in Chapter 1 and has been revisited many times since then. In general, the annual accounting principle requires that Gross Income (wealth accessions) and deductions (wealth reductions) be determined based upon facts</w:t>
      </w:r>
      <w:r w:rsidR="00E133AA">
        <w:t xml:space="preserve"> (and expectations) known as of </w:t>
      </w:r>
      <w:r>
        <w:t xml:space="preserve">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p>
    <w:p w:rsidR="0078310B" w:rsidRPr="00ED7FA5" w:rsidRDefault="0078310B" w:rsidP="0078310B">
      <w:pPr>
        <w:pStyle w:val="Heading3"/>
        <w:spacing w:before="0" w:beforeAutospacing="0" w:after="120" w:afterAutospacing="0"/>
        <w:rPr>
          <w:i/>
        </w:rPr>
      </w:pPr>
      <w:bookmarkStart w:id="398" w:name="_Toc395790694"/>
      <w:r w:rsidRPr="00ED7FA5">
        <w:rPr>
          <w:i/>
        </w:rPr>
        <w:t>The borrowing exclusion</w:t>
      </w:r>
      <w:bookmarkEnd w:id="398"/>
    </w:p>
    <w:p w:rsidR="0078310B" w:rsidRPr="009C0D75" w:rsidRDefault="0078310B" w:rsidP="0078310B">
      <w:pPr>
        <w:widowControl w:val="0"/>
        <w:spacing w:after="120"/>
        <w:ind w:firstLine="288"/>
        <w:jc w:val="both"/>
      </w:pPr>
      <w:r w:rsidRPr="00273CEB">
        <w:t>The</w:t>
      </w:r>
      <w:r>
        <w:t xml:space="preserve"> borrowing exclusion (studied in Chapter 10) is another significant deviation from the annual accounting principle in that cash in hand that is not basis recovery is nevertheless permitted to be excluded from the tax base solely because of what we believe will happen in a </w:t>
      </w:r>
      <w:r w:rsidRPr="00B7008A">
        <w:rPr>
          <w:i/>
        </w:rPr>
        <w:t>future</w:t>
      </w:r>
      <w: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Pr>
          <w:i/>
        </w:rPr>
        <w:t>Crane</w:t>
      </w:r>
      <w:r>
        <w:t xml:space="preserve">, which can be immediately deducted under § 179 or depreciated under §§ 167, 168, and 197. </w:t>
      </w:r>
    </w:p>
    <w:p w:rsidR="0078310B" w:rsidRDefault="0078310B" w:rsidP="0078310B">
      <w:pPr>
        <w:widowControl w:val="0"/>
        <w:spacing w:after="120"/>
        <w:ind w:firstLine="288"/>
        <w:jc w:val="both"/>
      </w:pPr>
      <w:r>
        <w:t>The borrowing exclusion privilege was likely borrowed (pun intended) in the early days of the income tax in a reflexive manner from financial accounting (under which borrowed funds are also excluded from the “income” statement</w:t>
      </w:r>
      <w:r w:rsidR="00E133AA">
        <w:t xml:space="preserve"> of businesses</w:t>
      </w:r>
      <w:r>
        <w:t>)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w:t>
      </w:r>
      <w:r w:rsidR="00EC733E">
        <w:t xml:space="preserve"> and opportunities for tax shelter activity</w:t>
      </w:r>
      <w:r>
        <w:t xml:space="preserve">, including those described above. </w:t>
      </w:r>
    </w:p>
    <w:p w:rsidR="0078310B" w:rsidRPr="00ED7FA5" w:rsidRDefault="0078310B" w:rsidP="0078310B">
      <w:pPr>
        <w:pStyle w:val="Heading3"/>
        <w:spacing w:before="0" w:beforeAutospacing="0" w:after="120" w:afterAutospacing="0"/>
        <w:rPr>
          <w:i/>
        </w:rPr>
      </w:pPr>
      <w:bookmarkStart w:id="399" w:name="_Toc395790695"/>
      <w:r w:rsidRPr="00ED7FA5">
        <w:rPr>
          <w:i/>
        </w:rPr>
        <w:t>§ 61(a)(12) debt-discharge income</w:t>
      </w:r>
      <w:bookmarkEnd w:id="399"/>
      <w:r w:rsidRPr="00ED7FA5">
        <w:rPr>
          <w:i/>
        </w:rPr>
        <w:t xml:space="preserve"> </w:t>
      </w:r>
    </w:p>
    <w:p w:rsidR="0078310B" w:rsidRDefault="0078310B" w:rsidP="0078310B">
      <w:pPr>
        <w:widowControl w:val="0"/>
        <w:spacing w:after="120"/>
        <w:ind w:firstLine="288"/>
        <w:jc w:val="both"/>
      </w:pPr>
      <w:r>
        <w:t>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w:t>
      </w:r>
      <w:r w:rsidR="00F8435A">
        <w:t xml:space="preserve"> (which would have been taxed indirectly when repaid with undeducted, after-tax dollars)</w:t>
      </w:r>
      <w:r>
        <w:t xml:space="preserve">, as you learned in Chapter 11. That is to say, the obligation to repay was the </w:t>
      </w:r>
      <w:r w:rsidRPr="00273CEB">
        <w:rPr>
          <w:i/>
        </w:rPr>
        <w:t>only</w:t>
      </w:r>
      <w:r>
        <w:t xml:space="preserve"> fact that prevented the earlier cash receipt from being includ</w:t>
      </w:r>
      <w:r w:rsidR="00F8435A">
        <w:t>ed in Gross Income upon receipt</w:t>
      </w:r>
      <w:r>
        <w:t xml:space="preserve">. Once the obligation to repay disappears, the justification for the earlier exclusion also disappears. Under the annual accounting principle, however, </w:t>
      </w:r>
      <w:r w:rsidR="00F8435A">
        <w:t xml:space="preserve">the borrower is not permitted to file </w:t>
      </w:r>
      <w:r>
        <w:t xml:space="preserve">an amended return for the earlier year (even if the statute of limitations remains open) because exclusion was </w:t>
      </w:r>
      <w:r>
        <w:rPr>
          <w:i/>
        </w:rPr>
        <w:t xml:space="preserve">proper </w:t>
      </w:r>
      <w:r>
        <w:t xml:space="preserve">based on the facts known in that year (the expectation that the amount would be repaid with after-tax dollars). Rather, we account for the changed expectations by creating a Gross Income inclusion in that later year under </w:t>
      </w:r>
      <w:hyperlink r:id="rId1032" w:history="1">
        <w:r w:rsidRPr="00C122CA">
          <w:rPr>
            <w:rStyle w:val="Hyperlink"/>
          </w:rPr>
          <w:t>§ 61</w:t>
        </w:r>
      </w:hyperlink>
      <w:r>
        <w:t>(a)(12)</w:t>
      </w:r>
      <w:r w:rsidR="00F8435A">
        <w:t xml:space="preserve"> and the annual accounting principle</w:t>
      </w:r>
      <w:r>
        <w:t>, which may, under certain circumsta</w:t>
      </w:r>
      <w:r w:rsidR="00F8435A">
        <w:t xml:space="preserve">nces, be excluded under </w:t>
      </w:r>
      <w:hyperlink r:id="rId1033" w:history="1">
        <w:r w:rsidR="00F8435A" w:rsidRPr="00C122CA">
          <w:rPr>
            <w:rStyle w:val="Hyperlink"/>
          </w:rPr>
          <w:t>§ 108</w:t>
        </w:r>
      </w:hyperlink>
      <w:r w:rsidR="00F8435A">
        <w:t>(a), with reduction of tax attributes under § 108(b).</w:t>
      </w:r>
    </w:p>
    <w:p w:rsidR="0078310B" w:rsidRPr="00ED7FA5" w:rsidRDefault="0078310B" w:rsidP="0078310B">
      <w:pPr>
        <w:pStyle w:val="Heading3"/>
        <w:spacing w:before="0" w:beforeAutospacing="0" w:after="120" w:afterAutospacing="0"/>
        <w:rPr>
          <w:i/>
        </w:rPr>
      </w:pPr>
      <w:bookmarkStart w:id="400" w:name="_Toc395790696"/>
      <w:r w:rsidRPr="00ED7FA5">
        <w:rPr>
          <w:i/>
        </w:rPr>
        <w:t>Receipts subject to a contingent obligation to repay</w:t>
      </w:r>
      <w:bookmarkEnd w:id="400"/>
    </w:p>
    <w:p w:rsidR="0078310B" w:rsidRDefault="0078310B" w:rsidP="0078310B">
      <w:pPr>
        <w:widowControl w:val="0"/>
        <w:spacing w:after="120"/>
        <w:ind w:firstLine="288"/>
        <w:jc w:val="both"/>
      </w:pPr>
      <w:r>
        <w:t xml:space="preserve">Because the borrowing exclusion is an extraordinary privilege, you learned in Chapter 10 that taxpayers have attempted to exclude all sorts of cash receipts under it, such as embezzled and extorted funds. </w:t>
      </w:r>
      <w:r>
        <w:rPr>
          <w:i/>
        </w:rPr>
        <w:t>James</w:t>
      </w:r>
      <w:r w:rsidRPr="00007673">
        <w:rPr>
          <w:rStyle w:val="FootnoteReference"/>
        </w:rPr>
        <w:footnoteReference w:id="831"/>
      </w:r>
      <w:r>
        <w:t xml:space="preserve"> and </w:t>
      </w:r>
      <w:r>
        <w:rPr>
          <w:i/>
        </w:rPr>
        <w:t>North American Oil</w:t>
      </w:r>
      <w:r>
        <w:t>,</w:t>
      </w:r>
      <w:r>
        <w:rPr>
          <w:rStyle w:val="FootnoteReference"/>
        </w:rPr>
        <w:footnoteReference w:id="832"/>
      </w:r>
      <w:r>
        <w:t xml:space="preserve"> however, combine to limit the borrowing exclusion to those receipts accompanied by an </w:t>
      </w:r>
      <w:r>
        <w:rPr>
          <w:i/>
        </w:rPr>
        <w:t>unconditional</w:t>
      </w:r>
      <w:r>
        <w:t xml:space="preserve"> obligation to repay that is recognized by the parties at the time of transfer and receipt. Thus, even though an embezzler has a legal obligation to repay embezzled funds if caught, embezzled funds are not excludable under the borrowing exclusion. Repayment in a later year can raise a deduction issue in that later year under the annual accounting principle.  </w:t>
      </w:r>
    </w:p>
    <w:p w:rsidR="0078310B" w:rsidRPr="00B31D3F" w:rsidRDefault="0078310B" w:rsidP="0078310B">
      <w:pPr>
        <w:widowControl w:val="0"/>
        <w:spacing w:after="120"/>
        <w:ind w:firstLine="288"/>
        <w:jc w:val="both"/>
      </w:pPr>
      <w:r>
        <w:rPr>
          <w:i/>
        </w:rPr>
        <w:t>North American Oil</w:t>
      </w:r>
      <w:r>
        <w:t xml:space="preserve"> confirms that a receipt subject only to a </w:t>
      </w:r>
      <w:r>
        <w:rPr>
          <w:i/>
        </w:rPr>
        <w:t xml:space="preserve">contingent </w:t>
      </w:r>
      <w: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1034" w:history="1">
        <w:r w:rsidRPr="00496514">
          <w:rPr>
            <w:rStyle w:val="Hyperlink"/>
          </w:rPr>
          <w:t>§ 165</w:t>
        </w:r>
      </w:hyperlink>
      <w:r>
        <w:t xml:space="preserve"> deduction or </w:t>
      </w:r>
      <w:hyperlink r:id="rId1035" w:history="1">
        <w:r w:rsidRPr="00496514">
          <w:rPr>
            <w:rStyle w:val="Hyperlink"/>
          </w:rPr>
          <w:t>§ 1341</w:t>
        </w:r>
      </w:hyperlink>
      <w:r>
        <w:t xml:space="preserve"> credit</w:t>
      </w:r>
      <w:r w:rsidR="00C122CA">
        <w:t>, under the annual accounting principle</w:t>
      </w:r>
      <w:r>
        <w:t xml:space="preserve">. You learned in Chapter 5, however, that a major exception to this approach is found in </w:t>
      </w:r>
      <w:hyperlink r:id="rId1036" w:history="1">
        <w:r w:rsidRPr="00496514">
          <w:rPr>
            <w:rStyle w:val="Hyperlink"/>
          </w:rPr>
          <w:t>§ 83</w:t>
        </w:r>
      </w:hyperlink>
      <w:r>
        <w:t xml:space="preserve">. The value of property received as compensation for services rendered that may have to be repaid if certain contingencies ripen is </w:t>
      </w:r>
      <w:r>
        <w:rPr>
          <w:i/>
        </w:rPr>
        <w:t>not</w:t>
      </w:r>
      <w:r>
        <w:t xml:space="preserve"> included in Gross Income in the year of the property’s receipt. Rather, inclusion is delayed until the substantial risk of forfeiture lapses, absent election under § 83(b). If the taxpayer makes the § 83(b) election, which results in inclusion in the year of receipt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p>
    <w:p w:rsidR="0078310B" w:rsidRPr="00ED7FA5" w:rsidRDefault="0078310B" w:rsidP="0078310B">
      <w:pPr>
        <w:pStyle w:val="Heading3"/>
        <w:spacing w:before="0" w:beforeAutospacing="0" w:after="120" w:afterAutospacing="0"/>
        <w:rPr>
          <w:i/>
        </w:rPr>
      </w:pPr>
      <w:bookmarkStart w:id="401" w:name="_Toc395790697"/>
      <w:r w:rsidRPr="00ED7FA5">
        <w:rPr>
          <w:i/>
        </w:rPr>
        <w:t>Depreciation recapture and the Arrowsmith doctrine</w:t>
      </w:r>
      <w:bookmarkEnd w:id="401"/>
    </w:p>
    <w:p w:rsidR="0078310B" w:rsidRDefault="0078310B" w:rsidP="0078310B">
      <w:pPr>
        <w:widowControl w:val="0"/>
        <w:spacing w:after="120"/>
        <w:ind w:firstLine="288"/>
        <w:jc w:val="both"/>
      </w:pPr>
      <w:r>
        <w:t xml:space="preserve">You learned in Chapter 14 that depreciation and amortization (under §§ 167, 168, and 197) and § 179 deductions are ordinary, offsetting high-taxed income. Because such deductions are intentionally accelerated in many instances, depreciated assets can often be sold at a gain </w:t>
      </w:r>
      <w:r w:rsidR="00E0343F">
        <w:t xml:space="preserve">under § 1001 </w:t>
      </w:r>
      <w:r>
        <w:t xml:space="preserve">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Thus, you learned in Chapter 15 that </w:t>
      </w:r>
      <w:hyperlink r:id="rId1037" w:history="1">
        <w:r w:rsidRPr="00E0343F">
          <w:rPr>
            <w:rStyle w:val="Hyperlink"/>
          </w:rPr>
          <w:t>§ 1245</w:t>
        </w:r>
      </w:hyperlink>
      <w:r>
        <w:t xml:space="preserve"> (which would not be necessary absent the rate reduction for net capital gain)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833"/>
      </w:r>
    </w:p>
    <w:p w:rsidR="0078310B" w:rsidRDefault="0078310B" w:rsidP="0078310B">
      <w:pPr>
        <w:widowControl w:val="0"/>
        <w:ind w:firstLine="288"/>
        <w:jc w:val="both"/>
      </w:pPr>
      <w:r>
        <w:t xml:space="preserve">The </w:t>
      </w:r>
      <w:r>
        <w:rPr>
          <w:i/>
        </w:rPr>
        <w:t xml:space="preserve">Arrowsmith </w:t>
      </w:r>
      <w:r>
        <w:t>doctrine,</w:t>
      </w:r>
      <w:r>
        <w:rPr>
          <w:rStyle w:val="FootnoteReference"/>
        </w:rPr>
        <w:footnoteReference w:id="834"/>
      </w:r>
      <w:r>
        <w:t xml:space="preserve"> also discussed in Chapter 15,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Thus, the Mr. Arrowsmith’s transactionally related later payment must be characterized as a capital loss. </w:t>
      </w:r>
    </w:p>
    <w:p w:rsidR="0078310B" w:rsidRDefault="0078310B" w:rsidP="0078310B">
      <w:pPr>
        <w:widowControl w:val="0"/>
        <w:ind w:firstLine="288"/>
        <w:jc w:val="both"/>
      </w:pPr>
    </w:p>
    <w:p w:rsidR="0078310B" w:rsidRPr="00EB78C3" w:rsidRDefault="0078310B" w:rsidP="0078310B">
      <w:pPr>
        <w:pStyle w:val="Heading2"/>
        <w:spacing w:before="0"/>
        <w:rPr>
          <w:sz w:val="32"/>
          <w:szCs w:val="32"/>
          <w:u w:val="single"/>
        </w:rPr>
      </w:pPr>
      <w:bookmarkStart w:id="402" w:name="_Toc395790698"/>
      <w:r w:rsidRPr="00EB78C3">
        <w:rPr>
          <w:sz w:val="32"/>
          <w:szCs w:val="32"/>
          <w:u w:val="single"/>
        </w:rPr>
        <w:t>B. The tax benefit rule</w:t>
      </w:r>
      <w:bookmarkEnd w:id="402"/>
    </w:p>
    <w:p w:rsidR="0078310B" w:rsidRDefault="0078310B" w:rsidP="0078310B">
      <w:pPr>
        <w:widowControl w:val="0"/>
        <w:jc w:val="both"/>
      </w:pPr>
    </w:p>
    <w:p w:rsidR="0078310B" w:rsidRDefault="0078310B" w:rsidP="0078310B">
      <w:pPr>
        <w:widowControl w:val="0"/>
        <w:spacing w:after="120"/>
        <w:ind w:firstLine="288"/>
        <w:jc w:val="both"/>
      </w:pPr>
      <w:r>
        <w:t xml:space="preserve">The tax benefit rule is closely related to the analysis underlying depreciation recapture and the </w:t>
      </w:r>
      <w:r>
        <w:rPr>
          <w:i/>
        </w:rPr>
        <w:t xml:space="preserve">Arrowsmith </w:t>
      </w:r>
      <w:r>
        <w:t xml:space="preserve">doctrine. While those rules address how to </w:t>
      </w:r>
      <w:r>
        <w:rPr>
          <w:i/>
        </w:rPr>
        <w:t>characterize</w:t>
      </w:r>
      <w:r>
        <w:t xml:space="preserve"> a gain or payment (as ordinary, capital, or § 1231 gain or loss) when it is transactionally related to an earlier inclusion or deduction, the tax benefit rule generally addresses whether a current-year receipt must be </w:t>
      </w:r>
      <w:r>
        <w:rPr>
          <w:i/>
        </w:rPr>
        <w:t xml:space="preserve">included </w:t>
      </w:r>
      <w:r>
        <w:t xml:space="preserve">in Gross Income at all in light of its transactional connection to an earlier payment or loss. </w:t>
      </w:r>
    </w:p>
    <w:p w:rsidR="0078310B" w:rsidRDefault="0078310B" w:rsidP="0078310B">
      <w:pPr>
        <w:widowControl w:val="0"/>
        <w:spacing w:after="120"/>
        <w:ind w:firstLine="288"/>
        <w:jc w:val="both"/>
      </w:pPr>
      <w:r>
        <w:t xml:space="preserve">The tax benefit rule had its origins in the common law, as reflected in </w:t>
      </w:r>
      <w:r>
        <w:rPr>
          <w:i/>
        </w:rPr>
        <w:t>Dobson v. Commissioner</w:t>
      </w:r>
      <w:r>
        <w:t>,</w:t>
      </w:r>
      <w:r>
        <w:rPr>
          <w:rStyle w:val="FootnoteReference"/>
        </w:rPr>
        <w:footnoteReference w:id="835"/>
      </w:r>
      <w:r>
        <w:t xml:space="preserve">  though it was later codified in </w:t>
      </w:r>
      <w:r w:rsidRPr="00A578A6">
        <w:t>§ 111</w:t>
      </w:r>
      <w:r w:rsidR="00A578A6">
        <w:t xml:space="preserve">. Mr. Dobson </w:t>
      </w:r>
      <w:r>
        <w:t xml:space="preserve">purchased stock in 1929 in a public offering by the </w:t>
      </w:r>
      <w:r w:rsidR="00A578A6">
        <w:t>corporation</w:t>
      </w:r>
      <w:r>
        <w:t>. Bad timing! After the crash, he sold the stock at substantial losses in 1930 and 1931. Even though the losses were listed as deductions on</w:t>
      </w:r>
      <w:r w:rsidR="00A578A6">
        <w:t xml:space="preserve"> his tax returns</w:t>
      </w:r>
      <w:r>
        <w:t xml:space="preserve">, </w:t>
      </w:r>
      <w:r w:rsidR="003F12AC">
        <w:t xml:space="preserve">he </w:t>
      </w:r>
      <w:r w:rsidR="00A578A6">
        <w:t xml:space="preserve">enjoyed no </w:t>
      </w:r>
      <w:r>
        <w:t xml:space="preserve">tax benefit from the deductions because his Taxable Income was already at zero (from other deductions) without regard to these particular stock loss deductions. In other words, even absent the additional stock loss deductions, the taxpayer’s remaining deductions would nonetheless have exceeded his Gross Income in 1930 and 1931. </w:t>
      </w:r>
      <w:r w:rsidR="00A578A6">
        <w:t>Thus, he realized no tax benefit from these stock loss deductions.</w:t>
      </w:r>
    </w:p>
    <w:p w:rsidR="0078310B" w:rsidRPr="00601D99" w:rsidRDefault="0078310B" w:rsidP="0078310B">
      <w:pPr>
        <w:widowControl w:val="0"/>
        <w:spacing w:after="120"/>
        <w:ind w:firstLine="288"/>
        <w:jc w:val="both"/>
      </w:pPr>
      <w: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836"/>
      </w:r>
      <w:r>
        <w:t xml:space="preserve"> 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Pr>
          <w:i/>
        </w:rPr>
        <w:t>Arrowsmith</w:t>
      </w:r>
      <w:r>
        <w:t xml:space="preserve"> doctrine, though </w:t>
      </w:r>
      <w:r>
        <w:rPr>
          <w:i/>
        </w:rPr>
        <w:t xml:space="preserve">Dobson </w:t>
      </w:r>
      <w:r>
        <w:t xml:space="preserve">predated </w:t>
      </w:r>
      <w:r>
        <w:rPr>
          <w:i/>
        </w:rPr>
        <w:t>Arrowsmith</w:t>
      </w:r>
      <w:r>
        <w:t xml:space="preserve">: if he had to include a recovery of a portion of his prior losses, the inclusion should be capital because effectively representing a recovery of his prior capital losses. </w:t>
      </w:r>
    </w:p>
    <w:p w:rsidR="0078310B" w:rsidRDefault="0078310B" w:rsidP="0078310B">
      <w:pPr>
        <w:widowControl w:val="0"/>
        <w:spacing w:after="120"/>
        <w:ind w:firstLine="288"/>
        <w:jc w:val="both"/>
      </w:pPr>
      <w:r>
        <w:t xml:space="preserve">The Tax Court agreed with the taxpayer’s first argument, however, that </w:t>
      </w:r>
      <w:r w:rsidRPr="00D11CA7">
        <w:rPr>
          <w:i/>
        </w:rPr>
        <w:t>none</w:t>
      </w:r>
      <w:r>
        <w:t xml:space="preserve"> of the recovery was includable because he realized no tax benefit from the prior loss deductions. The Supreme Court described the Tax Court holding as follows: </w:t>
      </w:r>
    </w:p>
    <w:p w:rsidR="0078310B" w:rsidRDefault="0078310B" w:rsidP="0078310B">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837"/>
      </w:r>
    </w:p>
    <w:p w:rsidR="0078310B" w:rsidRDefault="0078310B" w:rsidP="0078310B">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838"/>
      </w:r>
    </w:p>
    <w:p w:rsidR="0078310B" w:rsidRDefault="0078310B" w:rsidP="0078310B">
      <w:pPr>
        <w:widowControl w:val="0"/>
        <w:spacing w:after="120"/>
        <w:ind w:firstLine="288"/>
        <w:jc w:val="both"/>
      </w:pPr>
      <w:r>
        <w:t>The Supreme Court, in turn, disagreed with the Circuit Court of Appeals:</w:t>
      </w:r>
    </w:p>
    <w:p w:rsidR="0078310B" w:rsidRDefault="0078310B" w:rsidP="0078310B">
      <w:pPr>
        <w:widowControl w:val="0"/>
        <w:spacing w:after="120"/>
        <w:ind w:left="720" w:right="720"/>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839"/>
      </w:r>
    </w:p>
    <w:p w:rsidR="0078310B" w:rsidRDefault="002B3596" w:rsidP="0078310B">
      <w:pPr>
        <w:widowControl w:val="0"/>
        <w:spacing w:after="120"/>
        <w:ind w:firstLine="288"/>
        <w:jc w:val="both"/>
      </w:pPr>
      <w:hyperlink r:id="rId1038" w:history="1">
        <w:r w:rsidR="0078310B" w:rsidRPr="00A578A6">
          <w:rPr>
            <w:rStyle w:val="Hyperlink"/>
          </w:rPr>
          <w:t>Section 111</w:t>
        </w:r>
      </w:hyperlink>
      <w:r w:rsidR="0078310B">
        <w:t xml:space="preserve">(a) now codifies the exclusionary aspect of the tax benefit rule. The flip side, of course, is the </w:t>
      </w:r>
      <w:r w:rsidR="0078310B">
        <w:rPr>
          <w:i/>
        </w:rPr>
        <w:t xml:space="preserve">inclusionary </w:t>
      </w:r>
      <w:r w:rsidR="0078310B">
        <w:t xml:space="preserve">aspect of the tax benefit rule. If a taxpayer recovers an amount in Year 2 that </w:t>
      </w:r>
      <w:r w:rsidR="0078310B" w:rsidRPr="001A5F30">
        <w:rPr>
          <w:i/>
        </w:rPr>
        <w:t>did</w:t>
      </w:r>
      <w:r w:rsidR="0078310B">
        <w:t xml:space="preserve"> reduce positive Taxable Income in Year 1 (producing a Year-1 tax benefit), he must include the Year-2 recovery if we are to honor the maxim that the same dollars should not provide a double tax benefit to the same taxpayer. If the Year-1 deduction was a capital loss, the Year-2 inclusion would be capital gain under the </w:t>
      </w:r>
      <w:r w:rsidR="0078310B">
        <w:rPr>
          <w:i/>
        </w:rPr>
        <w:t xml:space="preserve">Arrowsmith </w:t>
      </w:r>
      <w:r w:rsidR="0078310B">
        <w:t>doctrine.</w:t>
      </w:r>
    </w:p>
    <w:p w:rsidR="0078310B" w:rsidRDefault="0078310B" w:rsidP="0078310B">
      <w:pPr>
        <w:widowControl w:val="0"/>
        <w:ind w:firstLine="288"/>
        <w:jc w:val="both"/>
      </w:pPr>
      <w:r>
        <w:t xml:space="preserve">How does § 111 apply when the Year-1 deduction is an Itemized Deduction, which you learned in Chapter 1, Part B., provides a tax benefit </w:t>
      </w:r>
      <w:r w:rsidRPr="003C353E">
        <w:rPr>
          <w:i/>
        </w:rPr>
        <w:t>only</w:t>
      </w:r>
      <w:r>
        <w:t xml:space="preserve"> to the extent that the aggregate of Itemized Deductions exceeds the Standard Deduction?</w:t>
      </w:r>
    </w:p>
    <w:p w:rsidR="0078310B" w:rsidRDefault="0078310B" w:rsidP="0078310B">
      <w:pPr>
        <w:widowControl w:val="0"/>
        <w:ind w:firstLine="288"/>
        <w:jc w:val="both"/>
      </w:pPr>
    </w:p>
    <w:p w:rsidR="0078310B" w:rsidRPr="00F53F3E" w:rsidRDefault="0078310B" w:rsidP="0078310B">
      <w:pPr>
        <w:pStyle w:val="Heading3"/>
        <w:spacing w:before="0" w:beforeAutospacing="0" w:after="120" w:afterAutospacing="0"/>
        <w:jc w:val="center"/>
      </w:pPr>
      <w:bookmarkStart w:id="403" w:name="_Toc395790699"/>
      <w:r>
        <w:t>REVENUE RULING 92-91</w:t>
      </w:r>
      <w:bookmarkEnd w:id="403"/>
    </w:p>
    <w:p w:rsidR="0078310B" w:rsidRDefault="0078310B" w:rsidP="0078310B">
      <w:pPr>
        <w:widowControl w:val="0"/>
        <w:jc w:val="center"/>
      </w:pPr>
      <w:r>
        <w:t>1992-2 C.B. 49</w:t>
      </w:r>
    </w:p>
    <w:p w:rsidR="0078310B" w:rsidRDefault="0078310B" w:rsidP="0078310B">
      <w:pPr>
        <w:widowControl w:val="0"/>
        <w:jc w:val="both"/>
      </w:pPr>
    </w:p>
    <w:p w:rsidR="0078310B" w:rsidRDefault="0078310B" w:rsidP="0078310B">
      <w:pPr>
        <w:widowControl w:val="0"/>
        <w:spacing w:after="120"/>
        <w:jc w:val="both"/>
      </w:pPr>
      <w:r>
        <w:t>ISSUES</w:t>
      </w:r>
    </w:p>
    <w:p w:rsidR="0078310B" w:rsidRDefault="0078310B" w:rsidP="0078310B">
      <w:pPr>
        <w:widowControl w:val="0"/>
        <w:spacing w:after="120"/>
        <w:ind w:firstLine="288"/>
        <w:jc w:val="both"/>
      </w:pPr>
      <w:r>
        <w:t>(1) Is an interest overcharge, which a homeowner paid as the result of a financial institution’s miscalculation of interest on an adjustable rate mortgage (ARM), deductible by the homeowner in the year of payment as qualified residence interest under section 163(h)</w:t>
      </w:r>
      <w:r w:rsidRPr="009441FD">
        <w:t>(3) of the Internal Revenue Code</w:t>
      </w:r>
      <w:r>
        <w:t>?</w:t>
      </w:r>
    </w:p>
    <w:p w:rsidR="0078310B" w:rsidRDefault="0078310B" w:rsidP="0078310B">
      <w:pPr>
        <w:widowControl w:val="0"/>
        <w:spacing w:after="120"/>
        <w:ind w:firstLine="288"/>
        <w:jc w:val="both"/>
      </w:pPr>
      <w:r>
        <w:t>(2) Is the homeowner’s recovery of the interest overcharge in a subsequent year includible in the homeowner’s gross income in the year of recovery if the homeowner’s deduction of the interest overcharge reduced the homeowner’s federal income tax in a prior tax year?</w:t>
      </w:r>
    </w:p>
    <w:p w:rsidR="0078310B" w:rsidRDefault="0078310B" w:rsidP="0078310B">
      <w:pPr>
        <w:widowControl w:val="0"/>
        <w:spacing w:after="120"/>
        <w:jc w:val="both"/>
      </w:pPr>
      <w:r>
        <w:t>FACTS</w:t>
      </w:r>
    </w:p>
    <w:p w:rsidR="0078310B" w:rsidRDefault="0078310B" w:rsidP="0078310B">
      <w:pPr>
        <w:widowControl w:val="0"/>
        <w:spacing w:after="120"/>
        <w:ind w:firstLine="288"/>
        <w:jc w:val="both"/>
      </w:pPr>
      <w:r>
        <w:t xml:space="preserve">In 1990, </w:t>
      </w:r>
      <w:r>
        <w:rPr>
          <w:i/>
          <w:iCs/>
        </w:rPr>
        <w:t>BK</w:t>
      </w:r>
      <w:r>
        <w:t xml:space="preserve">, a financial institution that services and owns home mortgages, notified </w:t>
      </w:r>
      <w:r>
        <w:rPr>
          <w:i/>
          <w:iCs/>
        </w:rPr>
        <w:t>A</w:t>
      </w:r>
      <w:r>
        <w:t xml:space="preserve">, an individual homeowner, that </w:t>
      </w:r>
      <w:r>
        <w:rPr>
          <w:i/>
          <w:iCs/>
        </w:rPr>
        <w:t>A</w:t>
      </w:r>
      <w:r>
        <w:t xml:space="preserve"> was required to pay interest in the amount of $10,000 on an ARM for 1990. </w:t>
      </w:r>
      <w:r>
        <w:rPr>
          <w:i/>
          <w:iCs/>
        </w:rPr>
        <w:t>A</w:t>
      </w:r>
      <w:r>
        <w:t xml:space="preserve">, who is a calendar year taxpayer, uses the cash receipts and disbursements method of accounting, and files a joint federal income tax return, paid </w:t>
      </w:r>
      <w:r>
        <w:rPr>
          <w:i/>
          <w:iCs/>
        </w:rPr>
        <w:t>BK</w:t>
      </w:r>
      <w:r>
        <w:t xml:space="preserve"> $10,000 as interest due on the ARM in 1990. BK included the $10,000 as interest on the Form 1098, Mortgage Interest Statement, that it filed with the Internal Revenue Service for the 1990 calendar year and on the copy of the Form 1098 that it sent to </w:t>
      </w:r>
      <w:r>
        <w:rPr>
          <w:i/>
          <w:iCs/>
        </w:rPr>
        <w:t>A</w:t>
      </w:r>
      <w:r>
        <w:t xml:space="preserve"> for that year.</w:t>
      </w:r>
    </w:p>
    <w:p w:rsidR="0078310B" w:rsidRDefault="0078310B" w:rsidP="0078310B">
      <w:pPr>
        <w:widowControl w:val="0"/>
        <w:spacing w:after="120"/>
        <w:ind w:firstLine="288"/>
        <w:jc w:val="both"/>
      </w:pPr>
      <w:r>
        <w:t xml:space="preserve">The ARM obtained by </w:t>
      </w:r>
      <w:r>
        <w:rPr>
          <w:i/>
          <w:iCs/>
        </w:rPr>
        <w:t>A</w:t>
      </w:r>
      <w:r>
        <w:t xml:space="preserve"> from </w:t>
      </w:r>
      <w:r>
        <w:rPr>
          <w:i/>
          <w:iCs/>
        </w:rPr>
        <w:t>BK</w:t>
      </w:r>
      <w:r>
        <w:t xml:space="preserve"> at all times qualified as either acquisition indebtedness or home equity indebtedness with respect to a qualified residence of </w:t>
      </w:r>
      <w:r>
        <w:rPr>
          <w:i/>
          <w:iCs/>
        </w:rPr>
        <w:t>A</w:t>
      </w:r>
      <w:r>
        <w:t xml:space="preserve">, so that the interest </w:t>
      </w:r>
      <w:r>
        <w:rPr>
          <w:i/>
          <w:iCs/>
        </w:rPr>
        <w:t>A</w:t>
      </w:r>
      <w:r>
        <w:t xml:space="preserve"> paid to </w:t>
      </w:r>
      <w:r>
        <w:rPr>
          <w:i/>
          <w:iCs/>
        </w:rPr>
        <w:t>BK</w:t>
      </w:r>
      <w:r>
        <w:t xml:space="preserve"> on the ARM would be qualified residence interest under section 163(h)</w:t>
      </w:r>
      <w:r w:rsidRPr="009441FD">
        <w:t>(3) of the Code</w:t>
      </w:r>
      <w:r>
        <w:t xml:space="preserve">. Thus, </w:t>
      </w:r>
      <w:r>
        <w:rPr>
          <w:i/>
          <w:iCs/>
        </w:rPr>
        <w:t>A</w:t>
      </w:r>
      <w:r>
        <w:t xml:space="preserve"> deducted the $10,000 </w:t>
      </w:r>
      <w:r>
        <w:rPr>
          <w:i/>
          <w:iCs/>
        </w:rPr>
        <w:t>A</w:t>
      </w:r>
      <w:r>
        <w:t xml:space="preserve"> paid to </w:t>
      </w:r>
      <w:r>
        <w:rPr>
          <w:i/>
          <w:iCs/>
        </w:rPr>
        <w:t>BK</w:t>
      </w:r>
      <w:r>
        <w:t xml:space="preserve"> as qualified residence interest on </w:t>
      </w:r>
      <w:r>
        <w:rPr>
          <w:i/>
          <w:iCs/>
        </w:rPr>
        <w:t>A’s</w:t>
      </w:r>
      <w:r>
        <w:t xml:space="preserve"> 1990 federal income tax return that </w:t>
      </w:r>
      <w:r>
        <w:rPr>
          <w:i/>
          <w:iCs/>
        </w:rPr>
        <w:t>A</w:t>
      </w:r>
      <w:r>
        <w:t xml:space="preserve"> timely filed in April of 1991. </w:t>
      </w:r>
      <w:r>
        <w:rPr>
          <w:i/>
          <w:iCs/>
        </w:rPr>
        <w:t>A’s</w:t>
      </w:r>
      <w:r>
        <w:t xml:space="preserve"> total itemized deductions for 1990 were $15,000 (including the $10,000 A paid to </w:t>
      </w:r>
      <w:r>
        <w:rPr>
          <w:i/>
          <w:iCs/>
        </w:rPr>
        <w:t>BK</w:t>
      </w:r>
      <w:r>
        <w:t xml:space="preserve">). The </w:t>
      </w:r>
      <w:r>
        <w:rPr>
          <w:rStyle w:val="term"/>
        </w:rPr>
        <w:t>standard deduction</w:t>
      </w:r>
      <w:r>
        <w:t xml:space="preserve"> that </w:t>
      </w:r>
      <w:r>
        <w:rPr>
          <w:i/>
          <w:iCs/>
        </w:rPr>
        <w:t>A</w:t>
      </w:r>
      <w:r>
        <w:t xml:space="preserve"> could have claimed in 1990 was $5,450.</w:t>
      </w:r>
    </w:p>
    <w:p w:rsidR="0078310B" w:rsidRDefault="0078310B" w:rsidP="0078310B">
      <w:pPr>
        <w:widowControl w:val="0"/>
        <w:spacing w:after="120"/>
        <w:ind w:firstLine="288"/>
        <w:jc w:val="both"/>
      </w:pPr>
      <w:r>
        <w:t xml:space="preserve">In June of 1991, </w:t>
      </w:r>
      <w:r>
        <w:rPr>
          <w:i/>
          <w:iCs/>
        </w:rPr>
        <w:t>BK</w:t>
      </w:r>
      <w:r>
        <w:t xml:space="preserve"> discovered a $700 overcharge of the interest due on </w:t>
      </w:r>
      <w:r>
        <w:rPr>
          <w:i/>
          <w:iCs/>
        </w:rPr>
        <w:t>A’s</w:t>
      </w:r>
      <w:r>
        <w:t xml:space="preserve"> ARM in 1990. BK immediately paid </w:t>
      </w:r>
      <w:r>
        <w:rPr>
          <w:i/>
          <w:iCs/>
        </w:rPr>
        <w:t>A</w:t>
      </w:r>
      <w:r>
        <w:t xml:space="preserve"> $750, an amount that represented a refund of the $700 interest overcharge and $50 in interest on that overcharge. </w:t>
      </w:r>
      <w:r>
        <w:rPr>
          <w:i/>
          <w:iCs/>
        </w:rPr>
        <w:t>A</w:t>
      </w:r>
      <w:r>
        <w:t xml:space="preserve"> included the $700 interest overcharge and the $50 in interest in gross income for 1991.</w:t>
      </w:r>
    </w:p>
    <w:p w:rsidR="0078310B" w:rsidRDefault="0078310B" w:rsidP="0078310B">
      <w:pPr>
        <w:widowControl w:val="0"/>
        <w:spacing w:after="120"/>
        <w:jc w:val="both"/>
      </w:pPr>
      <w:r>
        <w:t>LAW AND ANALYSIS</w:t>
      </w:r>
    </w:p>
    <w:p w:rsidR="0078310B" w:rsidRDefault="0078310B" w:rsidP="0078310B">
      <w:pPr>
        <w:widowControl w:val="0"/>
        <w:spacing w:after="120"/>
        <w:ind w:firstLine="288"/>
        <w:jc w:val="both"/>
        <w:rPr>
          <w:iCs/>
        </w:rPr>
      </w:pPr>
      <w:r>
        <w:rPr>
          <w:i/>
          <w:iCs/>
        </w:rPr>
        <w:t>Issue 1: Interest Deduction</w:t>
      </w:r>
    </w:p>
    <w:p w:rsidR="0078310B" w:rsidRDefault="0078310B" w:rsidP="0078310B">
      <w:pPr>
        <w:widowControl w:val="0"/>
        <w:spacing w:after="120"/>
        <w:ind w:firstLine="288"/>
        <w:jc w:val="both"/>
      </w:pPr>
      <w:r>
        <w:t>Section 163</w:t>
      </w:r>
      <w:r w:rsidRPr="009441FD">
        <w:t>(a) of the Code</w:t>
      </w:r>
      <w:r>
        <w:t xml:space="preserve"> generally allows a deduction for all interest paid or accrued within the taxable year on indebtedness.</w:t>
      </w:r>
    </w:p>
    <w:p w:rsidR="0078310B" w:rsidRDefault="0078310B" w:rsidP="0078310B">
      <w:pPr>
        <w:widowControl w:val="0"/>
        <w:spacing w:after="120"/>
        <w:ind w:firstLine="288"/>
        <w:jc w:val="both"/>
      </w:pPr>
      <w:r>
        <w:t>Although section 163(h)</w:t>
      </w:r>
      <w:r w:rsidRPr="009441FD">
        <w:t>(l) of the Code</w:t>
      </w:r>
      <w:r>
        <w:t xml:space="preserve"> provides that no deduction for personal interest is allowed to noncorporate taxpayers, section 163(h)(2)</w:t>
      </w:r>
      <w:r w:rsidRPr="009441FD">
        <w:t>(D)</w:t>
      </w:r>
      <w:r>
        <w:t xml:space="preserve"> provides that personal interest does not include qualified residence interest.</w:t>
      </w:r>
    </w:p>
    <w:p w:rsidR="0078310B" w:rsidRDefault="0078310B" w:rsidP="0078310B">
      <w:pPr>
        <w:widowControl w:val="0"/>
        <w:spacing w:after="120"/>
        <w:ind w:firstLine="288"/>
        <w:jc w:val="both"/>
      </w:pPr>
      <w:r>
        <w:t>Under section 163(h)(3)</w:t>
      </w:r>
      <w:r w:rsidRPr="009441FD">
        <w:t>(A) of the Code</w:t>
      </w:r>
      <w:r>
        <w:t>, “qualified residence interest” generally is defined as any interest that is paid or accrued on acquisition indebtedness or home equity indebtedness with respect to any qualified residence of the taxpayer. Under section 163(h)(3)</w:t>
      </w:r>
      <w:r w:rsidRPr="009441FD">
        <w:t>(B)</w:t>
      </w:r>
      <w:r>
        <w:t>, “acquisition indebtedness” is any indebtedness that is incurred in acquiring, constructing, or substantially improving any qualified residence of the taxpayer and is secured by such residence. Under section 163(h)(3)</w:t>
      </w:r>
      <w:r w:rsidRPr="009441FD">
        <w:t>(C)</w:t>
      </w:r>
      <w:r>
        <w:t>, “home equity indebtedness” is any indebtedness (other than acquisition indebtedness) secured by a qualified residence. In general, acquisition indebtedness may not exceed $1,000,000, and home equity indebtedness may not exceed $100,000.</w:t>
      </w:r>
    </w:p>
    <w:p w:rsidR="0078310B" w:rsidRDefault="0078310B" w:rsidP="0078310B">
      <w:pPr>
        <w:widowControl w:val="0"/>
        <w:spacing w:after="120"/>
        <w:ind w:firstLine="288"/>
        <w:jc w:val="both"/>
      </w:pPr>
      <w:r w:rsidRPr="009441FD">
        <w:t>Section 461 of the Code</w:t>
      </w:r>
      <w:r>
        <w:t xml:space="preserve"> provides that the amount of any deduction or credit allowed by subtitle A of the Code shall be taken for the taxable year that is the proper taxable year under the method of accounting used in computing taxable income.</w:t>
      </w:r>
    </w:p>
    <w:p w:rsidR="0078310B" w:rsidRDefault="0078310B" w:rsidP="0078310B">
      <w:pPr>
        <w:widowControl w:val="0"/>
        <w:spacing w:after="120"/>
        <w:ind w:firstLine="288"/>
        <w:jc w:val="both"/>
      </w:pPr>
      <w:r w:rsidRPr="009441FD">
        <w:t>Section 1.461-1 of the Income Tax Regulations</w:t>
      </w:r>
      <w:r>
        <w:t xml:space="preserve"> provides that under the cash receipts and disbursements method of accounting, amounts representing allowable deductions generally must be taken into account for the taxable year in which they are paid.</w:t>
      </w:r>
    </w:p>
    <w:p w:rsidR="0078310B" w:rsidRDefault="0078310B" w:rsidP="0078310B">
      <w:pPr>
        <w:widowControl w:val="0"/>
        <w:spacing w:after="120"/>
        <w:ind w:firstLine="288"/>
        <w:jc w:val="both"/>
      </w:pPr>
      <w:r>
        <w:t xml:space="preserve">As a general rule, a taxpayer is not allowed a deduction for a payment for which no liability exists or reasonably appears to exist. </w:t>
      </w:r>
      <w:r>
        <w:rPr>
          <w:i/>
          <w:iCs/>
        </w:rPr>
        <w:t xml:space="preserve">See </w:t>
      </w:r>
      <w:r w:rsidRPr="009441FD">
        <w:rPr>
          <w:i/>
          <w:iCs/>
        </w:rPr>
        <w:t>Keny</w:t>
      </w:r>
      <w:r>
        <w:rPr>
          <w:i/>
          <w:iCs/>
        </w:rPr>
        <w:t>on Instrument Co. v. Comm’</w:t>
      </w:r>
      <w:r w:rsidRPr="009441FD">
        <w:rPr>
          <w:i/>
          <w:iCs/>
        </w:rPr>
        <w:t>r</w:t>
      </w:r>
      <w:r w:rsidRPr="009441FD">
        <w:t>, 16 T.C. 732 (1951)</w:t>
      </w:r>
      <w:r>
        <w:t xml:space="preserve"> (court denied a deduction for state franchise taxes to the extent the taxpayer knew it was not liable for the taxes).</w:t>
      </w:r>
    </w:p>
    <w:p w:rsidR="0078310B" w:rsidRDefault="0078310B" w:rsidP="0078310B">
      <w:pPr>
        <w:widowControl w:val="0"/>
        <w:spacing w:after="120"/>
        <w:ind w:firstLine="288"/>
        <w:jc w:val="both"/>
      </w:pPr>
      <w:r>
        <w:t xml:space="preserve">However, when a taxpayer is notified that payment of a liability is due, and the taxpayer in good faith pays the liability, the taxpayer may properly deduct the payment (if a deduction is otherwise allowable) in the taxable year it is made, even though the payment is determined to be erroneous in a subsequent taxable year. </w:t>
      </w:r>
      <w:r>
        <w:rPr>
          <w:i/>
          <w:iCs/>
        </w:rPr>
        <w:t xml:space="preserve">See </w:t>
      </w:r>
      <w:r w:rsidRPr="009441FD">
        <w:rPr>
          <w:i/>
          <w:iCs/>
        </w:rPr>
        <w:t>Balti</w:t>
      </w:r>
      <w:r>
        <w:rPr>
          <w:i/>
          <w:iCs/>
        </w:rPr>
        <w:t>more Transfer Co. v. Commissione</w:t>
      </w:r>
      <w:r w:rsidRPr="009441FD">
        <w:rPr>
          <w:i/>
          <w:iCs/>
        </w:rPr>
        <w:t>r</w:t>
      </w:r>
      <w:r w:rsidRPr="009441FD">
        <w:t>, 8 T.C. 1 (1947)</w:t>
      </w:r>
      <w:r>
        <w:t xml:space="preserve">, acq., </w:t>
      </w:r>
      <w:r w:rsidRPr="009441FD">
        <w:t>1947-2 C.B. 1</w:t>
      </w:r>
      <w:r>
        <w:t>, in which the court allowed a taxpayer to deduct overpayments made to a state unemployment compensation fund in one year that were based on an erroneous notification to the taxpayer by the fund that was not corrected until the following tax year. The court concluded that the taxpayer acted reasonably in accepting as correct the fund’s administrative determination of the amount owed by the taxpayer.</w:t>
      </w:r>
    </w:p>
    <w:p w:rsidR="0078310B" w:rsidRDefault="0078310B" w:rsidP="0078310B">
      <w:pPr>
        <w:widowControl w:val="0"/>
        <w:spacing w:after="120"/>
        <w:ind w:firstLine="288"/>
        <w:jc w:val="both"/>
      </w:pPr>
      <w:r>
        <w:t xml:space="preserve">In this case, </w:t>
      </w:r>
      <w:r>
        <w:rPr>
          <w:i/>
          <w:iCs/>
        </w:rPr>
        <w:t>BK</w:t>
      </w:r>
      <w:r>
        <w:t xml:space="preserve"> notified </w:t>
      </w:r>
      <w:r>
        <w:rPr>
          <w:i/>
          <w:iCs/>
        </w:rPr>
        <w:t>A</w:t>
      </w:r>
      <w:r>
        <w:t xml:space="preserve"> of the interest due on the ARM for 1990 and </w:t>
      </w:r>
      <w:r>
        <w:rPr>
          <w:i/>
          <w:iCs/>
        </w:rPr>
        <w:t>A</w:t>
      </w:r>
      <w:r>
        <w:t xml:space="preserve">, in good faith, paid this amount in 1990. </w:t>
      </w:r>
      <w:r>
        <w:rPr>
          <w:i/>
          <w:iCs/>
        </w:rPr>
        <w:t>BK</w:t>
      </w:r>
      <w:r>
        <w:t xml:space="preserve"> did not inform </w:t>
      </w:r>
      <w:r>
        <w:rPr>
          <w:i/>
          <w:iCs/>
        </w:rPr>
        <w:t>A</w:t>
      </w:r>
      <w:r>
        <w:t xml:space="preserve"> until June of 1991 that </w:t>
      </w:r>
      <w:r>
        <w:rPr>
          <w:i/>
          <w:iCs/>
        </w:rPr>
        <w:t>BK</w:t>
      </w:r>
      <w:r>
        <w:t xml:space="preserve"> had erroneously determined (and billed </w:t>
      </w:r>
      <w:r>
        <w:rPr>
          <w:i/>
          <w:iCs/>
        </w:rPr>
        <w:t>A</w:t>
      </w:r>
      <w:r>
        <w:t xml:space="preserve"> for) the amount of interest due on the ARM. Therefore, on </w:t>
      </w:r>
      <w:r>
        <w:rPr>
          <w:i/>
          <w:iCs/>
        </w:rPr>
        <w:t>A’</w:t>
      </w:r>
      <w:r>
        <w:t xml:space="preserve"> 1990 Federal income tax return, </w:t>
      </w:r>
      <w:r>
        <w:rPr>
          <w:i/>
          <w:iCs/>
        </w:rPr>
        <w:t>A</w:t>
      </w:r>
      <w:r>
        <w:t xml:space="preserve"> properly deducted the $700 overpayment </w:t>
      </w:r>
      <w:r>
        <w:rPr>
          <w:i/>
          <w:iCs/>
        </w:rPr>
        <w:t>A</w:t>
      </w:r>
      <w:r>
        <w:t xml:space="preserve"> made to </w:t>
      </w:r>
      <w:r>
        <w:rPr>
          <w:i/>
          <w:iCs/>
        </w:rPr>
        <w:t>BK</w:t>
      </w:r>
      <w:r>
        <w:t xml:space="preserve"> in 1990 as qualified residence interest under </w:t>
      </w:r>
      <w:r w:rsidRPr="009441FD">
        <w:t>section 163 of the Code</w:t>
      </w:r>
      <w:r>
        <w:t>.</w:t>
      </w:r>
    </w:p>
    <w:p w:rsidR="0078310B" w:rsidRDefault="0078310B" w:rsidP="0078310B">
      <w:pPr>
        <w:widowControl w:val="0"/>
        <w:spacing w:after="120"/>
        <w:ind w:firstLine="288"/>
        <w:jc w:val="both"/>
        <w:rPr>
          <w:iCs/>
        </w:rPr>
      </w:pPr>
      <w:r>
        <w:rPr>
          <w:i/>
          <w:iCs/>
        </w:rPr>
        <w:t>Issue 2: Income Inclusion</w:t>
      </w:r>
    </w:p>
    <w:p w:rsidR="0078310B" w:rsidRDefault="0078310B" w:rsidP="0078310B">
      <w:pPr>
        <w:widowControl w:val="0"/>
        <w:spacing w:after="120"/>
        <w:ind w:firstLine="288"/>
        <w:jc w:val="both"/>
      </w:pPr>
      <w:r w:rsidRPr="009441FD">
        <w:t>Section 61 (a) of the Code</w:t>
      </w:r>
      <w:r>
        <w:t xml:space="preserve"> provides that, except as otherwise provided by law, gross income means all income from whatever source derived. Section 61(a)</w:t>
      </w:r>
      <w:r w:rsidRPr="009441FD">
        <w:t>(4)</w:t>
      </w:r>
      <w:r>
        <w:t xml:space="preserve"> provides that interest is an item of gross income.</w:t>
      </w:r>
    </w:p>
    <w:p w:rsidR="0078310B" w:rsidRDefault="0078310B" w:rsidP="0078310B">
      <w:pPr>
        <w:widowControl w:val="0"/>
        <w:spacing w:after="120"/>
        <w:ind w:firstLine="288"/>
        <w:jc w:val="both"/>
      </w:pPr>
      <w:r>
        <w:t>Section 111</w:t>
      </w:r>
      <w:r w:rsidRPr="009441FD">
        <w:t xml:space="preserve"> of the Code</w:t>
      </w:r>
      <w:r>
        <w:t xml:space="preserve"> excludes from gross income amounts attributable to the recovery during the taxable year of any amount deducted in any prior year to the extent that the amount did not reduce the amount of tax imposed by chapter 1 of subtitle A of the Code.</w:t>
      </w:r>
    </w:p>
    <w:p w:rsidR="0078310B" w:rsidRDefault="0078310B" w:rsidP="0078310B">
      <w:pPr>
        <w:widowControl w:val="0"/>
        <w:spacing w:after="120"/>
        <w:ind w:firstLine="288"/>
        <w:jc w:val="both"/>
      </w:pPr>
      <w:r>
        <w:t>Section 111</w:t>
      </w:r>
      <w:r w:rsidRPr="009441FD">
        <w:t xml:space="preserve"> of the Code</w:t>
      </w:r>
      <w:r>
        <w:t xml:space="preserve"> is a partial codification of the </w:t>
      </w:r>
      <w:r>
        <w:rPr>
          <w:rStyle w:val="term"/>
        </w:rPr>
        <w:t>tax benefit rule,</w:t>
      </w:r>
      <w:r>
        <w:t xml:space="preserve"> which generally requires the inclusion in income of amounts that were deducted by a taxpayer in a prior tax year to the extent those amounts generated a tax benefit to the taxpayer through a reduction in the amount of tax liability in the prior tax year. </w:t>
      </w:r>
      <w:r>
        <w:rPr>
          <w:i/>
          <w:iCs/>
        </w:rPr>
        <w:t xml:space="preserve">See generally, </w:t>
      </w:r>
      <w:r w:rsidRPr="009441FD">
        <w:rPr>
          <w:i/>
          <w:iCs/>
        </w:rPr>
        <w:t>Estate of Block v. Comm’r</w:t>
      </w:r>
      <w:r w:rsidRPr="009441FD">
        <w:t>, 39 B.T.A. 338 (1939)</w:t>
      </w:r>
      <w:r>
        <w:t xml:space="preserve">, </w:t>
      </w:r>
      <w:r>
        <w:rPr>
          <w:i/>
          <w:iCs/>
        </w:rPr>
        <w:t xml:space="preserve">aff’d sub nom. </w:t>
      </w:r>
      <w:r w:rsidRPr="009441FD">
        <w:rPr>
          <w:i/>
          <w:iCs/>
        </w:rPr>
        <w:t>Union Trust Co. v. Comm’r</w:t>
      </w:r>
      <w:r>
        <w:t>, 111</w:t>
      </w:r>
      <w:r w:rsidRPr="009441FD">
        <w:t xml:space="preserve"> F.2d 60 (7th Cir. 1940)</w:t>
      </w:r>
      <w:r>
        <w:t xml:space="preserve">, </w:t>
      </w:r>
      <w:r>
        <w:rPr>
          <w:i/>
          <w:iCs/>
        </w:rPr>
        <w:t>cert, denied</w:t>
      </w:r>
      <w:r>
        <w:t xml:space="preserve">, </w:t>
      </w:r>
      <w:r w:rsidRPr="009441FD">
        <w:t>311 U.S. 658 (1940)</w:t>
      </w:r>
      <w:r>
        <w:t xml:space="preserve">. The </w:t>
      </w:r>
      <w:r>
        <w:rPr>
          <w:rStyle w:val="term"/>
        </w:rPr>
        <w:t>tax benefit rule</w:t>
      </w:r>
      <w:r>
        <w:t xml:space="preserve"> is applied when a subsequent event occurs which is fundamentally inconsistent with the premise on which an earlier deduction was based. The purpose of the rule is to achieve rough transactional parity within the framework of a tax system requiring annual calculations. </w:t>
      </w:r>
      <w:r>
        <w:rPr>
          <w:i/>
          <w:iCs/>
        </w:rPr>
        <w:t xml:space="preserve">See </w:t>
      </w:r>
      <w:r w:rsidRPr="009441FD">
        <w:rPr>
          <w:i/>
          <w:iCs/>
        </w:rPr>
        <w:t>Hillsboro National Bank v. Comm’r</w:t>
      </w:r>
      <w:r>
        <w:t xml:space="preserve">, 460 U.S. 370 </w:t>
      </w:r>
      <w:r w:rsidRPr="009441FD">
        <w:t>(1983)</w:t>
      </w:r>
      <w:r>
        <w:t>.</w:t>
      </w:r>
    </w:p>
    <w:p w:rsidR="0078310B" w:rsidRDefault="0078310B" w:rsidP="0078310B">
      <w:pPr>
        <w:widowControl w:val="0"/>
        <w:spacing w:after="120"/>
        <w:ind w:firstLine="288"/>
        <w:jc w:val="both"/>
        <w:rPr>
          <w:rStyle w:val="term"/>
        </w:rPr>
      </w:pPr>
      <w:r>
        <w:t xml:space="preserve">The amount of an interest over-charge reimbursement that is includible in gross income under the </w:t>
      </w:r>
      <w:r>
        <w:rPr>
          <w:rStyle w:val="term"/>
        </w:rPr>
        <w:t>tax benefit rule</w:t>
      </w:r>
      <w:r>
        <w:t xml:space="preserve"> is the lesser of (1) the reimbursement, or (2) the amount by which the taxpayer’s itemized deductions in the year of the interest over-charge exceeded the </w:t>
      </w:r>
      <w:r>
        <w:rPr>
          <w:rStyle w:val="term"/>
        </w:rPr>
        <w:t>standard deduction.</w:t>
      </w:r>
    </w:p>
    <w:p w:rsidR="0078310B" w:rsidRDefault="0078310B" w:rsidP="0078310B">
      <w:pPr>
        <w:widowControl w:val="0"/>
        <w:spacing w:after="120"/>
        <w:ind w:firstLine="288"/>
        <w:jc w:val="both"/>
      </w:pPr>
      <w:r>
        <w:t xml:space="preserve">In this case, </w:t>
      </w:r>
      <w:r>
        <w:rPr>
          <w:i/>
          <w:iCs/>
        </w:rPr>
        <w:t>A</w:t>
      </w:r>
      <w:r>
        <w:t xml:space="preserve"> received a $700 reimbursement in 1991 attributable to </w:t>
      </w:r>
      <w:r>
        <w:rPr>
          <w:i/>
          <w:iCs/>
        </w:rPr>
        <w:t>A’s</w:t>
      </w:r>
      <w:r>
        <w:t xml:space="preserve"> 1990 mortgage interest deduction. The $700 reimbursement is less than $9,550, the amount by which </w:t>
      </w:r>
      <w:r>
        <w:rPr>
          <w:i/>
          <w:iCs/>
        </w:rPr>
        <w:t>A’s</w:t>
      </w:r>
      <w:r>
        <w:t xml:space="preserve"> total itemized deductions in 1990 ($15,000) exceeded the </w:t>
      </w:r>
      <w:r>
        <w:rPr>
          <w:rStyle w:val="term"/>
        </w:rPr>
        <w:t>standard deduction</w:t>
      </w:r>
      <w:r>
        <w:t xml:space="preserve"> ($5,450) that A could have claimed for that year. Therefore, the </w:t>
      </w:r>
      <w:r>
        <w:rPr>
          <w:rStyle w:val="term"/>
        </w:rPr>
        <w:t>tax benefit rule</w:t>
      </w:r>
      <w:r>
        <w:t xml:space="preserve"> requires that </w:t>
      </w:r>
      <w:r>
        <w:rPr>
          <w:i/>
          <w:iCs/>
        </w:rPr>
        <w:t>A</w:t>
      </w:r>
      <w:r>
        <w:t xml:space="preserve"> include the $700 reimbursement in </w:t>
      </w:r>
      <w:r>
        <w:rPr>
          <w:i/>
          <w:iCs/>
        </w:rPr>
        <w:t>A’s</w:t>
      </w:r>
      <w:r>
        <w:t xml:space="preserve"> gross income in 1991. In addition, the $50 in interest on the $700 reimbursement that </w:t>
      </w:r>
      <w:r>
        <w:rPr>
          <w:i/>
          <w:iCs/>
        </w:rPr>
        <w:t>A</w:t>
      </w:r>
      <w:r>
        <w:t xml:space="preserve"> received must be included in </w:t>
      </w:r>
      <w:r>
        <w:rPr>
          <w:i/>
          <w:iCs/>
        </w:rPr>
        <w:t>A’s</w:t>
      </w:r>
      <w:r>
        <w:t xml:space="preserve"> gross interest in 1991 under </w:t>
      </w:r>
      <w:r w:rsidRPr="009441FD">
        <w:t>section 61 (a) (4) of the Code</w:t>
      </w:r>
      <w:r>
        <w:t>.</w:t>
      </w:r>
    </w:p>
    <w:p w:rsidR="0078310B" w:rsidRDefault="0078310B" w:rsidP="0078310B">
      <w:pPr>
        <w:widowControl w:val="0"/>
        <w:spacing w:after="120"/>
        <w:jc w:val="both"/>
      </w:pPr>
      <w:r>
        <w:t>HOLDINGS</w:t>
      </w:r>
    </w:p>
    <w:p w:rsidR="0078310B" w:rsidRDefault="0078310B" w:rsidP="0078310B">
      <w:pPr>
        <w:widowControl w:val="0"/>
        <w:spacing w:after="120"/>
        <w:ind w:firstLine="288"/>
        <w:jc w:val="both"/>
      </w:pPr>
      <w:r>
        <w:t>(1) An interest overcharge, which a homeowner paid as the result of a financial institution’s miscalculation of interest on an adjustable rate mortgage (ARM), is deductible by the homeowner in the year of payment as qualified residence interest under section 163(h)</w:t>
      </w:r>
      <w:r w:rsidRPr="009441FD">
        <w:t>(3) of the Code</w:t>
      </w:r>
      <w:r>
        <w:t>.</w:t>
      </w:r>
    </w:p>
    <w:p w:rsidR="0078310B" w:rsidRDefault="0078310B" w:rsidP="0078310B">
      <w:pPr>
        <w:widowControl w:val="0"/>
        <w:ind w:firstLine="288"/>
        <w:jc w:val="both"/>
      </w:pPr>
      <w:r>
        <w:t>(2) The homeowner’s recovery of the interest overcharge in a subsequent year is includible in the homeowner’s gross income in the year of recovery to the extent that the homeowner’s deduction of the interest overcharge reduced the homeowner’s federal income tax in a prior tax year. This result requiring income inclusion in the year of recovery is the same whether the financial institution refunds the interest overcharge to the homeowner or reduces the outstanding principal on the homeowner’s mortgage by the amount of the interest overcharge.</w:t>
      </w:r>
    </w:p>
    <w:p w:rsidR="0078310B" w:rsidRDefault="0078310B" w:rsidP="0078310B">
      <w:pPr>
        <w:widowControl w:val="0"/>
        <w:jc w:val="center"/>
      </w:pPr>
      <w:r>
        <w:t>___________________________________________</w:t>
      </w:r>
    </w:p>
    <w:p w:rsidR="0078310B" w:rsidRDefault="0078310B" w:rsidP="0078310B">
      <w:pPr>
        <w:widowControl w:val="0"/>
        <w:jc w:val="both"/>
        <w:rPr>
          <w:iCs/>
        </w:rPr>
      </w:pPr>
    </w:p>
    <w:p w:rsidR="0078310B" w:rsidRDefault="0078310B" w:rsidP="0078310B">
      <w:pPr>
        <w:widowControl w:val="0"/>
        <w:spacing w:after="120"/>
        <w:ind w:firstLine="288"/>
        <w:jc w:val="both"/>
      </w:pPr>
      <w:r>
        <w:rPr>
          <w:iCs/>
        </w:rPr>
        <w:t xml:space="preserve">The tax benefit rule can be triggered even if no actual cash refund or recovery is received of an amount previously deducted. Note the reference in the above ruling to </w:t>
      </w:r>
      <w:r>
        <w:rPr>
          <w:i/>
          <w:iCs/>
        </w:rPr>
        <w:t>Hillsboro National Bank</w:t>
      </w:r>
      <w:r>
        <w:t xml:space="preserve"> and the ruling’s statement of the holding in that case: “The </w:t>
      </w:r>
      <w:r>
        <w:rPr>
          <w:rStyle w:val="term"/>
        </w:rPr>
        <w:t>tax benefit rule</w:t>
      </w:r>
      <w:r>
        <w:t xml:space="preserve"> is applied when a subsequent event occurs which is fundamentally inconsistent with the premise on which an earlier deduction was based.” An actual cash refund or recovery of an outlay or loss, as occurred in both </w:t>
      </w:r>
      <w:r>
        <w:rPr>
          <w:i/>
        </w:rPr>
        <w:t>Dobson</w:t>
      </w:r>
      <w:r>
        <w:t xml:space="preserve"> and the ruling, is merely the most common example of an event that is “fundamentally inconsistent with the premise on which earlier deduction was based.”</w:t>
      </w:r>
    </w:p>
    <w:p w:rsidR="0078310B" w:rsidRDefault="0078310B" w:rsidP="0078310B">
      <w:pPr>
        <w:widowControl w:val="0"/>
        <w:spacing w:after="120"/>
        <w:ind w:firstLine="288"/>
        <w:jc w:val="both"/>
      </w:pPr>
      <w:r>
        <w:t>Suppose, for example, that Ann properly deducts in Year 1 under § 162 the cost of office supplies, fully expecting the supplies to be used in her sole proprietor business.</w:t>
      </w:r>
      <w:r>
        <w:rPr>
          <w:rStyle w:val="FootnoteReference"/>
        </w:rPr>
        <w:footnoteReference w:id="840"/>
      </w:r>
      <w:r>
        <w:t xml:space="preserve"> In Year 4, however, the taxpayer converts the supplies to personal use by taking them home for use by her children in doing their homework and creating craft projects. While Ann realized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Thus, Ann must include in her Year-4 Gross Income the amount deducted in Year 1 with respect to the supplies that she took home. </w:t>
      </w:r>
    </w:p>
    <w:p w:rsidR="0078310B" w:rsidRDefault="0078310B" w:rsidP="0078310B">
      <w:pPr>
        <w:widowControl w:val="0"/>
        <w:spacing w:after="120"/>
        <w:ind w:firstLine="288"/>
        <w:jc w:val="both"/>
      </w:pPr>
      <w:r>
        <w:t xml:space="preserve">In </w:t>
      </w:r>
      <w:r>
        <w:rPr>
          <w:i/>
        </w:rPr>
        <w:t>Hillsboro National Bank</w:t>
      </w:r>
      <w: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841"/>
      </w:r>
    </w:p>
    <w:p w:rsidR="0078310B" w:rsidRDefault="0078310B" w:rsidP="0078310B">
      <w:pPr>
        <w:widowControl w:val="0"/>
        <w:spacing w:after="120"/>
        <w:ind w:left="720" w:right="720"/>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1039"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1040" w:history="1">
        <w:r w:rsidRPr="00C74AFE">
          <w:rPr>
            <w:i/>
          </w:rPr>
          <w:t>U.S.</w:t>
        </w:r>
        <w:r w:rsidRPr="00C74AFE">
          <w:t>, 430 F.2d 152 (CA7 1970)</w:t>
        </w:r>
      </w:hyperlink>
      <w:r w:rsidRPr="00C74AFE">
        <w:t xml:space="preserve">, cert. denied, </w:t>
      </w:r>
      <w:hyperlink r:id="rId1041" w:history="1">
        <w:r w:rsidRPr="00C74AFE">
          <w:t>400 U.S. 1021 (1971)</w:t>
        </w:r>
      </w:hyperlink>
      <w:r w:rsidRPr="00C74AFE">
        <w:t xml:space="preserve">; </w:t>
      </w:r>
      <w:hyperlink r:id="rId1042"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1043" w:history="1">
        <w:r w:rsidRPr="00C74AFE">
          <w:rPr>
            <w:i/>
          </w:rPr>
          <w:t>609 F.2d 1007 (CA5 1979)</w:t>
        </w:r>
      </w:hyperlink>
      <w:r w:rsidRPr="00C74AFE">
        <w:rPr>
          <w:i/>
        </w:rPr>
        <w:t>; G.M. Standifer Construction Corp. v.</w:t>
      </w:r>
      <w:r w:rsidRPr="00C74AFE">
        <w:t xml:space="preserve"> </w:t>
      </w:r>
      <w:hyperlink r:id="rId1044" w:history="1">
        <w:r w:rsidRPr="00C74AFE">
          <w:rPr>
            <w:i/>
          </w:rPr>
          <w:t>Comm’r</w:t>
        </w:r>
        <w:r>
          <w:t>, 30 B.T.</w:t>
        </w:r>
        <w:r w:rsidRPr="00C74AFE">
          <w:t>A. 184, 186-187 (1934)</w:t>
        </w:r>
      </w:hyperlink>
      <w:r w:rsidRPr="00C74AFE">
        <w:t>, petition for review dism</w:t>
      </w:r>
      <w:r>
        <w:t>’</w:t>
      </w:r>
      <w:r w:rsidRPr="00C74AFE">
        <w:t xml:space="preserve">d, </w:t>
      </w:r>
      <w:hyperlink r:id="rId1045" w:history="1">
        <w:r w:rsidRPr="00C74AFE">
          <w:t>78 F.2d 285 (CA9 1935)</w:t>
        </w:r>
      </w:hyperlink>
      <w:r>
        <w:t>….</w:t>
      </w:r>
    </w:p>
    <w:p w:rsidR="0078310B" w:rsidRDefault="0078310B" w:rsidP="0078310B">
      <w:pPr>
        <w:widowControl w:val="0"/>
        <w:spacing w:after="120"/>
        <w:ind w:left="720" w:right="720"/>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42"/>
      </w:r>
    </w:p>
    <w:p w:rsidR="0078310B" w:rsidRDefault="0078310B" w:rsidP="009C2628">
      <w:pPr>
        <w:widowControl w:val="0"/>
        <w:ind w:right="720" w:firstLine="288"/>
        <w:jc w:val="both"/>
      </w:pPr>
      <w:r>
        <w:t xml:space="preserve">If Ann had brought the office supplies home for her children’s use in the same year in which she bought them, she would not have been permitted to deduct the cost of the supplies as a business expense under § 162. Thus, taking the supplies home to her children in a year subsequent to their purchase (and deduction) is an event that is “fundamentally inconsistent” with the § 162 deduction and requires Ann to include in Gross Income the amount previously deducted. </w:t>
      </w:r>
    </w:p>
    <w:p w:rsidR="0078310B" w:rsidRDefault="0078310B" w:rsidP="0078310B">
      <w:pPr>
        <w:widowControl w:val="0"/>
        <w:ind w:right="720"/>
        <w:jc w:val="both"/>
      </w:pPr>
    </w:p>
    <w:p w:rsidR="0078310B" w:rsidRDefault="0078310B" w:rsidP="0078310B">
      <w:pPr>
        <w:pStyle w:val="Heading3"/>
        <w:spacing w:before="0" w:beforeAutospacing="0" w:after="0" w:afterAutospacing="0"/>
        <w:jc w:val="center"/>
        <w:rPr>
          <w:b w:val="0"/>
        </w:rPr>
      </w:pPr>
      <w:bookmarkStart w:id="404" w:name="_Toc395790700"/>
      <w:r w:rsidRPr="00ED7FA5">
        <w:rPr>
          <w:u w:val="single"/>
        </w:rPr>
        <w:t>Problem</w:t>
      </w:r>
      <w:bookmarkEnd w:id="404"/>
    </w:p>
    <w:p w:rsidR="0078310B" w:rsidRPr="00EB78C3" w:rsidRDefault="0078310B" w:rsidP="0078310B">
      <w:pPr>
        <w:pStyle w:val="Heading3"/>
        <w:spacing w:before="0" w:beforeAutospacing="0" w:after="0" w:afterAutospacing="0"/>
        <w:rPr>
          <w:b w:val="0"/>
        </w:rPr>
      </w:pPr>
    </w:p>
    <w:p w:rsidR="0078310B" w:rsidRDefault="00F06877" w:rsidP="0078310B">
      <w:pPr>
        <w:widowControl w:val="0"/>
        <w:ind w:firstLine="288"/>
        <w:jc w:val="both"/>
      </w:pPr>
      <w:r>
        <w:t xml:space="preserve">Assume that the Standard Deduction for Year 1 is $7,000. </w:t>
      </w:r>
      <w:r w:rsidR="0078310B">
        <w:t>In Year 1, Leo deducts $7,600 in Itemized Deductions, which reduces his Taxable Income, though he still owes tax for the year. Among his Itemized Deductions is the payment of a local real property tax imposed on his personal residence, which is deductible under § 164(a). In Year 3, the local tax assessor determines that it had miscalculated the real property tax owed by Leo in Year 1 by $1,000, which it sends to him in Year 3. How much, if any, of the $1,000 receipt must Leo include in his Gross Income in Year 3?</w:t>
      </w:r>
    </w:p>
    <w:p w:rsidR="0078310B" w:rsidRDefault="0078310B" w:rsidP="0078310B">
      <w:pPr>
        <w:widowControl w:val="0"/>
        <w:ind w:firstLine="288"/>
        <w:jc w:val="both"/>
      </w:pPr>
    </w:p>
    <w:p w:rsidR="0078310B" w:rsidRPr="00EB78C3" w:rsidRDefault="0078310B" w:rsidP="0078310B">
      <w:pPr>
        <w:pStyle w:val="Heading2"/>
        <w:spacing w:before="0"/>
        <w:rPr>
          <w:sz w:val="32"/>
          <w:szCs w:val="32"/>
          <w:u w:val="single"/>
        </w:rPr>
      </w:pPr>
      <w:bookmarkStart w:id="405" w:name="_Toc395790701"/>
      <w:r w:rsidRPr="00EB78C3">
        <w:rPr>
          <w:sz w:val="32"/>
          <w:szCs w:val="32"/>
          <w:u w:val="single"/>
        </w:rPr>
        <w:t>C. Net operating losses</w:t>
      </w:r>
      <w:bookmarkEnd w:id="405"/>
    </w:p>
    <w:p w:rsidR="0078310B" w:rsidRDefault="0078310B" w:rsidP="0078310B">
      <w:pPr>
        <w:widowControl w:val="0"/>
        <w:ind w:firstLine="288"/>
      </w:pPr>
    </w:p>
    <w:p w:rsidR="0078310B" w:rsidRDefault="0078310B" w:rsidP="0078310B">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rsidR="0078310B" w:rsidRPr="00EB78C3"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406" w:name="_Toc395790702"/>
      <w:r>
        <w:t>BURNET v. SANFORD &amp; BROOKS COMPANY</w:t>
      </w:r>
      <w:bookmarkEnd w:id="406"/>
    </w:p>
    <w:p w:rsidR="0078310B" w:rsidRDefault="0078310B" w:rsidP="0078310B">
      <w:pPr>
        <w:widowControl w:val="0"/>
        <w:jc w:val="center"/>
      </w:pPr>
      <w:r>
        <w:t>282 U.S. 359 (1931)</w:t>
      </w:r>
    </w:p>
    <w:p w:rsidR="0078310B" w:rsidRDefault="0078310B" w:rsidP="0078310B">
      <w:pPr>
        <w:widowControl w:val="0"/>
      </w:pPr>
    </w:p>
    <w:p w:rsidR="0078310B" w:rsidRDefault="0078310B" w:rsidP="0078310B">
      <w:pPr>
        <w:widowControl w:val="0"/>
        <w:spacing w:after="120"/>
        <w:ind w:firstLine="288"/>
        <w:jc w:val="both"/>
      </w:pPr>
      <w:r>
        <w:rPr>
          <w:smallCaps/>
        </w:rPr>
        <w:t xml:space="preserve">Mr. Justice </w:t>
      </w:r>
      <w:r>
        <w:t>Stone delivered the opinion of the Court.</w:t>
      </w:r>
    </w:p>
    <w:p w:rsidR="0078310B" w:rsidRDefault="0078310B" w:rsidP="0078310B">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rsidR="0078310B" w:rsidRDefault="0078310B" w:rsidP="0078310B">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78310B" w:rsidRDefault="0078310B" w:rsidP="0078310B">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78310B" w:rsidRDefault="0078310B" w:rsidP="0078310B">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78310B" w:rsidRDefault="0078310B" w:rsidP="0078310B">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78310B" w:rsidRDefault="0078310B" w:rsidP="0078310B">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rsidR="0078310B" w:rsidRDefault="0078310B" w:rsidP="0078310B">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rsidR="0078310B" w:rsidRDefault="0078310B" w:rsidP="0078310B">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rsidR="0078310B" w:rsidRDefault="0078310B" w:rsidP="0078310B">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rsidR="0078310B" w:rsidRDefault="0078310B" w:rsidP="0078310B">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rsidR="0078310B" w:rsidRDefault="0078310B" w:rsidP="0078310B">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rsidR="0078310B" w:rsidRDefault="0078310B" w:rsidP="0078310B">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rsidR="0078310B" w:rsidRDefault="0078310B" w:rsidP="0078310B">
      <w:pPr>
        <w:widowControl w:val="0"/>
        <w:jc w:val="center"/>
      </w:pPr>
      <w:r>
        <w:t>________________________________________</w:t>
      </w:r>
    </w:p>
    <w:p w:rsidR="0078310B" w:rsidRDefault="0078310B" w:rsidP="0078310B">
      <w:pPr>
        <w:widowControl w:val="0"/>
      </w:pPr>
    </w:p>
    <w:p w:rsidR="0078310B" w:rsidRDefault="0078310B" w:rsidP="0078310B">
      <w:pPr>
        <w:widowControl w:val="0"/>
        <w:spacing w:after="120"/>
        <w:ind w:firstLine="288"/>
        <w:jc w:val="both"/>
      </w:pPr>
      <w: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p>
    <w:p w:rsidR="0078310B" w:rsidRDefault="0078310B" w:rsidP="0078310B">
      <w:pPr>
        <w:widowControl w:val="0"/>
        <w:spacing w:after="120"/>
        <w:ind w:firstLine="288"/>
        <w:jc w:val="both"/>
      </w:pPr>
      <w:r>
        <w:t xml:space="preserve">Was not Sanford &amp; Brooks in a very similar position to the taxpayer in </w:t>
      </w:r>
      <w:r>
        <w:rPr>
          <w:i/>
        </w:rPr>
        <w:t>Dobson</w:t>
      </w:r>
      <w:r>
        <w:t>? Both taxpayers realized more deductions than Gross Income in Year 1 (with the excess thus providing no tax benefit) and subsequently recovered (via law suits) a portion of their earlier losses in Year 2. Mr. Dobson succeeded in avoiding i</w:t>
      </w:r>
      <w:r w:rsidR="00C22F2E">
        <w:t>nclusion of his recovery in 1939</w:t>
      </w:r>
      <w:r>
        <w:t>, but Sanford &amp; Brooks was not so fortunate in 1931. The Supreme Court appeared to hold that the annual accounting principle prevented th</w:t>
      </w:r>
      <w:r w:rsidR="005564EF">
        <w:t xml:space="preserve">e taxpayer’s desired result and, in the final paragraph, </w:t>
      </w:r>
      <w:r>
        <w:t xml:space="preserve">punted to Congress for relief. </w:t>
      </w:r>
    </w:p>
    <w:p w:rsidR="0078310B" w:rsidRDefault="0078310B" w:rsidP="0078310B">
      <w:pPr>
        <w:widowControl w:val="0"/>
        <w:spacing w:after="120"/>
        <w:ind w:firstLine="288"/>
        <w:jc w:val="both"/>
      </w:pPr>
      <w:r>
        <w:t xml:space="preserve">Congress obliged by enacting the predecessor to § 172.  </w:t>
      </w:r>
      <w:r>
        <w:rPr>
          <w:b/>
        </w:rPr>
        <w:t xml:space="preserve">Sections </w:t>
      </w:r>
      <w:r w:rsidRPr="006C2892">
        <w:rPr>
          <w:b/>
        </w:rPr>
        <w:t xml:space="preserve">172(c) and (d) </w:t>
      </w:r>
      <w:r>
        <w:rPr>
          <w:b/>
        </w:rPr>
        <w:t xml:space="preserve">generally </w:t>
      </w:r>
      <w:r w:rsidRPr="006C2892">
        <w:rPr>
          <w:b/>
        </w:rPr>
        <w:t xml:space="preserve">define a “net operating loss” (NOL) </w:t>
      </w:r>
      <w:r>
        <w:rPr>
          <w:b/>
        </w:rPr>
        <w:t xml:space="preserve">for any year </w:t>
      </w:r>
      <w:r w:rsidRPr="006C2892">
        <w:rPr>
          <w:b/>
        </w:rPr>
        <w:t>as the excess of the taxpayer’s business deductions (and any personal casualty or theft loss allowed under § 165(c)(3)) over the sum of business Gross Income and any remaining investment Gross Income not absorbed by nonbusiness deductions</w:t>
      </w:r>
      <w:r>
        <w:t>.</w:t>
      </w:r>
      <w:r>
        <w:rPr>
          <w:rStyle w:val="FootnoteReference"/>
        </w:rPr>
        <w:footnoteReference w:id="843"/>
      </w:r>
      <w:r>
        <w:t xml:space="preserve"> Under §§ 172(b)(1) and (2), an NOL for any particular year is first carried back to the second preceding taxable year, then to the immediately preceding taxable year, and finally forward for the next 20 taxable years until it is either used or expires unused. To the extent that the NOL can be carried back (because the taxpayer had positive Taxable Income in either or both of the years preceding the NOL year), the taxpayer files an amended return (as those years are still open years under the general three-year</w:t>
      </w:r>
      <w:r w:rsidR="00113BF5">
        <w:t xml:space="preserve"> statute of limitations), taking</w:t>
      </w:r>
      <w:r>
        <w:t xml:space="preserve"> the § 172 NOL deduction and thereby obtaining a tax refund. </w:t>
      </w:r>
    </w:p>
    <w:p w:rsidR="0078310B" w:rsidRDefault="0078310B" w:rsidP="0078310B">
      <w:pPr>
        <w:widowControl w:val="0"/>
        <w:spacing w:after="120"/>
        <w:ind w:firstLine="288"/>
        <w:jc w:val="both"/>
      </w:pPr>
      <w:r>
        <w:t xml:space="preserve">A taxpayer can waive the carryback period under § 172(b)(3) and carry the NOL only forward. Why would a taxpayer consider making that election in view of the time value of money? What if the taxpayer believes that the business is about to take off and that future Taxable Income will fall in a significantly higher tax bracket than that applicable in the prior years? </w:t>
      </w:r>
    </w:p>
    <w:p w:rsidR="0078310B" w:rsidRDefault="0078310B" w:rsidP="0078310B">
      <w:pPr>
        <w:widowControl w:val="0"/>
        <w:spacing w:after="120"/>
        <w:ind w:firstLine="288"/>
        <w:jc w:val="both"/>
      </w:pPr>
      <w:r>
        <w:t xml:space="preserve">Notice that § 172 provides broader relief than does the tax benefit rule (except for the 20-year time limit under the former).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the NOL to offset profits from an entirely different business in a later year. </w:t>
      </w:r>
    </w:p>
    <w:p w:rsidR="0078310B" w:rsidRDefault="0078310B" w:rsidP="0078310B">
      <w:pPr>
        <w:widowControl w:val="0"/>
        <w:spacing w:after="120"/>
        <w:ind w:firstLine="288"/>
        <w:jc w:val="both"/>
      </w:pPr>
      <w:r>
        <w:t xml:space="preserve">In Chapter 16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in any year. In each of these cases, the disallowed net loss is permitted to be carried forward indefinitely for possible use in future years. In contrast to § 172, these provisions apply only to a segment or portion of the taxpayer’s overall Gross Income and deductions and disallow the </w:t>
      </w:r>
      <w:r>
        <w:rPr>
          <w:i/>
        </w:rPr>
        <w:t xml:space="preserve">sheltering </w:t>
      </w:r>
      <w:r>
        <w:t xml:space="preserve">effect, </w:t>
      </w:r>
      <w:r>
        <w:rPr>
          <w:i/>
        </w:rPr>
        <w:t xml:space="preserve">i.e., </w:t>
      </w:r>
      <w:r>
        <w:t xml:space="preserve">they prevent the net loss from offsetting other Gross Income realized by the taxpayer </w:t>
      </w:r>
      <w:r w:rsidRPr="008E6827">
        <w:rPr>
          <w:i/>
        </w:rPr>
        <w:t>in the same year</w:t>
      </w:r>
      <w:r>
        <w:t xml:space="preserve">. Section 172, in contrast, arises only when a taxpayer’s allowable business deductions from </w:t>
      </w:r>
      <w:r w:rsidRPr="00930981">
        <w:rPr>
          <w:i/>
        </w:rPr>
        <w:t xml:space="preserve">all </w:t>
      </w:r>
      <w:r>
        <w:t xml:space="preserve">sources (after applying provisions like §§ 469, 465, and 163(d)) exceeds Gross Income for the year, negating any tax liability. Section 172 permits the taxpayer’s </w:t>
      </w:r>
      <w:r>
        <w:rPr>
          <w:i/>
        </w:rPr>
        <w:t xml:space="preserve">overall </w:t>
      </w:r>
      <w:r>
        <w:t xml:space="preserve">net loss for the year to be carried to other taxable years. </w:t>
      </w:r>
    </w:p>
    <w:p w:rsidR="0078310B" w:rsidRDefault="0078310B" w:rsidP="0078310B">
      <w:pPr>
        <w:widowControl w:val="0"/>
        <w:ind w:firstLine="288"/>
        <w:jc w:val="both"/>
      </w:pPr>
      <w:r>
        <w:t xml:space="preserve">Recall that the Court rejected the taxpayer’s tax benefit argument in 1931 in </w:t>
      </w:r>
      <w:r>
        <w:rPr>
          <w:i/>
        </w:rPr>
        <w:t xml:space="preserve">Sanford &amp; Brooks </w:t>
      </w:r>
      <w:r>
        <w:t xml:space="preserve">but accepted it in 1943 in </w:t>
      </w:r>
      <w:r>
        <w:rPr>
          <w:i/>
        </w:rPr>
        <w:t>Dobson</w:t>
      </w:r>
      <w:r>
        <w:t xml:space="preserve">. Would § 111 apply today (with </w:t>
      </w:r>
      <w:r>
        <w:rPr>
          <w:i/>
        </w:rPr>
        <w:t xml:space="preserve">Dobson </w:t>
      </w:r>
      <w:r>
        <w:t xml:space="preserve">on the books) to permit a taxpayer in the position of Sanford &amp; Brooks to exclude the lawsuit recovery? No. </w:t>
      </w:r>
      <w:r>
        <w:rPr>
          <w:i/>
        </w:rPr>
        <w:t xml:space="preserve">See </w:t>
      </w:r>
      <w:hyperlink r:id="rId1046" w:history="1">
        <w:r w:rsidRPr="006D6380">
          <w:rPr>
            <w:rStyle w:val="Hyperlink"/>
          </w:rPr>
          <w:t>§ 111</w:t>
        </w:r>
      </w:hyperlink>
      <w:r>
        <w:t xml:space="preserve">(c). Because § 172 is now in effect, a company like Sanford &amp; Brooks would have a § 172 NOL for each of the earlier years in which its deductions exceeded Gross Income. So long as the company receives the lawsuit recovery in a year prior to the expiration of the 20-year carryover period, the company could not invoke § 111 to exclude the cash because the creation of the NOL under § 172 in the earlier years is presumed to save tax (thus providing a tax benefit) in some year. Indeed, the inclusion in Gross Income of the lawsuit recovery (because § 111 does not apply) could possibly allow the taxpayer to now use all or a portion of its § 172 NOL carryovers created in the earlier loss years (unless the taxpayer is overwhelmed with other deductions in the recovery year that exceeds all Gross Income, generating yet another NOL to carry forward).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407" w:name="_Toc395790703"/>
      <w:r w:rsidRPr="00ED7FA5">
        <w:rPr>
          <w:u w:val="single"/>
        </w:rPr>
        <w:t>Problem</w:t>
      </w:r>
      <w:bookmarkEnd w:id="407"/>
    </w:p>
    <w:p w:rsidR="0078310B" w:rsidRPr="00EB78C3"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pPr>
      <w:r>
        <w:t>The Home Improvement Company realizes the following Taxable Income or net loss (deductions exceeding Gross Income) in each of the years indicated. Net losses are indicated by parentheses. How does § 172 apply to the Home Improvement Company?</w:t>
      </w:r>
    </w:p>
    <w:p w:rsidR="0078310B" w:rsidRDefault="0078310B" w:rsidP="0078310B">
      <w:pPr>
        <w:widowControl w:val="0"/>
        <w:jc w:val="center"/>
      </w:pPr>
      <w:r>
        <w:t>Year 1: $500,000</w:t>
      </w:r>
      <w:r>
        <w:tab/>
        <w:t>Year 4: ($350,000)</w:t>
      </w:r>
      <w:r>
        <w:tab/>
        <w:t>Year 7: $100,000</w:t>
      </w:r>
      <w:r>
        <w:tab/>
        <w:t>Year 10: $250,000</w:t>
      </w:r>
    </w:p>
    <w:p w:rsidR="0078310B" w:rsidRDefault="0078310B" w:rsidP="0078310B">
      <w:pPr>
        <w:widowControl w:val="0"/>
      </w:pPr>
      <w:r>
        <w:t xml:space="preserve">         Year 2: $250,000        Year 5: $50,000          Year 8: $150,000</w:t>
      </w:r>
    </w:p>
    <w:p w:rsidR="0078310B" w:rsidRDefault="0078310B" w:rsidP="0078310B">
      <w:pPr>
        <w:widowControl w:val="0"/>
      </w:pPr>
      <w:r>
        <w:t xml:space="preserve">         Year 3: $25,000          Year 6: ($10,000)        Year 9: ($25,000)</w:t>
      </w:r>
    </w:p>
    <w:p w:rsidR="0078310B" w:rsidRDefault="0078310B" w:rsidP="0078310B">
      <w:pPr>
        <w:widowControl w:val="0"/>
        <w:sectPr w:rsidR="0078310B" w:rsidSect="005337BA">
          <w:headerReference w:type="default" r:id="rId1047"/>
          <w:footnotePr>
            <w:numRestart w:val="eachSect"/>
          </w:footnotePr>
          <w:type w:val="continuous"/>
          <w:pgSz w:w="12240" w:h="15840" w:code="1"/>
          <w:pgMar w:top="1440" w:right="1440" w:bottom="1440" w:left="1440" w:header="1008" w:footer="720" w:gutter="0"/>
          <w:cols w:space="720"/>
          <w:titlePg/>
          <w:docGrid w:linePitch="360"/>
        </w:sectPr>
      </w:pPr>
    </w:p>
    <w:p w:rsidR="0078310B" w:rsidRDefault="0078310B" w:rsidP="0078310B">
      <w:pPr>
        <w:widowControl w:val="0"/>
        <w:jc w:val="center"/>
        <w:sectPr w:rsidR="0078310B" w:rsidSect="005337BA">
          <w:footnotePr>
            <w:numRestart w:val="eachSect"/>
          </w:footnotePr>
          <w:pgSz w:w="12240" w:h="15840" w:code="1"/>
          <w:pgMar w:top="1440" w:right="1440" w:bottom="1440" w:left="1440" w:header="1008" w:footer="720" w:gutter="0"/>
          <w:cols w:space="720"/>
          <w:titlePg/>
          <w:docGrid w:linePitch="360"/>
        </w:sectPr>
      </w:pPr>
    </w:p>
    <w:p w:rsidR="0078310B" w:rsidRPr="00EB78C3" w:rsidRDefault="0078310B" w:rsidP="0078310B">
      <w:pPr>
        <w:pStyle w:val="Heading2"/>
        <w:spacing w:before="0"/>
        <w:rPr>
          <w:sz w:val="36"/>
          <w:szCs w:val="36"/>
          <w:u w:val="single"/>
        </w:rPr>
      </w:pPr>
      <w:bookmarkStart w:id="408" w:name="_Toc395790704"/>
      <w:r w:rsidRPr="00EB78C3">
        <w:rPr>
          <w:sz w:val="36"/>
          <w:szCs w:val="36"/>
          <w:u w:val="single"/>
        </w:rPr>
        <w:t>Chapter 22: Methods of Accounting</w:t>
      </w:r>
      <w:bookmarkEnd w:id="408"/>
    </w:p>
    <w:p w:rsidR="0078310B" w:rsidRDefault="0078310B" w:rsidP="0078310B">
      <w:pPr>
        <w:widowControl w:val="0"/>
      </w:pPr>
    </w:p>
    <w:p w:rsidR="0078310B" w:rsidRDefault="0078310B" w:rsidP="0078310B">
      <w:pPr>
        <w:widowControl w:val="0"/>
        <w:spacing w:after="120"/>
        <w:ind w:firstLine="288"/>
        <w:jc w:val="both"/>
      </w:pPr>
      <w:r>
        <w:t xml:space="preserve">A taxpayer’s method of accounting governs </w:t>
      </w:r>
      <w:r>
        <w:rPr>
          <w:i/>
        </w:rPr>
        <w:t xml:space="preserve">only </w:t>
      </w:r>
      <w:r>
        <w:t xml:space="preserve">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10, Part C. </w:t>
      </w:r>
    </w:p>
    <w:p w:rsidR="0078310B" w:rsidRDefault="0078310B" w:rsidP="0078310B">
      <w:pPr>
        <w:widowControl w:val="0"/>
        <w:spacing w:after="120"/>
        <w:ind w:firstLine="288"/>
        <w:jc w:val="both"/>
      </w:pPr>
      <w:r>
        <w:t>The taxpayer’s method of accounting is irrelevant to other significant timing issues, such as the realization requirement and depreciation.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w:t>
      </w:r>
    </w:p>
    <w:p w:rsidR="0078310B" w:rsidRDefault="002B3596" w:rsidP="0078310B">
      <w:pPr>
        <w:widowControl w:val="0"/>
        <w:spacing w:after="120"/>
        <w:ind w:firstLine="288"/>
        <w:jc w:val="both"/>
      </w:pPr>
      <w:hyperlink r:id="rId1048" w:history="1">
        <w:r w:rsidR="0078310B" w:rsidRPr="00A07B62">
          <w:rPr>
            <w:rStyle w:val="Hyperlink"/>
          </w:rPr>
          <w:t>Section 448</w:t>
        </w:r>
      </w:hyperlink>
      <w:r w:rsidR="0078310B">
        <w:t xml:space="preserve">(a) requires use of the accrual method by C corporations (corporations taxed under the provisions of 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$5 million or less. </w:t>
      </w:r>
    </w:p>
    <w:p w:rsidR="0078310B" w:rsidRDefault="0078310B" w:rsidP="0078310B">
      <w:pPr>
        <w:widowControl w:val="0"/>
        <w:spacing w:after="120"/>
        <w:ind w:firstLine="288"/>
        <w:jc w:val="both"/>
      </w:pPr>
      <w:r>
        <w:t>Some Code provisions and Treasury Regulations specifically describe how and when certain Gross Income items are to be reported. With respect to gains from property sales, for example, dealers selling inventory must generally use inventory accounting, which you studied in Chapter 13, Part A.</w:t>
      </w:r>
      <w:r>
        <w:rPr>
          <w:rStyle w:val="FootnoteReference"/>
        </w:rPr>
        <w:footnoteReference w:id="844"/>
      </w:r>
      <w:r>
        <w:t xml:space="preserve"> To the extent allowed under </w:t>
      </w:r>
      <w:hyperlink r:id="rId1049" w:history="1">
        <w:r w:rsidRPr="00A07B62">
          <w:rPr>
            <w:rStyle w:val="Hyperlink"/>
          </w:rPr>
          <w:t>§ 453</w:t>
        </w:r>
      </w:hyperlink>
      <w:r>
        <w:t xml:space="preserve">, also studied in Chapter 13, Part A., eligible taxpayers receiving installment payments with respect to the sale of property may be able to report the § 1001 gain using the installment method. Finally, </w:t>
      </w:r>
      <w:hyperlink r:id="rId1050" w:history="1">
        <w:r w:rsidRPr="00A07B62">
          <w:rPr>
            <w:rStyle w:val="Hyperlink"/>
          </w:rPr>
          <w:t>§ 83</w:t>
        </w:r>
      </w:hyperlink>
      <w: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rsidR="0078310B" w:rsidRDefault="0078310B" w:rsidP="0078310B">
      <w:pPr>
        <w:widowControl w:val="0"/>
        <w:spacing w:after="120"/>
        <w:ind w:firstLine="288"/>
        <w:jc w:val="both"/>
      </w:pPr>
      <w:r>
        <w:t xml:space="preserve">Taxpayers not required to use the accrual method can use either method under </w:t>
      </w:r>
      <w:hyperlink r:id="rId1051" w:history="1">
        <w:r w:rsidRPr="00A07B62">
          <w:rPr>
            <w:rStyle w:val="Hyperlink"/>
          </w:rPr>
          <w:t>§ 446</w:t>
        </w:r>
      </w:hyperlink>
      <w:r>
        <w:t xml:space="preserve">(a), depending “on the basis of which the taxpayer regularly computes his income in keeping his books.” The “books” of most individual taxpayers would be their checkbooks and credit/debit card statements, which record receipts and payments when made. Thus, most individuals who are employees or owners of a sole proprietorship (or wholly owned LLC) that sell services typically use the cash method of accounting. </w:t>
      </w:r>
    </w:p>
    <w:p w:rsidR="0078310B" w:rsidRDefault="0078310B" w:rsidP="0078310B">
      <w:pPr>
        <w:widowControl w:val="0"/>
        <w:ind w:firstLine="288"/>
        <w:jc w:val="both"/>
      </w:pPr>
      <w:r>
        <w:t xml:space="preserve">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rsidR="0078310B" w:rsidRDefault="0078310B" w:rsidP="0078310B">
      <w:pPr>
        <w:widowControl w:val="0"/>
        <w:ind w:firstLine="288"/>
        <w:jc w:val="both"/>
      </w:pPr>
    </w:p>
    <w:p w:rsidR="0078310B" w:rsidRPr="00EB78C3" w:rsidRDefault="0078310B" w:rsidP="0078310B">
      <w:pPr>
        <w:pStyle w:val="Heading2"/>
        <w:spacing w:before="0"/>
        <w:rPr>
          <w:rStyle w:val="Heading2Char"/>
          <w:sz w:val="32"/>
          <w:szCs w:val="32"/>
        </w:rPr>
      </w:pPr>
      <w:bookmarkStart w:id="409" w:name="_Toc395790705"/>
      <w:r w:rsidRPr="00EB78C3">
        <w:rPr>
          <w:sz w:val="32"/>
          <w:szCs w:val="32"/>
          <w:u w:val="single"/>
        </w:rPr>
        <w:t>A. The cash method of accounting</w:t>
      </w:r>
      <w:bookmarkEnd w:id="409"/>
    </w:p>
    <w:p w:rsidR="0078310B" w:rsidRDefault="0078310B" w:rsidP="0078310B">
      <w:pPr>
        <w:widowControl w:val="0"/>
        <w:jc w:val="both"/>
      </w:pPr>
    </w:p>
    <w:p w:rsidR="0078310B" w:rsidRDefault="0078310B" w:rsidP="0078310B">
      <w:pPr>
        <w:widowControl w:val="0"/>
        <w:spacing w:after="120"/>
        <w:ind w:firstLine="288"/>
        <w:jc w:val="both"/>
      </w:pPr>
      <w:r>
        <w:t xml:space="preserve">The cash method of accounting is fairly simple, except in the case of certain deferred compensation arrangements governed by special Code provisions. </w:t>
      </w:r>
    </w:p>
    <w:p w:rsidR="0078310B" w:rsidRDefault="0078310B" w:rsidP="0078310B">
      <w:pPr>
        <w:widowControl w:val="0"/>
        <w:spacing w:after="120"/>
        <w:ind w:firstLine="288"/>
        <w:jc w:val="both"/>
      </w:pPr>
      <w:r>
        <w:t xml:space="preserve">Under </w:t>
      </w:r>
      <w:hyperlink r:id="rId1052" w:history="1">
        <w:r w:rsidRPr="00A07B62">
          <w:rPr>
            <w:rStyle w:val="Hyperlink"/>
          </w:rPr>
          <w:t>Treas. Reg. § 1.446-1</w:t>
        </w:r>
      </w:hyperlink>
      <w:r>
        <w:t>(c)(1)(i), Gross Income is included when actually or constructively received, and expense deductions are taken when actually paid. Checks are generally considered cash equivalents for purposes of both inclusion and deduction. Thus, an employee with a calendar year as his taxable year who receives a paycheck on December 31 of Year 1 must include the Gross Income in Year 1, notwithstanding his failure to cash the check until January 2 of Year 2.</w:t>
      </w:r>
      <w:r>
        <w:rPr>
          <w:rStyle w:val="FootnoteReference"/>
        </w:rPr>
        <w:footnoteReference w:id="845"/>
      </w:r>
      <w:r>
        <w:t xml:space="preserve"> </w:t>
      </w:r>
    </w:p>
    <w:p w:rsidR="0078310B" w:rsidRDefault="0078310B" w:rsidP="0078310B">
      <w:pPr>
        <w:widowControl w:val="0"/>
        <w:spacing w:after="120"/>
        <w:ind w:firstLine="288"/>
        <w:jc w:val="both"/>
      </w:pPr>
      <w:r>
        <w:t>The date of a payment made through the postal system will generally be governed by the postmark date. Thus, mailing a charitable contribution check to your</w:t>
      </w:r>
      <w:r w:rsidR="00A07B62">
        <w:t xml:space="preserve"> favorite charity on December 30</w:t>
      </w:r>
      <w:r>
        <w:t xml:space="preserve"> of Year 1 would generally allow a Year-1 deduction, even though the charity does not receive the check in the mail until January of Year 2. </w:t>
      </w:r>
    </w:p>
    <w:p w:rsidR="0078310B" w:rsidRDefault="0078310B" w:rsidP="0078310B">
      <w:pPr>
        <w:widowControl w:val="0"/>
        <w:spacing w:after="120"/>
        <w:ind w:firstLine="288"/>
        <w:jc w:val="both"/>
      </w:pPr>
      <w: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(though the payment of interest on the borrowed cash would likely be deductible under § 163 as business interest). Rachel’s charge to her credit card of a charitable contribution is analogized to a bank loan, which means that Rachel can deduct her charitable contribution in Year 1 (the year in which the charge is made).</w:t>
      </w:r>
      <w:r>
        <w:rPr>
          <w:rStyle w:val="FootnoteReference"/>
        </w:rPr>
        <w:footnoteReference w:id="846"/>
      </w:r>
    </w:p>
    <w:p w:rsidR="0078310B" w:rsidRDefault="0078310B" w:rsidP="0078310B">
      <w:pPr>
        <w:widowControl w:val="0"/>
        <w:spacing w:after="120"/>
        <w:ind w:firstLine="288"/>
        <w:jc w:val="both"/>
      </w:pPr>
      <w:r>
        <w:t>Notice that each of the above contexts (checks, a bank line of credit, and a credit card payment) involves three parties: the payor, the payee, and a third party bank or other financial institution as an intermediary. If, in contrast, Rache</w:t>
      </w:r>
      <w:r w:rsidR="00E7122B">
        <w:t>l simply promises on December 30</w:t>
      </w:r>
      <w:r>
        <w:t xml:space="preserve">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47"/>
      </w:r>
      <w:r>
        <w:t xml:space="preserve"> A two-party note is too far away from a cash equivalent to constitute payment by a cash method payor. This remains true even if the note is secured or otherwise trades in an active market.</w:t>
      </w:r>
      <w:r>
        <w:rPr>
          <w:rStyle w:val="FootnoteReference"/>
        </w:rPr>
        <w:footnoteReference w:id="848"/>
      </w:r>
    </w:p>
    <w:p w:rsidR="0078310B" w:rsidRDefault="0078310B" w:rsidP="0078310B">
      <w:pPr>
        <w:widowControl w:val="0"/>
        <w:spacing w:after="120"/>
        <w:ind w:firstLine="288"/>
        <w:jc w:val="both"/>
      </w:pPr>
      <w:r>
        <w:t xml:space="preserve">Nevertheless, the cash method </w:t>
      </w:r>
      <w:r>
        <w:rPr>
          <w:i/>
        </w:rPr>
        <w:t xml:space="preserve">recipient </w:t>
      </w:r>
      <w:r>
        <w:t xml:space="preserve">of the two-party note may have to include the § 61 Gross Income represented by the note’s fair market value (FMV) immediately </w:t>
      </w:r>
      <w:r w:rsidRPr="008754D9">
        <w:rPr>
          <w:i/>
        </w:rPr>
        <w:t>if</w:t>
      </w:r>
      <w:r>
        <w:t xml:space="preserve"> the note is made by a solvent obligor, is unconditional, is assignable, and is of a type frequently transferred to lenders or investors at a discount not substantially greater than the generally prevailing premium for the use of money.</w:t>
      </w:r>
      <w:r>
        <w:rPr>
          <w:rStyle w:val="FootnoteReference"/>
        </w:rPr>
        <w:footnoteReference w:id="849"/>
      </w:r>
      <w:r>
        <w:t xml:space="preserve"> In this case, the note is considered to be a cash equivalent by the payee, though not the payor. Thus, a lawyer that is paid for his services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Pr>
          <w:rStyle w:val="FootnoteReference"/>
        </w:rPr>
        <w:footnoteReference w:id="850"/>
      </w:r>
      <w:r>
        <w:t xml:space="preserve"> The note’s value is typically a bit less than its face amount, as the note’s buyer will discount the price that it pays for the note (to reflect both the time value of money and the risk of nonpayment).</w:t>
      </w:r>
    </w:p>
    <w:p w:rsidR="0078310B" w:rsidRPr="00974773" w:rsidRDefault="0078310B" w:rsidP="0078310B">
      <w:pPr>
        <w:pStyle w:val="Heading3"/>
        <w:spacing w:before="0" w:beforeAutospacing="0" w:after="120" w:afterAutospacing="0"/>
        <w:rPr>
          <w:i/>
        </w:rPr>
      </w:pPr>
      <w:bookmarkStart w:id="410" w:name="_Toc395790706"/>
      <w:r w:rsidRPr="00974773">
        <w:rPr>
          <w:i/>
        </w:rPr>
        <w:t>The constructive receipt doctrine</w:t>
      </w:r>
      <w:bookmarkEnd w:id="410"/>
    </w:p>
    <w:p w:rsidR="0078310B" w:rsidRDefault="0078310B" w:rsidP="0078310B">
      <w:pPr>
        <w:widowControl w:val="0"/>
        <w:spacing w:after="120"/>
        <w:ind w:firstLine="288"/>
        <w:jc w:val="both"/>
      </w:pPr>
      <w:r>
        <w:t xml:space="preserve">Originally created in the common law, the constructive receipt doctrine is now memorialized in regulations. </w:t>
      </w:r>
      <w:hyperlink r:id="rId1053" w:history="1">
        <w:r w:rsidRPr="00864C6A">
          <w:rPr>
            <w:rStyle w:val="Hyperlink"/>
          </w:rPr>
          <w:t>Treas. Reg. § 1.451-2</w:t>
        </w:r>
      </w:hyperlink>
      <w:r>
        <w:t>(a) provides:</w:t>
      </w:r>
    </w:p>
    <w:p w:rsidR="0078310B" w:rsidRDefault="0078310B" w:rsidP="0078310B">
      <w:pPr>
        <w:widowControl w:val="0"/>
        <w:spacing w:after="120"/>
        <w:ind w:left="720" w:right="720"/>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rsidR="0078310B" w:rsidRDefault="009D6D7F" w:rsidP="00864C6A">
      <w:pPr>
        <w:widowControl w:val="0"/>
        <w:spacing w:after="120"/>
        <w:ind w:firstLine="288"/>
        <w:jc w:val="both"/>
      </w:pPr>
      <w:r>
        <w:t>F</w:t>
      </w:r>
      <w:r w:rsidR="0078310B">
        <w:t>or example, interest on a bank account balance is includable in the year credited, even if the taxpayer fails to withdraw the interest. If a depositor would forfeit substantial interest on early withdrawal under a contract (</w:t>
      </w:r>
      <w:r w:rsidR="0078310B">
        <w:rPr>
          <w:i/>
        </w:rPr>
        <w:t>e.g.</w:t>
      </w:r>
      <w:r w:rsidR="0078310B">
        <w:t>, a certificate of deposit), the interest will not be considered constructively received before the maturity date.</w:t>
      </w:r>
      <w:r w:rsidR="0078310B">
        <w:rPr>
          <w:rStyle w:val="FootnoteReference"/>
        </w:rPr>
        <w:footnoteReference w:id="851"/>
      </w:r>
      <w:r w:rsidR="0078310B">
        <w:t xml:space="preserve"> 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sidR="0078310B">
        <w:rPr>
          <w:rStyle w:val="FootnoteReference"/>
        </w:rPr>
        <w:footnoteReference w:id="852"/>
      </w:r>
      <w:r w:rsidR="0078310B">
        <w:t xml:space="preserve"> The most interesting case of this type is </w:t>
      </w:r>
      <w:r w:rsidR="0078310B">
        <w:rPr>
          <w:i/>
        </w:rPr>
        <w:t>Hornung v. Commissioner</w:t>
      </w:r>
      <w:r w:rsidR="0078310B">
        <w:t>,</w:t>
      </w:r>
      <w:r w:rsidR="0078310B">
        <w:rPr>
          <w:rStyle w:val="FootnoteReference"/>
        </w:rPr>
        <w:footnoteReference w:id="853"/>
      </w:r>
      <w:r w:rsidR="0078310B">
        <w:t xml:space="preserve"> in which Paul Hornung was selected as the most valuable player in the N.F.L. championship game played on December 31, 1961, in Green Bay, Wisconsin. He learned at approximately 4:30 p.m. on that day that he won a Corvette automobile worth more than $3,300 (remember, this was 1961), which was waiting for him at a New York dealership. He actually received the car three days later at a luncheon in New York City. The Tax Court rejected the government’s argument that Mr. Hornung had to include the car’s fair market value in 1961 (rather than 1962) under the constructive receipt doctrine. </w:t>
      </w:r>
    </w:p>
    <w:p w:rsidR="0078310B" w:rsidRPr="00974773" w:rsidRDefault="0078310B" w:rsidP="0078310B">
      <w:pPr>
        <w:pStyle w:val="Heading3"/>
        <w:spacing w:before="0" w:beforeAutospacing="0" w:after="120" w:afterAutospacing="0"/>
        <w:rPr>
          <w:i/>
        </w:rPr>
      </w:pPr>
      <w:bookmarkStart w:id="411" w:name="_Toc395790707"/>
      <w:r w:rsidRPr="00974773">
        <w:rPr>
          <w:i/>
        </w:rPr>
        <w:t>Deferred compensation, the economic benefit doctrine, rabbi trusts, and § 409A</w:t>
      </w:r>
      <w:bookmarkEnd w:id="411"/>
    </w:p>
    <w:p w:rsidR="0078310B" w:rsidRDefault="0078310B" w:rsidP="0078310B">
      <w:pPr>
        <w:widowControl w:val="0"/>
        <w:spacing w:after="120"/>
        <w:ind w:firstLine="288"/>
        <w:jc w:val="both"/>
      </w:pPr>
      <w:r>
        <w:t xml:space="preserve">Subchapter D of the Internal Revenue Code—§§ 401 through 436—contains the provisions that govern deferred compensation. This area of the law is highly complex, with the related Treasury Regulations spanning hundreds of pages. Indeed, employee deferred compensation is a specialized area of </w:t>
      </w:r>
      <w:r w:rsidR="00BD0558">
        <w:t xml:space="preserve">tax </w:t>
      </w:r>
      <w:r>
        <w:t xml:space="preserve">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rsidR="0078310B" w:rsidRDefault="0078310B" w:rsidP="0078310B">
      <w:pPr>
        <w:widowControl w:val="0"/>
        <w:spacing w:after="120"/>
        <w:ind w:firstLine="288"/>
        <w:jc w:val="both"/>
      </w:pPr>
      <w:r>
        <w:t xml:space="preserve"> Two of the more important deferred compensation arrangements that receive favorable tax treatment are qualified defined benefit plans and qualified defined contribution plans.</w:t>
      </w:r>
      <w:r>
        <w:rPr>
          <w:rStyle w:val="FootnoteReference"/>
        </w:rPr>
        <w:footnoteReference w:id="854"/>
      </w:r>
      <w:r>
        <w:t xml:space="preserve"> 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rsidR="0078310B" w:rsidRDefault="0078310B" w:rsidP="0078310B">
      <w:pPr>
        <w:widowControl w:val="0"/>
        <w:spacing w:after="120"/>
        <w:ind w:firstLine="288"/>
        <w:jc w:val="both"/>
      </w:pPr>
      <w: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54" w:history="1">
        <w:r w:rsidRPr="00160093">
          <w:rPr>
            <w:rStyle w:val="Hyperlink"/>
          </w:rPr>
          <w:t>§ 401</w:t>
        </w:r>
      </w:hyperlink>
      <w:r>
        <w:t>(k) plan (named for the Code section authorizing it) is of this nature. The amount paid out during retirement will depend on the success of the trust’s investments, which means that market risk with respect to the trust’s investment returns lies with the employee.</w:t>
      </w:r>
    </w:p>
    <w:p w:rsidR="0078310B" w:rsidRPr="00823FFA" w:rsidRDefault="0078310B" w:rsidP="0078310B">
      <w:pPr>
        <w:widowControl w:val="0"/>
        <w:spacing w:after="120"/>
        <w:ind w:firstLine="288"/>
        <w:jc w:val="both"/>
      </w:pPr>
      <w: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55"/>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56"/>
      </w:r>
      <w:r>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Pr="00160093">
        <w:rPr>
          <w:i/>
        </w:rPr>
        <w:t>anyone</w:t>
      </w:r>
      <w:r>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rsidR="0078310B" w:rsidRDefault="0078310B" w:rsidP="0078310B">
      <w:pPr>
        <w:widowControl w:val="0"/>
        <w:ind w:firstLine="288"/>
        <w:jc w:val="both"/>
      </w:pPr>
      <w:r>
        <w:t xml:space="preserve">Are there any possibilities for employee deferral </w:t>
      </w:r>
      <w:r w:rsidRPr="00A850F7">
        <w:rPr>
          <w:i/>
        </w:rPr>
        <w:t>outside</w:t>
      </w:r>
      <w:r>
        <w:t xml:space="preserve"> the qualified plan provisions, </w:t>
      </w:r>
      <w:r>
        <w:rPr>
          <w:i/>
        </w:rPr>
        <w:t>i.e.</w:t>
      </w:r>
      <w:r>
        <w:t xml:space="preserve">, are there any </w:t>
      </w:r>
      <w:r>
        <w:rPr>
          <w:i/>
        </w:rPr>
        <w:t xml:space="preserve">nonqualified </w:t>
      </w:r>
      <w:r>
        <w:t>deferred compensation arrangements that succeed? If deferred compensation is not funded on a current basis (set aside by the employer on behalf of the employee), deferral is typically achieved because the taxpayer has received no current property interest. That is to say, a mere unfunded and unsecured promise to pay future compensation is not a transfer of “prope</w:t>
      </w:r>
      <w:r w:rsidR="008B3DF9">
        <w:t xml:space="preserve">rty” within the meaning of § 83 under </w:t>
      </w:r>
      <w:hyperlink r:id="rId1055" w:history="1">
        <w:r w:rsidR="008B3DF9" w:rsidRPr="008B3DF9">
          <w:rPr>
            <w:rStyle w:val="Hyperlink"/>
          </w:rPr>
          <w:t>Treas. Reg. § 1.83-3</w:t>
        </w:r>
      </w:hyperlink>
      <w:r w:rsidR="008B3DF9">
        <w:t>(d).</w:t>
      </w:r>
      <w:r>
        <w:t xml:space="preserve"> If the promise of future payment is currently funded, however, the stakes are changed, as § 83 property can encompass a beneficial interest in assets set aside for the employee. The employer and employee in the </w:t>
      </w:r>
      <w:r>
        <w:rPr>
          <w:i/>
        </w:rPr>
        <w:t xml:space="preserve">Sproull </w:t>
      </w:r>
      <w:r>
        <w:t xml:space="preserve">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412" w:name="_Toc395790708"/>
      <w:r>
        <w:t>SPROULL v. COMMISSIONER</w:t>
      </w:r>
      <w:bookmarkEnd w:id="412"/>
    </w:p>
    <w:p w:rsidR="0078310B" w:rsidRDefault="0078310B" w:rsidP="0078310B">
      <w:pPr>
        <w:widowControl w:val="0"/>
        <w:jc w:val="center"/>
      </w:pPr>
      <w:r>
        <w:t>16 T.C. 244 (1951)</w:t>
      </w:r>
    </w:p>
    <w:p w:rsidR="0078310B" w:rsidRDefault="0078310B" w:rsidP="0078310B">
      <w:pPr>
        <w:widowControl w:val="0"/>
      </w:pPr>
    </w:p>
    <w:p w:rsidR="0078310B" w:rsidRPr="00280DAD" w:rsidRDefault="0078310B" w:rsidP="0078310B">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rsidR="0078310B" w:rsidRPr="00280DAD" w:rsidRDefault="0078310B" w:rsidP="0078310B">
      <w:pPr>
        <w:widowControl w:val="0"/>
        <w:spacing w:after="120"/>
        <w:jc w:val="both"/>
      </w:pPr>
      <w:r w:rsidRPr="00280DAD">
        <w:t>FINDINGS  OF FACT</w:t>
      </w:r>
    </w:p>
    <w:p w:rsidR="0078310B" w:rsidRPr="00280DAD" w:rsidRDefault="0078310B" w:rsidP="0078310B">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rsidR="0078310B" w:rsidRPr="00280DAD" w:rsidRDefault="0078310B" w:rsidP="0078310B">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rsidR="0078310B" w:rsidRPr="00280DAD" w:rsidRDefault="0078310B" w:rsidP="0078310B">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rsidR="0078310B" w:rsidRPr="00280DAD" w:rsidRDefault="0078310B" w:rsidP="0078310B">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rsidR="0078310B" w:rsidRPr="00280DAD" w:rsidRDefault="0078310B" w:rsidP="0078310B">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rsidR="0078310B" w:rsidRPr="00280DAD" w:rsidRDefault="0078310B" w:rsidP="0078310B">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rsidR="0078310B" w:rsidRPr="00280DAD" w:rsidRDefault="0078310B" w:rsidP="0078310B">
      <w:pPr>
        <w:widowControl w:val="0"/>
        <w:spacing w:after="120"/>
        <w:ind w:firstLine="288"/>
        <w:jc w:val="both"/>
      </w:pPr>
      <w:r w:rsidRPr="00280DAD">
        <w:t>At the time the trust agreement was authorized by the corporation</w:t>
      </w:r>
      <w:r>
        <w:t>’</w:t>
      </w:r>
      <w:r w:rsidRPr="00280DAD">
        <w:t>s board of directors, petitioner was president of the board and held 1,375 shares of the corporate stock. At the same 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rsidR="0078310B" w:rsidRPr="00280DAD" w:rsidRDefault="0078310B" w:rsidP="0078310B">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rsidR="0078310B" w:rsidRPr="00280DAD" w:rsidRDefault="0078310B" w:rsidP="0078310B">
      <w:pPr>
        <w:widowControl w:val="0"/>
        <w:spacing w:after="120"/>
        <w:jc w:val="both"/>
      </w:pPr>
      <w:r w:rsidRPr="00280DAD">
        <w:t>OPINION</w:t>
      </w:r>
    </w:p>
    <w:p w:rsidR="0078310B" w:rsidRPr="00280DAD" w:rsidRDefault="0078310B" w:rsidP="0078310B">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rsidR="0078310B" w:rsidRPr="00280DAD" w:rsidRDefault="0078310B" w:rsidP="0078310B">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rsidR="0078310B" w:rsidRPr="00280DAD" w:rsidRDefault="0078310B" w:rsidP="0078310B">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rsidR="0078310B" w:rsidRPr="00280DAD" w:rsidRDefault="0078310B" w:rsidP="0078310B">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rsidR="0078310B" w:rsidRPr="00280DAD" w:rsidRDefault="0078310B" w:rsidP="0078310B">
      <w:pPr>
        <w:widowControl w:val="0"/>
        <w:spacing w:after="120"/>
        <w:ind w:firstLine="288"/>
        <w:jc w:val="both"/>
      </w:pPr>
      <w:r w:rsidRPr="00280DAD">
        <w:t xml:space="preserve">This Court has rather fully discussed the doctrine of constructive receipt in </w:t>
      </w:r>
      <w:hyperlink r:id="rId1056" w:history="1">
        <w:r w:rsidRPr="00BB7CCA">
          <w:rPr>
            <w:i/>
          </w:rPr>
          <w:t>Richard R. Deupree</w:t>
        </w:r>
        <w:r>
          <w:t>, 1 T.</w:t>
        </w:r>
        <w:r w:rsidRPr="00280DAD">
          <w:t>C. 113</w:t>
        </w:r>
      </w:hyperlink>
      <w:r>
        <w:t xml:space="preserve">, and </w:t>
      </w:r>
      <w:r w:rsidRPr="00BB7CCA">
        <w:rPr>
          <w:i/>
        </w:rPr>
        <w:t xml:space="preserve">J.D. </w:t>
      </w:r>
      <w:hyperlink r:id="rId1057"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58" w:history="1">
        <w:r>
          <w:t>section 22</w:t>
        </w:r>
        <w:r w:rsidRPr="00280DAD">
          <w:t>(a) of the Internal Revenue Code</w:t>
        </w:r>
      </w:hyperlink>
      <w:r w:rsidRPr="00280DAD">
        <w:t xml:space="preserve"> which reads, in part, as follows:</w:t>
      </w:r>
    </w:p>
    <w:p w:rsidR="0078310B" w:rsidRPr="00280DAD" w:rsidRDefault="002B3596" w:rsidP="0078310B">
      <w:pPr>
        <w:widowControl w:val="0"/>
        <w:spacing w:after="120"/>
        <w:ind w:firstLine="288"/>
        <w:jc w:val="both"/>
      </w:pPr>
      <w:hyperlink r:id="rId1059" w:history="1">
        <w:r w:rsidR="0078310B" w:rsidRPr="00280DAD">
          <w:t>SEC. 22</w:t>
        </w:r>
      </w:hyperlink>
      <w:r w:rsidR="0078310B" w:rsidRPr="00280DAD">
        <w:t>. GROSS INCOME.</w:t>
      </w:r>
    </w:p>
    <w:p w:rsidR="0078310B" w:rsidRPr="00280DAD" w:rsidRDefault="0078310B" w:rsidP="0078310B">
      <w:pPr>
        <w:widowControl w:val="0"/>
        <w:spacing w:after="120"/>
        <w:ind w:left="720" w:right="720"/>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rsidR="0078310B" w:rsidRPr="00280DAD" w:rsidRDefault="0078310B" w:rsidP="0078310B">
      <w:pPr>
        <w:widowControl w:val="0"/>
        <w:spacing w:after="120"/>
        <w:ind w:firstLine="288"/>
        <w:jc w:val="both"/>
      </w:pPr>
      <w:r w:rsidRPr="00280DAD">
        <w:t xml:space="preserve">Reliance is placed on </w:t>
      </w:r>
      <w:hyperlink r:id="rId1060" w:history="1">
        <w:r w:rsidRPr="00BB7CCA">
          <w:rPr>
            <w:i/>
          </w:rPr>
          <w:t>Renton K. Brodie</w:t>
        </w:r>
        <w:r>
          <w:t>, 1 T.</w:t>
        </w:r>
        <w:r w:rsidRPr="00280DAD">
          <w:t>C. 275</w:t>
        </w:r>
      </w:hyperlink>
      <w:r w:rsidRPr="00280DAD">
        <w:t xml:space="preserve">, and </w:t>
      </w:r>
      <w:hyperlink r:id="rId1061" w:history="1">
        <w:r w:rsidRPr="00BB7CCA">
          <w:rPr>
            <w:i/>
          </w:rPr>
          <w:t>J.H. McEwen</w:t>
        </w:r>
        <w:r>
          <w:t>, 6 T.</w:t>
        </w:r>
        <w:r w:rsidRPr="00280DAD">
          <w:t>C. 1018</w:t>
        </w:r>
      </w:hyperlink>
      <w:r w:rsidRPr="00280DAD">
        <w:t xml:space="preserve">. We paraphrase the language used in </w:t>
      </w:r>
      <w:hyperlink r:id="rId1062"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rsidR="0078310B" w:rsidRPr="00280DAD" w:rsidRDefault="0078310B" w:rsidP="0078310B">
      <w:pPr>
        <w:widowControl w:val="0"/>
        <w:spacing w:after="120"/>
        <w:ind w:firstLine="288"/>
        <w:jc w:val="both"/>
      </w:pPr>
      <w:r w:rsidRPr="00280DAD">
        <w:t xml:space="preserve">The question then becomes, as in </w:t>
      </w:r>
      <w:hyperlink r:id="rId1063"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rsidR="0078310B" w:rsidRPr="00280DAD" w:rsidRDefault="0078310B" w:rsidP="0078310B">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64"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65"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66"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rsidR="0078310B" w:rsidRPr="00280DAD" w:rsidRDefault="0078310B" w:rsidP="0078310B">
      <w:pPr>
        <w:widowControl w:val="0"/>
        <w:ind w:firstLine="288"/>
        <w:jc w:val="both"/>
      </w:pPr>
      <w:r w:rsidRPr="00280DAD">
        <w:t xml:space="preserve">Of course, petitioner argues that </w:t>
      </w:r>
      <w:r w:rsidRPr="00BB7CCA">
        <w:rPr>
          <w:i/>
        </w:rPr>
        <w:t>Brodie</w:t>
      </w:r>
      <w:r w:rsidRPr="00280DAD">
        <w:t xml:space="preserve"> and </w:t>
      </w:r>
      <w:hyperlink r:id="rId1067"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rsidR="0078310B" w:rsidRDefault="0078310B" w:rsidP="0078310B">
      <w:pPr>
        <w:widowControl w:val="0"/>
        <w:jc w:val="center"/>
      </w:pPr>
      <w:r>
        <w:t>_________________________________________</w:t>
      </w:r>
    </w:p>
    <w:p w:rsidR="0078310B" w:rsidRDefault="0078310B" w:rsidP="0078310B">
      <w:pPr>
        <w:widowControl w:val="0"/>
      </w:pPr>
    </w:p>
    <w:p w:rsidR="0078310B" w:rsidRDefault="0078310B" w:rsidP="0078310B">
      <w:pPr>
        <w:widowControl w:val="0"/>
        <w:spacing w:after="120"/>
        <w:ind w:firstLine="288"/>
        <w:jc w:val="both"/>
      </w:pPr>
      <w:r>
        <w:t xml:space="preserve">Mr. Sproull preferred to defer the compensation inclusion to 1946 and 1947 (from 1945) for two likely reasons: (1) the ever-important time value of money and (2) the fact that marginal rates decreased (very) slightly after 1945 and the end of WWII. He lost, however, and the factors cited in </w:t>
      </w:r>
      <w:r>
        <w:rPr>
          <w:i/>
        </w:rPr>
        <w:t xml:space="preserve">Sproull </w:t>
      </w:r>
      <w:r>
        <w:t xml:space="preserve">as significant to its holding included the following: (1) Mr. Sproull was under no obligation to perform future services before being entitled to payment, (2) the amounts were 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rsidR="0078310B" w:rsidRDefault="0078310B" w:rsidP="0078310B">
      <w:pPr>
        <w:widowControl w:val="0"/>
        <w:ind w:firstLine="288"/>
        <w:jc w:val="both"/>
      </w:pPr>
      <w:r>
        <w:t xml:space="preserve">In the years following </w:t>
      </w:r>
      <w:r>
        <w:rPr>
          <w:i/>
        </w:rPr>
        <w:t>Sproull</w:t>
      </w:r>
      <w:r>
        <w:t xml:space="preserve">, taxpayers (particularly corporate executives) attempted to avoid current taxation of nonqualified funded arrangements under the economic benefit doctrine by avoiding one or more of the factors listed by the </w:t>
      </w:r>
      <w:r>
        <w:rPr>
          <w:i/>
        </w:rPr>
        <w:t>Sproull</w:t>
      </w:r>
      <w:r>
        <w:t xml:space="preserve"> court as important to its holding.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413" w:name="_Toc395790709"/>
      <w:r>
        <w:t>PRIVATE LETTER RULING 8113107 (</w:t>
      </w:r>
      <w:r w:rsidRPr="000519A9">
        <w:t>Dec. 31, 1980)</w:t>
      </w:r>
      <w:bookmarkEnd w:id="413"/>
    </w:p>
    <w:p w:rsidR="0078310B" w:rsidRPr="00AC1082" w:rsidRDefault="0078310B" w:rsidP="0078310B">
      <w:pPr>
        <w:pStyle w:val="Heading3"/>
        <w:spacing w:before="0" w:beforeAutospacing="0" w:after="0" w:afterAutospacing="0"/>
        <w:jc w:val="center"/>
        <w:rPr>
          <w:b w:val="0"/>
        </w:rPr>
      </w:pPr>
    </w:p>
    <w:p w:rsidR="0078310B" w:rsidRPr="00D50D53" w:rsidRDefault="0078310B" w:rsidP="0078310B">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rsidR="0078310B" w:rsidRPr="00D50D53" w:rsidRDefault="0078310B" w:rsidP="0078310B">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rsidR="0078310B" w:rsidRPr="00D50D53" w:rsidRDefault="0078310B" w:rsidP="0078310B">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rsidR="0078310B" w:rsidRPr="00D50D53" w:rsidRDefault="002B3596" w:rsidP="0078310B">
      <w:pPr>
        <w:widowControl w:val="0"/>
        <w:spacing w:after="120"/>
        <w:ind w:firstLine="288"/>
        <w:jc w:val="both"/>
      </w:pPr>
      <w:hyperlink r:id="rId1068" w:history="1">
        <w:r w:rsidR="0078310B" w:rsidRPr="00D50D53">
          <w:t>Section 61 of the Internal Revenue Code of 1954</w:t>
        </w:r>
      </w:hyperlink>
      <w:r w:rsidR="0078310B">
        <w:t xml:space="preserve"> </w:t>
      </w:r>
      <w:r w:rsidR="0078310B" w:rsidRPr="00D50D53">
        <w:t>defines gross income as all income from whatever source derived, except as specifically excluded by some other provision of law.</w:t>
      </w:r>
    </w:p>
    <w:p w:rsidR="0078310B" w:rsidRDefault="0078310B" w:rsidP="0078310B">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rsidR="0078310B" w:rsidRPr="00D50D53" w:rsidRDefault="0078310B" w:rsidP="0078310B">
      <w:pPr>
        <w:widowControl w:val="0"/>
        <w:spacing w:after="120"/>
        <w:ind w:firstLine="288"/>
        <w:jc w:val="both"/>
      </w:pPr>
      <w:r>
        <w:t>…</w:t>
      </w:r>
    </w:p>
    <w:p w:rsidR="0078310B" w:rsidRPr="00D50D53" w:rsidRDefault="0078310B" w:rsidP="0078310B">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69"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rsidR="0078310B" w:rsidRPr="00D50D53" w:rsidRDefault="0078310B" w:rsidP="0078310B">
      <w:pPr>
        <w:widowControl w:val="0"/>
        <w:ind w:firstLine="288"/>
        <w:jc w:val="both"/>
      </w:pPr>
      <w:r w:rsidRPr="00D50D53">
        <w:t xml:space="preserve">This ruling is directed only to the taxpayer who requested it. </w:t>
      </w:r>
      <w:hyperlink r:id="rId1070" w:history="1">
        <w:r w:rsidRPr="00D50D53">
          <w:t>Section 6110(j)(3) of the Internal Revenue Code</w:t>
        </w:r>
      </w:hyperlink>
      <w:r w:rsidRPr="00D50D53">
        <w:t xml:space="preserve"> provides that it may not be used or cited as precedent.</w:t>
      </w:r>
    </w:p>
    <w:p w:rsidR="0078310B" w:rsidRDefault="0078310B" w:rsidP="0078310B">
      <w:pPr>
        <w:widowControl w:val="0"/>
        <w:jc w:val="center"/>
      </w:pPr>
      <w:r>
        <w:t>______________________________________________</w:t>
      </w:r>
    </w:p>
    <w:p w:rsidR="0078310B" w:rsidRDefault="0078310B" w:rsidP="0078310B">
      <w:pPr>
        <w:widowControl w:val="0"/>
      </w:pPr>
    </w:p>
    <w:p w:rsidR="0078310B" w:rsidRDefault="0078310B" w:rsidP="0078310B">
      <w:pPr>
        <w:widowControl w:val="0"/>
        <w:spacing w:after="120"/>
        <w:ind w:firstLine="288"/>
        <w:jc w:val="both"/>
      </w:pPr>
      <w:r>
        <w:t>In essence, nonqualified deferred compensation payable from general employer funds that are subject to the claims of general creditors are treated as unfunded and unsecured promises to pay money in the future. For that reason, the promise does not rise to the level of “property” within the meaning of § 83 that could result in current inclusion under Treas. Reg. § 1.83-3(e).</w:t>
      </w:r>
    </w:p>
    <w:p w:rsidR="0078310B" w:rsidRDefault="0078310B" w:rsidP="0078310B">
      <w:pPr>
        <w:widowControl w:val="0"/>
        <w:spacing w:after="120"/>
        <w:ind w:firstLine="288"/>
        <w:jc w:val="both"/>
      </w:pPr>
      <w:r>
        <w:t xml:space="preserve">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w:t>
      </w:r>
      <w:r w:rsidR="008B3DF9">
        <w:t>other (</w:t>
      </w:r>
      <w:r>
        <w:t>non-</w:t>
      </w:r>
      <w:r w:rsidR="008B3DF9">
        <w:t>tax-</w:t>
      </w:r>
      <w:r>
        <w:t>exempt</w:t>
      </w:r>
      <w:r w:rsidR="008B3DF9">
        <w:t>)</w:t>
      </w:r>
      <w:r>
        <w:t xml:space="preserve">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57"/>
      </w:r>
      <w:r>
        <w:t xml:space="preserve"> 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Thus,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w:t>
      </w:r>
      <w:r w:rsidR="008B3DF9">
        <w:t xml:space="preserve"> executive</w:t>
      </w:r>
      <w:r>
        <w:t xml:space="preserve">. </w:t>
      </w:r>
    </w:p>
    <w:p w:rsidR="0078310B" w:rsidRDefault="0078310B" w:rsidP="0078310B">
      <w:pPr>
        <w:widowControl w:val="0"/>
        <w:spacing w:after="120"/>
        <w:ind w:firstLine="288"/>
        <w:jc w:val="both"/>
      </w:pPr>
      <w: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58"/>
      </w:r>
      <w:r>
        <w:t xml:space="preserve"> which contains (1) a safe harbor method to avoid the economic benefit doctrine if certain requirements are satisfied and (2) a model rabbi trust document. Among the more important requirements that must be satisfied under the safe harbor are the following: </w:t>
      </w:r>
    </w:p>
    <w:p w:rsidR="0078310B" w:rsidRDefault="0078310B" w:rsidP="0078310B">
      <w:pPr>
        <w:pStyle w:val="ListParagraph"/>
        <w:widowControl w:val="0"/>
        <w:numPr>
          <w:ilvl w:val="0"/>
          <w:numId w:val="32"/>
        </w:numPr>
        <w:spacing w:after="120"/>
        <w:ind w:left="648"/>
        <w:contextualSpacing w:val="0"/>
        <w:jc w:val="both"/>
      </w:pPr>
      <w:r>
        <w:t xml:space="preserve">The trust must be a valid trust under state law and must be a grantor trust for Federal income tax purposes under §§ 671-677, which means that the trust’s income will (unless the employer is a tax-exempt entity) be included on the employer’s tax return as earned. </w:t>
      </w:r>
    </w:p>
    <w:p w:rsidR="0078310B" w:rsidRDefault="0078310B" w:rsidP="0078310B">
      <w:pPr>
        <w:pStyle w:val="ListParagraph"/>
        <w:widowControl w:val="0"/>
        <w:numPr>
          <w:ilvl w:val="0"/>
          <w:numId w:val="32"/>
        </w:numPr>
        <w:spacing w:after="120"/>
        <w:ind w:left="648"/>
        <w:contextualSpacing w:val="0"/>
        <w:jc w:val="both"/>
      </w:pPr>
      <w:r>
        <w:t xml:space="preserve">The trust’s assets must be subject to the claims of general creditors of the employer. This requirement prevents the employee from having a “vested” or current interest in the trust, unlike in the case of qualified plans. </w:t>
      </w:r>
    </w:p>
    <w:p w:rsidR="0078310B" w:rsidRDefault="0078310B" w:rsidP="0078310B">
      <w:pPr>
        <w:pStyle w:val="ListParagraph"/>
        <w:widowControl w:val="0"/>
        <w:numPr>
          <w:ilvl w:val="0"/>
          <w:numId w:val="32"/>
        </w:numPr>
        <w:spacing w:after="120"/>
        <w:ind w:left="648"/>
        <w:contextualSpacing w:val="0"/>
        <w:jc w:val="both"/>
      </w:pPr>
      <w:r>
        <w:t xml:space="preserve">Participants must be prohibited from assigning their interests in the trust. </w:t>
      </w:r>
    </w:p>
    <w:p w:rsidR="0078310B" w:rsidRDefault="0078310B" w:rsidP="0078310B">
      <w:pPr>
        <w:pStyle w:val="ListParagraph"/>
        <w:widowControl w:val="0"/>
        <w:numPr>
          <w:ilvl w:val="0"/>
          <w:numId w:val="32"/>
        </w:numPr>
        <w:spacing w:after="120"/>
        <w:ind w:left="648"/>
        <w:contextualSpacing w:val="0"/>
        <w:jc w:val="both"/>
      </w:pPr>
      <w:r>
        <w:t>In the event of insolvency, the trustee must be prohibited from making distributions to participants, and the employer must provide notice to the trustee of the insolvency.</w:t>
      </w:r>
    </w:p>
    <w:p w:rsidR="0078310B" w:rsidRDefault="0078310B" w:rsidP="0078310B">
      <w:pPr>
        <w:pStyle w:val="ListParagraph"/>
        <w:widowControl w:val="0"/>
        <w:numPr>
          <w:ilvl w:val="0"/>
          <w:numId w:val="32"/>
        </w:numPr>
        <w:spacing w:after="120"/>
        <w:ind w:left="648"/>
        <w:contextualSpacing w:val="0"/>
        <w:jc w:val="both"/>
      </w:pPr>
      <w:r>
        <w:t xml:space="preserve">Payments must be made according to a payment schedule included in the trust agreement. Typically, payments are scheduled to be made on the occurrence of specified events, such as retirement, death, disability, or separation from employment, though there can be a hardship exception. </w:t>
      </w:r>
    </w:p>
    <w:p w:rsidR="0078310B" w:rsidRDefault="0078310B" w:rsidP="0078310B">
      <w:pPr>
        <w:pStyle w:val="ListParagraph"/>
        <w:widowControl w:val="0"/>
        <w:numPr>
          <w:ilvl w:val="0"/>
          <w:numId w:val="32"/>
        </w:numPr>
        <w:spacing w:after="120"/>
        <w:ind w:left="648"/>
        <w:contextualSpacing w:val="0"/>
        <w:jc w:val="both"/>
      </w:pPr>
      <w:r>
        <w:t xml:space="preserve">If the trust lacks sufficient assets to make scheduled payments, the employer must </w:t>
      </w:r>
      <w:r w:rsidR="005C316F">
        <w:t xml:space="preserve">be obligated to </w:t>
      </w:r>
      <w:r>
        <w:t xml:space="preserve">make up the shortfall. </w:t>
      </w:r>
    </w:p>
    <w:p w:rsidR="0078310B" w:rsidRDefault="0078310B" w:rsidP="0078310B">
      <w:pPr>
        <w:pStyle w:val="ListParagraph"/>
        <w:widowControl w:val="0"/>
        <w:numPr>
          <w:ilvl w:val="0"/>
          <w:numId w:val="32"/>
        </w:numPr>
        <w:spacing w:after="120"/>
        <w:ind w:left="648"/>
        <w:contextualSpacing w:val="0"/>
        <w:jc w:val="both"/>
      </w:pPr>
      <w:r>
        <w:t>The participant must elect to defer inclusion of the compensation prior to the year in which the related services are rendered (to avoid constructive receipt).</w:t>
      </w:r>
    </w:p>
    <w:p w:rsidR="0078310B" w:rsidRDefault="0078310B" w:rsidP="0078310B">
      <w:pPr>
        <w:widowControl w:val="0"/>
        <w:spacing w:after="120"/>
        <w:ind w:firstLine="288"/>
        <w:jc w:val="both"/>
      </w:pPr>
      <w:r>
        <w:t xml:space="preserve">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rsidR="0078310B" w:rsidRDefault="0078310B" w:rsidP="0078310B">
      <w:pPr>
        <w:widowControl w:val="0"/>
        <w:ind w:firstLine="288"/>
        <w:jc w:val="both"/>
      </w:pPr>
      <w:r>
        <w:t xml:space="preserve">Congress finally reacted to all of this activity by enacting </w:t>
      </w:r>
      <w:hyperlink r:id="rId1071" w:history="1">
        <w:r w:rsidRPr="004240B8">
          <w:rPr>
            <w:rStyle w:val="Hyperlink"/>
          </w:rPr>
          <w:t>§ 409A</w:t>
        </w:r>
      </w:hyperlink>
      <w: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 </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b w:val="0"/>
        </w:rPr>
      </w:pPr>
      <w:bookmarkStart w:id="414" w:name="_Toc395790710"/>
      <w:r w:rsidRPr="00974773">
        <w:rPr>
          <w:u w:val="single"/>
        </w:rPr>
        <w:t>Problem</w:t>
      </w:r>
      <w:bookmarkEnd w:id="414"/>
    </w:p>
    <w:p w:rsidR="0078310B" w:rsidRPr="00AC1082"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 xml:space="preserve">Hallie, who is the chief financial officer of Worldco, is an employee who uses the cash method of accounting and the calendar year as her taxable year. When does she include or deduct each of the items described below? </w:t>
      </w:r>
    </w:p>
    <w:p w:rsidR="0078310B" w:rsidRDefault="0078310B" w:rsidP="0078310B">
      <w:pPr>
        <w:widowControl w:val="0"/>
        <w:spacing w:after="120"/>
        <w:ind w:left="288"/>
        <w:jc w:val="both"/>
      </w:pPr>
      <w:r>
        <w:rPr>
          <w:b/>
        </w:rPr>
        <w:t xml:space="preserve">a. </w:t>
      </w:r>
      <w:r>
        <w:t xml:space="preserve">Hallie’s annual salary is $30,000 per month ($360,000 for the year), but she automatically has $5,000 per month ($60,000 for the year) withheld and paid to a § 401(k) plan maintained by her employer and open to participation by all Worldco employees. She is on vacation in Mexico from December 28 of Year 1 to January 10 of Year 2. Thus, she does not pick up her December paycheck until Year 2. </w:t>
      </w:r>
    </w:p>
    <w:p w:rsidR="0078310B" w:rsidRPr="001132A6" w:rsidRDefault="0078310B" w:rsidP="0078310B">
      <w:pPr>
        <w:widowControl w:val="0"/>
        <w:spacing w:after="120"/>
        <w:ind w:left="288"/>
        <w:jc w:val="both"/>
      </w:pPr>
      <w:r>
        <w:rPr>
          <w:b/>
        </w:rPr>
        <w:t>b.</w:t>
      </w:r>
      <w: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termination with Worldco. </w:t>
      </w:r>
    </w:p>
    <w:p w:rsidR="0078310B" w:rsidRPr="004A66BC" w:rsidRDefault="0078310B" w:rsidP="0078310B">
      <w:pPr>
        <w:widowControl w:val="0"/>
        <w:spacing w:after="120"/>
        <w:ind w:left="288"/>
        <w:jc w:val="both"/>
      </w:pPr>
      <w:r>
        <w:rPr>
          <w:b/>
        </w:rPr>
        <w:t>c.</w:t>
      </w:r>
      <w:r>
        <w:t xml:space="preserve"> In early December, Hallie responds to a PBS fund drive on television by calling and making a pledge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containing the charge in January of Year 2?</w:t>
      </w:r>
    </w:p>
    <w:p w:rsidR="0078310B" w:rsidRDefault="0078310B" w:rsidP="0078310B">
      <w:pPr>
        <w:widowControl w:val="0"/>
        <w:ind w:left="288"/>
        <w:jc w:val="both"/>
      </w:pPr>
      <w:r>
        <w:rPr>
          <w:b/>
        </w:rPr>
        <w:t>d.</w:t>
      </w:r>
      <w:r>
        <w:t xml:space="preserve"> Hallie purchases a lottery ticket on December 10 but fails to check to see whether her numbers won until she returns from Mexico in January, when she discovers that she won $1,000. She drives to the nearby local lottery office and claims her $1,000 prize. </w:t>
      </w:r>
    </w:p>
    <w:p w:rsidR="0078310B" w:rsidRDefault="0078310B" w:rsidP="0078310B">
      <w:pPr>
        <w:widowControl w:val="0"/>
        <w:ind w:left="288"/>
        <w:jc w:val="both"/>
      </w:pPr>
    </w:p>
    <w:p w:rsidR="0078310B" w:rsidRPr="00AC1082" w:rsidRDefault="0078310B" w:rsidP="0078310B">
      <w:pPr>
        <w:pStyle w:val="Heading2"/>
        <w:spacing w:before="0"/>
        <w:rPr>
          <w:sz w:val="32"/>
          <w:szCs w:val="32"/>
          <w:u w:val="single"/>
        </w:rPr>
      </w:pPr>
      <w:bookmarkStart w:id="415" w:name="_Toc395790711"/>
      <w:r w:rsidRPr="00AC1082">
        <w:rPr>
          <w:sz w:val="32"/>
          <w:szCs w:val="32"/>
          <w:u w:val="single"/>
        </w:rPr>
        <w:t>B. The accrual method of accounting</w:t>
      </w:r>
      <w:bookmarkEnd w:id="415"/>
    </w:p>
    <w:p w:rsidR="0078310B" w:rsidRDefault="0078310B" w:rsidP="0078310B">
      <w:pPr>
        <w:widowControl w:val="0"/>
      </w:pPr>
    </w:p>
    <w:p w:rsidR="0078310B" w:rsidRDefault="0078310B" w:rsidP="0078310B">
      <w:pPr>
        <w:widowControl w:val="0"/>
        <w:spacing w:after="120"/>
        <w:ind w:firstLine="288"/>
        <w:jc w:val="both"/>
      </w:pPr>
      <w:r>
        <w:t xml:space="preserve">The Federal income tax enacted in 1913 required use of the cash method of accounting by all taxpayers. Businesses—particularly corporations using the accrual method of accounting </w:t>
      </w:r>
      <w:r>
        <w:rPr>
          <w:i/>
        </w:rPr>
        <w:t>for financial accounting purposes</w:t>
      </w:r>
      <w:r>
        <w:t>—complained about the need to keep two sets of books, and Congress amended the law in 1916 to take account of these complaints by adding to the statute the following language:</w:t>
      </w:r>
    </w:p>
    <w:p w:rsidR="0078310B" w:rsidRPr="003D7874" w:rsidRDefault="0078310B" w:rsidP="0078310B">
      <w:pPr>
        <w:widowControl w:val="0"/>
        <w:spacing w:after="120"/>
        <w:ind w:left="720" w:right="720"/>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59"/>
      </w:r>
      <w:r>
        <w:t xml:space="preserve"> </w:t>
      </w:r>
    </w:p>
    <w:p w:rsidR="0078310B" w:rsidRDefault="0078310B" w:rsidP="0078310B">
      <w:pPr>
        <w:widowControl w:val="0"/>
        <w:spacing w:after="120"/>
        <w:ind w:firstLine="288"/>
        <w:jc w:val="both"/>
      </w:pPr>
      <w:r>
        <w:t xml:space="preserve">It was this language that first effectively allowed certain taxpayers to use the accrual method of accounting for </w:t>
      </w:r>
      <w:r>
        <w:rPr>
          <w:i/>
        </w:rPr>
        <w:t xml:space="preserve">tax </w:t>
      </w:r>
      <w:r>
        <w:t>purposes if they used that method for financial accounting purposes in general. Thus,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through the backdoor (in a context not contemplated by Congress) via the manipulation of accounting doctrine. This concern is irrelevant to financial accounting, under which no payment obligations arise and which, therefore, can d</w:t>
      </w:r>
      <w:r w:rsidR="008B2209">
        <w:t xml:space="preserve">ownplay the time value of money and the ability to earn a return on funds not yet included on the “income” statement for </w:t>
      </w:r>
      <w:r w:rsidR="00893426">
        <w:t xml:space="preserve">(nontax) </w:t>
      </w:r>
      <w:r w:rsidR="008B2209">
        <w:t xml:space="preserve">financial reporting purposes. </w:t>
      </w:r>
    </w:p>
    <w:p w:rsidR="0078310B" w:rsidRPr="009A6F32" w:rsidRDefault="0078310B" w:rsidP="0078310B">
      <w:pPr>
        <w:pStyle w:val="Heading3"/>
        <w:spacing w:before="0" w:beforeAutospacing="0" w:after="120" w:afterAutospacing="0"/>
        <w:rPr>
          <w:i/>
        </w:rPr>
      </w:pPr>
      <w:bookmarkStart w:id="416" w:name="_Toc395790712"/>
      <w:r w:rsidRPr="009A6F32">
        <w:rPr>
          <w:i/>
        </w:rPr>
        <w:t>Accrual accounting in financial reporting and the divergence of financial accounting and income tax values</w:t>
      </w:r>
      <w:bookmarkEnd w:id="416"/>
    </w:p>
    <w:p w:rsidR="0078310B" w:rsidRPr="002C4AAF" w:rsidRDefault="0078310B" w:rsidP="0078310B">
      <w:pPr>
        <w:widowControl w:val="0"/>
        <w:spacing w:after="120"/>
        <w:ind w:firstLine="288"/>
        <w:jc w:val="both"/>
      </w:pPr>
      <w:r>
        <w:t xml:space="preserve">Even without an income tax, businesses would need to generate “income” statements in order to provide useful information about the economic health of the business to share with potential investors (contemplating investment in the business) and potential lenders (considering making a loan to the business). The Securities and Exchange Commission (SEC), which regulates the issuance and trading of securities over the public markets to both maintain an efficient market and protect investors, also requires that publicly traded corporations submit regular financial statements. The creation of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the individual facts and circumstances of each business, regarding how and when revenue is to be included on the income statement and when costs are to be deducted against that revenue in arriving at “income.” Moreover, the income statement is generated at first by the company; only then do accountants review and certify that the information presented by the business is consistent with GAAP. This approach permits quite a bit of latitude in how profits are reported even for very similar businesses. </w:t>
      </w:r>
    </w:p>
    <w:p w:rsidR="0078310B" w:rsidRPr="002C4AAF" w:rsidRDefault="0078310B" w:rsidP="0078310B">
      <w:pPr>
        <w:pStyle w:val="FootnoteText"/>
        <w:widowControl w:val="0"/>
        <w:spacing w:after="120"/>
        <w:ind w:firstLine="288"/>
        <w:jc w:val="both"/>
        <w:rPr>
          <w:sz w:val="24"/>
          <w:szCs w:val="24"/>
        </w:rPr>
      </w:pPr>
      <w:r w:rsidRPr="002C4AAF">
        <w:rPr>
          <w:sz w:val="24"/>
          <w:szCs w:val="24"/>
        </w:rPr>
        <w:t xml:space="preserve">For example, </w:t>
      </w: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 and a leading figure in the accounting world argued for the creation of an “accounting court,” saying:</w:t>
      </w:r>
    </w:p>
    <w:p w:rsidR="0078310B" w:rsidRPr="002C4AAF" w:rsidRDefault="0078310B" w:rsidP="0078310B">
      <w:pPr>
        <w:pStyle w:val="FootnoteText"/>
        <w:widowControl w:val="0"/>
        <w:spacing w:after="120"/>
        <w:ind w:left="720" w:right="720"/>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60"/>
      </w:r>
    </w:p>
    <w:p w:rsidR="0078310B" w:rsidRPr="002C4AAF" w:rsidRDefault="0078310B" w:rsidP="0078310B">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rsidR="0078310B" w:rsidRPr="002C4AAF" w:rsidRDefault="0078310B" w:rsidP="0078310B">
      <w:pPr>
        <w:pStyle w:val="FootnoteText"/>
        <w:widowControl w:val="0"/>
        <w:spacing w:after="120"/>
        <w:ind w:left="720" w:right="720"/>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61"/>
      </w:r>
    </w:p>
    <w:p w:rsidR="0078310B" w:rsidRPr="002C4AAF" w:rsidRDefault="0078310B" w:rsidP="0078310B">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rsidR="0078310B" w:rsidRPr="00183FCB" w:rsidRDefault="0078310B" w:rsidP="0078310B">
      <w:pPr>
        <w:pStyle w:val="FootnoteText"/>
        <w:widowControl w:val="0"/>
        <w:spacing w:after="120"/>
        <w:ind w:left="720" w:right="720"/>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er. A few, on the other hand, will miss by a mile. 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62"/>
      </w:r>
    </w:p>
    <w:p w:rsidR="0078310B" w:rsidRPr="00183FCB" w:rsidRDefault="0078310B" w:rsidP="0078310B">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w:t>
      </w:r>
      <w:r w:rsidR="00BF3C4D">
        <w:rPr>
          <w:sz w:val="24"/>
          <w:szCs w:val="24"/>
        </w:rPr>
        <w:t>21</w:t>
      </w:r>
      <w:r w:rsidR="00BF3C4D" w:rsidRPr="00BF3C4D">
        <w:rPr>
          <w:sz w:val="24"/>
          <w:szCs w:val="24"/>
          <w:vertAlign w:val="superscript"/>
        </w:rPr>
        <w:t>st</w:t>
      </w:r>
      <w:r w:rsidR="00BF3C4D">
        <w:rPr>
          <w:sz w:val="24"/>
          <w:szCs w:val="24"/>
        </w:rPr>
        <w:t xml:space="preserve"> </w:t>
      </w:r>
      <w:r>
        <w:rPr>
          <w:sz w:val="24"/>
          <w:szCs w:val="24"/>
        </w:rPr>
        <w:t>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rsidR="0078310B" w:rsidRPr="00183FCB" w:rsidRDefault="0078310B" w:rsidP="0078310B">
      <w:pPr>
        <w:pStyle w:val="FootnoteText"/>
        <w:widowControl w:val="0"/>
        <w:ind w:left="720" w:right="720"/>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rsidR="0078310B" w:rsidRPr="00183FCB" w:rsidRDefault="0078310B" w:rsidP="0078310B">
      <w:pPr>
        <w:pStyle w:val="FootnoteText"/>
        <w:widowControl w:val="0"/>
        <w:spacing w:after="120"/>
        <w:ind w:left="720" w:right="720"/>
        <w:jc w:val="both"/>
        <w:rPr>
          <w:sz w:val="24"/>
          <w:szCs w:val="24"/>
        </w:rPr>
      </w:pPr>
      <w:r w:rsidRPr="00183FCB">
        <w:rPr>
          <w:sz w:val="24"/>
          <w:szCs w:val="24"/>
        </w:rPr>
        <w:t>…</w:t>
      </w:r>
    </w:p>
    <w:p w:rsidR="0078310B" w:rsidRPr="008340E1" w:rsidRDefault="0078310B" w:rsidP="0078310B">
      <w:pPr>
        <w:pStyle w:val="FootnoteText"/>
        <w:widowControl w:val="0"/>
        <w:spacing w:after="120"/>
        <w:ind w:left="720" w:right="720"/>
        <w:jc w:val="both"/>
        <w:rPr>
          <w:rFonts w:cs="Times New Roman"/>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rFonts w:cs="Times New Roman"/>
          <w:sz w:val="24"/>
          <w:szCs w:val="24"/>
        </w:rPr>
        <w:footnoteReference w:id="863"/>
      </w:r>
    </w:p>
    <w:p w:rsidR="0078310B" w:rsidRDefault="007E3CF6" w:rsidP="0078310B">
      <w:pPr>
        <w:widowControl w:val="0"/>
        <w:spacing w:after="120"/>
        <w:ind w:firstLine="288"/>
        <w:jc w:val="both"/>
        <w:rPr>
          <w:rFonts w:cs="Times New Roman"/>
        </w:rPr>
      </w:pPr>
      <w:r>
        <w:rPr>
          <w:rFonts w:cs="Times New Roman"/>
        </w:rPr>
        <w:t>In 2009, FASB</w:t>
      </w:r>
      <w:r w:rsidR="0078310B" w:rsidRPr="003164F6">
        <w:rPr>
          <w:rFonts w:cs="Times New Roman"/>
        </w:rPr>
        <w:t xml:space="preserve"> issued Statement of Financial Accounting Standards No. 168, which brought all of the GAAP standards into a single source.</w:t>
      </w:r>
      <w:r w:rsidR="0078310B" w:rsidRPr="003164F6">
        <w:rPr>
          <w:rStyle w:val="FootnoteReference"/>
          <w:rFonts w:cs="Times New Roman"/>
        </w:rPr>
        <w:footnoteReference w:id="864"/>
      </w:r>
      <w:r w:rsidR="0078310B" w:rsidRPr="003164F6">
        <w:rPr>
          <w:rFonts w:cs="Times New Roman"/>
        </w:rPr>
        <w:t xml:space="preserve"> “Finding an applicable rule, however, may continue to be a challenging process for both compliance and enforcement efforts because GAAP itself continues to be susceptible to multiple interpretations and applications.”</w:t>
      </w:r>
      <w:r w:rsidR="0078310B">
        <w:rPr>
          <w:rStyle w:val="FootnoteReference"/>
          <w:rFonts w:cs="Times New Roman"/>
        </w:rPr>
        <w:footnoteReference w:id="865"/>
      </w:r>
    </w:p>
    <w:p w:rsidR="0078310B" w:rsidRDefault="00A0521F" w:rsidP="0078310B">
      <w:pPr>
        <w:widowControl w:val="0"/>
        <w:ind w:firstLine="288"/>
        <w:jc w:val="both"/>
        <w:rPr>
          <w:rFonts w:cs="Times New Roman"/>
        </w:rPr>
      </w:pPr>
      <w:r>
        <w:rPr>
          <w:rFonts w:cs="Times New Roman"/>
        </w:rPr>
        <w:t xml:space="preserve">One example of how GAAP </w:t>
      </w:r>
      <w:r w:rsidR="0078310B">
        <w:rPr>
          <w:rFonts w:cs="Times New Roman"/>
        </w:rPr>
        <w:t xml:space="preserve">does not provide a single “correct” outcome is that it invests broad latitude in the company’s managers to estimate the value of its inventory. </w:t>
      </w:r>
      <w:r w:rsidR="0078310B">
        <w:rPr>
          <w:rFonts w:cs="Times New Roman"/>
          <w:i/>
        </w:rPr>
        <w:t>Thor Power Tool</w:t>
      </w:r>
      <w:r w:rsidR="0078310B">
        <w:t xml:space="preserve">, </w:t>
      </w:r>
      <w:r w:rsidR="0078310B">
        <w:rPr>
          <w:rFonts w:cs="Times New Roman"/>
        </w:rPr>
        <w:t xml:space="preserve">below, not only evidences the malleability provided to company managers under GAAP (note in particular footnotes 5 and 17) but also evidences the broad discretion provided to the Commissioner under </w:t>
      </w:r>
      <w:hyperlink r:id="rId1072" w:history="1">
        <w:r w:rsidR="0078310B" w:rsidRPr="002C2AB0">
          <w:rPr>
            <w:rStyle w:val="Hyperlink"/>
            <w:rFonts w:cs="Times New Roman"/>
          </w:rPr>
          <w:t>§ 446</w:t>
        </w:r>
      </w:hyperlink>
      <w:r w:rsidR="0078310B">
        <w:rPr>
          <w:rFonts w:cs="Times New Roman"/>
        </w:rPr>
        <w:t xml:space="preserve">(b) to challenge accounting methods (for tax purposes) that, in his or her opinion, fails to reflect income clearly, even though they satisfy GAAP for financial accounting purposes. </w:t>
      </w:r>
    </w:p>
    <w:p w:rsidR="0078310B" w:rsidRDefault="0078310B" w:rsidP="0078310B">
      <w:pPr>
        <w:widowControl w:val="0"/>
        <w:ind w:firstLine="288"/>
        <w:jc w:val="both"/>
        <w:rPr>
          <w:rFonts w:cs="Times New Roman"/>
        </w:rPr>
      </w:pPr>
    </w:p>
    <w:p w:rsidR="0078310B" w:rsidRDefault="0078310B" w:rsidP="0078310B">
      <w:pPr>
        <w:pStyle w:val="Heading3"/>
        <w:spacing w:before="0" w:beforeAutospacing="0" w:after="120" w:afterAutospacing="0"/>
        <w:jc w:val="center"/>
      </w:pPr>
      <w:bookmarkStart w:id="417" w:name="_Toc395790713"/>
      <w:r>
        <w:t>THOR POWER TOOL COMPANY v. COMMISSIONER</w:t>
      </w:r>
      <w:bookmarkEnd w:id="417"/>
    </w:p>
    <w:p w:rsidR="0078310B" w:rsidRDefault="0078310B" w:rsidP="0078310B">
      <w:pPr>
        <w:widowControl w:val="0"/>
        <w:jc w:val="center"/>
        <w:rPr>
          <w:rFonts w:cs="Times New Roman"/>
        </w:rPr>
      </w:pPr>
      <w:r>
        <w:rPr>
          <w:rFonts w:cs="Times New Roman"/>
        </w:rPr>
        <w:t>439 U.S. 522 (1979)</w:t>
      </w:r>
    </w:p>
    <w:p w:rsidR="0078310B" w:rsidRDefault="0078310B" w:rsidP="0078310B">
      <w:pPr>
        <w:widowControl w:val="0"/>
        <w:jc w:val="both"/>
        <w:rPr>
          <w:rFonts w:cs="Times New Roman"/>
        </w:rPr>
      </w:pPr>
    </w:p>
    <w:p w:rsidR="0078310B" w:rsidRDefault="0078310B" w:rsidP="0078310B">
      <w:pPr>
        <w:widowControl w:val="0"/>
        <w:spacing w:after="120"/>
        <w:ind w:firstLine="288"/>
        <w:jc w:val="both"/>
      </w:pPr>
      <w:r>
        <w:rPr>
          <w:rFonts w:cs="Times New Roman"/>
          <w:smallCaps/>
        </w:rPr>
        <w:t>Mr. Justice Blackmun</w:t>
      </w:r>
      <w:r>
        <w:t xml:space="preserve"> delivered the opinion of the Court.</w:t>
      </w:r>
    </w:p>
    <w:p w:rsidR="0078310B" w:rsidRPr="00581161" w:rsidRDefault="0078310B" w:rsidP="0078310B">
      <w:pPr>
        <w:widowControl w:val="0"/>
        <w:spacing w:after="120"/>
        <w:ind w:firstLine="288"/>
        <w:jc w:val="both"/>
      </w:pPr>
      <w:r w:rsidRPr="00581161">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73"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rsidR="0078310B" w:rsidRPr="00581161" w:rsidRDefault="0078310B" w:rsidP="0078310B">
      <w:pPr>
        <w:widowControl w:val="0"/>
        <w:spacing w:after="120"/>
        <w:jc w:val="center"/>
      </w:pPr>
      <w:r w:rsidRPr="00581161">
        <w:t>A.</w:t>
      </w:r>
    </w:p>
    <w:p w:rsidR="0078310B" w:rsidRPr="00581161" w:rsidRDefault="0078310B" w:rsidP="0078310B">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74" w:history="1">
        <w:r>
          <w:t>Treas. Reg. § 1.471-2</w:t>
        </w:r>
        <w:r w:rsidRPr="00581161">
          <w:t>(c)</w:t>
        </w:r>
      </w:hyperlink>
      <w:r>
        <w:t>.</w:t>
      </w:r>
    </w:p>
    <w:p w:rsidR="0078310B" w:rsidRPr="00581161" w:rsidRDefault="0078310B" w:rsidP="0078310B">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rsidR="0078310B" w:rsidRPr="00581161" w:rsidRDefault="0078310B" w:rsidP="0078310B">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rsidR="0078310B" w:rsidRPr="00581161" w:rsidRDefault="0078310B" w:rsidP="0078310B">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rsidR="0078310B" w:rsidRPr="00581161" w:rsidRDefault="0078310B" w:rsidP="0078310B">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rsidR="0078310B" w:rsidRPr="00581161" w:rsidRDefault="0078310B" w:rsidP="0078310B">
      <w:pPr>
        <w:widowControl w:val="0"/>
        <w:spacing w:after="120"/>
        <w:ind w:firstLine="288"/>
        <w:jc w:val="both"/>
      </w:pPr>
      <w:r w:rsidRPr="00581161">
        <w:t>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66"/>
        <w:t>[5]</w:t>
      </w:r>
      <w:r w:rsidRPr="000F7F89">
        <w:t xml:space="preserve"> </w:t>
      </w:r>
      <w:r w:rsidRPr="00581161">
        <w:t xml:space="preserve">This first method </w:t>
      </w:r>
      <w:r>
        <w:t>yielded a total write-down of $</w:t>
      </w:r>
      <w:r w:rsidRPr="00581161">
        <w:t xml:space="preserve">744,030. </w:t>
      </w:r>
    </w:p>
    <w:p w:rsidR="0078310B" w:rsidRPr="00581161" w:rsidRDefault="0078310B" w:rsidP="0078310B">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rsidR="0078310B" w:rsidRPr="00581161" w:rsidRDefault="0078310B" w:rsidP="0078310B">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rsidR="0078310B" w:rsidRPr="00581161" w:rsidRDefault="0078310B" w:rsidP="0078310B">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67"/>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rsidR="0078310B" w:rsidRPr="00581161" w:rsidRDefault="0078310B" w:rsidP="0078310B">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75" w:history="1">
        <w:r>
          <w:t>§ 446</w:t>
        </w:r>
        <w:r w:rsidRPr="00581161">
          <w:t>(b)</w:t>
        </w:r>
      </w:hyperlink>
      <w:r w:rsidRPr="00581161">
        <w:t xml:space="preserve">, and </w:t>
      </w:r>
      <w:hyperlink r:id="rId1076" w:history="1">
        <w:r w:rsidRPr="00581161">
          <w:t>§ 471</w:t>
        </w:r>
      </w:hyperlink>
      <w:r>
        <w:t xml:space="preserve"> 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rsidR="0078310B" w:rsidRPr="00581161" w:rsidRDefault="0078310B" w:rsidP="0078310B">
      <w:pPr>
        <w:widowControl w:val="0"/>
        <w:spacing w:after="120"/>
        <w:jc w:val="center"/>
      </w:pPr>
      <w:r w:rsidRPr="00581161">
        <w:t>B.</w:t>
      </w:r>
    </w:p>
    <w:p w:rsidR="0078310B" w:rsidRPr="00581161" w:rsidRDefault="0078310B" w:rsidP="0078310B">
      <w:pPr>
        <w:widowControl w:val="0"/>
        <w:spacing w:after="120"/>
        <w:ind w:firstLine="288"/>
        <w:jc w:val="both"/>
      </w:pPr>
      <w:r w:rsidRPr="00581161">
        <w:t xml:space="preserve">Inventory accounting is governed by </w:t>
      </w:r>
      <w:hyperlink r:id="rId1077" w:history="1">
        <w:r w:rsidRPr="00581161">
          <w:t>§§ 446</w:t>
        </w:r>
      </w:hyperlink>
      <w:r w:rsidRPr="00581161">
        <w:t xml:space="preserve"> and </w:t>
      </w:r>
      <w:hyperlink r:id="rId1078" w:history="1">
        <w:r w:rsidRPr="00581161">
          <w:t>471</w:t>
        </w:r>
      </w:hyperlink>
      <w:r w:rsidRPr="00581161">
        <w:t xml:space="preserve"> of the Code</w:t>
      </w:r>
      <w:r>
        <w:t xml:space="preserve">. </w:t>
      </w:r>
      <w:hyperlink r:id="rId1079"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80"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81"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82" w:history="1">
        <w:r>
          <w:t>Treas. Reg. § 1.446-1</w:t>
        </w:r>
        <w:r w:rsidRPr="00581161">
          <w:t>(a)(2)</w:t>
        </w:r>
      </w:hyperlink>
      <w:r w:rsidRPr="00581161">
        <w:t>.</w:t>
      </w:r>
      <w:r w:rsidRPr="001668A1">
        <w:rPr>
          <w:vertAlign w:val="superscript"/>
        </w:rPr>
        <w:footnoteReference w:customMarkFollows="1" w:id="868"/>
        <w:t>[10]</w:t>
      </w:r>
    </w:p>
    <w:p w:rsidR="0078310B" w:rsidRPr="00581161" w:rsidRDefault="002B3596" w:rsidP="0078310B">
      <w:pPr>
        <w:widowControl w:val="0"/>
        <w:spacing w:after="120"/>
        <w:ind w:firstLine="288"/>
        <w:jc w:val="both"/>
      </w:pPr>
      <w:hyperlink r:id="rId1083" w:history="1">
        <w:r w:rsidR="0078310B" w:rsidRPr="00581161">
          <w:t>Section 471</w:t>
        </w:r>
      </w:hyperlink>
      <w:r w:rsidR="0078310B" w:rsidRPr="00581161">
        <w:t xml:space="preserve"> prescribes the general rule for inventories. It states: </w:t>
      </w:r>
      <w:r w:rsidR="0078310B">
        <w:t>“</w:t>
      </w:r>
      <w:r w:rsidR="0078310B" w:rsidRPr="00581161">
        <w:t>Whenever in the opinion</w:t>
      </w:r>
      <w:r w:rsidR="0078310B">
        <w:t xml:space="preserve"> of the [Commissioner] the use </w:t>
      </w:r>
      <w:r w:rsidR="0078310B" w:rsidRPr="00581161">
        <w:t>of inventories is necessary in order clearly to determine the income of any taxpayer, inventory shall be taken by such taxpayer on such basis as the [Commissioner] may prescribe as conforming as nearly as may be to the best accou</w:t>
      </w:r>
      <w:r w:rsidR="0078310B">
        <w:t xml:space="preserve">nting practice in the trade or </w:t>
      </w:r>
      <w:r w:rsidR="0078310B" w:rsidRPr="00581161">
        <w:t>business and as most clearly reflecting the income.</w:t>
      </w:r>
      <w:r w:rsidR="0078310B">
        <w:t>”</w:t>
      </w:r>
    </w:p>
    <w:p w:rsidR="0078310B" w:rsidRPr="00581161" w:rsidRDefault="0078310B" w:rsidP="0078310B">
      <w:pPr>
        <w:widowControl w:val="0"/>
        <w:spacing w:after="120"/>
        <w:ind w:firstLine="288"/>
        <w:jc w:val="both"/>
      </w:pPr>
      <w:r w:rsidRPr="00581161">
        <w:t xml:space="preserve">As the Regulations point out, </w:t>
      </w:r>
      <w:hyperlink r:id="rId1084"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1085" w:history="1">
        <w:r>
          <w:t>§ 1.471-2</w:t>
        </w:r>
        <w:r w:rsidRPr="00581161">
          <w:t>(a)(2)</w:t>
        </w:r>
      </w:hyperlink>
      <w:r w:rsidRPr="00581161">
        <w:t>.</w:t>
      </w:r>
    </w:p>
    <w:p w:rsidR="0078310B" w:rsidRPr="00581161" w:rsidRDefault="0078310B" w:rsidP="0078310B">
      <w:pPr>
        <w:widowControl w:val="0"/>
        <w:spacing w:after="120"/>
        <w:ind w:firstLine="288"/>
        <w:jc w:val="both"/>
      </w:pPr>
      <w:r w:rsidRPr="00581161">
        <w:t xml:space="preserve">It is obvious that on their face, </w:t>
      </w:r>
      <w:hyperlink r:id="rId1086" w:history="1">
        <w:r w:rsidRPr="00581161">
          <w:t>§§ 446</w:t>
        </w:r>
      </w:hyperlink>
      <w:r w:rsidRPr="00581161">
        <w:t xml:space="preserve"> and </w:t>
      </w:r>
      <w:hyperlink r:id="rId1087"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88"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89"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90"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91" w:history="1">
        <w:r w:rsidRPr="002F47E3">
          <w:rPr>
            <w:i/>
          </w:rPr>
          <w:t>United States v. Catto</w:t>
        </w:r>
        <w:r w:rsidRPr="00581161">
          <w:t>, 384 U.S. 102, 114 (1966)</w:t>
        </w:r>
      </w:hyperlink>
      <w:r w:rsidRPr="00581161">
        <w:t xml:space="preserve">; </w:t>
      </w:r>
      <w:hyperlink r:id="rId1092"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93" w:history="1">
        <w:r w:rsidRPr="002F47E3">
          <w:rPr>
            <w:i/>
          </w:rPr>
          <w:t>United States</w:t>
        </w:r>
        <w:r w:rsidRPr="00581161">
          <w:t>, 367 U.S. 687, 697-698 (1961)</w:t>
        </w:r>
      </w:hyperlink>
      <w:r w:rsidRPr="00581161">
        <w:t xml:space="preserve">; </w:t>
      </w:r>
      <w:hyperlink r:id="rId1094" w:history="1">
        <w:r w:rsidRPr="002F47E3">
          <w:rPr>
            <w:i/>
          </w:rPr>
          <w:t>Automobile Club of Michigan v. Commissioner</w:t>
        </w:r>
        <w:r w:rsidRPr="00581161">
          <w:t>, 353 U.S. 180, 189-190 (1957)</w:t>
        </w:r>
      </w:hyperlink>
      <w:r w:rsidRPr="00581161">
        <w:t xml:space="preserve">; </w:t>
      </w:r>
      <w:hyperlink r:id="rId1095" w:history="1">
        <w:r w:rsidRPr="002F47E3">
          <w:rPr>
            <w:i/>
          </w:rPr>
          <w:t>Brown v. Helvering</w:t>
        </w:r>
        <w:r w:rsidRPr="00581161">
          <w:t>, 291 U.S. 193, 203 (1934)</w:t>
        </w:r>
      </w:hyperlink>
      <w:r w:rsidRPr="00581161">
        <w:t xml:space="preserve">. In construing § 203 of the Revenue Act of 1918, 40 Stat. 1060, a predecessor of </w:t>
      </w:r>
      <w:hyperlink r:id="rId1096"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97" w:history="1">
        <w:r w:rsidRPr="002F47E3">
          <w:rPr>
            <w:i/>
          </w:rPr>
          <w:t>Lucas v. Structural Steel Co.</w:t>
        </w:r>
        <w:r w:rsidRPr="00581161">
          <w:t>, 281 U.S. 264, 271 (1930)</w:t>
        </w:r>
      </w:hyperlink>
      <w:r w:rsidRPr="00581161">
        <w:t>.</w:t>
      </w:r>
    </w:p>
    <w:p w:rsidR="0078310B" w:rsidRPr="00581161" w:rsidRDefault="0078310B" w:rsidP="0078310B">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best accounting practice,</w:t>
      </w:r>
      <w:r>
        <w:t>’</w:t>
      </w:r>
      <w:r w:rsidRPr="00581161">
        <w:t xml:space="preserve"> as that term is used in </w:t>
      </w:r>
      <w:hyperlink r:id="rId1098"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99"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rsidR="0078310B" w:rsidRPr="00581161" w:rsidRDefault="0078310B" w:rsidP="0078310B">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100"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101"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102" w:history="1">
        <w:r>
          <w:t>§ 1.471-4</w:t>
        </w:r>
        <w:r w:rsidRPr="00581161">
          <w:t>(b)</w:t>
        </w:r>
      </w:hyperlink>
      <w:r w:rsidRPr="00581161">
        <w:t>.</w:t>
      </w:r>
    </w:p>
    <w:p w:rsidR="0078310B" w:rsidRPr="00581161" w:rsidRDefault="0078310B" w:rsidP="0078310B">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rsidR="0078310B" w:rsidRPr="00581161" w:rsidRDefault="0078310B" w:rsidP="0078310B">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103" w:history="1">
        <w:r>
          <w:t>§ 1.471-2</w:t>
        </w:r>
        <w:r w:rsidRPr="00581161">
          <w:t>(c)</w:t>
        </w:r>
      </w:hyperlink>
      <w:r w:rsidRPr="00581161">
        <w:t xml:space="preserve">. </w:t>
      </w:r>
      <w:bookmarkStart w:id="418" w:name="clsccl11"/>
      <w:bookmarkEnd w:id="418"/>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rsidR="0078310B" w:rsidRPr="00581161" w:rsidRDefault="0078310B" w:rsidP="0078310B">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rsidR="0078310B" w:rsidRPr="00581161" w:rsidRDefault="0078310B" w:rsidP="0078310B">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104"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105"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rsidR="0078310B" w:rsidRPr="00581161" w:rsidRDefault="0078310B" w:rsidP="0078310B">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rsidR="0078310B" w:rsidRPr="00581161" w:rsidRDefault="0078310B" w:rsidP="0078310B">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rsidR="0078310B" w:rsidRPr="00581161" w:rsidRDefault="0078310B" w:rsidP="0078310B">
      <w:pPr>
        <w:widowControl w:val="0"/>
        <w:spacing w:after="120"/>
        <w:jc w:val="center"/>
      </w:pPr>
      <w:r w:rsidRPr="00581161">
        <w:t>C.</w:t>
      </w:r>
    </w:p>
    <w:p w:rsidR="0078310B" w:rsidRPr="00581161" w:rsidRDefault="0078310B" w:rsidP="0078310B">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106"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107"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s favor will carry the day. The Commissioner, Thor concludes, failed to rebut that presumption here.</w:t>
      </w:r>
    </w:p>
    <w:p w:rsidR="0078310B" w:rsidRPr="00581161" w:rsidRDefault="0078310B" w:rsidP="0078310B">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rsidR="0078310B" w:rsidRPr="00581161" w:rsidRDefault="0078310B" w:rsidP="0078310B">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108"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109"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rsidR="0078310B" w:rsidRPr="00581161" w:rsidRDefault="0078310B" w:rsidP="0078310B">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110"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1111"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112"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113" w:history="1">
        <w:r w:rsidRPr="00BB4A65">
          <w:rPr>
            <w:i/>
          </w:rPr>
          <w:t>U.S.</w:t>
        </w:r>
        <w:r w:rsidRPr="00581161">
          <w:t>, 435 U.S. 561, 577 (1978)</w:t>
        </w:r>
      </w:hyperlink>
      <w:r w:rsidRPr="00581161">
        <w:t xml:space="preserve">. </w:t>
      </w:r>
      <w:r w:rsidRPr="00BB4A65">
        <w:rPr>
          <w:i/>
        </w:rPr>
        <w:t>See</w:t>
      </w:r>
      <w:r w:rsidRPr="00581161">
        <w:t xml:space="preserve"> </w:t>
      </w:r>
      <w:hyperlink r:id="rId1114"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115" w:history="1">
        <w:r w:rsidRPr="00BB4A65">
          <w:rPr>
            <w:i/>
          </w:rPr>
          <w:t>Comm’r v. Hansen</w:t>
        </w:r>
        <w:r w:rsidRPr="00581161">
          <w:t>, 360 U.S. 446 (1959)</w:t>
        </w:r>
      </w:hyperlink>
      <w:r w:rsidRPr="00581161">
        <w:t xml:space="preserve"> (reserve to cover contingent liability in event of nonperformance of guarantee); </w:t>
      </w:r>
      <w:hyperlink r:id="rId1116"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117"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69"/>
        <w:t>[17]</w:t>
      </w:r>
      <w:r w:rsidRPr="00581161">
        <w:t xml:space="preserve"> Thor, in other words, sought a current </w:t>
      </w:r>
      <w:r>
        <w:t>“</w:t>
      </w:r>
      <w:r w:rsidRPr="00581161">
        <w:t>deduction</w:t>
      </w:r>
      <w:r>
        <w:t>”</w:t>
      </w:r>
      <w:r w:rsidRPr="00581161">
        <w:t xml:space="preserve"> for an estimated future loss. Under the decided cases, a taxpayer so circumstanced finds no shelter beneath an accountancy presumption.</w:t>
      </w:r>
    </w:p>
    <w:p w:rsidR="0078310B" w:rsidRPr="00581161" w:rsidRDefault="0078310B" w:rsidP="0078310B">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70"/>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71"/>
        <w:t>[19]</w:t>
      </w:r>
    </w:p>
    <w:p w:rsidR="0078310B" w:rsidRPr="00581161" w:rsidRDefault="0078310B" w:rsidP="0078310B">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118"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72"/>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73"/>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119" w:history="1">
        <w:r w:rsidRPr="00037D18">
          <w:rPr>
            <w:i/>
          </w:rPr>
          <w:t>Brown v. Helvering</w:t>
        </w:r>
        <w:r w:rsidRPr="00581161">
          <w:t>, 291 U.S., at 201-202</w:t>
        </w:r>
      </w:hyperlink>
      <w:r w:rsidRPr="00581161">
        <w:t>.</w:t>
      </w:r>
    </w:p>
    <w:p w:rsidR="0078310B" w:rsidRPr="00581161" w:rsidRDefault="0078310B" w:rsidP="0078310B">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74"/>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75"/>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rsidR="0078310B" w:rsidRPr="00581161" w:rsidRDefault="0078310B" w:rsidP="0078310B">
      <w:pPr>
        <w:widowControl w:val="0"/>
        <w:spacing w:after="120"/>
        <w:jc w:val="center"/>
      </w:pPr>
      <w:r w:rsidRPr="00581161">
        <w:t>D.</w:t>
      </w:r>
    </w:p>
    <w:p w:rsidR="0078310B" w:rsidRPr="00581161" w:rsidRDefault="0078310B" w:rsidP="0078310B">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rsidR="0078310B" w:rsidRPr="00581161" w:rsidRDefault="0078310B" w:rsidP="0078310B">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rsidR="0078310B" w:rsidRPr="00581161" w:rsidRDefault="0078310B" w:rsidP="0078310B">
      <w:pPr>
        <w:widowControl w:val="0"/>
        <w:jc w:val="center"/>
      </w:pPr>
      <w:r w:rsidRPr="00581161">
        <w:t>___________________________________________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rPr>
          <w:i/>
        </w:rPr>
        <w:t xml:space="preserve">Thor Power Tool </w:t>
      </w:r>
      <w:r>
        <w:t xml:space="preserve">contains quite a lot to digest. It is most often cited for its discussion about the different purposes and goals of financial and tax accounting. The purpose of financial accounting is to provide </w:t>
      </w:r>
      <w:r>
        <w:rPr>
          <w:i/>
        </w:rPr>
        <w:t xml:space="preserve">reliable information </w:t>
      </w:r>
      <w:r>
        <w:t>about the economic health of the business to those who may make important decisions (to invest or to lend) based on the information. Thus, it tends toward conservatism in measuring profits, where “</w:t>
      </w:r>
      <w:r w:rsidRPr="00581161">
        <w:t>estimates, probabilities, and reasonable certainties</w:t>
      </w:r>
      <w:r>
        <w:t>,” in the words of the Court, are acceptable in order to avoid misleading potential investors and lenders. The goal of measuring “income” in order to collect a tax payment, in contrast, requires more certainty with respect to realized wealth accessions (and reductions) in order to ensure both that similarly situated taxpayers are taxed the same and that wealth accessions and reductions are realized before taken into account.</w:t>
      </w:r>
    </w:p>
    <w:p w:rsidR="0078310B" w:rsidRDefault="0078310B" w:rsidP="0078310B">
      <w:pPr>
        <w:widowControl w:val="0"/>
        <w:spacing w:after="120"/>
        <w:ind w:firstLine="288"/>
        <w:jc w:val="both"/>
      </w:pPr>
      <w:r>
        <w:t xml:space="preserve">You also saw a reference to the “matching principle” in </w:t>
      </w:r>
      <w:r>
        <w:rPr>
          <w:i/>
        </w:rPr>
        <w:t>Thor Power Tool</w:t>
      </w:r>
      <w:r>
        <w:t xml:space="preserve">. Notwithstanding the flexibility of GAAP, </w:t>
      </w:r>
      <w:r w:rsidRPr="008340E1">
        <w:rPr>
          <w:rFonts w:cs="Times New Roman"/>
        </w:rPr>
        <w:t>as a broad, general statement, GAAP usually requires that revenue be included in the ye</w:t>
      </w:r>
      <w:r>
        <w:rPr>
          <w:rFonts w:cs="Times New Roman"/>
        </w:rPr>
        <w:t>ar in which goods or services are</w:t>
      </w:r>
      <w:r w:rsidRPr="008340E1">
        <w:rPr>
          <w:rFonts w:cs="Times New Roman"/>
        </w:rPr>
        <w:t xml:space="preserve"> sold (regardless of when payment </w:t>
      </w:r>
      <w:r>
        <w:rPr>
          <w:rFonts w:cs="Times New Roman"/>
        </w:rPr>
        <w:t xml:space="preserve">for those goods or services </w:t>
      </w:r>
      <w:r w:rsidRPr="008340E1">
        <w:rPr>
          <w:rFonts w:cs="Times New Roman"/>
        </w:rPr>
        <w:t xml:space="preserve">is received), with </w:t>
      </w:r>
      <w:r>
        <w:rPr>
          <w:rFonts w:cs="Times New Roman"/>
        </w:rPr>
        <w:t>“</w:t>
      </w:r>
      <w:r w:rsidRPr="008340E1">
        <w:rPr>
          <w:rFonts w:cs="Times New Roman"/>
        </w:rPr>
        <w:t>costs and expenses</w:t>
      </w:r>
      <w:r>
        <w:rPr>
          <w:rFonts w:cs="Times New Roman"/>
        </w:rPr>
        <w:t>”</w:t>
      </w:r>
      <w:r w:rsidRPr="008340E1">
        <w:rPr>
          <w:rFonts w:cs="Times New Roman"/>
        </w:rPr>
        <w:t xml:space="preserve"> (bo</w:t>
      </w:r>
      <w:r w:rsidRPr="002C4AAF">
        <w:t>th depreciati</w:t>
      </w:r>
      <w:r>
        <w:t xml:space="preserve">on and </w:t>
      </w:r>
      <w:r w:rsidRPr="002C4AAF">
        <w:t xml:space="preserve">expenses) then </w:t>
      </w:r>
      <w:r>
        <w:t>“</w:t>
      </w:r>
      <w:r w:rsidRPr="002C4AAF">
        <w:t>matched</w:t>
      </w:r>
      <w:r>
        <w:t>”</w:t>
      </w:r>
      <w:r w:rsidRPr="002C4AAF">
        <w:t xml:space="preserve"> with its related revenue and deducted in the same year (a</w:t>
      </w:r>
      <w:r>
        <w:t xml:space="preserve">gain, </w:t>
      </w:r>
      <w:r w:rsidRPr="002C4AAF">
        <w:t xml:space="preserve">regardless of when payment is made). Thus, the </w:t>
      </w:r>
      <w:r>
        <w:t>“</w:t>
      </w:r>
      <w:r w:rsidRPr="002C4AAF">
        <w:t>matching principle</w:t>
      </w:r>
      <w:r>
        <w:t>”</w:t>
      </w:r>
      <w:r w:rsidRPr="002C4AAF">
        <w:t xml:space="preserve"> </w:t>
      </w:r>
      <w:r>
        <w:t xml:space="preserve">is an example of </w:t>
      </w:r>
      <w:r w:rsidRPr="00147AA2">
        <w:rPr>
          <w:i/>
        </w:rPr>
        <w:t>transactional accounting</w:t>
      </w:r>
      <w:r>
        <w:t xml:space="preserve"> (including the revenue and deductions from a transaction in the same year, regardless of when realized or incurred), which differs from the income tax’s </w:t>
      </w:r>
      <w:r w:rsidRPr="00147AA2">
        <w:rPr>
          <w:i/>
        </w:rPr>
        <w:t>annual accounting principle</w:t>
      </w:r>
      <w:r>
        <w:t xml:space="preserve">. Transactional accounting can downplay the </w:t>
      </w:r>
      <w:r w:rsidR="00567134">
        <w:t xml:space="preserve">time value of money, for example. </w:t>
      </w:r>
      <w:r>
        <w:t xml:space="preserve">The matching principle </w:t>
      </w:r>
      <w:r w:rsidRPr="002C4AAF">
        <w:t xml:space="preserve">is </w:t>
      </w:r>
      <w:r>
        <w:t xml:space="preserve">nevertheless </w:t>
      </w:r>
      <w:r w:rsidRPr="002C4AAF">
        <w:t xml:space="preserve">a deeply important and foundational principle of accrual accounting under GAAP. </w:t>
      </w:r>
      <w:r>
        <w:t xml:space="preserve">The purpose of the “matching principle” is to avoid a misleading picture of the financial health of the business. Including revenue when received and costs when paid could, for example, create the appearance of roller-coaster profits and losses when the business is actually stable and steadily expanding. </w:t>
      </w:r>
    </w:p>
    <w:p w:rsidR="0078310B" w:rsidRDefault="0078310B" w:rsidP="0078310B">
      <w:pPr>
        <w:widowControl w:val="0"/>
        <w:spacing w:after="120"/>
        <w:ind w:firstLine="288"/>
        <w:jc w:val="both"/>
      </w:pPr>
      <w:r>
        <w:t>But the so-called matching principle under GAAP can undermine income tax values</w:t>
      </w:r>
      <w:r>
        <w:rPr>
          <w:rStyle w:val="FootnoteReference"/>
        </w:rPr>
        <w:footnoteReference w:id="876"/>
      </w:r>
      <w:r>
        <w:t xml:space="preserve">—values that go beyond those identified by Justice Blackmun in </w:t>
      </w:r>
      <w:r>
        <w:rPr>
          <w:i/>
        </w:rPr>
        <w:t>Thor Power Tool</w:t>
      </w:r>
      <w:r>
        <w:t xml:space="preserve">. You already read in Chapter 14, for example, how depreciation </w:t>
      </w:r>
      <w:r w:rsidRPr="007378A6">
        <w:rPr>
          <w:i/>
        </w:rPr>
        <w:t>for financial accounting purposes</w:t>
      </w:r>
      <w:r>
        <w:t xml:space="preserve"> is premised on the matching principle, under which the cost of long-lived property is deducted in the same years and at the same rate as expected revenues generated by that asset are included. Thus,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w:t>
      </w:r>
    </w:p>
    <w:p w:rsidR="0078310B" w:rsidRDefault="0078310B" w:rsidP="0078310B">
      <w:pPr>
        <w:widowControl w:val="0"/>
        <w:spacing w:after="120"/>
        <w:ind w:firstLine="288"/>
        <w:jc w:val="both"/>
      </w:pPr>
      <w:r>
        <w:t xml:space="preserve">Similarly, reflexive application of the matching principle from financial accounting can permit deferral of cash in hand or can permit a deduction of an amount not yet paid. If respected for income tax purposes, as well,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 </w:t>
      </w:r>
    </w:p>
    <w:p w:rsidR="0078310B" w:rsidRPr="009A6F32" w:rsidRDefault="0078310B" w:rsidP="0078310B">
      <w:pPr>
        <w:pStyle w:val="Heading3"/>
        <w:spacing w:before="0" w:beforeAutospacing="0" w:after="120" w:afterAutospacing="0"/>
        <w:rPr>
          <w:i/>
        </w:rPr>
      </w:pPr>
      <w:bookmarkStart w:id="419" w:name="_Toc395790714"/>
      <w:r w:rsidRPr="009A6F32">
        <w:rPr>
          <w:i/>
        </w:rPr>
        <w:t>The all-events test and its use as a tool for diverging from GAAP</w:t>
      </w:r>
      <w:bookmarkEnd w:id="419"/>
    </w:p>
    <w:p w:rsidR="0078310B" w:rsidRDefault="0078310B" w:rsidP="0078310B">
      <w:pPr>
        <w:widowControl w:val="0"/>
        <w:spacing w:after="120"/>
        <w:ind w:firstLine="288"/>
        <w:jc w:val="both"/>
      </w:pPr>
      <w:r>
        <w:t xml:space="preserve">Accrual accounting has been defined for </w:t>
      </w:r>
      <w:r w:rsidRPr="00F01AE0">
        <w:rPr>
          <w:i/>
        </w:rPr>
        <w:t>financial accounting purposes</w:t>
      </w:r>
      <w:r>
        <w:t xml:space="preserve"> as:</w:t>
      </w:r>
    </w:p>
    <w:p w:rsidR="0078310B" w:rsidRDefault="0078310B" w:rsidP="0078310B">
      <w:pPr>
        <w:widowControl w:val="0"/>
        <w:spacing w:after="120"/>
        <w:ind w:left="720" w:right="720"/>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77"/>
      </w:r>
    </w:p>
    <w:p w:rsidR="0078310B" w:rsidRDefault="0078310B" w:rsidP="0078310B">
      <w:pPr>
        <w:widowControl w:val="0"/>
        <w:spacing w:after="120"/>
        <w:ind w:firstLine="288"/>
        <w:jc w:val="both"/>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78"/>
      </w:r>
      <w:r>
        <w:t xml:space="preserve"> in which the Yale &amp; Towne Manufacturing Company used the accrual method of accounting for both financial accounting purposes and in filing its income tax returns for 1916 and 1917, the years at issue.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actually assessed and paid. </w:t>
      </w:r>
    </w:p>
    <w:p w:rsidR="0078310B" w:rsidRDefault="0078310B" w:rsidP="0078310B">
      <w:pPr>
        <w:widowControl w:val="0"/>
        <w:spacing w:after="120"/>
        <w:ind w:firstLine="288"/>
        <w:jc w:val="both"/>
      </w:pPr>
      <w: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w:t>
      </w:r>
      <w:r w:rsidR="005D51F3">
        <w:t xml:space="preserve"> under time-value-of-</w:t>
      </w:r>
      <w:r>
        <w:t xml:space="preserve">money </w:t>
      </w:r>
      <w:r w:rsidR="005D51F3">
        <w:t xml:space="preserve">principles </w:t>
      </w:r>
      <w:r>
        <w:t>that deductions are more valuable to the taxpayer if taken earlier.) The taxpayer argued that a tax cannot be considered accrued until it is due and payable, which occurred in 1917, but the Supreme Court disagreed. In rejecti</w:t>
      </w:r>
      <w:r w:rsidR="005D51F3">
        <w:t xml:space="preserve">ng the taxpayer’s </w:t>
      </w:r>
      <w:r>
        <w:t>argument, the Court enunciated language that was later seized upon as the accrual test in tax accounting: the all-events test.</w:t>
      </w:r>
    </w:p>
    <w:p w:rsidR="0078310B" w:rsidRDefault="0078310B" w:rsidP="0078310B">
      <w:pPr>
        <w:widowControl w:val="0"/>
        <w:spacing w:after="120"/>
        <w:ind w:left="720" w:right="720"/>
        <w:jc w:val="both"/>
      </w:pPr>
      <w:r>
        <w:t>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79"/>
      </w:r>
    </w:p>
    <w:p w:rsidR="0078310B" w:rsidRDefault="0078310B" w:rsidP="0078310B">
      <w:pPr>
        <w:widowControl w:val="0"/>
        <w:spacing w:after="120"/>
        <w:ind w:firstLine="288"/>
        <w:jc w:val="both"/>
      </w:pPr>
      <w:r>
        <w:t xml:space="preserve">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rsidR="0078310B" w:rsidRDefault="0078310B" w:rsidP="0078310B">
      <w:pPr>
        <w:widowControl w:val="0"/>
        <w:spacing w:after="120"/>
        <w:ind w:firstLine="288"/>
        <w:jc w:val="both"/>
      </w:pPr>
      <w:r>
        <w:t xml:space="preserve">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p>
    <w:p w:rsidR="0078310B" w:rsidRDefault="0078310B" w:rsidP="0078310B">
      <w:pPr>
        <w:widowControl w:val="0"/>
        <w:spacing w:after="120"/>
        <w:ind w:firstLine="288"/>
        <w:jc w:val="both"/>
      </w:pPr>
      <w:r>
        <w:t xml:space="preserve">Today, </w:t>
      </w:r>
      <w:hyperlink r:id="rId1120" w:history="1">
        <w:r w:rsidRPr="00D72450">
          <w:rPr>
            <w:rStyle w:val="Hyperlink"/>
          </w:rPr>
          <w:t>Treas. Reg. § 1.446-1</w:t>
        </w:r>
      </w:hyperlink>
      <w:r>
        <w:t>(c)(1)(ii)(A) provides:</w:t>
      </w:r>
    </w:p>
    <w:p w:rsidR="0078310B" w:rsidRDefault="0078310B" w:rsidP="0078310B">
      <w:pPr>
        <w:widowControl w:val="0"/>
        <w:spacing w:after="120"/>
        <w:ind w:left="720" w:right="720"/>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rsidR="0078310B" w:rsidRPr="009A6F32" w:rsidRDefault="0078310B" w:rsidP="0078310B">
      <w:pPr>
        <w:pStyle w:val="Heading3"/>
        <w:spacing w:before="0" w:beforeAutospacing="0" w:after="120" w:afterAutospacing="0"/>
        <w:rPr>
          <w:i/>
        </w:rPr>
      </w:pPr>
      <w:bookmarkStart w:id="420" w:name="_Toc395790715"/>
      <w:r>
        <w:rPr>
          <w:i/>
        </w:rPr>
        <w:t xml:space="preserve">The accrual (deduction) of expenses </w:t>
      </w:r>
      <w:r w:rsidRPr="009A6F32">
        <w:rPr>
          <w:i/>
        </w:rPr>
        <w:t>not yet paid</w:t>
      </w:r>
      <w:bookmarkEnd w:id="420"/>
    </w:p>
    <w:p w:rsidR="0078310B" w:rsidRDefault="0078310B" w:rsidP="0078310B">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rsidR="0078310B" w:rsidRDefault="0078310B" w:rsidP="0078310B">
      <w:pPr>
        <w:widowControl w:val="0"/>
        <w:spacing w:after="120"/>
        <w:ind w:firstLine="288"/>
        <w:jc w:val="both"/>
      </w:pPr>
      <w:r>
        <w:t xml:space="preserve">For example, the taxpayer in </w:t>
      </w:r>
      <w:r>
        <w:rPr>
          <w:i/>
        </w:rPr>
        <w:t>Lucas v. American Code Company</w:t>
      </w:r>
      <w:r w:rsidRPr="00C5155D">
        <w:rPr>
          <w:rStyle w:val="FootnoteReference"/>
        </w:rPr>
        <w:footnoteReference w:id="880"/>
      </w:r>
      <w:r>
        <w:t xml:space="preserve"> fired an employee in 1919 who was under contract to work for 18 more years and who was to be paid by commissions on sales. The employee brought suit for breach of contract, which resulted in a judgment in his favor of $21,000 in 1921. The company appealed, but the appellate court affirmed and the company paid the damages to the employee in 1923. After the employee filed suit in 1919, the company immediately created on its books a “reserve” (resulting in a deduction for financial accounting purposes) equal to $14,700, which equaled the amount of unpaid commissions for the year (commissions that would have been paid to the employee if he had not been fired). The company increased the reserve by nearly $33,000 in 1920. The 1921 books were not yet closed when the 1923 trial resulted in the $21,000 judgment, and the company adjusted (reduced) its reserve account for 1921 to equal the $21,000 damage award. For tax purposes, it sought to deduct this $21,000 payment in 1919 (the year in which the employee was fired)</w:t>
      </w:r>
      <w:r w:rsidR="00D72450">
        <w:t>,</w:t>
      </w:r>
      <w:r>
        <w:t xml:space="preserve"> as that year was still open under the statute of limitations</w:t>
      </w:r>
      <w:r w:rsidR="00D72450">
        <w:t>,</w:t>
      </w:r>
      <w:r>
        <w:t xml:space="preserve"> rather than in 1923 (the payment year) by arguing that </w:t>
      </w:r>
    </w:p>
    <w:p w:rsidR="0078310B" w:rsidRPr="00C5155D" w:rsidRDefault="0078310B" w:rsidP="0078310B">
      <w:pPr>
        <w:widowControl w:val="0"/>
        <w:spacing w:after="120"/>
        <w:ind w:left="720" w:right="720"/>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81"/>
      </w:r>
    </w:p>
    <w:p w:rsidR="0078310B" w:rsidRPr="00B95326" w:rsidRDefault="0078310B" w:rsidP="0078310B">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82"/>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rsidR="0078310B" w:rsidRPr="00B95326" w:rsidRDefault="0078310B" w:rsidP="0078310B">
      <w:pPr>
        <w:widowControl w:val="0"/>
        <w:spacing w:after="120"/>
        <w:ind w:firstLine="288"/>
        <w:jc w:val="both"/>
      </w:pPr>
      <w:r>
        <w:t xml:space="preserve">Although the Court in these cases disallowed current accrual </w:t>
      </w:r>
      <w:r w:rsidR="00D72450">
        <w:t xml:space="preserve">(deduction) </w:t>
      </w:r>
      <w:r>
        <w:t xml:space="preserve">of future payments if the payments were contingent, the contingency of the liability is not really the problem—or at least not solely the problem—from the vantage point of </w:t>
      </w:r>
      <w:r w:rsidR="00D72450">
        <w:t xml:space="preserve">income </w:t>
      </w:r>
      <w:r>
        <w:t xml:space="preserve">tax values. The real problem from the vantage point of </w:t>
      </w:r>
      <w:r w:rsidR="00D72450">
        <w:t xml:space="preserve">income </w:t>
      </w:r>
      <w:r>
        <w:t xml:space="preserve">tax values is that they were to be paid </w:t>
      </w:r>
      <w:r>
        <w:rPr>
          <w:i/>
        </w:rPr>
        <w:t>in the future</w:t>
      </w:r>
      <w:r>
        <w:t xml:space="preserve">—full stop. </w:t>
      </w:r>
      <w:r w:rsidR="00450AFA">
        <w:t>Thus, the cash is still on hand and can earn a return during the period before the payment obligation ripens.</w:t>
      </w:r>
    </w:p>
    <w:p w:rsidR="0078310B" w:rsidRDefault="00450AFA" w:rsidP="0078310B">
      <w:pPr>
        <w:widowControl w:val="0"/>
        <w:spacing w:after="120"/>
        <w:ind w:firstLine="288"/>
        <w:jc w:val="both"/>
      </w:pPr>
      <w:r w:rsidRPr="00450AFA">
        <w:t xml:space="preserve">Return, for example, to the </w:t>
      </w:r>
      <w:r w:rsidR="0078310B">
        <w:rPr>
          <w:i/>
        </w:rPr>
        <w:t>Anderson</w:t>
      </w:r>
      <w:r w:rsidR="0078310B">
        <w:t xml:space="preserve"> </w:t>
      </w:r>
      <w:r>
        <w:t xml:space="preserve">case, in which </w:t>
      </w:r>
      <w:r w:rsidR="0078310B">
        <w:t xml:space="preserve">the taxpayer was permitted (indeed, required) to accrue (deduct) the munitions tax one year before the tax was actually paid. Thus, the taxpayer retained the cash in hand for one more year </w:t>
      </w:r>
      <w:r w:rsidR="0078310B" w:rsidRPr="007837FC">
        <w:rPr>
          <w:i/>
        </w:rPr>
        <w:t>after it was deducted for income tax purposes</w:t>
      </w:r>
      <w:r w:rsidR="0078310B">
        <w:t xml:space="preserve">, which means that the deducted cash still in hand could be invested and earn a return for the taxpayer for that one-year period before the munitions tax was paid.  </w:t>
      </w:r>
    </w:p>
    <w:p w:rsidR="0078310B" w:rsidRDefault="0078310B" w:rsidP="0078310B">
      <w:pPr>
        <w:widowControl w:val="0"/>
        <w:spacing w:after="120"/>
        <w:ind w:firstLine="288"/>
        <w:jc w:val="both"/>
      </w:pPr>
      <w:r>
        <w:t>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consumption tax treatment, as under a cash-flow consumption tax. Thus, even though the investment’s return is included in the tax base (as it would be under a cash-flow consumption tax), the economic effect can be the same</w:t>
      </w:r>
      <w:r w:rsidR="00D72450">
        <w:t>,</w:t>
      </w:r>
      <w:r>
        <w:t xml:space="preserve"> under the E. Cary Brown yield-exemption phenomenon</w:t>
      </w:r>
      <w:r w:rsidR="00D72450">
        <w:t>,</w:t>
      </w:r>
      <w:r>
        <w:t xml:space="preserve"> as if the investment were made with after-tax dollars (if deduction had been disallowed in 1916) but the investment return (for the one-year period between 1916 and 1917) was permitted to be excluded from the tax base. </w:t>
      </w:r>
    </w:p>
    <w:p w:rsidR="0078310B" w:rsidRDefault="0078310B" w:rsidP="0078310B">
      <w:pPr>
        <w:widowControl w:val="0"/>
        <w:ind w:firstLine="288"/>
        <w:jc w:val="both"/>
      </w:pPr>
      <w:r>
        <w:t xml:space="preserve">While this favorable treatment lasted for only one year in the facts of the </w:t>
      </w:r>
      <w:r>
        <w:rPr>
          <w:i/>
        </w:rPr>
        <w:t xml:space="preserve">Anderson </w:t>
      </w:r>
      <w:r>
        <w:t xml:space="preserve">case, you can imagine other facts in which a deduction could occur many years before actual payment. Indeed, with many years between the time of deduction and the time of actual payment, a taxpayer could even earn a “profit” (in the form of economic rent) funded with tax dollars from the Treasury, as discussed in the </w:t>
      </w:r>
      <w:r>
        <w:rPr>
          <w:i/>
        </w:rPr>
        <w:t xml:space="preserve">Ford Motor Company </w:t>
      </w:r>
      <w:r>
        <w:t xml:space="preserve">case (below)! The reason for this is that no provision in the Code requires deductions to be discounted to present value if the amounts are to be paid in the future. Deductions are accrued at face amount. Thus, even satisfaction of the all-events test should not permit premature deduction of a future liability in all cases. In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p>
    <w:p w:rsidR="0078310B" w:rsidRDefault="0078310B" w:rsidP="0078310B">
      <w:pPr>
        <w:widowControl w:val="0"/>
        <w:ind w:firstLine="288"/>
        <w:jc w:val="both"/>
      </w:pPr>
    </w:p>
    <w:p w:rsidR="0078310B" w:rsidRDefault="0078310B" w:rsidP="0078310B">
      <w:pPr>
        <w:pStyle w:val="Heading3"/>
        <w:spacing w:before="0" w:beforeAutospacing="0" w:after="120" w:afterAutospacing="0"/>
        <w:jc w:val="center"/>
      </w:pPr>
      <w:bookmarkStart w:id="421" w:name="_Toc395790716"/>
      <w:r>
        <w:t>FORD MOTOR COMPANY v. COMMISSIONER</w:t>
      </w:r>
      <w:bookmarkEnd w:id="421"/>
    </w:p>
    <w:p w:rsidR="0078310B" w:rsidRDefault="0078310B" w:rsidP="0078310B">
      <w:pPr>
        <w:widowControl w:val="0"/>
        <w:jc w:val="center"/>
      </w:pPr>
      <w:r>
        <w:t>71 F.3d 209 (6</w:t>
      </w:r>
      <w:r w:rsidRPr="00C04B05">
        <w:rPr>
          <w:vertAlign w:val="superscript"/>
        </w:rPr>
        <w:t>th</w:t>
      </w:r>
      <w:r>
        <w:t xml:space="preserve"> Cir. 1995)</w:t>
      </w:r>
    </w:p>
    <w:p w:rsidR="0078310B" w:rsidRDefault="0078310B" w:rsidP="0078310B">
      <w:pPr>
        <w:widowControl w:val="0"/>
        <w:jc w:val="both"/>
      </w:pPr>
    </w:p>
    <w:p w:rsidR="0078310B" w:rsidRDefault="0078310B" w:rsidP="0078310B">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rsidR="0078310B" w:rsidRPr="00785043" w:rsidRDefault="0078310B" w:rsidP="0078310B">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121"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rsidR="0078310B" w:rsidRPr="00785043" w:rsidRDefault="0078310B" w:rsidP="0078310B">
      <w:pPr>
        <w:widowControl w:val="0"/>
        <w:spacing w:after="120"/>
        <w:jc w:val="center"/>
      </w:pPr>
      <w:r w:rsidRPr="00785043">
        <w:t>I.</w:t>
      </w:r>
    </w:p>
    <w:p w:rsidR="0078310B" w:rsidRPr="00785043" w:rsidRDefault="0078310B" w:rsidP="0078310B">
      <w:pPr>
        <w:widowControl w:val="0"/>
        <w:spacing w:after="120"/>
        <w:ind w:firstLine="288"/>
        <w:jc w:val="both"/>
      </w:pPr>
      <w:r w:rsidRPr="00785043">
        <w:t xml:space="preserve">A. </w:t>
      </w:r>
    </w:p>
    <w:p w:rsidR="0078310B" w:rsidRPr="00785043" w:rsidRDefault="0078310B" w:rsidP="0078310B">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rsidR="0078310B" w:rsidRPr="00785043" w:rsidRDefault="0078310B" w:rsidP="0078310B">
      <w:pPr>
        <w:widowControl w:val="0"/>
        <w:spacing w:after="120"/>
        <w:ind w:firstLine="288"/>
        <w:jc w:val="both"/>
      </w:pPr>
      <w:r w:rsidRPr="00785043">
        <w:t>To provide it with funds to cover the periodic payments, Ford purchased single premium a</w:t>
      </w:r>
      <w:r>
        <w:t>nnuity contracts at a cost of $</w:t>
      </w:r>
      <w:r w:rsidRPr="00785043">
        <w:t>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rsidR="0078310B" w:rsidRPr="00785043" w:rsidRDefault="0078310B" w:rsidP="0078310B">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122" w:history="1">
        <w:r w:rsidRPr="00785043">
          <w:t>26 U.S.C. § 172(b)(1)(I)</w:t>
        </w:r>
      </w:hyperlink>
      <w:r w:rsidRPr="00785043">
        <w:t xml:space="preserve">. It also reported the annuity income on its 1980 federal income tax return under </w:t>
      </w:r>
      <w:hyperlink r:id="rId1123"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rsidR="0078310B" w:rsidRPr="00785043" w:rsidRDefault="0078310B" w:rsidP="0078310B">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1124"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rsidR="0078310B" w:rsidRPr="00785043" w:rsidRDefault="0078310B" w:rsidP="0078310B">
      <w:pPr>
        <w:widowControl w:val="0"/>
        <w:spacing w:after="120"/>
        <w:ind w:firstLine="288"/>
        <w:jc w:val="both"/>
      </w:pPr>
      <w:r w:rsidRPr="00785043">
        <w:t>B.</w:t>
      </w:r>
    </w:p>
    <w:p w:rsidR="0078310B" w:rsidRPr="00785043" w:rsidRDefault="0078310B" w:rsidP="0078310B">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rsidR="0078310B" w:rsidRPr="00785043" w:rsidRDefault="0078310B" w:rsidP="0078310B">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125" w:history="1">
        <w:r w:rsidRPr="00785043">
          <w:t>Rule 155 of the Tax Court Rules</w:t>
        </w:r>
      </w:hyperlink>
      <w:r>
        <w:t>, and the T</w:t>
      </w:r>
      <w:r w:rsidRPr="00785043">
        <w:t xml:space="preserve">ax </w:t>
      </w:r>
      <w:r>
        <w:t>C</w:t>
      </w:r>
      <w:r w:rsidRPr="00785043">
        <w:t>ourt entered its decision in that amount. This timely appeal followed.</w:t>
      </w:r>
    </w:p>
    <w:p w:rsidR="0078310B" w:rsidRPr="00785043" w:rsidRDefault="0078310B" w:rsidP="0078310B">
      <w:pPr>
        <w:widowControl w:val="0"/>
        <w:spacing w:after="120"/>
        <w:jc w:val="center"/>
      </w:pPr>
      <w:r w:rsidRPr="00785043">
        <w:t>II.</w:t>
      </w:r>
    </w:p>
    <w:p w:rsidR="0078310B" w:rsidRPr="00785043" w:rsidRDefault="0078310B" w:rsidP="0078310B">
      <w:pPr>
        <w:widowControl w:val="0"/>
        <w:spacing w:after="120"/>
        <w:ind w:firstLine="288"/>
        <w:jc w:val="both"/>
      </w:pPr>
      <w:r w:rsidRPr="00785043">
        <w:t>A.</w:t>
      </w:r>
    </w:p>
    <w:p w:rsidR="0078310B" w:rsidRPr="00785043" w:rsidRDefault="002B3596" w:rsidP="0078310B">
      <w:pPr>
        <w:widowControl w:val="0"/>
        <w:spacing w:after="120"/>
        <w:ind w:firstLine="288"/>
        <w:jc w:val="both"/>
      </w:pPr>
      <w:hyperlink r:id="rId1126" w:history="1">
        <w:r w:rsidR="0078310B" w:rsidRPr="00785043">
          <w:t>Section 446 of the Internal Revenue Code</w:t>
        </w:r>
      </w:hyperlink>
      <w:r w:rsidR="0078310B" w:rsidRPr="00785043">
        <w:t xml:space="preserve"> provides the general rule governing use of methods of accounting by taxpayers. </w:t>
      </w:r>
      <w:hyperlink r:id="rId1127" w:history="1">
        <w:r w:rsidR="0078310B" w:rsidRPr="00785043">
          <w:t>Section 446(b)</w:t>
        </w:r>
      </w:hyperlink>
      <w:r w:rsidR="0078310B" w:rsidRPr="00785043">
        <w:t xml:space="preserve"> provides that, if the method of accounting used by the taxpayer to compute income does not clearly reflect income, </w:t>
      </w:r>
      <w:r w:rsidR="0078310B">
        <w:t>“</w:t>
      </w:r>
      <w:r w:rsidR="0078310B" w:rsidRPr="00785043">
        <w:t>the computation of taxable income shall be made under such method as, in the opinion of the Secretary or his delegate, do</w:t>
      </w:r>
      <w:r w:rsidR="0078310B">
        <w:t xml:space="preserve">es clearly reflect </w:t>
      </w:r>
      <w:r w:rsidR="0078310B" w:rsidRPr="00785043">
        <w:t>income.</w:t>
      </w:r>
      <w:r w:rsidR="0078310B">
        <w:t>”</w:t>
      </w:r>
      <w:r w:rsidR="0078310B" w:rsidRPr="00785043">
        <w:t xml:space="preserve"> </w:t>
      </w:r>
      <w:hyperlink r:id="rId1128" w:history="1">
        <w:r w:rsidR="0078310B" w:rsidRPr="00785043">
          <w:t>26 U.S.C. § 446(b)</w:t>
        </w:r>
      </w:hyperlink>
      <w:r w:rsidR="0078310B" w:rsidRPr="00785043">
        <w:t xml:space="preserve">. The Commissioner has broad discretion under </w:t>
      </w:r>
      <w:hyperlink r:id="rId1129" w:history="1">
        <w:r w:rsidR="0078310B" w:rsidRPr="00785043">
          <w:t>§ 446(b)</w:t>
        </w:r>
      </w:hyperlink>
      <w:r w:rsidR="0078310B" w:rsidRPr="00785043">
        <w:t xml:space="preserve"> to determine whether a particular method of accounting clearly reflects income. </w:t>
      </w:r>
      <w:hyperlink r:id="rId1130" w:history="1">
        <w:r w:rsidR="0078310B" w:rsidRPr="00950AF2">
          <w:rPr>
            <w:i/>
          </w:rPr>
          <w:t>Th</w:t>
        </w:r>
        <w:r w:rsidR="0078310B">
          <w:rPr>
            <w:i/>
          </w:rPr>
          <w:t>or Power Tool Co. v. Comm’</w:t>
        </w:r>
        <w:r w:rsidR="0078310B" w:rsidRPr="00950AF2">
          <w:rPr>
            <w:i/>
          </w:rPr>
          <w:t>r</w:t>
        </w:r>
        <w:r w:rsidR="0078310B">
          <w:t xml:space="preserve">, 439 U.S. 522, 533 </w:t>
        </w:r>
        <w:r w:rsidR="0078310B" w:rsidRPr="00785043">
          <w:t>(1979)</w:t>
        </w:r>
      </w:hyperlink>
      <w:r w:rsidR="0078310B" w:rsidRPr="00785043">
        <w:t xml:space="preserve"> (citing </w:t>
      </w:r>
      <w:hyperlink r:id="rId1131" w:history="1">
        <w:r w:rsidR="0078310B" w:rsidRPr="00950AF2">
          <w:rPr>
            <w:i/>
          </w:rPr>
          <w:t>Comm’r v. Hansen</w:t>
        </w:r>
        <w:r w:rsidR="0078310B">
          <w:t xml:space="preserve">, 360 U.S. 446, 467 </w:t>
        </w:r>
        <w:r w:rsidR="0078310B" w:rsidRPr="00785043">
          <w:t>(1959))</w:t>
        </w:r>
      </w:hyperlink>
      <w:r w:rsidR="0078310B" w:rsidRPr="00785043">
        <w:t xml:space="preserve">. </w:t>
      </w:r>
      <w:r w:rsidR="0078310B">
        <w:t>“</w:t>
      </w:r>
      <w:r w:rsidR="0078310B" w:rsidRPr="00785043">
        <w:t xml:space="preserve">Since the Commissioner has </w:t>
      </w:r>
      <w:r w:rsidR="0078310B">
        <w:t>‘</w:t>
      </w:r>
      <w:r w:rsidR="0078310B" w:rsidRPr="00785043">
        <w:t>much latitude for discretion,</w:t>
      </w:r>
      <w:r w:rsidR="0078310B">
        <w:t>’</w:t>
      </w:r>
      <w:r w:rsidR="0078310B" w:rsidRPr="00785043">
        <w:t xml:space="preserve"> his interpretation of the statute</w:t>
      </w:r>
      <w:r w:rsidR="0078310B">
        <w:t>’</w:t>
      </w:r>
      <w:r w:rsidR="0078310B" w:rsidRPr="00785043">
        <w:t xml:space="preserve">s clear-reflection standard </w:t>
      </w:r>
      <w:r w:rsidR="0078310B">
        <w:t>‘</w:t>
      </w:r>
      <w:r w:rsidR="0078310B" w:rsidRPr="00785043">
        <w:t>should not be interfered with unless clearly unlawful.</w:t>
      </w:r>
      <w:r w:rsidR="0078310B">
        <w:t>’”</w:t>
      </w:r>
      <w:r w:rsidR="0078310B" w:rsidRPr="00785043">
        <w:t xml:space="preserve"> </w:t>
      </w:r>
      <w:hyperlink r:id="rId1132" w:history="1">
        <w:r w:rsidR="0078310B" w:rsidRPr="00785043">
          <w:t>439 U.S. at 532</w:t>
        </w:r>
      </w:hyperlink>
      <w:r w:rsidR="0078310B" w:rsidRPr="00785043">
        <w:t xml:space="preserve"> (quoting </w:t>
      </w:r>
      <w:hyperlink r:id="rId1133" w:history="1">
        <w:r w:rsidR="0078310B" w:rsidRPr="00950AF2">
          <w:rPr>
            <w:i/>
          </w:rPr>
          <w:t>Lucas v. Am. Code Co.</w:t>
        </w:r>
        <w:r w:rsidR="0078310B">
          <w:t xml:space="preserve">, 280 U.S. 445, 449 </w:t>
        </w:r>
        <w:r w:rsidR="0078310B" w:rsidRPr="00785043">
          <w:t>(1930))</w:t>
        </w:r>
      </w:hyperlink>
      <w:r w:rsidR="0078310B" w:rsidRPr="00785043">
        <w:t>. Once the Commissioner has determined that a method of accounting does not clearly reflect income, she may substitute a method that, in her opinion, does clearly reflect income.</w:t>
      </w:r>
    </w:p>
    <w:p w:rsidR="0078310B" w:rsidRPr="00785043" w:rsidRDefault="0078310B" w:rsidP="0078310B">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134" w:history="1">
        <w:r w:rsidRPr="000D71BA">
          <w:rPr>
            <w:i/>
          </w:rPr>
          <w:t>Walter v. Comm’r, 753 F.2d 35, 38 (6th Cir. 1985)</w:t>
        </w:r>
      </w:hyperlink>
      <w:r w:rsidRPr="00785043">
        <w:t xml:space="preserve">; </w:t>
      </w:r>
      <w:r w:rsidRPr="000D71BA">
        <w:rPr>
          <w:i/>
        </w:rPr>
        <w:t>see also</w:t>
      </w:r>
      <w:r w:rsidRPr="00785043">
        <w:t xml:space="preserve"> </w:t>
      </w:r>
      <w:hyperlink r:id="rId1135"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136" w:history="1">
        <w:r>
          <w:t xml:space="preserve">457 U.S. 1133 </w:t>
        </w:r>
        <w:r w:rsidRPr="00785043">
          <w:t>(1982)</w:t>
        </w:r>
      </w:hyperlink>
      <w:r w:rsidRPr="00785043">
        <w:t>.</w:t>
      </w:r>
    </w:p>
    <w:p w:rsidR="0078310B" w:rsidRPr="00785043" w:rsidRDefault="0078310B" w:rsidP="0078310B">
      <w:pPr>
        <w:widowControl w:val="0"/>
        <w:spacing w:after="120"/>
        <w:ind w:firstLine="288"/>
        <w:jc w:val="both"/>
      </w:pPr>
      <w:r w:rsidRPr="00785043">
        <w:t>B.</w:t>
      </w:r>
    </w:p>
    <w:p w:rsidR="0078310B" w:rsidRPr="00785043" w:rsidRDefault="0078310B" w:rsidP="0078310B">
      <w:pPr>
        <w:widowControl w:val="0"/>
        <w:spacing w:after="120"/>
        <w:ind w:firstLine="288"/>
        <w:jc w:val="both"/>
      </w:pPr>
      <w:r w:rsidRPr="00785043">
        <w:t xml:space="preserve">There are three stages to our analysis in this case: first, we decide whether the application of </w:t>
      </w:r>
      <w:hyperlink r:id="rId1137"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rsidR="0078310B" w:rsidRPr="00785043" w:rsidRDefault="0078310B" w:rsidP="0078310B">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138" w:history="1">
        <w:r w:rsidRPr="00785043">
          <w:t>§ 446(b)</w:t>
        </w:r>
      </w:hyperlink>
      <w:r w:rsidRPr="00785043">
        <w:t>.</w:t>
      </w:r>
    </w:p>
    <w:p w:rsidR="0078310B" w:rsidRPr="00785043" w:rsidRDefault="0078310B" w:rsidP="0078310B">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139" w:history="1">
        <w:r w:rsidRPr="00785043">
          <w:t>Treas. Reg. § 1.466-1(c)(1)(ii)</w:t>
        </w:r>
      </w:hyperlink>
      <w:r w:rsidRPr="00785043">
        <w:t xml:space="preserve">; </w:t>
      </w:r>
      <w:hyperlink r:id="rId1140"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rsidR="0078310B" w:rsidRPr="00785043" w:rsidRDefault="0078310B" w:rsidP="0078310B">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141"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142"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143" w:history="1">
        <w:r w:rsidRPr="00785043">
          <w:t>§ 446(b)</w:t>
        </w:r>
      </w:hyperlink>
      <w:r w:rsidRPr="00785043">
        <w:t xml:space="preserve"> to determine that a taxpayer</w:t>
      </w:r>
      <w:r>
        <w:t>’</w:t>
      </w:r>
      <w:r w:rsidRPr="00785043">
        <w:t>s method of accounting does not clearly reflect income.</w:t>
      </w:r>
    </w:p>
    <w:p w:rsidR="0078310B" w:rsidRPr="00785043" w:rsidRDefault="002B3596" w:rsidP="0078310B">
      <w:pPr>
        <w:widowControl w:val="0"/>
        <w:spacing w:after="120"/>
        <w:ind w:firstLine="288"/>
        <w:jc w:val="both"/>
      </w:pPr>
      <w:hyperlink r:id="rId1144" w:history="1">
        <w:r w:rsidR="0078310B" w:rsidRPr="00785043">
          <w:t>Section 446(c) of the Internal Revenue Code</w:t>
        </w:r>
      </w:hyperlink>
      <w:r w:rsidR="0078310B" w:rsidRPr="00785043">
        <w:t xml:space="preserve"> provides that, subject to the provisions of subsections (a) and (b), a taxpayer may compute taxable income under the accrual method of accounting. </w:t>
      </w:r>
      <w:hyperlink r:id="rId1145" w:history="1">
        <w:r w:rsidR="0078310B" w:rsidRPr="00785043">
          <w:t>26 U.S.C. § 446(c)(2)</w:t>
        </w:r>
      </w:hyperlink>
      <w:r w:rsidR="0078310B" w:rsidRPr="00785043">
        <w:t>. The all events test, which is merely a means devised to define the years in which income and deductions accrue, clearly is subordinate to the clear reflection standard co</w:t>
      </w:r>
      <w:r w:rsidR="0078310B">
        <w:t>ntained in subsection (b). The Tax C</w:t>
      </w:r>
      <w:r w:rsidR="0078310B" w:rsidRPr="00785043">
        <w:t>ourt stated:</w:t>
      </w:r>
    </w:p>
    <w:p w:rsidR="0078310B" w:rsidRPr="00785043" w:rsidRDefault="0078310B" w:rsidP="0078310B">
      <w:pPr>
        <w:widowControl w:val="0"/>
        <w:spacing w:after="120"/>
        <w:ind w:left="720" w:right="720"/>
        <w:jc w:val="both"/>
      </w:pPr>
      <w:r>
        <w:t xml:space="preserve">The provisions </w:t>
      </w:r>
      <w:r w:rsidRPr="00785043">
        <w:t xml:space="preserve">of </w:t>
      </w:r>
      <w:hyperlink r:id="rId1146"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under </w:t>
      </w:r>
      <w:hyperlink r:id="rId1147" w:history="1">
        <w:r w:rsidRPr="00785043">
          <w:t>section 446(b)</w:t>
        </w:r>
      </w:hyperlink>
      <w:r w:rsidRPr="00785043">
        <w:t xml:space="preserve"> by the taxpayer</w:t>
      </w:r>
      <w:r>
        <w:t>’</w:t>
      </w:r>
      <w:r w:rsidRPr="00785043">
        <w:t xml:space="preserve">s mere compliance with the methods of accounting generally permitted under </w:t>
      </w:r>
      <w:hyperlink r:id="rId1148" w:history="1">
        <w:r w:rsidRPr="00785043">
          <w:t>section 446(c)</w:t>
        </w:r>
      </w:hyperlink>
      <w:r>
        <w:t xml:space="preserve"> …. </w:t>
      </w:r>
      <w:r w:rsidRPr="00785043">
        <w:t>In short, the statute clearly provides that the taxpayers may use an accrual method so long as it clearly reflects income.</w:t>
      </w:r>
    </w:p>
    <w:p w:rsidR="0078310B" w:rsidRPr="00785043" w:rsidRDefault="0078310B" w:rsidP="0078310B">
      <w:pPr>
        <w:widowControl w:val="0"/>
        <w:spacing w:after="120"/>
        <w:jc w:val="both"/>
      </w:pPr>
      <w:r w:rsidRPr="00785043">
        <w:t xml:space="preserve">The language of </w:t>
      </w:r>
      <w:hyperlink r:id="rId1149"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50"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rsidR="0078310B" w:rsidRPr="00785043" w:rsidRDefault="0078310B" w:rsidP="0078310B">
      <w:pPr>
        <w:widowControl w:val="0"/>
        <w:spacing w:after="120"/>
        <w:ind w:firstLine="288"/>
        <w:jc w:val="both"/>
      </w:pPr>
      <w:r w:rsidRPr="00785043">
        <w:t>Petitioner argues that Congress acknowledged that the Commissioner</w:t>
      </w:r>
      <w:r>
        <w:t>’</w:t>
      </w:r>
      <w:r w:rsidRPr="00785043">
        <w:t xml:space="preserve">s discretion under </w:t>
      </w:r>
      <w:hyperlink r:id="rId1151" w:history="1">
        <w:r w:rsidRPr="00785043">
          <w:t>§ 446(b)</w:t>
        </w:r>
      </w:hyperlink>
      <w:r w:rsidRPr="00785043">
        <w:t xml:space="preserve"> does not extend to situations such as the present case when it changed the Internal Revenue Code, effective in 1984, to provide in </w:t>
      </w:r>
      <w:hyperlink r:id="rId1152"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53"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rsidR="0078310B" w:rsidRPr="00785043" w:rsidRDefault="0078310B" w:rsidP="0078310B">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54" w:history="1">
        <w:r w:rsidRPr="00785043">
          <w:t>section 446(b)</w:t>
        </w:r>
      </w:hyperlink>
      <w:r w:rsidRPr="00785043">
        <w:t xml:space="preserve"> in any way by enacting </w:t>
      </w:r>
      <w:hyperlink r:id="rId1155"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56" w:history="1">
        <w:r w:rsidRPr="00785043">
          <w:t>§ 461(h)</w:t>
        </w:r>
      </w:hyperlink>
      <w:r w:rsidRPr="00785043">
        <w:t xml:space="preserve"> limits the Commissioner</w:t>
      </w:r>
      <w:r>
        <w:t>’</w:t>
      </w:r>
      <w:r w:rsidRPr="00785043">
        <w:t xml:space="preserve">s authority under </w:t>
      </w:r>
      <w:hyperlink r:id="rId1157" w:history="1">
        <w:r w:rsidRPr="00785043">
          <w:t>§ 446(b)</w:t>
        </w:r>
      </w:hyperlink>
      <w:r w:rsidRPr="00785043">
        <w:t xml:space="preserve">. </w:t>
      </w:r>
      <w:hyperlink r:id="rId1158"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59" w:history="1">
        <w:r w:rsidRPr="00785043">
          <w:t>§ 446(b)</w:t>
        </w:r>
      </w:hyperlink>
      <w:r w:rsidRPr="00785043">
        <w:t xml:space="preserve"> on a case-by-case basis to taxpayers in tax years prior to 1984.</w:t>
      </w:r>
    </w:p>
    <w:p w:rsidR="0078310B" w:rsidRPr="00785043" w:rsidRDefault="0078310B" w:rsidP="0078310B">
      <w:pPr>
        <w:widowControl w:val="0"/>
        <w:spacing w:after="120"/>
        <w:ind w:firstLine="288"/>
        <w:jc w:val="both"/>
      </w:pPr>
      <w:r w:rsidRPr="00785043">
        <w:t>C.</w:t>
      </w:r>
    </w:p>
    <w:p w:rsidR="0078310B" w:rsidRPr="00785043" w:rsidRDefault="0078310B" w:rsidP="0078310B">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rsidR="0078310B" w:rsidRPr="00785043" w:rsidRDefault="0078310B" w:rsidP="0078310B">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leaving it with $302,400. The Tax C</w:t>
      </w:r>
      <w:r w:rsidRPr="00785043">
        <w:t>ourt then noted that, if the after tax proceeds were invested over 42 years a</w:t>
      </w:r>
      <w:r>
        <w:t>t a rate of 8.19 percent, the $302,400 would grow to $</w:t>
      </w:r>
      <w:r w:rsidRPr="00785043">
        <w:t>8,249,751.</w:t>
      </w:r>
    </w:p>
    <w:p w:rsidR="0078310B" w:rsidRPr="00785043" w:rsidRDefault="0078310B" w:rsidP="0078310B">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rsidR="0078310B" w:rsidRPr="00785043" w:rsidRDefault="0078310B" w:rsidP="0078310B">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rsidR="0078310B" w:rsidRPr="00785043" w:rsidRDefault="0078310B" w:rsidP="0078310B">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rsidR="0078310B" w:rsidRPr="00785043" w:rsidRDefault="0078310B" w:rsidP="0078310B">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60"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rsidR="0078310B" w:rsidRPr="00785043" w:rsidRDefault="0078310B" w:rsidP="0078310B">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rsidR="0078310B" w:rsidRDefault="0078310B" w:rsidP="0078310B">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61"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62"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63"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64"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65" w:history="1">
        <w:r w:rsidRPr="009855B3">
          <w:rPr>
            <w:i/>
          </w:rPr>
          <w:t>Id.</w:t>
        </w:r>
        <w:r w:rsidRPr="00785043">
          <w:t xml:space="preserve"> at 409-10</w:t>
        </w:r>
      </w:hyperlink>
      <w:r w:rsidRPr="00785043">
        <w:t>.</w:t>
      </w:r>
    </w:p>
    <w:p w:rsidR="0078310B" w:rsidRPr="00785043" w:rsidRDefault="0078310B" w:rsidP="0078310B">
      <w:pPr>
        <w:widowControl w:val="0"/>
        <w:spacing w:after="120"/>
        <w:ind w:firstLine="288"/>
        <w:jc w:val="both"/>
      </w:pPr>
      <w:r>
        <w:t>…</w:t>
      </w:r>
    </w:p>
    <w:p w:rsidR="0078310B" w:rsidRPr="00785043" w:rsidRDefault="0078310B" w:rsidP="0078310B">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66"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67"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rsidR="0078310B" w:rsidRPr="00785043" w:rsidRDefault="0078310B" w:rsidP="0078310B">
      <w:pPr>
        <w:widowControl w:val="0"/>
        <w:spacing w:after="120"/>
        <w:ind w:firstLine="288"/>
        <w:jc w:val="both"/>
      </w:pPr>
      <w:r w:rsidRPr="00785043">
        <w:t>We are not persuaded by t</w:t>
      </w:r>
      <w:r>
        <w:t>his policy-based argument. The Tax C</w:t>
      </w:r>
      <w:r w:rsidRPr="00785043">
        <w:t>ourt concluded its opinion stating:</w:t>
      </w:r>
    </w:p>
    <w:p w:rsidR="0078310B" w:rsidRPr="00785043" w:rsidRDefault="0078310B" w:rsidP="0078310B">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rsidR="0078310B" w:rsidRPr="00785043" w:rsidRDefault="0078310B" w:rsidP="0078310B">
      <w:pPr>
        <w:widowControl w:val="0"/>
        <w:spacing w:after="120"/>
        <w:jc w:val="both"/>
      </w:pPr>
      <w:r>
        <w:t>As the T</w:t>
      </w:r>
      <w:r w:rsidRPr="00785043">
        <w:t xml:space="preserve">ax </w:t>
      </w:r>
      <w:r>
        <w:t>C</w:t>
      </w:r>
      <w:r w:rsidRPr="00785043">
        <w:t xml:space="preserve">ourt observed, </w:t>
      </w:r>
      <w:bookmarkStart w:id="422" w:name="clsccl9"/>
      <w:bookmarkEnd w:id="422"/>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1168" w:history="1">
        <w:r w:rsidRPr="007A5B37">
          <w:rPr>
            <w:i/>
          </w:rPr>
          <w:t>Ham</w:t>
        </w:r>
        <w:r>
          <w:rPr>
            <w:i/>
          </w:rPr>
          <w:t>ilton Indus., Inc. v. Comm’</w:t>
        </w:r>
        <w:r w:rsidRPr="007A5B37">
          <w:rPr>
            <w:i/>
          </w:rPr>
          <w:t>r</w:t>
        </w:r>
        <w:r w:rsidRPr="00785043">
          <w:t>, 97 T.C. 120, 128-29 (1991)</w:t>
        </w:r>
      </w:hyperlink>
      <w:r w:rsidRPr="00785043">
        <w:t xml:space="preserve"> (citing </w:t>
      </w:r>
      <w:hyperlink r:id="rId1169"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rsidR="0078310B" w:rsidRPr="00785043" w:rsidRDefault="0078310B" w:rsidP="0078310B">
      <w:pPr>
        <w:widowControl w:val="0"/>
        <w:spacing w:after="120"/>
        <w:ind w:firstLine="288"/>
        <w:jc w:val="both"/>
      </w:pPr>
      <w:r w:rsidRPr="00785043">
        <w:t>D.</w:t>
      </w:r>
    </w:p>
    <w:p w:rsidR="0078310B" w:rsidRPr="00785043" w:rsidRDefault="0078310B" w:rsidP="0078310B">
      <w:pPr>
        <w:widowControl w:val="0"/>
        <w:spacing w:after="120"/>
        <w:ind w:firstLine="288"/>
        <w:jc w:val="both"/>
      </w:pPr>
      <w:r w:rsidRPr="00785043">
        <w:t>Given that a change was necessary because Ford</w:t>
      </w:r>
      <w:r>
        <w:t>’</w:t>
      </w:r>
      <w:r w:rsidRPr="00785043">
        <w:t>s accrual of its settlement obligations in 1980 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rsidR="0078310B" w:rsidRPr="00785043" w:rsidRDefault="0078310B" w:rsidP="0078310B">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rsidR="0078310B" w:rsidRPr="00785043" w:rsidRDefault="0078310B" w:rsidP="0078310B">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rsidR="0078310B" w:rsidRPr="00785043" w:rsidRDefault="0078310B" w:rsidP="0078310B">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rsidR="0078310B" w:rsidRPr="00785043" w:rsidRDefault="0078310B" w:rsidP="0078310B">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rsidR="0078310B" w:rsidRPr="00785043" w:rsidRDefault="0078310B" w:rsidP="0078310B">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70"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71"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rsidR="0078310B" w:rsidRDefault="0078310B" w:rsidP="0078310B">
      <w:pPr>
        <w:widowControl w:val="0"/>
        <w:spacing w:after="120"/>
        <w:jc w:val="center"/>
      </w:pPr>
      <w:r>
        <w:t>III.</w:t>
      </w:r>
    </w:p>
    <w:p w:rsidR="0078310B" w:rsidRDefault="0078310B" w:rsidP="0078310B">
      <w:pPr>
        <w:widowControl w:val="0"/>
        <w:ind w:firstLine="288"/>
        <w:jc w:val="both"/>
      </w:pPr>
      <w:r>
        <w:t>For the reasons stated, the judgment of the Tax Court is AFFIRMED.</w:t>
      </w:r>
    </w:p>
    <w:p w:rsidR="0078310B" w:rsidRDefault="0078310B" w:rsidP="0078310B">
      <w:pPr>
        <w:widowControl w:val="0"/>
        <w:jc w:val="center"/>
      </w:pPr>
      <w:r>
        <w:t>__________________________________________</w:t>
      </w:r>
    </w:p>
    <w:p w:rsidR="0078310B" w:rsidRDefault="0078310B" w:rsidP="0078310B">
      <w:pPr>
        <w:widowControl w:val="0"/>
        <w:jc w:val="both"/>
      </w:pPr>
    </w:p>
    <w:p w:rsidR="0078310B" w:rsidRDefault="0078310B" w:rsidP="0078310B">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83"/>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84"/>
      </w:r>
      <w:r>
        <w:t xml:space="preserve"> Nevertheless, the court ruled in favor of the Commissioner on the alternative ground that current accrual would not clearly reflect income and thus was within the Commissioner’s § 446(b) discretion to deny. </w:t>
      </w:r>
    </w:p>
    <w:p w:rsidR="0078310B" w:rsidRDefault="0078310B" w:rsidP="0078310B">
      <w:pPr>
        <w:widowControl w:val="0"/>
        <w:spacing w:after="120"/>
        <w:ind w:left="720" w:right="720"/>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85"/>
      </w:r>
    </w:p>
    <w:p w:rsidR="0078310B" w:rsidRDefault="0078310B" w:rsidP="0078310B">
      <w:pPr>
        <w:widowControl w:val="0"/>
        <w:spacing w:after="120"/>
        <w:ind w:firstLine="288"/>
        <w:jc w:val="both"/>
      </w:pPr>
      <w: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w:t>
      </w:r>
      <w:hyperlink r:id="rId1172" w:history="1">
        <w:r w:rsidRPr="008053A6">
          <w:rPr>
            <w:rStyle w:val="Hyperlink"/>
          </w:rPr>
          <w:t>§ 461</w:t>
        </w:r>
      </w:hyperlink>
      <w:r>
        <w:t xml:space="preserve">(h). If the facts in </w:t>
      </w:r>
      <w:r>
        <w:rPr>
          <w:i/>
        </w:rPr>
        <w:t xml:space="preserve">Ford Motor Company </w:t>
      </w:r>
      <w:r>
        <w:t xml:space="preserve">had arisen after 1984 (rather than before), § 461(h) would have prevented Year-1 deduction of the entire face amount of future tort payments </w:t>
      </w:r>
      <w:r w:rsidR="00C173B2">
        <w:t xml:space="preserve">(without regard to the § 446(b) “clear reflection” standard) </w:t>
      </w:r>
      <w:r>
        <w:t>because economic performance with respect to payment of a tort liability does not occur until payment.</w:t>
      </w:r>
      <w:r>
        <w:rPr>
          <w:rStyle w:val="FootnoteReference"/>
        </w:rPr>
        <w:footnoteReference w:id="886"/>
      </w:r>
      <w:r>
        <w:t xml:space="preserve"> </w:t>
      </w:r>
    </w:p>
    <w:p w:rsidR="0078310B" w:rsidRDefault="00AD3CFA" w:rsidP="0078310B">
      <w:pPr>
        <w:widowControl w:val="0"/>
        <w:spacing w:after="120"/>
        <w:ind w:firstLine="288"/>
        <w:jc w:val="both"/>
      </w:pPr>
      <w:r>
        <w:t xml:space="preserve">With respect to the accrual (deduction) of expenses connected with </w:t>
      </w:r>
      <w:r w:rsidR="0078310B">
        <w:t>providing property or services to customers, economic performance occurs as the property or service is delivered to the customer.</w:t>
      </w:r>
      <w:r w:rsidR="0078310B">
        <w:rPr>
          <w:rStyle w:val="FootnoteReference"/>
        </w:rPr>
        <w:footnoteReference w:id="887"/>
      </w:r>
      <w:r w:rsidR="0078310B">
        <w:t xml:space="preserve"> Assume, for example, that an accrual method seller of central air conditioning systems agrees, with each sale, to service the air conditioner at no cost (</w:t>
      </w:r>
      <w:r w:rsidR="0078310B">
        <w:rPr>
          <w:i/>
        </w:rPr>
        <w:t>e.g.</w:t>
      </w:r>
      <w:r w:rsidR="0078310B">
        <w:t xml:space="preserve">, replace the air filter or add coolant) at the end of the first and second ownership years. Prior to the enactment of § 461(h), the air conditioner seller might have been permitted to deduct in the sale year the anticipated costs of servicing the air conditioners under the service contract if those costs could be determined “with reasonable accuracy” in Year 1. After 1984, however, these service costs could not be accrued (deducted) any earlier than each of the two years in which the services are performed. </w:t>
      </w:r>
    </w:p>
    <w:p w:rsidR="0078310B" w:rsidRDefault="0078310B" w:rsidP="0078310B">
      <w:pPr>
        <w:widowControl w:val="0"/>
        <w:spacing w:after="120"/>
        <w:ind w:firstLine="288"/>
        <w:jc w:val="both"/>
      </w:pPr>
      <w:r>
        <w:t xml:space="preserve">With respect to the accrual (deduction) of expenses connected with </w:t>
      </w:r>
      <w:r w:rsidR="00AD3CFA">
        <w:t xml:space="preserve">receiving </w:t>
      </w:r>
      <w:r>
        <w:t xml:space="preserve">property or </w:t>
      </w:r>
      <w:r w:rsidR="00AD3CFA">
        <w:t>services from another</w:t>
      </w:r>
      <w:r>
        <w:t>, accrual occurs as the property or services are received.</w:t>
      </w:r>
      <w:r>
        <w:rPr>
          <w:rStyle w:val="FootnoteReference"/>
        </w:rPr>
        <w:footnoteReference w:id="888"/>
      </w:r>
      <w:r>
        <w:t xml:space="preserve"> Assume, for example, that an accrual method taxpayer contracts in Year 1 for electricit</w:t>
      </w:r>
      <w:r w:rsidR="00C84FAA">
        <w:t>y to be provided to</w:t>
      </w:r>
      <w:r>
        <w:t xml:space="preserve"> his business in Year 3 at a cost of $10,000. Even though the liability is fixed (under the contract) in Year 1 and the amount is known with precision, the taxpayer cannot deduct the costs until Year 3 when the electricity is received.</w:t>
      </w:r>
    </w:p>
    <w:p w:rsidR="0078310B" w:rsidRDefault="0078310B" w:rsidP="0078310B">
      <w:pPr>
        <w:widowControl w:val="0"/>
        <w:spacing w:after="120"/>
        <w:ind w:firstLine="288"/>
        <w:jc w:val="both"/>
      </w:pPr>
      <w:r>
        <w:t xml:space="preserve">Congress added an exception in § 461(h)(3) that permits accrual of items in Year 1 if </w:t>
      </w:r>
    </w:p>
    <w:p w:rsidR="0078310B" w:rsidRDefault="0078310B" w:rsidP="0078310B">
      <w:pPr>
        <w:pStyle w:val="ListParagraph"/>
        <w:widowControl w:val="0"/>
        <w:numPr>
          <w:ilvl w:val="0"/>
          <w:numId w:val="33"/>
        </w:numPr>
        <w:spacing w:after="120"/>
        <w:ind w:left="648"/>
        <w:contextualSpacing w:val="0"/>
        <w:jc w:val="both"/>
      </w:pPr>
      <w:r>
        <w:t xml:space="preserve">the all-events test is satisfied in Year 1, </w:t>
      </w:r>
    </w:p>
    <w:p w:rsidR="0078310B" w:rsidRDefault="0078310B" w:rsidP="0078310B">
      <w:pPr>
        <w:pStyle w:val="ListParagraph"/>
        <w:widowControl w:val="0"/>
        <w:numPr>
          <w:ilvl w:val="0"/>
          <w:numId w:val="33"/>
        </w:numPr>
        <w:spacing w:after="120"/>
        <w:ind w:left="648"/>
        <w:contextualSpacing w:val="0"/>
        <w:jc w:val="both"/>
      </w:pPr>
      <w:r>
        <w:t xml:space="preserve">economic performance will occur within the shorter of a “reasonable </w:t>
      </w:r>
      <w:r w:rsidR="008053A6">
        <w:t>period” or 8½ months after the close of Year 1</w:t>
      </w:r>
      <w:r>
        <w:t xml:space="preserve">, </w:t>
      </w:r>
    </w:p>
    <w:p w:rsidR="0078310B" w:rsidRDefault="0078310B" w:rsidP="0078310B">
      <w:pPr>
        <w:pStyle w:val="ListParagraph"/>
        <w:widowControl w:val="0"/>
        <w:numPr>
          <w:ilvl w:val="0"/>
          <w:numId w:val="33"/>
        </w:numPr>
        <w:spacing w:after="120"/>
        <w:ind w:left="648"/>
        <w:contextualSpacing w:val="0"/>
        <w:jc w:val="both"/>
      </w:pPr>
      <w:r>
        <w:t>the item is recurring in nature and is consistently treated as accruing in the year that the all-events test is met, and</w:t>
      </w:r>
    </w:p>
    <w:p w:rsidR="0078310B" w:rsidRPr="00885B68" w:rsidRDefault="0078310B" w:rsidP="0078310B">
      <w:pPr>
        <w:pStyle w:val="ListParagraph"/>
        <w:widowControl w:val="0"/>
        <w:numPr>
          <w:ilvl w:val="0"/>
          <w:numId w:val="33"/>
        </w:numPr>
        <w:spacing w:after="120"/>
        <w:ind w:left="648"/>
        <w:contextualSpacing w:val="0"/>
        <w:jc w:val="both"/>
      </w:pPr>
      <w:r>
        <w:t xml:space="preserve">either (1) the item is not a “material item” or (2) accrual in Year 1 results in a “more proper match” against related income than would accrual in Year 2, and financial statements are taken into account in this regard.  </w:t>
      </w:r>
    </w:p>
    <w:p w:rsidR="0078310B" w:rsidRPr="00DE2DC3" w:rsidRDefault="00392A5B" w:rsidP="0078310B">
      <w:pPr>
        <w:widowControl w:val="0"/>
        <w:spacing w:after="120"/>
        <w:jc w:val="both"/>
      </w:pPr>
      <w:r>
        <w:t xml:space="preserve">That last bullet indicates that even Congress could not completely let go of the “matching principle” when it addressed the problem of premature deduction for future payments. </w:t>
      </w:r>
      <w:r w:rsidR="0078310B">
        <w:t xml:space="preserve">You can think of § 461(h)(3) as a species of </w:t>
      </w:r>
      <w:r w:rsidR="0078310B">
        <w:rPr>
          <w:i/>
        </w:rPr>
        <w:t xml:space="preserve">de minimis </w:t>
      </w:r>
      <w:r w:rsidR="0078310B">
        <w:t xml:space="preserve">rule. </w:t>
      </w:r>
    </w:p>
    <w:p w:rsidR="0078310B" w:rsidRDefault="0078310B" w:rsidP="0078310B">
      <w:pPr>
        <w:widowControl w:val="0"/>
        <w:spacing w:after="120"/>
        <w:ind w:firstLine="288"/>
        <w:jc w:val="both"/>
      </w:pPr>
      <w:r>
        <w:t xml:space="preserve">There are two ways to fix the problem in accounting for future payments for </w:t>
      </w:r>
      <w:r w:rsidR="00392A5B">
        <w:t xml:space="preserve">income </w:t>
      </w:r>
      <w:r>
        <w:t xml:space="preserve">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DE2DC3">
        <w:rPr>
          <w:i/>
        </w:rPr>
        <w:t>never</w:t>
      </w:r>
      <w:r>
        <w:t xml:space="preserve"> be accrued until paid in order to honor income tax values (and not allow capital returns to effectively escape taxation between the time deducted and the time paid) instead of creating the “economic performance” rules?</w:t>
      </w:r>
    </w:p>
    <w:p w:rsidR="0078310B" w:rsidRDefault="0078310B" w:rsidP="0078310B">
      <w:pPr>
        <w:widowControl w:val="0"/>
        <w:spacing w:after="120"/>
        <w:ind w:firstLine="288"/>
        <w:jc w:val="both"/>
      </w:pPr>
      <w:r>
        <w:t>Such an approach would, in essence, require use of the cash method of accounting. Let’s return to this idea after first considering the receipt of prepaid income by an accrual method taxpayer.</w:t>
      </w:r>
    </w:p>
    <w:p w:rsidR="0078310B" w:rsidRPr="009A6F32" w:rsidRDefault="0078310B" w:rsidP="0078310B">
      <w:pPr>
        <w:pStyle w:val="Heading3"/>
        <w:spacing w:before="0" w:beforeAutospacing="0" w:after="120" w:afterAutospacing="0"/>
        <w:rPr>
          <w:i/>
        </w:rPr>
      </w:pPr>
      <w:bookmarkStart w:id="423" w:name="_Toc395790717"/>
      <w:r>
        <w:rPr>
          <w:i/>
        </w:rPr>
        <w:t>The accrual (</w:t>
      </w:r>
      <w:r w:rsidR="004279F6">
        <w:rPr>
          <w:i/>
        </w:rPr>
        <w:t>inclusion) of prepaid income (</w:t>
      </w:r>
      <w:r w:rsidRPr="009A6F32">
        <w:rPr>
          <w:i/>
        </w:rPr>
        <w:t>advance payments</w:t>
      </w:r>
      <w:bookmarkEnd w:id="423"/>
      <w:r w:rsidR="004279F6">
        <w:rPr>
          <w:i/>
        </w:rPr>
        <w:t>)</w:t>
      </w:r>
    </w:p>
    <w:p w:rsidR="0078310B" w:rsidRDefault="0078310B" w:rsidP="0078310B">
      <w:pPr>
        <w:widowControl w:val="0"/>
        <w:spacing w:after="120"/>
        <w:ind w:firstLine="288"/>
        <w:jc w:val="both"/>
      </w:pPr>
      <w:r>
        <w:t xml:space="preserve">For financial accounting purposes, gross receipts are not included in income, even though prepaid and thus in hand, until they are </w:t>
      </w:r>
      <w:r w:rsidRPr="009944CA">
        <w:rPr>
          <w:i/>
        </w:rPr>
        <w:t>earned</w:t>
      </w:r>
      <w:r>
        <w:t xml:space="preserve"> through the future delivery of goods or services. Thus, a business receiving payment in Year 1 for services that it will perform for the customer in Year 3 is not included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of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w:t>
      </w:r>
      <w:r w:rsidR="00323CCE">
        <w:t xml:space="preserve">And the alternative of also deducting those future costs in Year 1 under the matching principle is not feasible if those future costs are not known within reasonable certainty in Year 1. </w:t>
      </w:r>
    </w:p>
    <w:p w:rsidR="0078310B" w:rsidRDefault="0078310B" w:rsidP="0078310B">
      <w:pPr>
        <w:widowControl w:val="0"/>
        <w:spacing w:after="120"/>
        <w:ind w:firstLine="288"/>
        <w:jc w:val="both"/>
      </w:pPr>
      <w:r>
        <w:t xml:space="preserve">When should the accrual method taxpayer include prepaid income </w:t>
      </w:r>
      <w:r w:rsidRPr="003736C7">
        <w:rPr>
          <w:i/>
        </w:rPr>
        <w:t xml:space="preserve">for </w:t>
      </w:r>
      <w:r w:rsidR="00323CCE">
        <w:rPr>
          <w:i/>
        </w:rPr>
        <w:t xml:space="preserve">income </w:t>
      </w:r>
      <w:r w:rsidRPr="003736C7">
        <w:rPr>
          <w:i/>
        </w:rPr>
        <w:t>tax purposes</w:t>
      </w:r>
      <w:r>
        <w:t xml:space="preserve"> (as opposed to financial accounting puruposes)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rsidR="0078310B" w:rsidRDefault="0078310B" w:rsidP="0078310B">
      <w:pPr>
        <w:widowControl w:val="0"/>
        <w:spacing w:after="120"/>
        <w:ind w:firstLine="288"/>
        <w:jc w:val="both"/>
      </w:pPr>
      <w:r>
        <w:t>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w:t>
      </w:r>
      <w:r w:rsidR="00323CCE">
        <w:t>d taxpayers to defer Gross Income</w:t>
      </w:r>
      <w:r>
        <w:t xml:space="preserve"> until earned—especially under the “annual accounting principle” explored in the last chapter and our consideration of the receipt of cash subject only to a contingent obligation to repay in connection with </w:t>
      </w:r>
      <w:r>
        <w:rPr>
          <w:i/>
        </w:rPr>
        <w:t>North American Oil</w:t>
      </w:r>
      <w:r>
        <w:t xml:space="preserve"> in Chapter 10. After all, if the goods or services are not, in fact, delivered as expected in the future year and cash has to be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Pr>
          <w:i/>
        </w:rPr>
        <w:t>when</w:t>
      </w:r>
      <w:r>
        <w:t xml:space="preserve"> future costs (to be matched with the prepaid income) would be incurred.  </w:t>
      </w:r>
    </w:p>
    <w:p w:rsidR="0078310B" w:rsidRDefault="0078310B" w:rsidP="0078310B">
      <w:pPr>
        <w:widowControl w:val="0"/>
        <w:spacing w:after="120"/>
        <w:ind w:firstLine="288"/>
        <w:jc w:val="both"/>
      </w:pPr>
      <w:r>
        <w:t xml:space="preserve">In </w:t>
      </w:r>
      <w:r>
        <w:rPr>
          <w:i/>
        </w:rPr>
        <w:t>Automobile Club of Michigan v. Commissioner</w:t>
      </w:r>
      <w:r>
        <w:t>,</w:t>
      </w:r>
      <w:r>
        <w:rPr>
          <w:rStyle w:val="FootnoteReference"/>
        </w:rPr>
        <w:footnoteReference w:id="889"/>
      </w:r>
      <w:r>
        <w:t xml:space="preserve"> 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E13CEC">
        <w:rPr>
          <w:vertAlign w:val="superscript"/>
        </w:rPr>
        <w:t>th</w:t>
      </w:r>
      <w:r>
        <w:t xml:space="preserve"> of the receipt at the end of each month of the 12-month contract. Thus, a calen</w:t>
      </w:r>
      <w:r w:rsidR="00323CCE">
        <w:t>dar year taxpayer receiving a $12</w:t>
      </w:r>
      <w:r>
        <w:t xml:space="preserve">0 payment on November 1 for a one-year membership beginning on </w:t>
      </w:r>
      <w:r w:rsidR="00323CCE">
        <w:t>that date would include only $20</w:t>
      </w:r>
      <w:r>
        <w:t xml:space="preserve"> in Year 1 </w:t>
      </w:r>
      <w:r w:rsidR="00323CCE">
        <w:t>(reflecting $10 inclusions for each of November and December) and $10</w:t>
      </w:r>
      <w:r>
        <w:t>0 in Year 2. The Court deferred to the Commissioner, who argued that such deferral f</w:t>
      </w:r>
      <w:r w:rsidR="00323CCE">
        <w:t>ailed to clearly reflect income under § 446(b).</w:t>
      </w:r>
    </w:p>
    <w:p w:rsidR="0078310B" w:rsidRDefault="0078310B" w:rsidP="0078310B">
      <w:pPr>
        <w:widowControl w:val="0"/>
        <w:spacing w:after="120"/>
        <w:ind w:left="720" w:right="720"/>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90"/>
      </w:r>
    </w:p>
    <w:p w:rsidR="0078310B" w:rsidRDefault="0078310B" w:rsidP="0078310B">
      <w:pPr>
        <w:widowControl w:val="0"/>
        <w:spacing w:after="120"/>
        <w:ind w:firstLine="288"/>
        <w:jc w:val="both"/>
      </w:pPr>
      <w:r>
        <w:t>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w:t>
      </w:r>
      <w:r w:rsidR="00D9671E">
        <w:t>orting of the item on the Gross Income</w:t>
      </w:r>
      <w:r>
        <w:t xml:space="preserve"> side. </w:t>
      </w:r>
    </w:p>
    <w:p w:rsidR="0078310B" w:rsidRDefault="0078310B" w:rsidP="0078310B">
      <w:pPr>
        <w:widowControl w:val="0"/>
        <w:spacing w:after="120"/>
        <w:ind w:firstLine="288"/>
        <w:jc w:val="both"/>
      </w:pPr>
      <w:r>
        <w:t xml:space="preserve">In </w:t>
      </w:r>
      <w:r>
        <w:rPr>
          <w:i/>
        </w:rPr>
        <w:t>American Automobile Association v. United States</w:t>
      </w:r>
      <w:r>
        <w:t>,</w:t>
      </w:r>
      <w:r w:rsidRPr="00D07D5B">
        <w:rPr>
          <w:rStyle w:val="FootnoteReference"/>
        </w:rPr>
        <w:footnoteReference w:id="891"/>
      </w:r>
      <w:r>
        <w:t xml:space="preserve"> the American Automobile </w:t>
      </w:r>
      <w:r w:rsidR="00471116">
        <w:t>Association pressed its</w:t>
      </w:r>
      <w:r>
        <w:t xml:space="preserve"> case again, this time with better statistical evidence regarding the rate at which futur</w:t>
      </w:r>
      <w:r w:rsidR="00471116">
        <w:t>e costs would be incurred, attempting t</w:t>
      </w:r>
      <w:r>
        <w:t xml:space="preserve">o distinguish </w:t>
      </w:r>
      <w:r>
        <w:rPr>
          <w:i/>
        </w:rPr>
        <w:t>Automobile Club of Michigan</w:t>
      </w:r>
      <w:r>
        <w:t xml:space="preserve"> by arguing:</w:t>
      </w:r>
    </w:p>
    <w:p w:rsidR="0078310B" w:rsidRPr="00FC0103" w:rsidRDefault="0078310B" w:rsidP="0078310B">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892"/>
      </w:r>
    </w:p>
    <w:p w:rsidR="0078310B" w:rsidRDefault="0078310B" w:rsidP="0078310B">
      <w:pPr>
        <w:widowControl w:val="0"/>
        <w:spacing w:after="120"/>
        <w:ind w:firstLine="288"/>
        <w:jc w:val="both"/>
      </w:pPr>
      <w:r>
        <w:t>The Court again held for the Comm</w:t>
      </w:r>
      <w:r w:rsidR="00471116">
        <w:t xml:space="preserve">issioner in forbidding deferral </w:t>
      </w:r>
      <w:r>
        <w:t>of the prepai</w:t>
      </w:r>
      <w:r w:rsidR="00471116">
        <w:t>d income in the year of receipt under the § 446(b) clear reflection standard.</w:t>
      </w:r>
      <w:r>
        <w:t xml:space="preserve"> T</w:t>
      </w:r>
      <w:r w:rsidR="00471116">
        <w:t xml:space="preserve">he Court essentially concluded </w:t>
      </w:r>
      <w:r>
        <w:t>that no statistical evidence would be sufficient becaus</w:t>
      </w:r>
      <w:r w:rsidR="00471116">
        <w:t xml:space="preserve">e the future services are </w:t>
      </w:r>
      <w:r>
        <w:t>performed solely at the demand of individual members. The Court rejected an approach that established the rate of future costs by looking to service demand from the members as a pool. Because both the time and extent of the future services to be performed for an</w:t>
      </w:r>
      <w:r w:rsidR="00471116">
        <w:t>y</w:t>
      </w:r>
      <w:r>
        <w:t xml:space="preserve"> individual member could</w:t>
      </w:r>
      <w:r w:rsidR="00471116">
        <w:t xml:space="preserve"> not be established</w:t>
      </w:r>
      <w:r>
        <w:t>, deferring income to match future expenses that might never arise is not necessary to reflect income clearly under the matching principle, the Court apparently reasoned. “Not only did individually incurred expenses actually vary from month to month, but even the average expense varied—recognition of income nonetheless remaining ratably constant.”</w:t>
      </w:r>
      <w:r>
        <w:rPr>
          <w:rStyle w:val="FootnoteReference"/>
        </w:rPr>
        <w:footnoteReference w:id="893"/>
      </w:r>
      <w:r>
        <w:t xml:space="preserve"> Thus, the exercise of the Commissioner’s discretion under the clear reflection standard was not “unsound.”</w:t>
      </w:r>
      <w:r>
        <w:rPr>
          <w:rStyle w:val="FootnoteReference"/>
        </w:rPr>
        <w:footnoteReference w:id="894"/>
      </w:r>
    </w:p>
    <w:p w:rsidR="0078310B" w:rsidRDefault="0078310B" w:rsidP="0078310B">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895"/>
      </w:r>
      <w:r>
        <w:t xml:space="preserve"> 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w:t>
      </w:r>
      <w:r w:rsidR="00471116">
        <w:t xml:space="preserve">ons </w:t>
      </w:r>
      <w:r>
        <w:t>at their future convenience. The contracts were nonrefundable. The Schludes, who used t</w:t>
      </w:r>
      <w:r w:rsidR="00471116">
        <w:t xml:space="preserve">he accrual method </w:t>
      </w:r>
      <w:r>
        <w:t>in keeping the dance studio’s books, reported the prepaid gross receipts for tax purposes over time as lessons were taught (or as contracts were canceled without lessons). “Three certified public accountants testified that in their opinion the accounting system employed truly reflected the net income in accordance with commercial accrual accounting standards.”</w:t>
      </w:r>
      <w:r>
        <w:rPr>
          <w:rStyle w:val="FootnoteReference"/>
        </w:rPr>
        <w:footnoteReference w:id="896"/>
      </w:r>
      <w:r>
        <w:t xml:space="preserve"> The Commissioner once again argued that th</w:t>
      </w:r>
      <w:r w:rsidR="00471116">
        <w:t xml:space="preserve">e prepaid gross receipts must </w:t>
      </w:r>
      <w:r>
        <w:t>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rsidR="0078310B" w:rsidRDefault="0078310B" w:rsidP="0078310B">
      <w:pPr>
        <w:widowControl w:val="0"/>
        <w:spacing w:after="120"/>
        <w:ind w:left="720" w:right="720"/>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897"/>
      </w:r>
    </w:p>
    <w:p w:rsidR="0078310B" w:rsidRPr="00DC5F34" w:rsidRDefault="0078310B" w:rsidP="0078310B">
      <w:pPr>
        <w:widowControl w:val="0"/>
        <w:spacing w:after="120"/>
        <w:ind w:firstLine="288"/>
        <w:jc w:val="both"/>
      </w:pPr>
      <w:r>
        <w:t xml:space="preserve">The Court’s language in the trilogy regarding the need to know the precise time and extent of future services if prepaid income is to be deferred until those future years under the matching rationale permitted taxpayer victories in </w:t>
      </w:r>
      <w:r>
        <w:rPr>
          <w:i/>
        </w:rPr>
        <w:t>Artnell Company v. Commissioner</w:t>
      </w:r>
      <w:r>
        <w:rPr>
          <w:rStyle w:val="FootnoteReference"/>
        </w:rPr>
        <w:footnoteReference w:id="898"/>
      </w:r>
      <w:r>
        <w:t xml:space="preserve"> and </w:t>
      </w:r>
      <w:r>
        <w:rPr>
          <w:i/>
        </w:rPr>
        <w:t>Tampa Bay Devil Rays v. Commissioner</w:t>
      </w:r>
      <w:r>
        <w:t>.</w:t>
      </w:r>
      <w:r>
        <w:rPr>
          <w:rStyle w:val="FootnoteReference"/>
        </w:rPr>
        <w:footnoteReference w:id="899"/>
      </w:r>
      <w:r>
        <w:rPr>
          <w:i/>
        </w:rPr>
        <w:t xml:space="preserve"> </w:t>
      </w:r>
      <w: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Pr>
          <w:i/>
        </w:rPr>
        <w:t>Artnell</w:t>
      </w:r>
      <w:r>
        <w:t xml:space="preserve">, the court stated: </w:t>
      </w:r>
    </w:p>
    <w:p w:rsidR="0078310B" w:rsidRDefault="0078310B" w:rsidP="0078310B">
      <w:pPr>
        <w:widowControl w:val="0"/>
        <w:spacing w:after="120"/>
        <w:ind w:left="720" w:right="720"/>
        <w:jc w:val="both"/>
      </w:pPr>
      <w:r>
        <w:t>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respect.</w:t>
      </w:r>
      <w:r>
        <w:rPr>
          <w:rStyle w:val="FootnoteReference"/>
        </w:rPr>
        <w:footnoteReference w:id="900"/>
      </w:r>
    </w:p>
    <w:p w:rsidR="0078310B" w:rsidRDefault="00F0486E" w:rsidP="0078310B">
      <w:pPr>
        <w:widowControl w:val="0"/>
        <w:ind w:firstLine="288"/>
        <w:jc w:val="both"/>
      </w:pPr>
      <w:r>
        <w:t>Finally, t</w:t>
      </w:r>
      <w:r w:rsidR="0078310B">
        <w:t xml:space="preserve">he IRS exercised its discretion under § 446(b) to explicitly permit short deferrals of prepaid services income (no more than to the end of the next taxable year) in 1971. In 2004, it expanded that discretion beyond services income. </w:t>
      </w:r>
    </w:p>
    <w:p w:rsidR="0078310B" w:rsidRDefault="0078310B" w:rsidP="0078310B">
      <w:pPr>
        <w:widowControl w:val="0"/>
        <w:ind w:firstLine="288"/>
        <w:jc w:val="both"/>
      </w:pPr>
    </w:p>
    <w:p w:rsidR="0078310B" w:rsidRPr="000C35AF" w:rsidRDefault="0078310B" w:rsidP="0078310B">
      <w:pPr>
        <w:pStyle w:val="Heading3"/>
        <w:spacing w:before="0" w:beforeAutospacing="0" w:after="120" w:afterAutospacing="0"/>
        <w:jc w:val="center"/>
      </w:pPr>
      <w:bookmarkStart w:id="424" w:name="_Toc395790718"/>
      <w:r>
        <w:t>REVENUE PROCEDURE</w:t>
      </w:r>
      <w:r w:rsidRPr="000C35AF">
        <w:t xml:space="preserve"> 2004-34</w:t>
      </w:r>
      <w:bookmarkEnd w:id="424"/>
    </w:p>
    <w:p w:rsidR="0078310B" w:rsidRDefault="0078310B" w:rsidP="0078310B">
      <w:pPr>
        <w:widowControl w:val="0"/>
        <w:jc w:val="center"/>
      </w:pPr>
      <w:r>
        <w:t>2004-1 C.B. 991</w:t>
      </w:r>
    </w:p>
    <w:p w:rsidR="0078310B" w:rsidRDefault="0078310B" w:rsidP="0078310B">
      <w:pPr>
        <w:widowControl w:val="0"/>
        <w:jc w:val="both"/>
      </w:pPr>
    </w:p>
    <w:p w:rsidR="0078310B" w:rsidRDefault="0078310B" w:rsidP="0078310B">
      <w:pPr>
        <w:widowControl w:val="0"/>
        <w:spacing w:after="120"/>
        <w:jc w:val="both"/>
      </w:pPr>
      <w:r>
        <w:t>SECTION 1. PURPOSE</w:t>
      </w:r>
    </w:p>
    <w:p w:rsidR="0078310B" w:rsidRDefault="0078310B" w:rsidP="0078310B">
      <w:pPr>
        <w:widowControl w:val="0"/>
        <w:ind w:firstLine="288"/>
        <w:jc w:val="both"/>
      </w:pPr>
      <w:r>
        <w:t xml:space="preserve">This revenue procedure allows taxpayers a limited deferral beyond the taxable year of receipt for certain advance payments. Qualifying taxpayers generally may defer to the next succeeding taxable year the inclusion in gross income for federal income tax purposes of advance payments (as defined in section 4 of this revenue procedure) to the extent the advance payments are not recognized in revenues (or, in certain cases, are not earned) in the taxable year of receipt…. [T]his revenue procedure does not permit deferral to a taxable year later than the next succeeding taxable year. </w:t>
      </w:r>
    </w:p>
    <w:p w:rsidR="0078310B" w:rsidRDefault="0078310B" w:rsidP="0078310B">
      <w:pPr>
        <w:widowControl w:val="0"/>
        <w:spacing w:after="120"/>
        <w:ind w:firstLine="288"/>
        <w:jc w:val="both"/>
      </w:pPr>
      <w:r>
        <w:t>…</w:t>
      </w:r>
    </w:p>
    <w:p w:rsidR="0078310B" w:rsidRDefault="0078310B" w:rsidP="0078310B">
      <w:pPr>
        <w:widowControl w:val="0"/>
        <w:spacing w:after="120"/>
        <w:jc w:val="both"/>
      </w:pPr>
      <w:r>
        <w:t>SECTION 2. BACKGROUND AND CHANGES</w:t>
      </w:r>
    </w:p>
    <w:p w:rsidR="0078310B" w:rsidRDefault="0078310B" w:rsidP="0078310B">
      <w:pPr>
        <w:widowControl w:val="0"/>
        <w:ind w:firstLine="288"/>
        <w:jc w:val="both"/>
      </w:pPr>
      <w:r>
        <w:t xml:space="preserve">.01 In general, </w:t>
      </w:r>
      <w:r w:rsidRPr="00BA267E">
        <w:t>§ 451 of the Internal Revenue Code</w:t>
      </w:r>
      <w:r>
        <w:t xml:space="preserve"> provides that the amount of any item of gross income is included in gross income for the taxable year in which received by the taxpayer, unless, under the method of accounting used in computing taxable income, the amount is to be properly accounted for as of a different period. </w:t>
      </w:r>
      <w:r w:rsidRPr="00BA267E">
        <w:t>Section 1.451-1(a)</w:t>
      </w:r>
      <w:r>
        <w:t xml:space="preserve"> provides that, under an accrual method of accounting, income is includible in gross income when all the events have occurred that fix the right to receive the income and the amount can be determined with reasonable accuracy. All the events that fix the right to receive income generally occur when (1) the payment is earned through performance, (2) payment is due to the taxpayer, or (3) payment is received by the taxpayer, whichever happens earliest. </w:t>
      </w:r>
      <w:r>
        <w:rPr>
          <w:i/>
          <w:iCs/>
        </w:rPr>
        <w:t>See</w:t>
      </w:r>
      <w:r>
        <w:t xml:space="preserve"> </w:t>
      </w:r>
      <w:r w:rsidRPr="00BA267E">
        <w:t>Rev. Rul. 84-31, 1984-1 C.B. 127</w:t>
      </w:r>
      <w:r>
        <w:t>.</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t xml:space="preserve">.03 </w:t>
      </w:r>
      <w:r w:rsidRPr="00BA267E">
        <w:t>Rev. Proc. 71-21, 1971-2 C.B. 549</w:t>
      </w:r>
      <w:r>
        <w:t xml:space="preserve">, was published to implement an administrative decision of the Commissioner in the exercise of his discretion under </w:t>
      </w:r>
      <w:r w:rsidRPr="00BA267E">
        <w:t>§ 446</w:t>
      </w:r>
      <w:r>
        <w:t xml:space="preserve"> to allow accrual method taxpayers in certain specified and limited circumstances to defer the inclusion in gross income for federal income tax purposes of payments received (or amounts due and payable) in one taxable year for services to be performed by the end of the next succeeding taxable year. </w:t>
      </w:r>
      <w:r w:rsidRPr="00BA267E">
        <w:t>Rev. Proc. 71-21</w:t>
      </w:r>
      <w:r>
        <w:t xml:space="preserve"> was designed to reconcile the federal income tax and financial accounting treatment of payments received for services to be performed by the end of the next succeeding taxable year without permitting extended deferral of the inclusion of those payments in gross income for federal income tax purposes.</w:t>
      </w:r>
    </w:p>
    <w:p w:rsidR="0078310B" w:rsidRDefault="0078310B" w:rsidP="0078310B">
      <w:pPr>
        <w:widowControl w:val="0"/>
        <w:ind w:firstLine="288"/>
        <w:jc w:val="both"/>
      </w:pPr>
      <w:r>
        <w:t xml:space="preserve">.04 Considerable controversy exists about the scope of </w:t>
      </w:r>
      <w:r w:rsidRPr="00BA267E">
        <w:t>Rev. Proc; 71-21</w:t>
      </w:r>
      <w:r>
        <w:t xml:space="preserve">. In particular, advance payments for non-services. (and often, for combinations of services and non-services) do not qualify for deferral under </w:t>
      </w:r>
      <w:r w:rsidRPr="00BA267E">
        <w:t>Rev. Proc. 71-21</w:t>
      </w:r>
      <w:r>
        <w:t xml:space="preserve">, and taxpayers and the Internal Revenue Service frequently disagree about whether advance payments are, in fact, for “services.” In addition to the issue of defining “services” for purposes of </w:t>
      </w:r>
      <w:r w:rsidRPr="00BA267E">
        <w:t>Rev. Proc. 71-21</w:t>
      </w:r>
      <w:r>
        <w:t xml:space="preserve">, questions also arise about whether advance payments received under a series of agreements, or under a renewable, agreement, are within the scope of </w:t>
      </w:r>
      <w:r w:rsidRPr="00BA267E">
        <w:t>Rev. Proc. 71-21</w:t>
      </w:r>
      <w:r>
        <w:t xml:space="preserve">. In the interest of reducing the controversy surrounding these issues, the Service has determined that it is appropriate to expand the scope of </w:t>
      </w:r>
      <w:r w:rsidRPr="00BA267E">
        <w:t>Rev. Proc. 71-21</w:t>
      </w:r>
      <w:r>
        <w:t xml:space="preserve"> to include advance payments for certain non-services and combinations of services and non-services. Additionally, the Service has determined that it is appropriate to expand the scope of </w:t>
      </w:r>
      <w:r w:rsidRPr="00BA267E">
        <w:t>Rev. Proc. 71-21</w:t>
      </w:r>
      <w:r>
        <w:t xml:space="preserve"> to include advance payments received in connection with an agreement or series of agreements with a term or terms extending beyond the end of the next succeeding taxable year. The Service has determined, however, that for taxpayers deferring recognition of income under this revenue procedure it is appropriate to retain the limited one-year deferral of </w:t>
      </w:r>
      <w:r w:rsidRPr="007923CC">
        <w:t>Rev. Proc. 71-21</w:t>
      </w:r>
      <w:r>
        <w:t>….</w:t>
      </w:r>
    </w:p>
    <w:p w:rsidR="0078310B" w:rsidRDefault="0078310B" w:rsidP="0078310B">
      <w:pPr>
        <w:widowControl w:val="0"/>
        <w:spacing w:after="120"/>
        <w:ind w:firstLine="288"/>
        <w:jc w:val="both"/>
      </w:pPr>
      <w:r>
        <w:t>…</w:t>
      </w:r>
    </w:p>
    <w:p w:rsidR="0078310B" w:rsidRDefault="0078310B" w:rsidP="0078310B">
      <w:pPr>
        <w:widowControl w:val="0"/>
        <w:spacing w:after="120"/>
        <w:jc w:val="both"/>
      </w:pPr>
      <w:r>
        <w:t>SECTION 4. DEFINITIONS.</w:t>
      </w:r>
    </w:p>
    <w:p w:rsidR="0078310B" w:rsidRDefault="0078310B" w:rsidP="0078310B">
      <w:pPr>
        <w:widowControl w:val="0"/>
        <w:spacing w:after="120"/>
        <w:ind w:firstLine="288"/>
        <w:jc w:val="both"/>
      </w:pPr>
      <w:r>
        <w:t>The following definitions apply solely for purposes of this revenue procedure—</w:t>
      </w:r>
    </w:p>
    <w:p w:rsidR="0078310B" w:rsidRDefault="0078310B" w:rsidP="0078310B">
      <w:pPr>
        <w:widowControl w:val="0"/>
        <w:spacing w:after="120"/>
        <w:ind w:firstLine="288"/>
        <w:jc w:val="both"/>
      </w:pPr>
      <w:r>
        <w:t xml:space="preserve">.01 </w:t>
      </w:r>
      <w:r>
        <w:rPr>
          <w:i/>
          <w:iCs/>
        </w:rPr>
        <w:t>Advance Payment</w:t>
      </w:r>
      <w:r>
        <w:t>. Except as provided in section 4.02 of this revenue procedure, a payment received by a taxpayer is an “advance payment” if—:</w:t>
      </w:r>
    </w:p>
    <w:p w:rsidR="0078310B" w:rsidRDefault="0078310B" w:rsidP="0078310B">
      <w:pPr>
        <w:widowControl w:val="0"/>
        <w:spacing w:after="120"/>
        <w:ind w:left="648" w:hanging="360"/>
        <w:jc w:val="both"/>
        <w:rPr>
          <w:rFonts w:eastAsia="Times New Roman" w:cs="Times New Roman"/>
        </w:rPr>
      </w:pPr>
      <w:r w:rsidRPr="005D27BD">
        <w:rPr>
          <w:rFonts w:eastAsia="Times New Roman" w:cs="Times New Roman"/>
        </w:rPr>
        <w:t>(1) including the payment in gross income for the taxable year of receipt is a permissible method of accounting for federal income tax purposes (without regard to this revenue procedure);</w:t>
      </w:r>
    </w:p>
    <w:p w:rsidR="0078310B" w:rsidRDefault="0078310B" w:rsidP="0078310B">
      <w:pPr>
        <w:widowControl w:val="0"/>
        <w:spacing w:after="120"/>
        <w:ind w:left="648" w:hanging="360"/>
        <w:jc w:val="both"/>
        <w:rPr>
          <w:rFonts w:eastAsia="Times New Roman" w:cs="Times New Roman"/>
        </w:rPr>
      </w:pPr>
      <w:r w:rsidRPr="005D27BD">
        <w:rPr>
          <w:rFonts w:eastAsia="Times New Roman" w:cs="Times New Roman"/>
        </w:rPr>
        <w:t>(2) the payment is recognized by the taxpayer (in whole or in part) in revenues in its applicable financial statement (as defined in section 4.06 of this revenue procedure) for a subsequent taxable year (or, for taxpayers without an applicable financial statement as defined in section 4.06 of this revenue procedure, the payment is earned by the taxpayer (in whole or in part) in a subsequent taxable year); and</w:t>
      </w:r>
    </w:p>
    <w:p w:rsidR="0078310B" w:rsidRDefault="0078310B" w:rsidP="0078310B">
      <w:pPr>
        <w:widowControl w:val="0"/>
        <w:spacing w:after="120"/>
        <w:ind w:left="648" w:hanging="360"/>
        <w:jc w:val="both"/>
        <w:rPr>
          <w:rFonts w:eastAsia="Times New Roman" w:cs="Times New Roman"/>
        </w:rPr>
      </w:pPr>
      <w:r w:rsidRPr="005D27BD">
        <w:rPr>
          <w:rFonts w:eastAsia="Times New Roman" w:cs="Times New Roman"/>
        </w:rPr>
        <w:t>(3) the payment is for</w:t>
      </w:r>
      <w:r>
        <w:rPr>
          <w:rFonts w:eastAsia="Times New Roman" w:cs="Times New Roman"/>
        </w:rPr>
        <w:t>—</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(a) services;</w:t>
      </w:r>
    </w:p>
    <w:p w:rsidR="0078310B" w:rsidRDefault="0078310B" w:rsidP="0078310B">
      <w:pPr>
        <w:widowControl w:val="0"/>
        <w:spacing w:after="120"/>
        <w:ind w:left="936" w:hanging="360"/>
        <w:jc w:val="both"/>
      </w:pPr>
      <w:r>
        <w:t xml:space="preserve">(b) the sale of goods (other than for the sale of goods for which the taxpayer uses a method of deferral provided in </w:t>
      </w:r>
      <w:r w:rsidRPr="007923CC">
        <w:t>§ 1.451-5(b)(1)(ii)</w:t>
      </w:r>
      <w:r>
        <w:t>);</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(c) the use (including by license or lease) of intellectual property as defined in section 4.03 of this revenue procedure;</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(d) the occupancy or use of property if the occupancy or use is ancillary to the provision of services (for example, advance payments for the use of rooms or other quarters in a hotel, booth space at a trade show, campsite space at a mobile home park, and recreational or banquet facilities, or other uses of property, so long as the use is ancillary to the provision of services to the property user);</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(e) the sale, lease, or license of computer software;</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(f) guaranty or warranty contracts ancillary to an item or items described in subparagraph (a), (b), (c), (</w:t>
      </w:r>
      <w:r>
        <w:rPr>
          <w:rFonts w:eastAsia="Times New Roman" w:cs="Times New Roman"/>
        </w:rPr>
        <w:t>d), or (e) of this section 4.01</w:t>
      </w:r>
      <w:r w:rsidRPr="005D27BD">
        <w:rPr>
          <w:rFonts w:eastAsia="Times New Roman" w:cs="Times New Roman"/>
        </w:rPr>
        <w:t>(3);</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(g) subscriptions (other than subscriptio</w:t>
      </w:r>
      <w:r>
        <w:rPr>
          <w:rFonts w:eastAsia="Times New Roman" w:cs="Times New Roman"/>
        </w:rPr>
        <w:t xml:space="preserve">ns for which an election under § </w:t>
      </w:r>
      <w:r w:rsidRPr="005D27BD">
        <w:rPr>
          <w:rFonts w:eastAsia="Times New Roman" w:cs="Times New Roman"/>
        </w:rPr>
        <w:t>455 is in effect), whether or not provided in a tangible or intangible format;</w:t>
      </w:r>
    </w:p>
    <w:p w:rsidR="0078310B" w:rsidRDefault="0078310B" w:rsidP="0078310B">
      <w:pPr>
        <w:widowControl w:val="0"/>
        <w:spacing w:after="120"/>
        <w:ind w:left="936" w:hanging="360"/>
        <w:jc w:val="both"/>
      </w:pPr>
      <w:r>
        <w:t xml:space="preserve">(h) memberships in an organization (other than memberships for which an election under </w:t>
      </w:r>
      <w:r w:rsidRPr="007923CC">
        <w:t>§ 456</w:t>
      </w:r>
      <w:r>
        <w:t xml:space="preserve"> is in effect); or</w:t>
      </w:r>
    </w:p>
    <w:p w:rsidR="0078310B" w:rsidRDefault="0078310B" w:rsidP="0078310B">
      <w:pPr>
        <w:widowControl w:val="0"/>
        <w:spacing w:after="120"/>
        <w:ind w:left="936" w:hanging="360"/>
        <w:jc w:val="both"/>
        <w:rPr>
          <w:rFonts w:eastAsia="Times New Roman" w:cs="Times New Roman"/>
        </w:rPr>
      </w:pPr>
      <w:r w:rsidRPr="005D27BD">
        <w:rPr>
          <w:rFonts w:eastAsia="Times New Roman" w:cs="Times New Roman"/>
        </w:rPr>
        <w:t>(i) any combination of items described in subparagraphs (a) through (h) of this s</w:t>
      </w:r>
      <w:r>
        <w:rPr>
          <w:rFonts w:eastAsia="Times New Roman" w:cs="Times New Roman"/>
        </w:rPr>
        <w:t>ection 4.01</w:t>
      </w:r>
      <w:r w:rsidRPr="005D27BD">
        <w:rPr>
          <w:rFonts w:eastAsia="Times New Roman" w:cs="Times New Roman"/>
        </w:rPr>
        <w:t>(3).</w:t>
      </w:r>
    </w:p>
    <w:p w:rsidR="0078310B" w:rsidRDefault="0078310B" w:rsidP="0078310B">
      <w:pPr>
        <w:widowControl w:val="0"/>
        <w:spacing w:after="120"/>
        <w:ind w:firstLine="288"/>
        <w:jc w:val="both"/>
      </w:pPr>
      <w:r>
        <w:t xml:space="preserve">.02 </w:t>
      </w:r>
      <w:r>
        <w:rPr>
          <w:i/>
          <w:iCs/>
        </w:rPr>
        <w:t>Exclusions From Advance Payment</w:t>
      </w:r>
      <w:r>
        <w:t>. The term “advance payment” does not include—</w:t>
      </w:r>
    </w:p>
    <w:p w:rsidR="0078310B" w:rsidRDefault="0078310B" w:rsidP="0078310B">
      <w:pPr>
        <w:widowControl w:val="0"/>
        <w:spacing w:after="120"/>
        <w:ind w:left="648" w:hanging="360"/>
        <w:jc w:val="both"/>
        <w:rPr>
          <w:rFonts w:eastAsia="Times New Roman" w:cs="Times New Roman"/>
        </w:rPr>
      </w:pPr>
      <w:r w:rsidRPr="005D27BD">
        <w:rPr>
          <w:rFonts w:eastAsia="Times New Roman" w:cs="Times New Roman"/>
        </w:rPr>
        <w:t>(1) rent (except for amounts paid with respect to an item or items described in subparagraph (</w:t>
      </w:r>
      <w:r>
        <w:rPr>
          <w:rFonts w:eastAsia="Times New Roman" w:cs="Times New Roman"/>
        </w:rPr>
        <w:t>c), (d), or (e) of section 4.01</w:t>
      </w:r>
      <w:r w:rsidRPr="005D27BD">
        <w:rPr>
          <w:rFonts w:eastAsia="Times New Roman" w:cs="Times New Roman"/>
        </w:rPr>
        <w:t>(3));</w:t>
      </w:r>
    </w:p>
    <w:p w:rsidR="0078310B" w:rsidRDefault="0078310B" w:rsidP="0078310B">
      <w:pPr>
        <w:widowControl w:val="0"/>
        <w:spacing w:after="120"/>
        <w:ind w:left="648" w:hanging="360"/>
        <w:jc w:val="both"/>
        <w:rPr>
          <w:rFonts w:eastAsia="Times New Roman" w:cs="Times New Roman"/>
        </w:rPr>
      </w:pPr>
      <w:r w:rsidRPr="005D27BD">
        <w:rPr>
          <w:rFonts w:eastAsia="Times New Roman" w:cs="Times New Roman"/>
        </w:rPr>
        <w:t>(2) insurance premiums, to the extent the recognition of those premiums is governed by Subchapter L;</w:t>
      </w:r>
    </w:p>
    <w:p w:rsidR="0078310B" w:rsidRDefault="0078310B" w:rsidP="0078310B">
      <w:pPr>
        <w:widowControl w:val="0"/>
        <w:spacing w:after="120"/>
        <w:ind w:left="648" w:hanging="360"/>
        <w:jc w:val="both"/>
      </w:pPr>
      <w:r w:rsidRPr="005D27BD">
        <w:rPr>
          <w:rFonts w:eastAsia="Times New Roman" w:cs="Times New Roman"/>
        </w:rPr>
        <w:t xml:space="preserve">(3) payments with respect to financial instruments (for example, debt instruments, deposits, letters of credit, notional principal contracts, options, forward contracts, futures contracts, foreign currency contracts, credit card agreements, financial derivatives, </w:t>
      </w:r>
      <w:r w:rsidRPr="007923CC">
        <w:rPr>
          <w:rFonts w:eastAsia="Times New Roman" w:cs="Times New Roman"/>
          <w:i/>
        </w:rPr>
        <w:t>etc.</w:t>
      </w:r>
      <w:r w:rsidRPr="005D27BD">
        <w:rPr>
          <w:rFonts w:eastAsia="Times New Roman" w:cs="Times New Roman"/>
        </w:rPr>
        <w:t>), including purported prepayments of interest;</w:t>
      </w:r>
      <w:r>
        <w:rPr>
          <w:rFonts w:eastAsia="Times New Roman" w:cs="Times New Roman"/>
        </w:rPr>
        <w:t xml:space="preserve"> …</w:t>
      </w:r>
    </w:p>
    <w:p w:rsidR="0078310B" w:rsidRDefault="0078310B" w:rsidP="0078310B">
      <w:pPr>
        <w:widowControl w:val="0"/>
        <w:ind w:firstLine="288"/>
        <w:jc w:val="both"/>
      </w:pPr>
      <w:r>
        <w:t xml:space="preserve">.03 </w:t>
      </w:r>
      <w:r>
        <w:rPr>
          <w:i/>
          <w:iCs/>
        </w:rPr>
        <w:t>Intellectual Property</w:t>
      </w:r>
      <w:r>
        <w:t>. The term “intellectual property” includes copyrights, patents, trademarks, service marks, trade names, and similar intangible property rights (such as franchise rights and arena naming rights).</w:t>
      </w:r>
    </w:p>
    <w:p w:rsidR="0078310B" w:rsidRDefault="0078310B" w:rsidP="0078310B">
      <w:pPr>
        <w:widowControl w:val="0"/>
        <w:spacing w:after="120"/>
        <w:ind w:firstLine="288"/>
        <w:jc w:val="both"/>
      </w:pPr>
      <w:r>
        <w:t>…</w:t>
      </w:r>
    </w:p>
    <w:p w:rsidR="0078310B" w:rsidRDefault="0078310B" w:rsidP="0078310B">
      <w:pPr>
        <w:widowControl w:val="0"/>
        <w:spacing w:after="120"/>
        <w:ind w:firstLine="288"/>
        <w:jc w:val="both"/>
      </w:pPr>
      <w:r>
        <w:t xml:space="preserve">.05 </w:t>
      </w:r>
      <w:r>
        <w:rPr>
          <w:i/>
          <w:iCs/>
        </w:rPr>
        <w:t>Next Succeeding Taxable Year</w:t>
      </w:r>
      <w:r>
        <w:t>. The term “next succeeding taxable year” means the taxable year immediately following the taxable year in which the advance payment is received by the taxpayer….</w:t>
      </w:r>
    </w:p>
    <w:p w:rsidR="0078310B" w:rsidRPr="00045EE4" w:rsidRDefault="0078310B" w:rsidP="0078310B">
      <w:pPr>
        <w:widowControl w:val="0"/>
        <w:spacing w:after="120"/>
        <w:jc w:val="both"/>
        <w:rPr>
          <w:rFonts w:eastAsia="Times New Roman" w:cs="Times New Roman"/>
        </w:rPr>
      </w:pPr>
      <w:r>
        <w:t>SECTION 5. PERMISSIBLE METHODS OF ACCOUNTING FOR ADVANCE PAYMENTS</w:t>
      </w:r>
    </w:p>
    <w:p w:rsidR="0078310B" w:rsidRDefault="0078310B" w:rsidP="0078310B">
      <w:pPr>
        <w:widowControl w:val="0"/>
        <w:spacing w:after="120"/>
        <w:ind w:firstLine="288"/>
        <w:jc w:val="both"/>
      </w:pPr>
      <w:r>
        <w:t xml:space="preserve">.01 </w:t>
      </w:r>
      <w:r>
        <w:rPr>
          <w:i/>
          <w:iCs/>
        </w:rPr>
        <w:t>Full Inclusion Method</w:t>
      </w:r>
      <w:r>
        <w:t xml:space="preserve">. A taxpayer within the scope of this revenue procedure that includes the full amount of advance payments in gross income for federal income tax purposes in the taxable year of receipt is using a proper method of accounting under </w:t>
      </w:r>
      <w:r w:rsidRPr="007923CC">
        <w:t>§ 1.451-1</w:t>
      </w:r>
      <w:r>
        <w:t>, regardless of whether the taxpayer recognizes the full amount of advance payments in revenues for that taxable year for financial reporting purposes and regardless of whether the taxpayer earns the full amount of advance payments in that taxable year.</w:t>
      </w:r>
    </w:p>
    <w:p w:rsidR="0078310B" w:rsidRDefault="0078310B" w:rsidP="0078310B">
      <w:pPr>
        <w:widowControl w:val="0"/>
        <w:spacing w:after="120"/>
        <w:ind w:firstLine="288"/>
        <w:jc w:val="both"/>
      </w:pPr>
      <w:r>
        <w:t xml:space="preserve">.02 </w:t>
      </w:r>
      <w:r>
        <w:rPr>
          <w:i/>
          <w:iCs/>
        </w:rPr>
        <w:t>Deferral Method</w:t>
      </w:r>
      <w:r>
        <w:t>.</w:t>
      </w:r>
    </w:p>
    <w:p w:rsidR="0078310B" w:rsidRDefault="0078310B" w:rsidP="0078310B">
      <w:pPr>
        <w:widowControl w:val="0"/>
        <w:spacing w:after="120"/>
        <w:ind w:left="648" w:hanging="360"/>
        <w:jc w:val="both"/>
      </w:pPr>
      <w:r>
        <w:t>(1) In general.</w:t>
      </w:r>
    </w:p>
    <w:p w:rsidR="0078310B" w:rsidRDefault="0078310B" w:rsidP="0078310B">
      <w:pPr>
        <w:widowControl w:val="0"/>
        <w:spacing w:after="120"/>
        <w:ind w:left="936" w:hanging="360"/>
        <w:jc w:val="both"/>
      </w:pPr>
      <w:r>
        <w:t xml:space="preserve">(a) A taxpayer within the scope of this revenue procedure that chooses to use the Deferral Method described in this section 5.02 is using a proper method of accounting under </w:t>
      </w:r>
      <w:r w:rsidRPr="006714EB">
        <w:t>§ 1.451-1</w:t>
      </w:r>
      <w:r>
        <w:t>. Under the Deferral Method, for federal income tax purposes the taxpayer must—</w:t>
      </w:r>
    </w:p>
    <w:p w:rsidR="0078310B" w:rsidRDefault="0078310B" w:rsidP="0078310B">
      <w:pPr>
        <w:widowControl w:val="0"/>
        <w:spacing w:after="120"/>
        <w:ind w:left="1224" w:hanging="360"/>
        <w:jc w:val="both"/>
        <w:rPr>
          <w:rFonts w:eastAsia="Times New Roman" w:cs="Times New Roman"/>
        </w:rPr>
      </w:pPr>
      <w:r w:rsidRPr="003C3425">
        <w:rPr>
          <w:rFonts w:eastAsia="Times New Roman" w:cs="Times New Roman"/>
        </w:rPr>
        <w:t>(i) include the advance payment in gro</w:t>
      </w:r>
      <w:r>
        <w:rPr>
          <w:rFonts w:eastAsia="Times New Roman" w:cs="Times New Roman"/>
        </w:rPr>
        <w:t xml:space="preserve">ss income for the taxable year </w:t>
      </w:r>
      <w:r w:rsidRPr="003C3425">
        <w:rPr>
          <w:rFonts w:eastAsia="Times New Roman" w:cs="Times New Roman"/>
        </w:rPr>
        <w:t xml:space="preserve">of receipt </w:t>
      </w:r>
      <w:r>
        <w:rPr>
          <w:rFonts w:eastAsia="Times New Roman" w:cs="Times New Roman"/>
        </w:rPr>
        <w:t>…</w:t>
      </w:r>
      <w:r w:rsidRPr="003C3425">
        <w:rPr>
          <w:rFonts w:eastAsia="Times New Roman" w:cs="Times New Roman"/>
        </w:rPr>
        <w:t xml:space="preserve"> to the </w:t>
      </w:r>
      <w:r>
        <w:rPr>
          <w:rFonts w:eastAsia="Times New Roman" w:cs="Times New Roman"/>
        </w:rPr>
        <w:t>extent provided in section 5.02</w:t>
      </w:r>
      <w:r w:rsidRPr="003C3425">
        <w:rPr>
          <w:rFonts w:eastAsia="Times New Roman" w:cs="Times New Roman"/>
        </w:rPr>
        <w:t>(3) of this revenue procedure, and</w:t>
      </w:r>
    </w:p>
    <w:p w:rsidR="0078310B" w:rsidRDefault="0078310B" w:rsidP="0078310B">
      <w:pPr>
        <w:widowControl w:val="0"/>
        <w:spacing w:after="120"/>
        <w:ind w:left="1224" w:hanging="360"/>
        <w:jc w:val="both"/>
        <w:rPr>
          <w:rFonts w:eastAsia="Times New Roman" w:cs="Times New Roman"/>
        </w:rPr>
      </w:pPr>
      <w:r w:rsidRPr="003C3425">
        <w:rPr>
          <w:rFonts w:eastAsia="Times New Roman" w:cs="Times New Roman"/>
        </w:rPr>
        <w:t xml:space="preserve">(ii) </w:t>
      </w:r>
      <w:r>
        <w:rPr>
          <w:rFonts w:eastAsia="Times New Roman" w:cs="Times New Roman"/>
        </w:rPr>
        <w:t xml:space="preserve">… </w:t>
      </w:r>
      <w:r w:rsidRPr="003C3425">
        <w:rPr>
          <w:rFonts w:eastAsia="Times New Roman" w:cs="Times New Roman"/>
        </w:rPr>
        <w:t>include the remaining amount of the advance payment in gross income for the next succeeding taxable year</w:t>
      </w:r>
      <w:r>
        <w:rPr>
          <w:rFonts w:eastAsia="Times New Roman" w:cs="Times New Roman"/>
        </w:rPr>
        <w:t>….</w:t>
      </w:r>
    </w:p>
    <w:p w:rsidR="0078310B" w:rsidRDefault="0078310B" w:rsidP="0078310B">
      <w:pPr>
        <w:widowControl w:val="0"/>
        <w:spacing w:after="120"/>
        <w:ind w:left="648" w:hanging="360"/>
        <w:jc w:val="both"/>
      </w:pPr>
      <w:r>
        <w:t xml:space="preserve">(3) </w:t>
      </w:r>
      <w:r>
        <w:rPr>
          <w:i/>
          <w:iCs/>
        </w:rPr>
        <w:t>Inclusion of advance payments in gross income</w:t>
      </w:r>
      <w:r>
        <w:t>.</w:t>
      </w:r>
    </w:p>
    <w:p w:rsidR="0078310B" w:rsidRDefault="0078310B" w:rsidP="0078310B">
      <w:pPr>
        <w:widowControl w:val="0"/>
        <w:spacing w:after="120"/>
        <w:ind w:left="936" w:hanging="360"/>
        <w:jc w:val="both"/>
      </w:pPr>
      <w:r>
        <w:t>(a) Except as provided in paragraph (b) of this section 5.02(3), a taxpayer using the Deferral Method must—</w:t>
      </w:r>
    </w:p>
    <w:p w:rsidR="0078310B" w:rsidRDefault="0078310B" w:rsidP="0078310B">
      <w:pPr>
        <w:widowControl w:val="0"/>
        <w:spacing w:after="120"/>
        <w:ind w:left="1224" w:hanging="360"/>
        <w:jc w:val="both"/>
        <w:rPr>
          <w:rFonts w:eastAsia="Times New Roman" w:cs="Times New Roman"/>
        </w:rPr>
      </w:pPr>
      <w:r w:rsidRPr="003C3425">
        <w:rPr>
          <w:rFonts w:eastAsia="Times New Roman" w:cs="Times New Roman"/>
        </w:rPr>
        <w:t xml:space="preserve">(i) include the advance payment in gross income for the taxable year of receipt </w:t>
      </w:r>
      <w:r>
        <w:rPr>
          <w:rFonts w:eastAsia="Times New Roman" w:cs="Times New Roman"/>
        </w:rPr>
        <w:t xml:space="preserve">… </w:t>
      </w:r>
      <w:r w:rsidRPr="003C3425">
        <w:rPr>
          <w:rFonts w:eastAsia="Times New Roman" w:cs="Times New Roman"/>
        </w:rPr>
        <w:t>to the extent recognized in revenues in its applicable financial s</w:t>
      </w:r>
      <w:r>
        <w:rPr>
          <w:rFonts w:eastAsia="Times New Roman" w:cs="Times New Roman"/>
        </w:rPr>
        <w:t xml:space="preserve">tatement … </w:t>
      </w:r>
      <w:r w:rsidRPr="003C3425">
        <w:rPr>
          <w:rFonts w:eastAsia="Times New Roman" w:cs="Times New Roman"/>
        </w:rPr>
        <w:t>for that taxable year, and</w:t>
      </w:r>
    </w:p>
    <w:p w:rsidR="0078310B" w:rsidRDefault="0078310B" w:rsidP="0078310B">
      <w:pPr>
        <w:widowControl w:val="0"/>
        <w:spacing w:after="120"/>
        <w:ind w:left="1224" w:hanging="360"/>
        <w:jc w:val="both"/>
        <w:rPr>
          <w:rFonts w:eastAsia="Times New Roman" w:cs="Times New Roman"/>
        </w:rPr>
      </w:pPr>
      <w:r w:rsidRPr="003C3425">
        <w:rPr>
          <w:rFonts w:eastAsia="Times New Roman" w:cs="Times New Roman"/>
        </w:rPr>
        <w:t>(ii</w:t>
      </w:r>
      <w:r>
        <w:rPr>
          <w:rFonts w:eastAsia="Times New Roman" w:cs="Times New Roman"/>
        </w:rPr>
        <w:t xml:space="preserve">) include the remaining amount </w:t>
      </w:r>
      <w:r w:rsidRPr="003C3425">
        <w:rPr>
          <w:rFonts w:eastAsia="Times New Roman" w:cs="Times New Roman"/>
        </w:rPr>
        <w:t xml:space="preserve">of the advance payment in gross income </w:t>
      </w:r>
      <w:r>
        <w:rPr>
          <w:rFonts w:eastAsia="Times New Roman" w:cs="Times New Roman"/>
        </w:rPr>
        <w:t>in accordance with section 5.02(1)(a)</w:t>
      </w:r>
      <w:r w:rsidRPr="003C3425">
        <w:rPr>
          <w:rFonts w:eastAsia="Times New Roman" w:cs="Times New Roman"/>
        </w:rPr>
        <w:t>(ii) of this revenue procedure.</w:t>
      </w:r>
    </w:p>
    <w:p w:rsidR="0078310B" w:rsidRDefault="0078310B" w:rsidP="0078310B">
      <w:pPr>
        <w:widowControl w:val="0"/>
        <w:spacing w:after="120"/>
        <w:ind w:left="936" w:hanging="360"/>
        <w:jc w:val="both"/>
      </w:pPr>
      <w:r>
        <w:t>(b) If the taxpayer does not have an applicable financial statement (as defined in section 4.06 of this revenue procedure), or if the taxpayer is unable to determine, as required by section 5.02(1)(b)(i) of this revenue procedure, the extent to which advance payments are recognized in revenues in its applicable financial statements for the taxable year of receipt … a taxpayer using the Deferral Method must include the advance payment in gross income for the taxable year of receipt … to the extent earned in that taxable year and include the remaining amount of the advance payment in gross income in accordance with section 5.02(1)(a)(ii) of this revenue procedure. The determination of whether an amount is earned in a taxable year must be made without regard to whether the taxpayer may be required to refund the advance payment upon the occurrence of a condition subsequent. If the taxpayer is unable to determine the extent to which a payment (such as a payment for contingent goods or services) is earned in the taxable year of receipt (and, if applicable, in a short taxable year described in section 5.02(2)), the taxpayer may determine that amount—</w:t>
      </w:r>
    </w:p>
    <w:p w:rsidR="0078310B" w:rsidRDefault="0078310B" w:rsidP="0078310B">
      <w:pPr>
        <w:widowControl w:val="0"/>
        <w:spacing w:after="120"/>
        <w:ind w:left="1224" w:hanging="360"/>
        <w:jc w:val="both"/>
        <w:rPr>
          <w:rFonts w:eastAsia="Times New Roman" w:cs="Times New Roman"/>
        </w:rPr>
      </w:pPr>
      <w:r w:rsidRPr="003C3425">
        <w:rPr>
          <w:rFonts w:eastAsia="Times New Roman" w:cs="Times New Roman"/>
        </w:rPr>
        <w:t>(i) on a statistical basis if adequate data are available to the taxpayer;</w:t>
      </w:r>
    </w:p>
    <w:p w:rsidR="0078310B" w:rsidRDefault="0078310B" w:rsidP="0078310B">
      <w:pPr>
        <w:widowControl w:val="0"/>
        <w:spacing w:after="120"/>
        <w:ind w:left="1224" w:hanging="360"/>
        <w:jc w:val="both"/>
        <w:rPr>
          <w:rFonts w:eastAsia="Times New Roman" w:cs="Times New Roman"/>
        </w:rPr>
      </w:pPr>
      <w:r w:rsidRPr="003C3425">
        <w:rPr>
          <w:rFonts w:eastAsia="Times New Roman" w:cs="Times New Roman"/>
        </w:rPr>
        <w:t>(ii) on a straight line ratable basis over the term of the agreement if the taxpayer receives advance payments under a fixed term agreement and if it is not unreasonable to anticipate at the end of the taxable year of receipt that the advance payment will be earned ratably over the term of the agreement; or</w:t>
      </w:r>
    </w:p>
    <w:p w:rsidR="0078310B" w:rsidRDefault="0078310B" w:rsidP="0078310B">
      <w:pPr>
        <w:widowControl w:val="0"/>
        <w:ind w:left="1224" w:hanging="360"/>
        <w:jc w:val="both"/>
        <w:rPr>
          <w:rFonts w:eastAsia="Times New Roman" w:cs="Times New Roman"/>
        </w:rPr>
      </w:pPr>
      <w:r w:rsidRPr="003C3425">
        <w:rPr>
          <w:rFonts w:eastAsia="Times New Roman" w:cs="Times New Roman"/>
        </w:rPr>
        <w:t>(iii) by the use of any other basis that in the opinion of the Commissioner results in a clear reflection of income.</w:t>
      </w:r>
    </w:p>
    <w:p w:rsidR="0078310B" w:rsidRDefault="0078310B" w:rsidP="0078310B">
      <w:pPr>
        <w:widowControl w:val="0"/>
        <w:spacing w:after="120"/>
        <w:ind w:left="1224" w:hanging="360"/>
        <w:jc w:val="both"/>
        <w:rPr>
          <w:rFonts w:eastAsia="Times New Roman" w:cs="Times New Roman"/>
        </w:rPr>
      </w:pPr>
      <w:r>
        <w:rPr>
          <w:rFonts w:eastAsia="Times New Roman" w:cs="Times New Roman"/>
        </w:rPr>
        <w:t>…</w:t>
      </w:r>
    </w:p>
    <w:p w:rsidR="0078310B" w:rsidRDefault="0078310B" w:rsidP="0078310B">
      <w:pPr>
        <w:widowControl w:val="0"/>
        <w:spacing w:after="120"/>
        <w:ind w:firstLine="288"/>
        <w:jc w:val="both"/>
      </w:pPr>
      <w:r>
        <w:t xml:space="preserve">.03 </w:t>
      </w:r>
      <w:r>
        <w:rPr>
          <w:i/>
          <w:iCs/>
        </w:rPr>
        <w:t>Examples</w:t>
      </w:r>
      <w:r>
        <w:t>. In each example below, the taxpayer uses an accrual method of accounting for federal income tax purposes and files its returns on a calendar year basis. Except as stated otherwise, the taxpayer in each example has an applicable financial statement as defined in section 4.06 of this revenue procedure.</w:t>
      </w:r>
    </w:p>
    <w:p w:rsidR="0078310B" w:rsidRDefault="0078310B" w:rsidP="0078310B">
      <w:pPr>
        <w:widowControl w:val="0"/>
        <w:spacing w:after="120"/>
        <w:ind w:firstLine="288"/>
        <w:jc w:val="both"/>
      </w:pPr>
      <w:r>
        <w:rPr>
          <w:i/>
          <w:iCs/>
        </w:rPr>
        <w:t>Example 1</w:t>
      </w:r>
      <w:r>
        <w:t xml:space="preserve">. On November 1, 2004, </w:t>
      </w:r>
      <w:r>
        <w:rPr>
          <w:i/>
          <w:iCs/>
        </w:rPr>
        <w:t>A</w:t>
      </w:r>
      <w:r>
        <w:t xml:space="preserve">, in the business of giving dancing lessons, receives an advance payment for a 1-year contract commencing on that date and providing for up to 48 individual, 1-hour lessons. </w:t>
      </w:r>
      <w:r>
        <w:rPr>
          <w:i/>
          <w:iCs/>
        </w:rPr>
        <w:t>A</w:t>
      </w:r>
      <w:r>
        <w:t xml:space="preserve"> provides eight lessons in 2004 and another 35 lessons in 2005. In its applicable financial statement, </w:t>
      </w:r>
      <w:r>
        <w:rPr>
          <w:i/>
          <w:iCs/>
        </w:rPr>
        <w:t>A</w:t>
      </w:r>
      <w:r>
        <w:t xml:space="preserve"> recognizes 1/6 of the payment in revenues for 2004, and 5/6 of the payment in revenues for 2005. </w:t>
      </w:r>
      <w:r>
        <w:rPr>
          <w:i/>
          <w:iCs/>
        </w:rPr>
        <w:t>A</w:t>
      </w:r>
      <w:r>
        <w:t xml:space="preserve"> uses the Deferral Method. For federal income tax purposes, </w:t>
      </w:r>
      <w:r>
        <w:rPr>
          <w:i/>
          <w:iCs/>
        </w:rPr>
        <w:t>A</w:t>
      </w:r>
      <w:r>
        <w:t xml:space="preserve"> must include 1/6 of the payment in gross income for 2004, and the remaining 5/6 of the payment in gross income for 2005.</w:t>
      </w:r>
    </w:p>
    <w:p w:rsidR="0078310B" w:rsidRDefault="0078310B" w:rsidP="0078310B">
      <w:pPr>
        <w:widowControl w:val="0"/>
        <w:spacing w:after="120"/>
        <w:ind w:firstLine="288"/>
        <w:jc w:val="both"/>
      </w:pPr>
      <w:r>
        <w:rPr>
          <w:i/>
          <w:iCs/>
        </w:rPr>
        <w:t>Example 2</w:t>
      </w:r>
      <w:r>
        <w:t xml:space="preserve">. Assume the same facts as in </w:t>
      </w:r>
      <w:r>
        <w:rPr>
          <w:i/>
          <w:iCs/>
        </w:rPr>
        <w:t>Example 1</w:t>
      </w:r>
      <w:r>
        <w:t xml:space="preserve">, except that the advance payment is received for a 2-year contract under which up to 96 lessons are provided. </w:t>
      </w:r>
      <w:r>
        <w:rPr>
          <w:i/>
          <w:iCs/>
        </w:rPr>
        <w:t>A</w:t>
      </w:r>
      <w:r>
        <w:t xml:space="preserve"> provides eight lessons in 2004, 48 lessons in 2005, and 40 lessons in 2006. In its applicable financial statement, </w:t>
      </w:r>
      <w:r>
        <w:rPr>
          <w:i/>
          <w:iCs/>
        </w:rPr>
        <w:t>A</w:t>
      </w:r>
      <w:r>
        <w:t xml:space="preserve"> recognizes 1/12 of the payment in revenues for 2004, 6/12 of the payment in revenues for 2005, and 5/12 of the payment in gross revenues for 2006. For federal income tax purposes, </w:t>
      </w:r>
      <w:r>
        <w:rPr>
          <w:i/>
          <w:iCs/>
        </w:rPr>
        <w:t>A</w:t>
      </w:r>
      <w:r>
        <w:t xml:space="preserve"> must include 1/12 of the payment in gross income for 2004, and the remaining 11/12 of the payment in gross income for 2005.</w:t>
      </w:r>
    </w:p>
    <w:p w:rsidR="0078310B" w:rsidRDefault="0078310B" w:rsidP="0078310B">
      <w:pPr>
        <w:widowControl w:val="0"/>
        <w:spacing w:after="120"/>
        <w:ind w:firstLine="288"/>
        <w:jc w:val="both"/>
      </w:pPr>
      <w:r>
        <w:t>…</w:t>
      </w:r>
    </w:p>
    <w:p w:rsidR="0078310B" w:rsidRDefault="0078310B" w:rsidP="0078310B">
      <w:pPr>
        <w:widowControl w:val="0"/>
        <w:ind w:firstLine="288"/>
        <w:jc w:val="both"/>
      </w:pPr>
      <w:r>
        <w:rPr>
          <w:i/>
          <w:iCs/>
        </w:rPr>
        <w:t>Example 7. F</w:t>
      </w:r>
      <w:r>
        <w:t xml:space="preserve">, a hair styling salon, receives advance payments for gift cards that may later be redeemed at the salon for hair styling services or hair care products at the face value of the gift card. The gift cards look like standard credit cards, and each gift card has a magnetic strip that, in connection with </w:t>
      </w:r>
      <w:r>
        <w:rPr>
          <w:i/>
          <w:iCs/>
        </w:rPr>
        <w:t>F</w:t>
      </w:r>
      <w:r>
        <w:t xml:space="preserve">’s computer system, identifies the available balance. The gift cards may not be redeemed for cash, and have no expiration date. In its applicable financial statement, </w:t>
      </w:r>
      <w:r w:rsidRPr="00DE5D49">
        <w:rPr>
          <w:i/>
        </w:rPr>
        <w:t>F</w:t>
      </w:r>
      <w:r>
        <w:t xml:space="preserve"> recognizes advance payments for gift cards in revenues when redeemed. </w:t>
      </w:r>
      <w:r>
        <w:rPr>
          <w:i/>
          <w:iCs/>
        </w:rPr>
        <w:t>F</w:t>
      </w:r>
      <w:r>
        <w:t xml:space="preserve"> is not able to determine the extent to which advance payments are recognized in revenues in its applicable financial statement for the taxable year of receipt and therefore does not meet the requirement of section 5.02(1)(b)(i) of this revenue procedure. Further, </w:t>
      </w:r>
      <w:r>
        <w:rPr>
          <w:i/>
          <w:iCs/>
        </w:rPr>
        <w:t>F</w:t>
      </w:r>
      <w:r>
        <w:t xml:space="preserve"> does not determine under a basis described in section 5.02(3)(b) of this revenue procedure the extent to which payments are earned for the taxable year of receipt. Therefore, </w:t>
      </w:r>
      <w:r>
        <w:rPr>
          <w:i/>
          <w:iCs/>
        </w:rPr>
        <w:t>F</w:t>
      </w:r>
      <w:r>
        <w:t xml:space="preserve"> may not use the Deferral Method for these advance payments.</w:t>
      </w:r>
    </w:p>
    <w:p w:rsidR="0078310B" w:rsidRDefault="0078310B" w:rsidP="0078310B">
      <w:pPr>
        <w:widowControl w:val="0"/>
        <w:spacing w:after="120"/>
        <w:ind w:firstLine="288"/>
        <w:jc w:val="both"/>
      </w:pPr>
      <w:r>
        <w:t>…</w:t>
      </w:r>
    </w:p>
    <w:p w:rsidR="0078310B" w:rsidRDefault="0078310B" w:rsidP="0078310B">
      <w:pPr>
        <w:widowControl w:val="0"/>
        <w:ind w:firstLine="288"/>
        <w:jc w:val="both"/>
      </w:pPr>
      <w:r>
        <w:rPr>
          <w:i/>
          <w:iCs/>
        </w:rPr>
        <w:t>Example 15</w:t>
      </w:r>
      <w:r>
        <w:t xml:space="preserve">. </w:t>
      </w:r>
      <w:r>
        <w:rPr>
          <w:i/>
          <w:iCs/>
        </w:rPr>
        <w:t>L</w:t>
      </w:r>
      <w:r>
        <w:t xml:space="preserve">, a professional sports franchise, is a member of a sports league that enters into contracts with television networks for the right to broadcast games to be played between teams in the league. The money received by the sports league under the contracts is divided equally among the member teams. The league entered into a 3-year broadcasting contract beginning October 1, 2004. </w:t>
      </w:r>
      <w:r w:rsidRPr="004D746B">
        <w:rPr>
          <w:i/>
        </w:rPr>
        <w:t>L</w:t>
      </w:r>
      <w:r>
        <w:t xml:space="preserve"> receives three equal installment payments on October 1 of each contract year, beginning in 2004. In its applicable financial statement, </w:t>
      </w:r>
      <w:r>
        <w:rPr>
          <w:i/>
          <w:iCs/>
        </w:rPr>
        <w:t>L</w:t>
      </w:r>
      <w:r>
        <w:t xml:space="preserve"> recognizes 1/4 of the first installment payment in revenues for 2004 and 3/4 in revenues for 2005; </w:t>
      </w:r>
      <w:r>
        <w:rPr>
          <w:i/>
          <w:iCs/>
        </w:rPr>
        <w:t>L</w:t>
      </w:r>
      <w:r>
        <w:t xml:space="preserve"> recognizes 1/4 of the second installment in revenues for 2005 and 3/4 in revenues for 2006; </w:t>
      </w:r>
      <w:r>
        <w:rPr>
          <w:i/>
          <w:iCs/>
        </w:rPr>
        <w:t>L</w:t>
      </w:r>
      <w:r>
        <w:t xml:space="preserve"> recognizes 1/4 of the third installment in revenues for 2006 and 3/4 in revenues for 2007. </w:t>
      </w:r>
      <w:r>
        <w:rPr>
          <w:i/>
          <w:iCs/>
        </w:rPr>
        <w:t>L</w:t>
      </w:r>
      <w:r>
        <w:t xml:space="preserve"> uses the Deferral Method. Under section 4 of this revenue procedure, each installment payment constitutes an “advance payment.” For federal income tax purposes, </w:t>
      </w:r>
      <w:r>
        <w:rPr>
          <w:i/>
          <w:iCs/>
        </w:rPr>
        <w:t>L</w:t>
      </w:r>
      <w:r>
        <w:t xml:space="preserve"> must include 1/4 of the first installment payment in gross income for 2004 and 3/4 in gross income for 2005; 1/4 of the second installment in gross income for 2005 and 3/4 in gross income for 2006; and 1/4 of the third installment in gross income for 2006 and 3/4 in gross income for 2007.</w:t>
      </w:r>
    </w:p>
    <w:p w:rsidR="0078310B" w:rsidRDefault="0078310B" w:rsidP="0078310B">
      <w:pPr>
        <w:widowControl w:val="0"/>
        <w:jc w:val="center"/>
      </w:pPr>
      <w:r>
        <w:t>_____________________________________________</w:t>
      </w:r>
    </w:p>
    <w:p w:rsidR="0078310B" w:rsidRDefault="0078310B" w:rsidP="0078310B">
      <w:pPr>
        <w:widowControl w:val="0"/>
        <w:jc w:val="both"/>
        <w:rPr>
          <w:rFonts w:eastAsia="Times New Roman" w:cs="Times New Roman"/>
        </w:rPr>
      </w:pPr>
    </w:p>
    <w:p w:rsidR="0078310B" w:rsidRDefault="0078310B" w:rsidP="0078310B">
      <w:pPr>
        <w:widowControl w:val="0"/>
        <w:spacing w:after="120"/>
        <w:ind w:firstLine="288"/>
        <w:jc w:val="both"/>
      </w:pPr>
      <w:r>
        <w:t xml:space="preserve">Whew! In addition, Congress has enacted special elective provisions in §§ 455 and 456 pertaining to certain prepaid subscription income and prepaid membership dues for certain organizations. </w:t>
      </w:r>
    </w:p>
    <w:p w:rsidR="0078310B" w:rsidRDefault="0078310B" w:rsidP="0078310B">
      <w:pPr>
        <w:widowControl w:val="0"/>
        <w:spacing w:after="120"/>
        <w:ind w:firstLine="288"/>
        <w:jc w:val="both"/>
      </w:pPr>
      <w:r>
        <w:t xml:space="preserve">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w:t>
      </w:r>
      <w:r w:rsidR="003B67DA">
        <w:t xml:space="preserve">income </w:t>
      </w:r>
      <w:r>
        <w:t>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901"/>
      </w:r>
      <w:r>
        <w:t xml:space="preserve"> adopting this approach on a wholesale basis for all prepaid receipts of accrual method taxpayers would be administratively cumbersome. Alternatively, of course, deferral of prepaid income could simply be prohibited. This brings us back to the question asked earlier.</w:t>
      </w:r>
    </w:p>
    <w:p w:rsidR="0078310B" w:rsidRPr="009A6F32" w:rsidRDefault="0078310B" w:rsidP="0078310B">
      <w:pPr>
        <w:pStyle w:val="Heading3"/>
        <w:spacing w:before="0" w:beforeAutospacing="0" w:after="120" w:afterAutospacing="0"/>
        <w:rPr>
          <w:i/>
        </w:rPr>
      </w:pPr>
      <w:bookmarkStart w:id="425" w:name="_Toc395790719"/>
      <w:r w:rsidRPr="009A6F32">
        <w:rPr>
          <w:i/>
        </w:rPr>
        <w:t xml:space="preserve">Back to our roots and the elimination of accrual accounting for </w:t>
      </w:r>
      <w:r>
        <w:rPr>
          <w:i/>
        </w:rPr>
        <w:t xml:space="preserve">§ 61 Gross Income and expenses for </w:t>
      </w:r>
      <w:r w:rsidRPr="009A6F32">
        <w:rPr>
          <w:i/>
        </w:rPr>
        <w:t>income tax purposes?</w:t>
      </w:r>
      <w:bookmarkEnd w:id="425"/>
    </w:p>
    <w:p w:rsidR="0078310B" w:rsidRDefault="0078310B" w:rsidP="0078310B">
      <w:pPr>
        <w:widowControl w:val="0"/>
        <w:spacing w:after="120"/>
        <w:ind w:firstLine="288"/>
        <w:jc w:val="both"/>
      </w:pPr>
      <w:r>
        <w:t>Now that we better appreciate the time value of money and the differences between income taxation and consumption taxation, is it time to abandon accru</w:t>
      </w:r>
      <w:r w:rsidR="003B67DA">
        <w:t xml:space="preserve">al accounting altogether for </w:t>
      </w:r>
      <w:r>
        <w:t xml:space="preserve"> purposes of § 61 Gross Income inclusions and “expense” deductions as not clearly reflecting income in the </w:t>
      </w:r>
      <w:r w:rsidRPr="00B65E29">
        <w:rPr>
          <w:i/>
        </w:rPr>
        <w:t>income tax sense</w:t>
      </w:r>
      <w: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B65E29">
        <w:rPr>
          <w:i/>
        </w:rPr>
        <w:t>tax</w:t>
      </w:r>
      <w:r>
        <w:t xml:space="preserve"> base consisting of income, under which investments must generally be made with after-tax dollars.</w:t>
      </w:r>
      <w:r>
        <w:rPr>
          <w:rStyle w:val="FootnoteReference"/>
        </w:rPr>
        <w:footnoteReference w:id="902"/>
      </w:r>
      <w:r>
        <w:t xml:space="preserve"> Moreover, 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w:t>
      </w:r>
      <w:r w:rsidR="003B67DA">
        <w:t xml:space="preserve">extent the time value of money and (understandably) ignores the difference between an income tax base and consumption tax base. </w:t>
      </w:r>
    </w:p>
    <w:p w:rsidR="0078310B" w:rsidRDefault="0078310B" w:rsidP="0078310B">
      <w:pPr>
        <w:widowControl w:val="0"/>
        <w:spacing w:after="120"/>
        <w:ind w:firstLine="288"/>
        <w:jc w:val="both"/>
      </w:pPr>
      <w:r>
        <w:t xml:space="preserve">Forbidding use of accrual accounting for </w:t>
      </w:r>
      <w:r w:rsidR="007D7431">
        <w:t xml:space="preserve">income </w:t>
      </w:r>
      <w:r>
        <w:t>tax purposes would not alter the reporting of depreciation and interest, including original issue discount, as Chapters 10 and 14 explored how these issues are not governed by the taxpayer’s method of accounting but rather are rooted in the realization doctrine (reckoning final and irretrievable losses in property value or increases in wealth).</w:t>
      </w:r>
      <w:r>
        <w:rPr>
          <w:rStyle w:val="FootnoteReference"/>
        </w:rPr>
        <w:footnoteReference w:id="903"/>
      </w:r>
    </w:p>
    <w:p w:rsidR="0078310B" w:rsidRDefault="0078310B" w:rsidP="0078310B">
      <w:pPr>
        <w:widowControl w:val="0"/>
        <w:spacing w:after="120"/>
        <w:ind w:firstLine="288"/>
        <w:jc w:val="both"/>
      </w:pPr>
      <w: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even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Pr>
          <w:i/>
        </w:rPr>
        <w:t>i.e.</w:t>
      </w:r>
      <w:r>
        <w:t xml:space="preserve">, repealing the realization requirement for such assets), should Congress adopt that change, would not be inconsistent with repeal of accrual accounting generally. </w:t>
      </w:r>
    </w:p>
    <w:p w:rsidR="0078310B" w:rsidRPr="009418C5" w:rsidRDefault="0078310B" w:rsidP="0078310B">
      <w:pPr>
        <w:widowControl w:val="0"/>
        <w:spacing w:after="120"/>
        <w:ind w:firstLine="288"/>
        <w:jc w:val="both"/>
      </w:pPr>
      <w: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For example, the investment return in the form of dividends earned on low-basis, high-value stock (with substantial unrealized gain) is earned largely on pre-tax dollars. In a nontrivial sense publicly traded securities can be seen as cash equivalents for the same reason that readily tradable or demand notes received from a property buyer are considered cash equivalents that forbid use of installment sale reporting by the property seller under §§ 453(f)(4) and (5) and for the same reason that cash method taxpayers must include certain two-party (readily tradable) notes on receipt as a cash equivalent.</w:t>
      </w:r>
      <w:r>
        <w:rPr>
          <w:rStyle w:val="FootnoteReference"/>
        </w:rPr>
        <w:footnoteReference w:id="904"/>
      </w:r>
    </w:p>
    <w:p w:rsidR="0078310B" w:rsidRDefault="0078310B" w:rsidP="0078310B">
      <w:pPr>
        <w:widowControl w:val="0"/>
        <w:ind w:firstLine="288"/>
        <w:jc w:val="both"/>
      </w:pPr>
      <w:r>
        <w:t>Because there is little (no?) constituency for such radical changes, however, courts and the administrators of the statute will have to remain vigilant when the deferral of a prepaid receipt or the deduction of a future cost can undermine income tax values, even though cons</w:t>
      </w:r>
      <w:r w:rsidR="007D7431">
        <w:t>istent with financial reporting.</w:t>
      </w:r>
    </w:p>
    <w:p w:rsidR="0078310B" w:rsidRDefault="0078310B" w:rsidP="0078310B">
      <w:pPr>
        <w:widowControl w:val="0"/>
        <w:ind w:firstLine="288"/>
        <w:jc w:val="both"/>
      </w:pPr>
    </w:p>
    <w:p w:rsidR="0078310B" w:rsidRDefault="0078310B" w:rsidP="0078310B">
      <w:pPr>
        <w:pStyle w:val="Heading3"/>
        <w:spacing w:before="0" w:beforeAutospacing="0" w:after="0" w:afterAutospacing="0"/>
        <w:jc w:val="center"/>
        <w:rPr>
          <w:u w:val="single"/>
        </w:rPr>
      </w:pPr>
      <w:bookmarkStart w:id="426" w:name="_Toc395790720"/>
      <w:r w:rsidRPr="009A6F32">
        <w:rPr>
          <w:u w:val="single"/>
        </w:rPr>
        <w:t>Problem</w:t>
      </w:r>
      <w:bookmarkEnd w:id="426"/>
    </w:p>
    <w:p w:rsidR="0078310B" w:rsidRPr="00AC1082" w:rsidRDefault="0078310B" w:rsidP="0078310B">
      <w:pPr>
        <w:pStyle w:val="Heading3"/>
        <w:spacing w:before="0" w:beforeAutospacing="0" w:after="0" w:afterAutospacing="0"/>
        <w:jc w:val="center"/>
        <w:rPr>
          <w:b w:val="0"/>
        </w:rPr>
      </w:pPr>
    </w:p>
    <w:p w:rsidR="0078310B" w:rsidRDefault="0078310B" w:rsidP="0078310B">
      <w:pPr>
        <w:widowControl w:val="0"/>
        <w:spacing w:after="120"/>
        <w:ind w:firstLine="288"/>
        <w:jc w:val="both"/>
      </w:pPr>
      <w:r>
        <w:t>Jacob, who uses the accrual method of accounting and the calendar year as his taxable year, owns his own business (through a 100%-owned LLC) writing and servicing software programs of various sorts for</w:t>
      </w:r>
      <w:r w:rsidR="00B41402">
        <w:t xml:space="preserve"> use by businesses. When must Jacob</w:t>
      </w:r>
      <w:r>
        <w:t xml:space="preserve"> accrue (include or deduct</w:t>
      </w:r>
      <w:r w:rsidR="00102096">
        <w:t>, as the case may be</w:t>
      </w:r>
      <w:r>
        <w:t xml:space="preserve">) each of the items described below? </w:t>
      </w:r>
    </w:p>
    <w:p w:rsidR="0078310B" w:rsidRDefault="0078310B" w:rsidP="0078310B">
      <w:pPr>
        <w:widowControl w:val="0"/>
        <w:spacing w:after="120"/>
        <w:ind w:left="288"/>
        <w:jc w:val="both"/>
      </w:pPr>
      <w:r>
        <w:rPr>
          <w:b/>
        </w:rPr>
        <w:t>a.</w:t>
      </w:r>
      <w:r>
        <w:t xml:space="preserve"> Jacob leases software for a three-year term to a corporate business to help the business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rsidR="0078310B" w:rsidRDefault="0078310B" w:rsidP="0078310B">
      <w:pPr>
        <w:widowControl w:val="0"/>
        <w:spacing w:after="120"/>
        <w:ind w:left="288"/>
        <w:jc w:val="both"/>
      </w:pPr>
      <w:r>
        <w:rPr>
          <w:b/>
        </w:rPr>
        <w:t>b.</w:t>
      </w:r>
      <w:r>
        <w:t xml:space="preserve"> Jacob hires Becky as an employee in early December, and she begins working on December 15 of Year 1. Becky’s employment contract requires that Jacob pay her $5,000 on the 15</w:t>
      </w:r>
      <w:r w:rsidRPr="00082F2D">
        <w:rPr>
          <w:vertAlign w:val="superscript"/>
        </w:rPr>
        <w:t>th</w:t>
      </w:r>
      <w:r>
        <w:t xml:space="preserve"> of each month, so Becky receives her first $5,000 paycheck on January 15 of Year 2. </w:t>
      </w:r>
    </w:p>
    <w:p w:rsidR="0078310B" w:rsidRPr="001E2D65" w:rsidRDefault="0078310B" w:rsidP="0078310B">
      <w:pPr>
        <w:widowControl w:val="0"/>
        <w:spacing w:after="120"/>
        <w:ind w:left="288"/>
        <w:jc w:val="both"/>
      </w:pPr>
      <w:r>
        <w:rPr>
          <w:b/>
        </w:rPr>
        <w:t>c.</w:t>
      </w:r>
      <w:r>
        <w:t xml:space="preserve"> On November 25 of Year 1, Jacob pays $4,000 to a radio station for a series of one-minute advertisements for his business. One-half of the airtime slots will play in December and one-half will air in January. </w:t>
      </w:r>
    </w:p>
    <w:p w:rsidR="0078310B" w:rsidRDefault="0078310B" w:rsidP="0078310B"/>
    <w:p w:rsidR="0078310B" w:rsidRDefault="0078310B" w:rsidP="0078310B"/>
    <w:p w:rsidR="003D79E8" w:rsidRDefault="003D79E8"/>
    <w:sectPr w:rsidR="003D79E8" w:rsidSect="005337BA">
      <w:headerReference w:type="default" r:id="rId1173"/>
      <w:footnotePr>
        <w:numRestart w:val="eachSect"/>
      </w:footnotePr>
      <w:type w:val="continuous"/>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450" w:rsidRDefault="00D72450" w:rsidP="0078310B">
      <w:r>
        <w:separator/>
      </w:r>
    </w:p>
  </w:endnote>
  <w:endnote w:type="continuationSeparator" w:id="0">
    <w:p w:rsidR="00D72450" w:rsidRDefault="00D72450" w:rsidP="0078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r>
      <w:fldChar w:fldCharType="begin"/>
    </w:r>
    <w:r>
      <w:instrText xml:space="preserve"> PAGE   \* MERGEFORMAT </w:instrText>
    </w:r>
    <w:r>
      <w:fldChar w:fldCharType="separate"/>
    </w:r>
    <w:r w:rsidR="002B3596">
      <w:rPr>
        <w:noProof/>
      </w:rPr>
      <w:t>xxxv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jc w:val="center"/>
    </w:pPr>
    <w:r>
      <w:t>-</w:t>
    </w:r>
    <w:r>
      <w:fldChar w:fldCharType="begin"/>
    </w:r>
    <w:r>
      <w:instrText xml:space="preserve"> PAGE   \* MERGEFORMAT </w:instrText>
    </w:r>
    <w:r>
      <w:fldChar w:fldCharType="separate"/>
    </w:r>
    <w:r w:rsidR="002B3596">
      <w:rPr>
        <w:noProof/>
      </w:rPr>
      <w:t>44</w:t>
    </w:r>
    <w:r>
      <w:rPr>
        <w:noProof/>
      </w:rPr>
      <w:fldChar w:fldCharType="end"/>
    </w:r>
    <w:r>
      <w:rPr>
        <w:noProof/>
      </w:rPr>
      <w:t>-</w:t>
    </w:r>
  </w:p>
  <w:p w:rsidR="00D72450" w:rsidRDefault="00D7245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p w:rsidR="00D72450" w:rsidRDefault="00D7245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r>
      <w:t>-</w:t>
    </w:r>
    <w:r>
      <w:fldChar w:fldCharType="begin"/>
    </w:r>
    <w:r>
      <w:instrText xml:space="preserve"> PAGE   \* MERGEFORMAT </w:instrText>
    </w:r>
    <w:r>
      <w:fldChar w:fldCharType="separate"/>
    </w:r>
    <w:r w:rsidR="002B3596">
      <w:rPr>
        <w:noProof/>
      </w:rPr>
      <w:t>734</w:t>
    </w:r>
    <w:r>
      <w:rPr>
        <w:noProof/>
      </w:rPr>
      <w:fldChar w:fldCharType="end"/>
    </w:r>
    <w:r>
      <w:rPr>
        <w:noProof/>
      </w:rPr>
      <w:t>-</w:t>
    </w:r>
  </w:p>
  <w:p w:rsidR="00D72450" w:rsidRDefault="00D724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r>
      <w:t>-</w:t>
    </w:r>
    <w:r>
      <w:fldChar w:fldCharType="begin"/>
    </w:r>
    <w:r>
      <w:instrText xml:space="preserve"> PAGE   \* MERGEFORMAT </w:instrText>
    </w:r>
    <w:r>
      <w:fldChar w:fldCharType="separate"/>
    </w:r>
    <w:r w:rsidR="002B3596">
      <w:rPr>
        <w:noProof/>
      </w:rPr>
      <w:t>484</w:t>
    </w:r>
    <w:r>
      <w:rPr>
        <w:noProof/>
      </w:rPr>
      <w:fldChar w:fldCharType="end"/>
    </w:r>
    <w:r>
      <w:rPr>
        <w:noProof/>
      </w:rPr>
      <w:t>-</w:t>
    </w:r>
  </w:p>
  <w:p w:rsidR="00D72450" w:rsidRDefault="00D7245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p w:rsidR="00D72450" w:rsidRDefault="00D72450">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2701EA" w:rsidRDefault="00D72450" w:rsidP="005337B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p w:rsidR="00D72450" w:rsidRPr="002701EA" w:rsidRDefault="00D72450" w:rsidP="005337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r>
      <w:t>-</w:t>
    </w:r>
    <w:r>
      <w:fldChar w:fldCharType="begin"/>
    </w:r>
    <w:r>
      <w:instrText xml:space="preserve"> PAGE   \* MERGEFORMAT </w:instrText>
    </w:r>
    <w:r>
      <w:fldChar w:fldCharType="separate"/>
    </w:r>
    <w:r w:rsidR="002B3596">
      <w:rPr>
        <w:noProof/>
      </w:rPr>
      <w:t>1</w:t>
    </w:r>
    <w:r>
      <w:rPr>
        <w:noProof/>
      </w:rPr>
      <w:fldChar w:fldCharType="end"/>
    </w:r>
    <w:r>
      <w:rPr>
        <w:noProof/>
      </w:rPr>
      <w:t>-</w:t>
    </w:r>
  </w:p>
  <w:p w:rsidR="00D72450" w:rsidRDefault="00D72450" w:rsidP="005337B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rsidP="005337BA">
    <w:pPr>
      <w:pStyle w:val="Footer"/>
      <w:jc w:val="center"/>
    </w:pPr>
  </w:p>
  <w:p w:rsidR="00D72450" w:rsidRDefault="00D72450" w:rsidP="005337BA">
    <w:pPr>
      <w:pStyle w:val="Footer"/>
      <w:jc w:val="center"/>
    </w:pPr>
    <w:r>
      <w:t>-</w:t>
    </w:r>
    <w:r>
      <w:fldChar w:fldCharType="begin"/>
    </w:r>
    <w:r>
      <w:instrText xml:space="preserve"> PAGE   \* MERGEFORMAT </w:instrText>
    </w:r>
    <w:r>
      <w:fldChar w:fldCharType="separate"/>
    </w:r>
    <w:r w:rsidR="002B3596">
      <w:rPr>
        <w:noProof/>
      </w:rPr>
      <w:t>2</w:t>
    </w:r>
    <w:r>
      <w:rPr>
        <w:noProof/>
      </w:rPr>
      <w:fldChar w:fldCharType="end"/>
    </w:r>
    <w:r>
      <w:rPr>
        <w:noProof/>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Footer"/>
      <w:jc w:val="center"/>
    </w:pPr>
    <w:r>
      <w:t>-</w:t>
    </w:r>
    <w:sdt>
      <w:sdtPr>
        <w:id w:val="-2098110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B3596">
          <w:rPr>
            <w:noProof/>
          </w:rPr>
          <w:t>40</w:t>
        </w:r>
        <w:r>
          <w:rPr>
            <w:noProof/>
          </w:rPr>
          <w:fldChar w:fldCharType="end"/>
        </w:r>
        <w:r>
          <w:rPr>
            <w:noProof/>
          </w:rPr>
          <w:t>-</w:t>
        </w:r>
      </w:sdtContent>
    </w:sdt>
  </w:p>
  <w:p w:rsidR="00D72450" w:rsidRDefault="00D724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450" w:rsidRDefault="00D72450" w:rsidP="0078310B">
      <w:r>
        <w:separator/>
      </w:r>
    </w:p>
  </w:footnote>
  <w:footnote w:type="continuationSeparator" w:id="0">
    <w:p w:rsidR="00D72450" w:rsidRDefault="00D72450" w:rsidP="0078310B">
      <w:r>
        <w:continuationSeparator/>
      </w:r>
    </w:p>
  </w:footnote>
  <w:footnote w:id="1">
    <w:p w:rsidR="00D72450" w:rsidRDefault="00D72450" w:rsidP="0078310B">
      <w:pPr>
        <w:pStyle w:val="FootnoteText"/>
        <w:widowControl w:val="0"/>
        <w:jc w:val="both"/>
      </w:pPr>
      <w:r>
        <w:rPr>
          <w:rStyle w:val="FootnoteReference"/>
        </w:rPr>
        <w:footnoteRef/>
      </w:r>
      <w:r>
        <w:t xml:space="preserve"> </w:t>
      </w:r>
      <w:r w:rsidRPr="00D23BCD">
        <w:t>www.economist.com/economics-a-to-z/r</w:t>
      </w:r>
      <w:r>
        <w:t>.</w:t>
      </w:r>
    </w:p>
  </w:footnote>
  <w:footnote w:id="2">
    <w:p w:rsidR="00D72450" w:rsidRPr="004F67C6" w:rsidRDefault="00D72450" w:rsidP="0078310B">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rsidR="00D72450" w:rsidRPr="00F56FA8" w:rsidRDefault="00D72450" w:rsidP="0078310B">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rsidR="00D72450" w:rsidRDefault="00D72450" w:rsidP="0078310B">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rsidR="00D72450" w:rsidRDefault="00D72450" w:rsidP="0078310B">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w:t>
      </w:r>
    </w:p>
  </w:footnote>
  <w:footnote w:id="6">
    <w:p w:rsidR="00D72450" w:rsidRPr="001E3A6E" w:rsidRDefault="00D72450" w:rsidP="0078310B">
      <w:pPr>
        <w:pStyle w:val="FootnoteText"/>
        <w:widowControl w:val="0"/>
      </w:pPr>
      <w:r>
        <w:rPr>
          <w:rStyle w:val="FootnoteReference"/>
        </w:rPr>
        <w:footnoteRef/>
      </w:r>
      <w:r>
        <w:t xml:space="preserve"> </w:t>
      </w:r>
      <w:r>
        <w:rPr>
          <w:i/>
        </w:rPr>
        <w:t xml:space="preserve">See </w:t>
      </w:r>
      <w:r>
        <w:t xml:space="preserve">Eric Lipton, </w:t>
      </w:r>
      <w:r>
        <w:rPr>
          <w:i/>
        </w:rPr>
        <w:t>Half of Congress Members Are Millionaires, Report Says</w:t>
      </w:r>
      <w:r>
        <w:t xml:space="preserve"> at </w:t>
      </w:r>
      <w:r w:rsidRPr="001E3A6E">
        <w:t>www.nytimes.com/2014/01/10/us/politics/more-than-half-the-members-of-congress-are-millionaires-analysis-finds.html?_r=0</w:t>
      </w:r>
      <w:r>
        <w:t>.</w:t>
      </w:r>
    </w:p>
  </w:footnote>
  <w:footnote w:id="7">
    <w:p w:rsidR="00D72450" w:rsidRPr="004310E2" w:rsidRDefault="00D72450" w:rsidP="0078310B">
      <w:pPr>
        <w:pStyle w:val="FootnoteText"/>
        <w:widowControl w:val="0"/>
      </w:pPr>
      <w:r>
        <w:rPr>
          <w:rStyle w:val="FootnoteReference"/>
        </w:rPr>
        <w:footnoteRef/>
      </w:r>
      <w:r>
        <w:t xml:space="preserve"> Rubin, </w:t>
      </w:r>
      <w:r>
        <w:rPr>
          <w:i/>
        </w:rPr>
        <w:t xml:space="preserve">supra </w:t>
      </w:r>
      <w:r>
        <w:t xml:space="preserve">note 5. </w:t>
      </w:r>
    </w:p>
  </w:footnote>
  <w:footnote w:id="8">
    <w:p w:rsidR="00D72450" w:rsidRPr="00C212BE" w:rsidRDefault="00D72450" w:rsidP="0078310B">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9">
    <w:p w:rsidR="00D72450" w:rsidRDefault="00D72450" w:rsidP="0078310B">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10">
    <w:p w:rsidR="00D72450" w:rsidRDefault="00D72450" w:rsidP="0078310B">
      <w:pPr>
        <w:pStyle w:val="FootnoteText"/>
        <w:widowControl w:val="0"/>
        <w:jc w:val="both"/>
      </w:pPr>
      <w:r>
        <w:rPr>
          <w:rStyle w:val="FootnoteReference"/>
        </w:rPr>
        <w:footnoteRef/>
      </w:r>
      <w:r>
        <w:t xml:space="preserve"> The year 1986 saw the latest recodification if the Internal Revenue Code. Prior to 1986, the Code was referred to as the Internal Revenue Code of 1954, as amended. The 1986 recodification accompanied fundamental reforms enacted in the Tax Reform Act of 1986, which you will read about in Chapter 3.</w:t>
      </w:r>
    </w:p>
  </w:footnote>
  <w:footnote w:id="11">
    <w:p w:rsidR="00D72450" w:rsidRDefault="00D72450" w:rsidP="0078310B">
      <w:pPr>
        <w:pStyle w:val="FootnoteText"/>
        <w:widowControl w:val="0"/>
        <w:jc w:val="both"/>
      </w:pPr>
      <w:r>
        <w:rPr>
          <w:rStyle w:val="FootnoteReference"/>
        </w:rPr>
        <w:footnoteRef/>
      </w:r>
      <w:r>
        <w:t xml:space="preserve"> Article I, § 7, clause 1. </w:t>
      </w:r>
    </w:p>
  </w:footnote>
  <w:footnote w:id="12">
    <w:p w:rsidR="00D72450" w:rsidRPr="00084EF7" w:rsidRDefault="00D72450" w:rsidP="0078310B">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3">
    <w:p w:rsidR="00D72450" w:rsidRDefault="00D72450" w:rsidP="0078310B">
      <w:pPr>
        <w:pStyle w:val="FootnoteText"/>
        <w:widowControl w:val="0"/>
        <w:jc w:val="both"/>
      </w:pPr>
      <w:r>
        <w:rPr>
          <w:rStyle w:val="FootnoteReference"/>
        </w:rPr>
        <w:footnoteRef/>
      </w:r>
      <w:r>
        <w:t xml:space="preserve"> 467 U.S. 837 (1984). </w:t>
      </w:r>
    </w:p>
  </w:footnote>
  <w:footnote w:id="14">
    <w:p w:rsidR="00D72450" w:rsidRDefault="00D72450" w:rsidP="0078310B">
      <w:pPr>
        <w:pStyle w:val="FootnoteText"/>
        <w:widowControl w:val="0"/>
        <w:jc w:val="both"/>
      </w:pPr>
      <w:r>
        <w:rPr>
          <w:rStyle w:val="FootnoteReference"/>
        </w:rPr>
        <w:footnoteRef/>
      </w:r>
      <w:r>
        <w:t xml:space="preserve"> 562 U.S. 44 (2011). </w:t>
      </w:r>
    </w:p>
  </w:footnote>
  <w:footnote w:id="15">
    <w:p w:rsidR="00D72450" w:rsidRPr="009E1DE3" w:rsidRDefault="00D72450" w:rsidP="0078310B">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6">
    <w:p w:rsidR="00D72450" w:rsidRPr="009E1DE3" w:rsidRDefault="00D72450" w:rsidP="0078310B">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7">
    <w:p w:rsidR="00D72450" w:rsidRPr="00A300A4" w:rsidRDefault="00D72450" w:rsidP="0078310B">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8">
    <w:p w:rsidR="00D72450" w:rsidRDefault="00D72450" w:rsidP="0078310B">
      <w:pPr>
        <w:pStyle w:val="FootnoteText"/>
        <w:widowControl w:val="0"/>
        <w:jc w:val="both"/>
      </w:pPr>
      <w:r>
        <w:rPr>
          <w:rStyle w:val="FootnoteReference"/>
        </w:rPr>
        <w:footnoteRef/>
      </w:r>
      <w:r>
        <w:t xml:space="preserve"> 533 U.S. 218 (2001). </w:t>
      </w:r>
    </w:p>
  </w:footnote>
  <w:footnote w:id="19">
    <w:p w:rsidR="00D72450" w:rsidRDefault="00D72450" w:rsidP="0078310B">
      <w:pPr>
        <w:pStyle w:val="FootnoteText"/>
        <w:widowControl w:val="0"/>
        <w:jc w:val="both"/>
      </w:pPr>
      <w:r>
        <w:rPr>
          <w:rStyle w:val="FootnoteReference"/>
        </w:rPr>
        <w:footnoteRef/>
      </w:r>
      <w:r>
        <w:t xml:space="preserve"> 323 U.S. 134 (1944).</w:t>
      </w:r>
    </w:p>
  </w:footnote>
  <w:footnote w:id="20">
    <w:p w:rsidR="00D72450" w:rsidRPr="00A03933" w:rsidRDefault="00D72450" w:rsidP="0078310B">
      <w:pPr>
        <w:pStyle w:val="FootnoteText"/>
        <w:widowControl w:val="0"/>
        <w:jc w:val="both"/>
      </w:pPr>
      <w:r>
        <w:rPr>
          <w:rStyle w:val="FootnoteReference"/>
        </w:rPr>
        <w:footnoteRef/>
      </w:r>
      <w:r>
        <w:t xml:space="preserve"> </w:t>
      </w:r>
      <w:r>
        <w:rPr>
          <w:i/>
        </w:rPr>
        <w:t>Mead Corp</w:t>
      </w:r>
      <w:r>
        <w:t>, 533 U.S. at 234.</w:t>
      </w:r>
    </w:p>
  </w:footnote>
  <w:footnote w:id="21">
    <w:p w:rsidR="00D72450" w:rsidRPr="002D263F" w:rsidRDefault="00D72450" w:rsidP="0078310B">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2">
    <w:p w:rsidR="00D72450" w:rsidRPr="00F14A64" w:rsidRDefault="00D72450" w:rsidP="0078310B">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3">
    <w:p w:rsidR="00D72450" w:rsidRPr="000D61AA" w:rsidRDefault="00D72450" w:rsidP="0078310B">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0D61AA">
        <w:t>www.irs.gov/pub/irs-utl/pcir230.pdf</w:t>
      </w:r>
      <w:r>
        <w:t xml:space="preserve">. </w:t>
      </w:r>
      <w:r>
        <w:rPr>
          <w:i/>
        </w:rPr>
        <w:t>See also</w:t>
      </w:r>
      <w:r>
        <w:t xml:space="preserve"> </w:t>
      </w:r>
      <w:r w:rsidRPr="000D61AA">
        <w:t>www.irs.gov/Tax-Professionals/Circular-230-Tax-Professionals</w:t>
      </w:r>
      <w:r>
        <w:t xml:space="preserve"> (an IRS web site for Circular 230 tax professionals containing relevant information). </w:t>
      </w:r>
    </w:p>
  </w:footnote>
  <w:footnote w:id="24">
    <w:p w:rsidR="00D72450" w:rsidRPr="00A24DF6" w:rsidRDefault="00D72450" w:rsidP="0078310B">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5">
    <w:p w:rsidR="00D72450" w:rsidRPr="00BB37AE" w:rsidRDefault="00D72450" w:rsidP="0078310B">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6">
    <w:p w:rsidR="00D72450" w:rsidRPr="00AF5518" w:rsidRDefault="00D72450" w:rsidP="0078310B">
      <w:pPr>
        <w:pStyle w:val="FootnoteText"/>
        <w:widowControl w:val="0"/>
        <w:jc w:val="both"/>
      </w:pPr>
      <w:r>
        <w:rPr>
          <w:rStyle w:val="FootnoteReference"/>
        </w:rPr>
        <w:footnoteRef/>
      </w:r>
      <w:r>
        <w:t xml:space="preserve"> </w:t>
      </w:r>
      <w:r>
        <w:rPr>
          <w:i/>
        </w:rPr>
        <w:t xml:space="preserve">See </w:t>
      </w:r>
      <w:r>
        <w:t xml:space="preserve">2009 TNT 58-1, </w:t>
      </w:r>
      <w:r>
        <w:rPr>
          <w:i/>
        </w:rPr>
        <w:t xml:space="preserve">available at </w:t>
      </w:r>
      <w:r>
        <w:t>LEXIS, Tax Analysts, Tax Notes Today.</w:t>
      </w:r>
    </w:p>
  </w:footnote>
  <w:footnote w:id="27">
    <w:p w:rsidR="00D72450" w:rsidRPr="00CE4BE0" w:rsidRDefault="00D72450" w:rsidP="0078310B">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8">
    <w:p w:rsidR="00D72450" w:rsidRDefault="00D72450" w:rsidP="0078310B">
      <w:pPr>
        <w:pStyle w:val="FootnoteText"/>
        <w:widowControl w:val="0"/>
        <w:jc w:val="both"/>
      </w:pPr>
      <w:r>
        <w:rPr>
          <w:rStyle w:val="FootnoteReference"/>
        </w:rPr>
        <w:footnoteRef/>
      </w:r>
      <w:r>
        <w:t xml:space="preserve"> Bankruptcy courts can also hear tax disputes that arise in the course of bankruptcy adjudication.</w:t>
      </w:r>
    </w:p>
  </w:footnote>
  <w:footnote w:id="29">
    <w:p w:rsidR="00D72450" w:rsidRPr="00E67AC5" w:rsidRDefault="00D72450" w:rsidP="0078310B">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0">
    <w:p w:rsidR="00D72450" w:rsidRDefault="00D72450" w:rsidP="0078310B">
      <w:pPr>
        <w:pStyle w:val="FootnoteText"/>
        <w:widowControl w:val="0"/>
        <w:jc w:val="both"/>
      </w:pPr>
      <w:r>
        <w:rPr>
          <w:rStyle w:val="FootnoteReference"/>
        </w:rPr>
        <w:footnoteRef/>
      </w:r>
      <w:r>
        <w:t xml:space="preserve"> 54 T.C. 742 (1970).</w:t>
      </w:r>
    </w:p>
  </w:footnote>
  <w:footnote w:id="31">
    <w:p w:rsidR="00D72450" w:rsidRPr="000F704F" w:rsidRDefault="00D72450" w:rsidP="0078310B">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2">
    <w:p w:rsidR="00D72450" w:rsidRDefault="00D72450" w:rsidP="0078310B">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3">
    <w:p w:rsidR="00D72450" w:rsidRDefault="00D72450" w:rsidP="0078310B">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4">
    <w:p w:rsidR="00D72450" w:rsidRDefault="00D72450" w:rsidP="0078310B">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5">
    <w:p w:rsidR="00D72450" w:rsidRDefault="00D72450" w:rsidP="0078310B">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6">
    <w:p w:rsidR="00D72450" w:rsidRPr="005D5230" w:rsidRDefault="00D72450" w:rsidP="0078310B">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7">
    <w:p w:rsidR="00D72450" w:rsidRDefault="00D72450" w:rsidP="0078310B">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38">
    <w:p w:rsidR="00D72450" w:rsidRPr="004B5C44" w:rsidRDefault="00D72450" w:rsidP="0078310B">
      <w:pPr>
        <w:pStyle w:val="FootnoteText"/>
      </w:pPr>
      <w:r>
        <w:rPr>
          <w:rStyle w:val="FootnoteReference"/>
        </w:rPr>
        <w:footnoteRef/>
      </w:r>
      <w:r>
        <w:t xml:space="preserve"> Ginsburg, </w:t>
      </w:r>
      <w:r>
        <w:rPr>
          <w:i/>
        </w:rPr>
        <w:t>supra</w:t>
      </w:r>
      <w:r>
        <w:t xml:space="preserve"> note 26, at 175-76.</w:t>
      </w:r>
    </w:p>
  </w:footnote>
  <w:footnote w:id="39">
    <w:p w:rsidR="00D72450" w:rsidRPr="0071522B" w:rsidRDefault="00D72450" w:rsidP="0078310B">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0">
    <w:p w:rsidR="00D72450" w:rsidRPr="00507D7C" w:rsidRDefault="00D72450" w:rsidP="0078310B">
      <w:pPr>
        <w:pStyle w:val="FootnoteText"/>
        <w:widowControl w:val="0"/>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1">
    <w:p w:rsidR="00D72450" w:rsidRPr="00507D7C" w:rsidRDefault="00D72450" w:rsidP="0078310B">
      <w:pPr>
        <w:pStyle w:val="FootnoteText"/>
        <w:widowControl w:val="0"/>
      </w:pPr>
      <w:r w:rsidRPr="00507D7C">
        <w:rPr>
          <w:rStyle w:val="FootnoteReference"/>
        </w:rPr>
        <w:footnoteRef/>
      </w:r>
      <w:r w:rsidRPr="00507D7C">
        <w:t xml:space="preserve"> 312 U.S. 212 (1941).</w:t>
      </w:r>
    </w:p>
  </w:footnote>
  <w:footnote w:id="42">
    <w:p w:rsidR="00D72450" w:rsidRPr="00AC710E" w:rsidRDefault="00D72450" w:rsidP="0078310B">
      <w:pPr>
        <w:widowControl w:val="0"/>
      </w:pPr>
      <w:r w:rsidRPr="00874AFD">
        <w:rPr>
          <w:rStyle w:val="FootnoteReference"/>
          <w:sz w:val="20"/>
          <w:szCs w:val="20"/>
        </w:rPr>
        <w:footnoteRef/>
      </w:r>
      <w:r w:rsidRPr="00874AFD">
        <w:rPr>
          <w:sz w:val="20"/>
          <w:szCs w:val="20"/>
        </w:rPr>
        <w:t xml:space="preserve"> Section 212(3) was added much later and has a differ</w:t>
      </w:r>
      <w:r>
        <w:rPr>
          <w:sz w:val="20"/>
          <w:szCs w:val="20"/>
        </w:rPr>
        <w:t xml:space="preserve">ent flavor entirely. </w:t>
      </w:r>
      <w:r>
        <w:rPr>
          <w:i/>
          <w:sz w:val="20"/>
          <w:szCs w:val="20"/>
        </w:rPr>
        <w:t>See infra</w:t>
      </w:r>
      <w:r>
        <w:rPr>
          <w:sz w:val="20"/>
          <w:szCs w:val="20"/>
        </w:rPr>
        <w:t xml:space="preserve"> Chapter 18.</w:t>
      </w:r>
    </w:p>
  </w:footnote>
  <w:footnote w:id="43">
    <w:p w:rsidR="00D72450" w:rsidRPr="00CE10C7" w:rsidRDefault="00D72450" w:rsidP="0078310B">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p>
  </w:footnote>
  <w:footnote w:id="44">
    <w:p w:rsidR="00D72450" w:rsidRPr="00103AF8" w:rsidRDefault="00D72450" w:rsidP="0078310B">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45">
    <w:p w:rsidR="00D72450" w:rsidRDefault="00D72450" w:rsidP="0078310B">
      <w:pPr>
        <w:pStyle w:val="FootnoteText"/>
        <w:widowControl w:val="0"/>
        <w:jc w:val="both"/>
      </w:pPr>
      <w:r>
        <w:rPr>
          <w:rStyle w:val="FootnoteReference"/>
        </w:rPr>
        <w:footnoteRef/>
      </w:r>
      <w:r>
        <w:t xml:space="preserve"> We shall discuss the joint tax return as an income-splitting mechanism in Chapter 8. </w:t>
      </w:r>
    </w:p>
  </w:footnote>
  <w:footnote w:id="46">
    <w:p w:rsidR="00D72450" w:rsidRDefault="00D72450" w:rsidP="0078310B">
      <w:pPr>
        <w:pStyle w:val="FootnoteText"/>
        <w:widowControl w:val="0"/>
        <w:jc w:val="both"/>
      </w:pPr>
      <w:r>
        <w:rPr>
          <w:rStyle w:val="FootnoteReference"/>
        </w:rPr>
        <w:footnoteRef/>
      </w:r>
      <w:r>
        <w:t xml:space="preserve"> This result remains true only if the couple is not otherwise subject to the AMT, discussed shortly, as the Personal and Dependent Exemption Deductions are entirely disallowed under the AMT. </w:t>
      </w:r>
    </w:p>
  </w:footnote>
  <w:footnote w:id="47">
    <w:p w:rsidR="00D72450" w:rsidRPr="00F74B00" w:rsidRDefault="00D72450" w:rsidP="0078310B">
      <w:pPr>
        <w:pStyle w:val="FootnoteText"/>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8">
    <w:p w:rsidR="00D72450" w:rsidRPr="00F66DBD" w:rsidRDefault="00D72450" w:rsidP="0078310B">
      <w:pPr>
        <w:pStyle w:val="FootnoteText"/>
        <w:widowControl w:val="0"/>
        <w:jc w:val="both"/>
      </w:pPr>
      <w:r>
        <w:rPr>
          <w:rStyle w:val="FootnoteReference"/>
        </w:rPr>
        <w:footnoteRef/>
      </w:r>
      <w:r>
        <w:t xml:space="preserve"> </w:t>
      </w:r>
      <w:r>
        <w:rPr>
          <w:i/>
        </w:rPr>
        <w:t xml:space="preserve">See </w:t>
      </w:r>
      <w:r>
        <w:t xml:space="preserve">David Wessel, </w:t>
      </w:r>
      <w:r>
        <w:rPr>
          <w:i/>
        </w:rPr>
        <w:t>Campaign Paves the Way for Tax Reform</w:t>
      </w:r>
      <w:r>
        <w:t xml:space="preserve">, </w:t>
      </w:r>
      <w:r>
        <w:rPr>
          <w:smallCaps/>
        </w:rPr>
        <w:t>Wall St. J.</w:t>
      </w:r>
      <w:r>
        <w:t xml:space="preserve">, Oct. 25, 2012, at A8, and at </w:t>
      </w:r>
      <w:r w:rsidRPr="00F51E67">
        <w:t>http://online.wsj.com/news/articles/SB10001424052970203937004578076650697167828</w:t>
      </w:r>
      <w:r>
        <w:t>.</w:t>
      </w:r>
    </w:p>
  </w:footnote>
  <w:footnote w:id="49">
    <w:p w:rsidR="00D72450" w:rsidRDefault="00D72450" w:rsidP="0078310B">
      <w:pPr>
        <w:pStyle w:val="FootnoteText"/>
        <w:widowControl w:val="0"/>
        <w:jc w:val="both"/>
      </w:pPr>
      <w:r>
        <w:rPr>
          <w:rStyle w:val="FootnoteReference"/>
        </w:rPr>
        <w:footnoteRef/>
      </w:r>
      <w:r>
        <w:t xml:space="preserve"> Certain Itemized Deductions are free from the § 68 limitation, such as medical expenses under § 213, personal casualty and theft losses under §§ 165(c)(3) and (h), investment interest under § 163(d), and wagering losses under § 165(d). </w:t>
      </w:r>
    </w:p>
  </w:footnote>
  <w:footnote w:id="50">
    <w:p w:rsidR="00D72450" w:rsidRPr="005350BA" w:rsidRDefault="00D72450" w:rsidP="0078310B">
      <w:pPr>
        <w:widowControl w:val="0"/>
        <w:jc w:val="both"/>
        <w:rPr>
          <w:sz w:val="20"/>
          <w:szCs w:val="20"/>
        </w:rPr>
      </w:pPr>
      <w:r w:rsidRPr="005350BA">
        <w:rPr>
          <w:rStyle w:val="FootnoteReference"/>
          <w:sz w:val="20"/>
          <w:szCs w:val="20"/>
        </w:rPr>
        <w:footnoteRef/>
      </w:r>
      <w:r w:rsidRPr="005350BA">
        <w:rPr>
          <w:sz w:val="20"/>
          <w:szCs w:val="20"/>
        </w:rPr>
        <w:t xml:space="preserve"> </w:t>
      </w:r>
      <w:r w:rsidRPr="005350BA">
        <w:rPr>
          <w:smallCaps/>
          <w:sz w:val="20"/>
          <w:szCs w:val="20"/>
        </w:rPr>
        <w:t>Staff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rsidR="00D72450" w:rsidRDefault="00D72450" w:rsidP="0078310B">
      <w:pPr>
        <w:pStyle w:val="FootnoteText"/>
        <w:widowControl w:val="0"/>
        <w:jc w:val="both"/>
      </w:pPr>
    </w:p>
  </w:footnote>
  <w:footnote w:id="51">
    <w:p w:rsidR="00D72450" w:rsidRPr="00880B26" w:rsidRDefault="00D72450" w:rsidP="0078310B">
      <w:pPr>
        <w:pStyle w:val="FootnoteText"/>
        <w:widowControl w:val="0"/>
        <w:jc w:val="both"/>
      </w:pPr>
      <w:r>
        <w:rPr>
          <w:rStyle w:val="FootnoteReference"/>
        </w:rPr>
        <w:footnoteRef/>
      </w:r>
      <w:r>
        <w:t xml:space="preserve"> </w:t>
      </w:r>
      <w:r>
        <w:rPr>
          <w:i/>
        </w:rPr>
        <w:t>Alternative Minimum Tax: What Has Been the Effect of Annual Patches?</w:t>
      </w:r>
      <w:r>
        <w:t xml:space="preserve">, at </w:t>
      </w:r>
      <w:r w:rsidRPr="00880B26">
        <w:t>www.taxpolicycenter.org/briefing-book/key-elements/amt/patches.cfm</w:t>
      </w:r>
      <w:r>
        <w:t>.</w:t>
      </w:r>
    </w:p>
  </w:footnote>
  <w:footnote w:id="52">
    <w:p w:rsidR="00D72450" w:rsidRPr="00F81981" w:rsidRDefault="00D72450" w:rsidP="0078310B">
      <w:pPr>
        <w:pStyle w:val="FootnoteText"/>
      </w:pPr>
      <w:r>
        <w:rPr>
          <w:rStyle w:val="FootnoteReference"/>
        </w:rPr>
        <w:footnoteRef/>
      </w:r>
      <w:r>
        <w:t xml:space="preserve"> </w:t>
      </w:r>
      <w:r>
        <w:rPr>
          <w:i/>
        </w:rPr>
        <w:t xml:space="preserve">See </w:t>
      </w:r>
      <w:r w:rsidR="00F81981" w:rsidRPr="00F81981">
        <w:t>www.irs.gov/uac/newsroom/tax-refunds-reach-almost-125-billion-mark-irs-gov-available-for-tax-help</w:t>
      </w:r>
      <w:r w:rsidR="00F81981">
        <w:t>.</w:t>
      </w:r>
    </w:p>
  </w:footnote>
  <w:footnote w:id="53">
    <w:p w:rsidR="00D72450" w:rsidRPr="003C7CEB" w:rsidRDefault="00D72450" w:rsidP="0078310B">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4">
    <w:p w:rsidR="00D72450" w:rsidRDefault="00D72450" w:rsidP="0078310B">
      <w:pPr>
        <w:pStyle w:val="FootnoteText"/>
        <w:widowControl w:val="0"/>
        <w:jc w:val="both"/>
      </w:pPr>
      <w:r>
        <w:rPr>
          <w:rStyle w:val="FootnoteReference"/>
        </w:rPr>
        <w:footnoteRef/>
      </w:r>
      <w:r>
        <w:t xml:space="preserve"> </w:t>
      </w:r>
      <w:r w:rsidRPr="00BD2633">
        <w:t>www.scribd.com/doc/53364352/President-Mrs-Obama-s-2010-tax-returns</w:t>
      </w:r>
      <w:r>
        <w:t xml:space="preserve">. For tax year 2014, the Obamas paid $93,362 in Federal income tax on AGI of $477,383, for an effective Federal income tax rate of 19.6%. </w:t>
      </w:r>
      <w:r>
        <w:rPr>
          <w:i/>
        </w:rPr>
        <w:t xml:space="preserve">See </w:t>
      </w:r>
      <w:r w:rsidRPr="00C74C0B">
        <w:rPr>
          <w:i/>
        </w:rPr>
        <w:t>https://www.whitehouse.gov/blog/2015/04/10/president-obama-and-vice-president-biden-s-2014-tax-returns</w:t>
      </w:r>
      <w:r>
        <w:rPr>
          <w:i/>
        </w:rPr>
        <w:t>.</w:t>
      </w:r>
      <w:r>
        <w:t xml:space="preserve"> Their income consisted mostly of the President’s $400,000 salary, with much lower book royalties than in prior tax years. </w:t>
      </w:r>
    </w:p>
  </w:footnote>
  <w:footnote w:id="55">
    <w:p w:rsidR="00D72450" w:rsidRDefault="00D72450" w:rsidP="0078310B">
      <w:pPr>
        <w:pStyle w:val="FootnoteText"/>
        <w:widowControl w:val="0"/>
        <w:jc w:val="both"/>
      </w:pPr>
      <w:r>
        <w:rPr>
          <w:rStyle w:val="FootnoteReference"/>
        </w:rPr>
        <w:footnoteRef/>
      </w:r>
      <w:r>
        <w:t xml:space="preserve"> </w:t>
      </w:r>
      <w:r w:rsidRPr="001374EF">
        <w:t>http://thorndike.com/wp-content/uploads/2012/01/Romney1040-2010.pdf</w:t>
      </w:r>
      <w:r>
        <w:t>.</w:t>
      </w:r>
    </w:p>
  </w:footnote>
  <w:footnote w:id="56">
    <w:p w:rsidR="00D72450" w:rsidRDefault="00D72450" w:rsidP="0078310B">
      <w:pPr>
        <w:pStyle w:val="FootnoteText"/>
        <w:widowControl w:val="0"/>
        <w:jc w:val="both"/>
      </w:pPr>
      <w:r>
        <w:rPr>
          <w:rStyle w:val="FootnoteReference"/>
        </w:rPr>
        <w:footnoteRef/>
      </w:r>
      <w:r>
        <w:t xml:space="preserve"> </w:t>
      </w:r>
      <w:r w:rsidRPr="005C32FF">
        <w:t>www.cbo.gov/publication/49440</w:t>
      </w:r>
      <w:r>
        <w:t>.</w:t>
      </w:r>
    </w:p>
  </w:footnote>
  <w:footnote w:id="57">
    <w:p w:rsidR="00D72450" w:rsidRDefault="00D72450" w:rsidP="0078310B">
      <w:pPr>
        <w:pStyle w:val="FootnoteText"/>
      </w:pPr>
      <w:r>
        <w:rPr>
          <w:rStyle w:val="FootnoteReference"/>
        </w:rPr>
        <w:footnoteRef/>
      </w:r>
      <w:r>
        <w:t xml:space="preserve"> The issue of “tax incidence” is discussed in Chapter 3. </w:t>
      </w:r>
    </w:p>
  </w:footnote>
  <w:footnote w:id="58">
    <w:p w:rsidR="00D72450" w:rsidRPr="004B6D2D" w:rsidRDefault="00D72450" w:rsidP="0078310B">
      <w:pPr>
        <w:pStyle w:val="FootnoteText"/>
      </w:pPr>
      <w:r>
        <w:rPr>
          <w:rStyle w:val="FootnoteReference"/>
        </w:rPr>
        <w:footnoteRef/>
      </w:r>
      <w:r>
        <w:t xml:space="preserve"> </w:t>
      </w:r>
      <w:r>
        <w:rPr>
          <w:i/>
        </w:rPr>
        <w:t xml:space="preserve">See </w:t>
      </w:r>
      <w:r>
        <w:t xml:space="preserve">Patrick Driessen, </w:t>
      </w:r>
      <w:r>
        <w:rPr>
          <w:i/>
        </w:rPr>
        <w:t>Corporate Tax Fate May Hinge on Modeling Omission</w:t>
      </w:r>
      <w:r>
        <w:t xml:space="preserve">, 145 </w:t>
      </w:r>
      <w:r>
        <w:rPr>
          <w:smallCaps/>
        </w:rPr>
        <w:t>Tax Notes</w:t>
      </w:r>
      <w:r>
        <w:t xml:space="preserve"> 1043 (2014).</w:t>
      </w:r>
    </w:p>
  </w:footnote>
  <w:footnote w:id="59">
    <w:p w:rsidR="00D72450" w:rsidRPr="00E76E57" w:rsidRDefault="00D72450" w:rsidP="0078310B">
      <w:pPr>
        <w:pStyle w:val="FootnoteText"/>
        <w:widowControl w:val="0"/>
        <w:jc w:val="both"/>
      </w:pPr>
      <w:r>
        <w:rPr>
          <w:rStyle w:val="FootnoteReference"/>
        </w:rPr>
        <w:footnoteRef/>
      </w:r>
      <w:r>
        <w:t xml:space="preserve"> Martin A. Sullivan, </w:t>
      </w:r>
      <w:r>
        <w:rPr>
          <w:i/>
        </w:rPr>
        <w:t>U.S. Income Tax Still Not Progessive at the High End</w:t>
      </w:r>
      <w:r>
        <w:t xml:space="preserve">, 152 </w:t>
      </w:r>
      <w:r>
        <w:rPr>
          <w:smallCaps/>
        </w:rPr>
        <w:t>Tax Notes</w:t>
      </w:r>
      <w:r>
        <w:t xml:space="preserve"> 903, 904 (2016). Reprinted with permission of Tax Analysts. </w:t>
      </w:r>
      <w:r>
        <w:rPr>
          <w:i/>
        </w:rPr>
        <w:t>See also</w:t>
      </w:r>
      <w:r>
        <w:t xml:space="preserve"> James B. Stewart, </w:t>
      </w:r>
      <w:r>
        <w:rPr>
          <w:i/>
        </w:rPr>
        <w:t>High Income, Low Taxes And Never A Bad Year</w:t>
      </w:r>
      <w:r>
        <w:t xml:space="preserve">, at </w:t>
      </w:r>
      <w:r w:rsidRPr="005C4176">
        <w:t>www.nytimes.com/2013/11/02/business/high-earnings-low-taxes-and-never-a-bad-year.html</w:t>
      </w:r>
      <w:r>
        <w:t xml:space="preserve"> (focusing on the top 400 income tax returns in 2009 and discussing how the preferential rate applied to net capital gain and dividend is responsible for the very wealthy having a lower effective tax rate than the merely wealthy). </w:t>
      </w:r>
    </w:p>
  </w:footnote>
  <w:footnote w:id="60">
    <w:p w:rsidR="00D72450" w:rsidRPr="00845027" w:rsidRDefault="00D72450" w:rsidP="0078310B">
      <w:pPr>
        <w:pStyle w:val="FootnoteText"/>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61">
    <w:p w:rsidR="00D72450" w:rsidRPr="002F3A62" w:rsidRDefault="00D72450" w:rsidP="0078310B">
      <w:pPr>
        <w:pStyle w:val="FootnoteText"/>
        <w:widowControl w:val="0"/>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62">
    <w:p w:rsidR="00D72450" w:rsidRPr="00AA174E" w:rsidRDefault="00D72450" w:rsidP="0078310B">
      <w:pPr>
        <w:pStyle w:val="FootnoteText"/>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63">
    <w:p w:rsidR="00D72450" w:rsidRPr="007D7496" w:rsidRDefault="00D72450" w:rsidP="0078310B">
      <w:pPr>
        <w:pStyle w:val="FootnoteText"/>
        <w:widowControl w:val="0"/>
      </w:pPr>
      <w:r w:rsidRPr="007D7496">
        <w:rPr>
          <w:rStyle w:val="FootnoteReference"/>
        </w:rPr>
        <w:footnoteRef/>
      </w:r>
      <w:r w:rsidRPr="007D7496">
        <w:t xml:space="preserve"> </w:t>
      </w:r>
      <w:r>
        <w:t xml:space="preserve">To read a recent version of the Fair Tax of 2013 (H.R. 25), see </w:t>
      </w:r>
      <w:r w:rsidRPr="007D7496">
        <w:t>www.govtrack.us/congress/bills/113/hr25/text</w:t>
      </w:r>
      <w:r>
        <w:t>. As with most RSTs, purchases of business and investment property and services would generally be exempt.</w:t>
      </w:r>
    </w:p>
  </w:footnote>
  <w:footnote w:id="64">
    <w:p w:rsidR="00D72450" w:rsidRPr="003053F0" w:rsidRDefault="00D72450" w:rsidP="0078310B">
      <w:pPr>
        <w:pStyle w:val="FootnoteText"/>
        <w:widowControl w:val="0"/>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65">
    <w:p w:rsidR="00D72450" w:rsidRPr="003053F0" w:rsidRDefault="00D72450" w:rsidP="0078310B">
      <w:pPr>
        <w:pStyle w:val="FootnoteText"/>
        <w:widowControl w:val="0"/>
      </w:pPr>
      <w:r w:rsidRPr="003053F0">
        <w:rPr>
          <w:rStyle w:val="FootnoteReference"/>
        </w:rPr>
        <w:footnoteRef/>
      </w:r>
      <w:r>
        <w:t xml:space="preserve"> </w:t>
      </w:r>
      <w:r>
        <w:rPr>
          <w:i/>
        </w:rPr>
        <w:t xml:space="preserve">See </w:t>
      </w:r>
      <w:r w:rsidRPr="003053F0">
        <w:t>www.factcheck.org/taxes/unspinning_the_fairtax.html.</w:t>
      </w:r>
    </w:p>
  </w:footnote>
  <w:footnote w:id="66">
    <w:p w:rsidR="00D72450" w:rsidRPr="00AF6FBC" w:rsidRDefault="00D72450" w:rsidP="0078310B">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67">
    <w:p w:rsidR="00D72450" w:rsidRPr="003E2FDD" w:rsidRDefault="00D72450" w:rsidP="0078310B">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68">
    <w:p w:rsidR="00D72450" w:rsidRPr="00FB2CF7" w:rsidRDefault="00D72450" w:rsidP="0078310B">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69">
    <w:p w:rsidR="00D72450" w:rsidRPr="004F50AE" w:rsidRDefault="00D72450" w:rsidP="0078310B">
      <w:pPr>
        <w:pStyle w:val="FootnoteText"/>
        <w:widowControl w:val="0"/>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70">
    <w:p w:rsidR="00D72450" w:rsidRDefault="00D72450" w:rsidP="0078310B">
      <w:pPr>
        <w:pStyle w:val="FootnoteText"/>
      </w:pPr>
      <w:r>
        <w:rPr>
          <w:rStyle w:val="FootnoteReference"/>
        </w:rPr>
        <w:footnoteRef/>
      </w:r>
      <w:r>
        <w:t xml:space="preserve"> Similar to § 265(a)(2), Congress has attempted to prevent this type of arbitrage under § 163(d), which you will study in Chapter 16 (Tax Shelters), but as with § 265(a)(2), enforcement has proven difficult. </w:t>
      </w:r>
    </w:p>
  </w:footnote>
  <w:footnote w:id="71">
    <w:p w:rsidR="00D72450" w:rsidRDefault="00D72450" w:rsidP="0078310B">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72">
    <w:p w:rsidR="00D72450" w:rsidRPr="002A69D9" w:rsidRDefault="00D72450" w:rsidP="0078310B">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73">
    <w:p w:rsidR="00D72450" w:rsidRPr="006072D6" w:rsidRDefault="00D72450" w:rsidP="0078310B">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74">
    <w:p w:rsidR="00D72450" w:rsidRPr="00726F11" w:rsidRDefault="00D72450" w:rsidP="0078310B">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rsidR="00D72450" w:rsidRPr="00035BAF" w:rsidRDefault="00D72450" w:rsidP="0078310B">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Nevertheless, I sometimes </w:t>
      </w:r>
      <w:r>
        <w:rPr>
          <w:i/>
        </w:rPr>
        <w:t xml:space="preserve">cite </w:t>
      </w:r>
      <w:r>
        <w:t xml:space="preserve">to articles from other sources in footnotes. As a reader, you are, of course, free to enter the web address in your own browser should you wish to read the article. &lt;Grin.&gt; I also want to publicly thank those authors and sources who provided reprint permission without charge with respect to excerpts that you will read from time to time in the body of the textbook. </w:t>
      </w:r>
    </w:p>
  </w:footnote>
  <w:footnote w:id="75">
    <w:p w:rsidR="00D72450" w:rsidRPr="00E303C4" w:rsidRDefault="00D72450" w:rsidP="0078310B">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76">
    <w:p w:rsidR="00D72450" w:rsidRPr="00B609E8" w:rsidRDefault="00D72450" w:rsidP="0078310B">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w:t>
      </w:r>
    </w:p>
  </w:footnote>
  <w:footnote w:id="77">
    <w:p w:rsidR="00D72450" w:rsidRDefault="00D72450" w:rsidP="0078310B">
      <w:pPr>
        <w:widowControl w:val="0"/>
        <w:jc w:val="both"/>
      </w:pPr>
      <w:r w:rsidRPr="00C9063A">
        <w:rPr>
          <w:rStyle w:val="FootnoteReference"/>
          <w:sz w:val="20"/>
          <w:szCs w:val="20"/>
        </w:rPr>
        <w:footnoteRef/>
      </w:r>
      <w:r>
        <w:rPr>
          <w:sz w:val="20"/>
          <w:szCs w:val="20"/>
        </w:rPr>
        <w:t xml:space="preserve"> In the </w:t>
      </w:r>
      <w:r w:rsidRPr="00C9063A">
        <w:rPr>
          <w:sz w:val="20"/>
          <w:szCs w:val="20"/>
        </w:rPr>
        <w:t xml:space="preserve">decision upholding the constitutionality of the Affordable Care Act, the Supreme Court held that the </w:t>
      </w:r>
      <w:r>
        <w:rPr>
          <w:sz w:val="20"/>
          <w:szCs w:val="20"/>
        </w:rPr>
        <w:t xml:space="preserve">“shared responsibility payment” </w:t>
      </w:r>
      <w:r w:rsidRPr="00C9063A">
        <w:rPr>
          <w:sz w:val="20"/>
          <w:szCs w:val="20"/>
        </w:rPr>
        <w:t xml:space="preserve">imposed on those who fail to purchase health insurance while not being exempt under the statute from the requirement to purchase was </w:t>
      </w:r>
      <w:r>
        <w:rPr>
          <w:sz w:val="20"/>
          <w:szCs w:val="20"/>
        </w:rPr>
        <w:t xml:space="preserve">a tax but </w:t>
      </w:r>
      <w:r w:rsidRPr="00C9063A">
        <w:rPr>
          <w:sz w:val="20"/>
          <w:szCs w:val="20"/>
        </w:rPr>
        <w:t>not a direct tax because it was “triggered by specific circumstances</w:t>
      </w:r>
      <w:r>
        <w:rPr>
          <w:sz w:val="20"/>
          <w:szCs w:val="20"/>
        </w:rPr>
        <w:t xml:space="preserve">—earning a certain amount of income but not obtaining health insurance. The payment is also plainly not a tax on ownership of land or personal property. The shared responsibility payment is thus not a direct tax that must be apportioned among the several states.” </w:t>
      </w:r>
      <w:r w:rsidRPr="008874B2">
        <w:rPr>
          <w:sz w:val="20"/>
          <w:szCs w:val="20"/>
        </w:rPr>
        <w:t>National Federation of Independent Business v. Sebelius,</w:t>
      </w:r>
      <w:r>
        <w:rPr>
          <w:sz w:val="20"/>
          <w:szCs w:val="20"/>
        </w:rPr>
        <w:t xml:space="preserve"> 132 S. Ct. 2566, 2597 </w:t>
      </w:r>
      <w:r w:rsidRPr="00C9063A">
        <w:rPr>
          <w:sz w:val="20"/>
          <w:szCs w:val="20"/>
        </w:rPr>
        <w:t xml:space="preserve">(2012). </w:t>
      </w:r>
      <w:r>
        <w:rPr>
          <w:i/>
          <w:sz w:val="20"/>
          <w:szCs w:val="20"/>
        </w:rPr>
        <w:t>See generally</w:t>
      </w:r>
      <w:r>
        <w:rPr>
          <w:sz w:val="20"/>
          <w:szCs w:val="20"/>
        </w:rPr>
        <w:t xml:space="preserve"> Erik M. Jensen, </w:t>
      </w:r>
      <w:r w:rsidRPr="00285BDB">
        <w:rPr>
          <w:i/>
          <w:sz w:val="20"/>
          <w:szCs w:val="20"/>
        </w:rPr>
        <w:t>Post-NFIB:</w:t>
      </w:r>
      <w:r>
        <w:rPr>
          <w:sz w:val="20"/>
          <w:szCs w:val="20"/>
        </w:rPr>
        <w:t xml:space="preserve"> </w:t>
      </w:r>
      <w:r>
        <w:rPr>
          <w:i/>
          <w:sz w:val="20"/>
          <w:szCs w:val="20"/>
        </w:rPr>
        <w:t>Does the Taxing Clause Give Congress Unlimited Power?</w:t>
      </w:r>
      <w:r>
        <w:rPr>
          <w:sz w:val="20"/>
          <w:szCs w:val="20"/>
        </w:rPr>
        <w:t xml:space="preserve">, 136 </w:t>
      </w:r>
      <w:r>
        <w:rPr>
          <w:smallCaps/>
          <w:sz w:val="20"/>
          <w:szCs w:val="20"/>
        </w:rPr>
        <w:t>Tax Notes</w:t>
      </w:r>
      <w:r>
        <w:rPr>
          <w:sz w:val="20"/>
          <w:szCs w:val="20"/>
        </w:rPr>
        <w:t xml:space="preserve"> 1309 (2012) (answering “no”).</w:t>
      </w:r>
    </w:p>
  </w:footnote>
  <w:footnote w:id="78">
    <w:p w:rsidR="00D72450" w:rsidRPr="00C9063A" w:rsidRDefault="00D72450" w:rsidP="0078310B">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3, at 24. </w:t>
      </w:r>
    </w:p>
  </w:footnote>
  <w:footnote w:id="79">
    <w:p w:rsidR="00D72450" w:rsidRPr="00B802F3" w:rsidRDefault="00D72450" w:rsidP="0078310B">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3, at 38-44. </w:t>
      </w:r>
    </w:p>
  </w:footnote>
  <w:footnote w:id="80">
    <w:p w:rsidR="00D72450" w:rsidRPr="00084084" w:rsidRDefault="00D72450" w:rsidP="0078310B">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81">
    <w:p w:rsidR="00D72450" w:rsidRDefault="00D72450" w:rsidP="0078310B">
      <w:pPr>
        <w:pStyle w:val="FootnoteText"/>
      </w:pPr>
      <w:r>
        <w:rPr>
          <w:rStyle w:val="FootnoteReference"/>
        </w:rPr>
        <w:footnoteRef/>
      </w:r>
      <w:r>
        <w:t xml:space="preserve"> 102 U.S. 586 (1881).</w:t>
      </w:r>
    </w:p>
  </w:footnote>
  <w:footnote w:id="82">
    <w:p w:rsidR="00D72450" w:rsidRDefault="00D72450" w:rsidP="0078310B">
      <w:pPr>
        <w:pStyle w:val="FootnoteText"/>
        <w:widowControl w:val="0"/>
        <w:jc w:val="both"/>
      </w:pPr>
      <w:r>
        <w:rPr>
          <w:rStyle w:val="FootnoteReference"/>
        </w:rPr>
        <w:footnoteRef/>
      </w:r>
      <w:r>
        <w:t xml:space="preserve"> </w:t>
      </w:r>
      <w:r>
        <w:rPr>
          <w:i/>
        </w:rPr>
        <w:t>Id.</w:t>
      </w:r>
      <w:r>
        <w:t xml:space="preserve"> at 602. </w:t>
      </w:r>
    </w:p>
  </w:footnote>
  <w:footnote w:id="83">
    <w:p w:rsidR="00D72450" w:rsidRPr="0031193E" w:rsidRDefault="00D72450" w:rsidP="0078310B">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3, at 38.</w:t>
      </w:r>
    </w:p>
  </w:footnote>
  <w:footnote w:id="84">
    <w:p w:rsidR="00D72450" w:rsidRPr="00100DFD" w:rsidRDefault="00D72450" w:rsidP="0078310B">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85">
    <w:p w:rsidR="00D72450" w:rsidRPr="00BE1DEB" w:rsidRDefault="00D72450" w:rsidP="0078310B">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3, at 52-55 and 62-64 (footnotes omitted). Reprinted with permission.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86">
    <w:p w:rsidR="00D72450" w:rsidRPr="0051388F" w:rsidRDefault="00D72450" w:rsidP="0078310B">
      <w:pPr>
        <w:pStyle w:val="FootnoteText"/>
        <w:widowControl w:val="0"/>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87">
    <w:p w:rsidR="00D72450" w:rsidRDefault="00D72450" w:rsidP="0078310B">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88">
    <w:p w:rsidR="00D72450" w:rsidRPr="00597484" w:rsidRDefault="00D72450" w:rsidP="0078310B">
      <w:pPr>
        <w:pStyle w:val="FootnoteText"/>
        <w:widowControl w:val="0"/>
        <w:jc w:val="both"/>
      </w:pPr>
      <w:r>
        <w:rPr>
          <w:rStyle w:val="FootnoteReference"/>
        </w:rPr>
        <w:footnoteRef/>
      </w:r>
      <w:r>
        <w:t xml:space="preserve"> </w:t>
      </w:r>
      <w:r>
        <w:rPr>
          <w:i/>
        </w:rPr>
        <w:t>See, e.g.</w:t>
      </w:r>
      <w:r>
        <w:t xml:space="preserve">, Andrew Mitrusi &amp; James Poterba, </w:t>
      </w:r>
      <w:r>
        <w:rPr>
          <w:i/>
        </w:rPr>
        <w:t>The Distribution of Payroll and Income Tax Burdens, 1979-1999</w:t>
      </w:r>
      <w:r>
        <w:t xml:space="preserve">, 53 </w:t>
      </w:r>
      <w:r>
        <w:rPr>
          <w:smallCaps/>
        </w:rPr>
        <w:t>Nat’l Tax J.</w:t>
      </w:r>
      <w:r>
        <w:t xml:space="preserve"> 765 (2000). </w:t>
      </w:r>
    </w:p>
  </w:footnote>
  <w:footnote w:id="89">
    <w:p w:rsidR="00D72450" w:rsidRPr="00152A48" w:rsidRDefault="00D72450" w:rsidP="0078310B">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90">
    <w:p w:rsidR="00D72450" w:rsidRDefault="00D72450" w:rsidP="0078310B">
      <w:pPr>
        <w:pStyle w:val="FootnoteText"/>
        <w:widowControl w:val="0"/>
        <w:jc w:val="both"/>
      </w:pPr>
      <w:r>
        <w:rPr>
          <w:rStyle w:val="FootnoteReference"/>
        </w:rPr>
        <w:footnoteRef/>
      </w:r>
      <w:r>
        <w:t xml:space="preserve"> </w:t>
      </w:r>
      <w:r w:rsidRPr="00D9520B">
        <w:t>www.taxpolicycenter.org/taxfacts/displayafact.cfm?Docid=14</w:t>
      </w:r>
      <w:r>
        <w:t>. Reprinted with permission.</w:t>
      </w:r>
    </w:p>
  </w:footnote>
  <w:footnote w:id="91">
    <w:p w:rsidR="00D72450" w:rsidRPr="005222B3" w:rsidRDefault="00D72450" w:rsidP="0078310B">
      <w:pPr>
        <w:pStyle w:val="FootnoteText"/>
        <w:widowControl w:val="0"/>
      </w:pPr>
      <w:r>
        <w:rPr>
          <w:rStyle w:val="FootnoteReference"/>
        </w:rPr>
        <w:footnoteRef/>
      </w:r>
      <w:r>
        <w:t xml:space="preserve"> </w:t>
      </w:r>
      <w:r>
        <w:rPr>
          <w:smallCaps/>
        </w:rPr>
        <w:t xml:space="preserve">Joint Committee on Taxation, Overview of the Federal Tax System as in Effect for 2016, JCX-43-16 </w:t>
      </w:r>
      <w:r>
        <w:t xml:space="preserve">(May 10, 2016), at </w:t>
      </w:r>
      <w:r w:rsidRPr="00E541FC">
        <w:t>www.jct.gov/publications.html?func=showdown&amp;id=4912</w:t>
      </w:r>
      <w:r>
        <w:t>.</w:t>
      </w:r>
    </w:p>
  </w:footnote>
  <w:footnote w:id="92">
    <w:p w:rsidR="00D72450" w:rsidRPr="00EC7EB9" w:rsidRDefault="00D72450" w:rsidP="0078310B">
      <w:pPr>
        <w:pStyle w:val="FootnoteText"/>
      </w:pPr>
      <w:r>
        <w:rPr>
          <w:rStyle w:val="FootnoteReference"/>
        </w:rPr>
        <w:footnoteRef/>
      </w:r>
      <w:r>
        <w:t xml:space="preserve"> </w:t>
      </w:r>
      <w:r>
        <w:rPr>
          <w:smallCaps/>
        </w:rPr>
        <w:t>Congressional Budget Office</w:t>
      </w:r>
      <w:r>
        <w:t xml:space="preserve">, </w:t>
      </w:r>
      <w:r>
        <w:rPr>
          <w:i/>
        </w:rPr>
        <w:t>An Update to the Budget and Economic Outlook 2016 to 2016</w:t>
      </w:r>
      <w:r>
        <w:t xml:space="preserve">, at </w:t>
      </w:r>
      <w:r w:rsidRPr="00EC7EB9">
        <w:t xml:space="preserve">https://www.cbo.gov/publication/51908 </w:t>
      </w:r>
      <w:r>
        <w:t xml:space="preserve">[hereinafter CBO 2016 </w:t>
      </w:r>
      <w:r>
        <w:rPr>
          <w:smallCaps/>
        </w:rPr>
        <w:t>Report</w:t>
      </w:r>
      <w:r>
        <w:t>] 10.</w:t>
      </w:r>
    </w:p>
  </w:footnote>
  <w:footnote w:id="93">
    <w:p w:rsidR="00D72450" w:rsidRPr="00EC7EB9" w:rsidRDefault="00D72450" w:rsidP="0078310B">
      <w:pPr>
        <w:pStyle w:val="FootnoteText"/>
      </w:pPr>
      <w:r>
        <w:rPr>
          <w:rStyle w:val="FootnoteReference"/>
        </w:rPr>
        <w:footnoteRef/>
      </w:r>
      <w:r>
        <w:t xml:space="preserve"> </w:t>
      </w:r>
      <w:r>
        <w:rPr>
          <w:i/>
        </w:rPr>
        <w:t>Id.</w:t>
      </w:r>
      <w:r>
        <w:t xml:space="preserve"> at 11.</w:t>
      </w:r>
    </w:p>
  </w:footnote>
  <w:footnote w:id="94">
    <w:p w:rsidR="00D72450" w:rsidRPr="0064127D" w:rsidRDefault="00D72450" w:rsidP="0078310B">
      <w:pPr>
        <w:pStyle w:val="FootnoteText"/>
      </w:pPr>
      <w:r>
        <w:rPr>
          <w:rStyle w:val="FootnoteReference"/>
        </w:rPr>
        <w:footnoteRef/>
      </w:r>
      <w:r>
        <w:t xml:space="preserve"> CBO 2016 </w:t>
      </w:r>
      <w:r>
        <w:rPr>
          <w:smallCaps/>
        </w:rPr>
        <w:t>Report</w:t>
      </w:r>
      <w:r>
        <w:t xml:space="preserve">, </w:t>
      </w:r>
      <w:r>
        <w:rPr>
          <w:i/>
        </w:rPr>
        <w:t xml:space="preserve">supra </w:t>
      </w:r>
      <w:r>
        <w:t>note 19, at</w:t>
      </w:r>
      <w:r>
        <w:rPr>
          <w:smallCaps/>
        </w:rPr>
        <w:t xml:space="preserve"> </w:t>
      </w:r>
      <w:r>
        <w:t xml:space="preserve">4. </w:t>
      </w:r>
    </w:p>
  </w:footnote>
  <w:footnote w:id="95">
    <w:p w:rsidR="00D72450" w:rsidRPr="002F3DEF" w:rsidRDefault="00D72450" w:rsidP="002F3DEF">
      <w:pPr>
        <w:rPr>
          <w:sz w:val="20"/>
          <w:szCs w:val="20"/>
        </w:rPr>
      </w:pPr>
      <w:r w:rsidRPr="002F3DEF">
        <w:rPr>
          <w:rStyle w:val="FootnoteReference"/>
          <w:sz w:val="20"/>
          <w:szCs w:val="20"/>
        </w:rPr>
        <w:footnoteRef/>
      </w:r>
      <w:r w:rsidRPr="002F3DEF">
        <w:rPr>
          <w:sz w:val="20"/>
          <w:szCs w:val="20"/>
        </w:rPr>
        <w:t xml:space="preserve"> </w:t>
      </w:r>
      <w:r w:rsidRPr="002F3DEF">
        <w:rPr>
          <w:smallCaps/>
          <w:sz w:val="20"/>
          <w:szCs w:val="20"/>
        </w:rPr>
        <w:t>The Congressional Budget Office</w:t>
      </w:r>
      <w:r w:rsidRPr="002F3DEF">
        <w:rPr>
          <w:sz w:val="20"/>
          <w:szCs w:val="20"/>
        </w:rPr>
        <w:t xml:space="preserve">, </w:t>
      </w:r>
      <w:r w:rsidRPr="002F3DEF">
        <w:rPr>
          <w:i/>
          <w:sz w:val="20"/>
          <w:szCs w:val="20"/>
        </w:rPr>
        <w:t>The Budget and Economic Outlook: 2015 to 2025</w:t>
      </w:r>
      <w:r w:rsidRPr="002F3DEF">
        <w:rPr>
          <w:sz w:val="20"/>
          <w:szCs w:val="20"/>
        </w:rPr>
        <w:t>, at www.cbo.gov/publication/49892 at 22.</w:t>
      </w:r>
    </w:p>
    <w:p w:rsidR="00D72450" w:rsidRPr="00443BA7" w:rsidRDefault="00D72450" w:rsidP="0078310B">
      <w:pPr>
        <w:pStyle w:val="FootnoteText"/>
      </w:pPr>
      <w:r>
        <w:t xml:space="preserve"> </w:t>
      </w:r>
    </w:p>
  </w:footnote>
  <w:footnote w:id="96">
    <w:p w:rsidR="00D72450" w:rsidRPr="00CB7DCB" w:rsidRDefault="00D72450" w:rsidP="0078310B">
      <w:pPr>
        <w:rPr>
          <w:sz w:val="20"/>
          <w:szCs w:val="20"/>
        </w:rPr>
      </w:pPr>
      <w:r w:rsidRPr="00CB7DCB">
        <w:rPr>
          <w:rStyle w:val="FootnoteReference"/>
          <w:sz w:val="20"/>
          <w:szCs w:val="20"/>
        </w:rPr>
        <w:footnoteRef/>
      </w:r>
      <w:r w:rsidRPr="00CB7DCB">
        <w:rPr>
          <w:sz w:val="20"/>
          <w:szCs w:val="20"/>
        </w:rPr>
        <w:t xml:space="preserve"> </w:t>
      </w:r>
      <w:r w:rsidRPr="00CB7DCB">
        <w:rPr>
          <w:smallCaps/>
          <w:noProof/>
          <w:sz w:val="20"/>
          <w:szCs w:val="20"/>
        </w:rPr>
        <w:t xml:space="preserve">citizens for Tax Justice, </w:t>
      </w:r>
      <w:r w:rsidRPr="00CB7DCB">
        <w:rPr>
          <w:i/>
          <w:sz w:val="20"/>
          <w:szCs w:val="20"/>
        </w:rPr>
        <w:t>The U.S. is One of the Least Taxed Developed Countries</w:t>
      </w:r>
      <w:r w:rsidRPr="00CB7DCB">
        <w:rPr>
          <w:sz w:val="20"/>
          <w:szCs w:val="20"/>
        </w:rPr>
        <w:t>, at http://ctj.org/ctjreports/2015/04/the_us_is_one_of_the_least_taxed_developed_countries.php#.VSkd2OHGqW4</w:t>
      </w:r>
      <w:r>
        <w:rPr>
          <w:sz w:val="20"/>
          <w:szCs w:val="20"/>
        </w:rPr>
        <w:t>.</w:t>
      </w:r>
      <w:r w:rsidRPr="00CB7DCB">
        <w:rPr>
          <w:sz w:val="20"/>
          <w:szCs w:val="20"/>
        </w:rPr>
        <w:t xml:space="preserve"> </w:t>
      </w:r>
    </w:p>
    <w:p w:rsidR="00D72450" w:rsidRPr="00CB7DCB" w:rsidRDefault="00D72450" w:rsidP="0078310B">
      <w:pPr>
        <w:pStyle w:val="FootnoteText"/>
        <w:widowControl w:val="0"/>
        <w:jc w:val="both"/>
        <w:rPr>
          <w:sz w:val="22"/>
          <w:szCs w:val="22"/>
        </w:rPr>
      </w:pPr>
      <w:r w:rsidRPr="00CB7DCB">
        <w:t>Reprinted with permission.</w:t>
      </w:r>
    </w:p>
  </w:footnote>
  <w:footnote w:id="97">
    <w:p w:rsidR="00D72450" w:rsidRDefault="00D72450" w:rsidP="0078310B">
      <w:pPr>
        <w:pStyle w:val="FootnoteText"/>
        <w:widowControl w:val="0"/>
        <w:jc w:val="both"/>
      </w:pPr>
      <w:r>
        <w:rPr>
          <w:rStyle w:val="FootnoteReference"/>
        </w:rPr>
        <w:footnoteRef/>
      </w:r>
      <w:r>
        <w:t xml:space="preserve"> </w:t>
      </w:r>
      <w:r w:rsidRPr="004B30F1">
        <w:t>www.tradingeconomics.com/united-states/gdp-growth</w:t>
      </w:r>
      <w:r>
        <w:t>.</w:t>
      </w:r>
    </w:p>
  </w:footnote>
  <w:footnote w:id="98">
    <w:p w:rsidR="00D72450" w:rsidRDefault="00D72450" w:rsidP="0078310B">
      <w:pPr>
        <w:pStyle w:val="FootnoteText"/>
      </w:pPr>
      <w:r>
        <w:rPr>
          <w:rStyle w:val="FootnoteReference"/>
        </w:rPr>
        <w:footnoteRef/>
      </w:r>
      <w:r>
        <w:t xml:space="preserve"> </w:t>
      </w:r>
      <w:r w:rsidRPr="00B925C4">
        <w:t>http://inequality.org/income-inequality</w:t>
      </w:r>
      <w:r>
        <w:t>. Charts licensed under a Creative Commons 3.0 license.</w:t>
      </w:r>
    </w:p>
  </w:footnote>
  <w:footnote w:id="99">
    <w:p w:rsidR="00D72450" w:rsidRDefault="00D72450" w:rsidP="0078310B">
      <w:pPr>
        <w:pStyle w:val="FootnoteText"/>
      </w:pPr>
      <w:r w:rsidRPr="007F6381">
        <w:rPr>
          <w:rStyle w:val="FootnoteReference"/>
        </w:rPr>
        <w:footnoteRef/>
      </w:r>
      <w:r w:rsidRPr="007F6381">
        <w:t xml:space="preserve"> Chad Stone, Danilo Trisi, Arloc Sherman, and William Chen, </w:t>
      </w:r>
      <w:r w:rsidRPr="007F6381">
        <w:rPr>
          <w:i/>
        </w:rPr>
        <w:t>A Guide to Statistics on Historical Trends in Income Inequality</w:t>
      </w:r>
      <w:r w:rsidRPr="007F6381">
        <w:t>, at</w:t>
      </w:r>
      <w:r>
        <w:t xml:space="preserve"> </w:t>
      </w:r>
      <w:r w:rsidRPr="008D543A">
        <w:t>www.cbpp.org/cms/?fa=view&amp;id=3629</w:t>
      </w:r>
      <w:r>
        <w:t>. Reprinted with permission.</w:t>
      </w:r>
    </w:p>
  </w:footnote>
  <w:footnote w:id="100">
    <w:p w:rsidR="00D72450" w:rsidRPr="006110DB" w:rsidRDefault="00D72450" w:rsidP="0078310B">
      <w:pPr>
        <w:pStyle w:val="FootnoteText"/>
      </w:pPr>
      <w:r>
        <w:rPr>
          <w:rStyle w:val="FootnoteReference"/>
        </w:rPr>
        <w:footnoteRef/>
      </w:r>
      <w:r>
        <w:t xml:space="preserve"> </w:t>
      </w:r>
      <w:r>
        <w:rPr>
          <w:i/>
        </w:rPr>
        <w:t>Id.</w:t>
      </w:r>
    </w:p>
  </w:footnote>
  <w:footnote w:id="101">
    <w:p w:rsidR="00D72450" w:rsidRPr="00E36AC8" w:rsidRDefault="00D72450" w:rsidP="0078310B">
      <w:pPr>
        <w:pStyle w:val="FootnoteText"/>
      </w:pPr>
      <w:r>
        <w:rPr>
          <w:rStyle w:val="FootnoteReference"/>
        </w:rPr>
        <w:footnoteRef/>
      </w:r>
      <w:r>
        <w:t xml:space="preserve"> Nelson D. Schwartz, </w:t>
      </w:r>
      <w:r>
        <w:rPr>
          <w:i/>
        </w:rPr>
        <w:t>Low-Income Workers See Biggest Drop in Paychecks</w:t>
      </w:r>
      <w:r>
        <w:t xml:space="preserve">, at </w:t>
      </w:r>
      <w:r w:rsidRPr="00427BB3">
        <w:t>www.nytimes.com/2015/09/03/business/low-income-workers-see-biggest-drop-in-paychecks.html?_r=0</w:t>
      </w:r>
      <w:r>
        <w:t>.</w:t>
      </w:r>
    </w:p>
  </w:footnote>
  <w:footnote w:id="102">
    <w:p w:rsidR="00D72450" w:rsidRPr="007309FC" w:rsidRDefault="00D72450" w:rsidP="0078310B">
      <w:pPr>
        <w:pStyle w:val="FootnoteText"/>
      </w:pPr>
      <w:r>
        <w:rPr>
          <w:rStyle w:val="FootnoteReference"/>
        </w:rPr>
        <w:footnoteRef/>
      </w:r>
      <w:r>
        <w:t xml:space="preserve"> </w:t>
      </w:r>
      <w:r>
        <w:rPr>
          <w:smallCaps/>
        </w:rPr>
        <w:t>Pew Research Center</w:t>
      </w:r>
      <w:r>
        <w:t xml:space="preserve">, </w:t>
      </w:r>
      <w:r>
        <w:rPr>
          <w:i/>
        </w:rPr>
        <w:t>The American Middle Class is Losing Ground</w:t>
      </w:r>
      <w:r>
        <w:t xml:space="preserve"> (Dec. 9, 2015) at </w:t>
      </w:r>
      <w:r w:rsidRPr="008F6B1F">
        <w:t>www.pewsocialtrends.org/2015/12/09/the-american-middle-class-is-losing-ground/</w:t>
      </w:r>
      <w:r>
        <w:t xml:space="preserve"> [hereinafter </w:t>
      </w:r>
      <w:r>
        <w:rPr>
          <w:i/>
        </w:rPr>
        <w:t>Pew Report</w:t>
      </w:r>
      <w:r>
        <w:t>].</w:t>
      </w:r>
    </w:p>
  </w:footnote>
  <w:footnote w:id="103">
    <w:p w:rsidR="00D72450" w:rsidRPr="00B07304" w:rsidRDefault="00D72450" w:rsidP="0078310B">
      <w:pPr>
        <w:pStyle w:val="FootnoteText"/>
      </w:pPr>
      <w:r>
        <w:rPr>
          <w:rStyle w:val="FootnoteReference"/>
        </w:rPr>
        <w:footnoteRef/>
      </w:r>
      <w:r>
        <w:t xml:space="preserve"> </w:t>
      </w:r>
      <w:r>
        <w:rPr>
          <w:i/>
        </w:rPr>
        <w:t>Id.</w:t>
      </w:r>
    </w:p>
  </w:footnote>
  <w:footnote w:id="104">
    <w:p w:rsidR="00D72450" w:rsidRPr="00654B42" w:rsidRDefault="00D72450">
      <w:pPr>
        <w:pStyle w:val="FootnoteText"/>
      </w:pPr>
      <w:r>
        <w:rPr>
          <w:rStyle w:val="FootnoteReference"/>
        </w:rPr>
        <w:footnoteRef/>
      </w:r>
      <w:r>
        <w:t xml:space="preserve"> Neil Irwin, </w:t>
      </w:r>
      <w:r>
        <w:rPr>
          <w:i/>
        </w:rPr>
        <w:t>The Economic Expansion is Helping the Middle Class, Finally</w:t>
      </w:r>
      <w:r>
        <w:t xml:space="preserve">, at </w:t>
      </w:r>
      <w:r w:rsidRPr="00654B42">
        <w:t>www.nytimes.com/2016/09/14/upshot/the-economic-expansion-is-helping-the-middle-class-finally.html</w:t>
      </w:r>
      <w:r>
        <w:t>.</w:t>
      </w:r>
    </w:p>
  </w:footnote>
  <w:footnote w:id="105">
    <w:p w:rsidR="00D72450" w:rsidRPr="00377EB9" w:rsidRDefault="00D72450" w:rsidP="0078310B">
      <w:pPr>
        <w:pStyle w:val="FootnoteText"/>
        <w:widowControl w:val="0"/>
        <w:jc w:val="both"/>
      </w:pPr>
      <w:r>
        <w:rPr>
          <w:rStyle w:val="FootnoteReference"/>
        </w:rPr>
        <w:footnoteRef/>
      </w:r>
      <w:r>
        <w:t xml:space="preserve"> </w:t>
      </w:r>
      <w:r w:rsidRPr="00FF4899">
        <w:t>http://thinkprogress.org/economy/2011/10/03/334156/top-five-wealthiest-one-percent/</w:t>
      </w:r>
      <w:r>
        <w:t>.</w:t>
      </w:r>
    </w:p>
  </w:footnote>
  <w:footnote w:id="106">
    <w:p w:rsidR="00D72450" w:rsidRPr="0052034E" w:rsidRDefault="00D72450" w:rsidP="0078310B">
      <w:pPr>
        <w:rPr>
          <w:sz w:val="20"/>
          <w:szCs w:val="20"/>
        </w:rPr>
      </w:pPr>
      <w:r w:rsidRPr="0052034E">
        <w:rPr>
          <w:rStyle w:val="FootnoteReference"/>
          <w:sz w:val="20"/>
          <w:szCs w:val="20"/>
        </w:rPr>
        <w:footnoteRef/>
      </w:r>
      <w:r w:rsidRPr="0052034E">
        <w:rPr>
          <w:sz w:val="20"/>
          <w:szCs w:val="20"/>
        </w:rPr>
        <w:t xml:space="preserve"> </w:t>
      </w:r>
      <w:r w:rsidRPr="006765C8">
        <w:rPr>
          <w:sz w:val="20"/>
          <w:szCs w:val="20"/>
        </w:rPr>
        <w:t>http://stateofworkingamerica.org/chart/swa-wealth-figure-6b-share-total-household/</w:t>
      </w:r>
      <w:r>
        <w:rPr>
          <w:sz w:val="20"/>
          <w:szCs w:val="20"/>
        </w:rPr>
        <w:t>. Licensed under a Creative Commons license.</w:t>
      </w:r>
    </w:p>
  </w:footnote>
  <w:footnote w:id="107">
    <w:p w:rsidR="00D72450" w:rsidRPr="008F6B1F" w:rsidRDefault="00D72450" w:rsidP="0078310B">
      <w:pPr>
        <w:pStyle w:val="FootnoteText"/>
      </w:pPr>
      <w:r>
        <w:rPr>
          <w:rStyle w:val="FootnoteReference"/>
        </w:rPr>
        <w:footnoteRef/>
      </w:r>
      <w:r>
        <w:t xml:space="preserve"> </w:t>
      </w:r>
      <w:r>
        <w:rPr>
          <w:i/>
        </w:rPr>
        <w:t>Pew Report</w:t>
      </w:r>
      <w:r>
        <w:t xml:space="preserve">, </w:t>
      </w:r>
      <w:r>
        <w:rPr>
          <w:i/>
        </w:rPr>
        <w:t xml:space="preserve">supra </w:t>
      </w:r>
      <w:r>
        <w:t xml:space="preserve">note 29. </w:t>
      </w:r>
    </w:p>
  </w:footnote>
  <w:footnote w:id="108">
    <w:p w:rsidR="00554B3C" w:rsidRPr="00554B3C" w:rsidRDefault="00554B3C">
      <w:pPr>
        <w:pStyle w:val="FootnoteText"/>
      </w:pPr>
      <w:r>
        <w:rPr>
          <w:rStyle w:val="FootnoteReference"/>
        </w:rPr>
        <w:footnoteRef/>
      </w:r>
      <w:r>
        <w:t xml:space="preserve"> Patricia Cohen, </w:t>
      </w:r>
      <w:r>
        <w:rPr>
          <w:i/>
        </w:rPr>
        <w:t>A Bigger Economic Pie, But a Smaller Slice for Half of the U.S.</w:t>
      </w:r>
      <w:r>
        <w:t xml:space="preserve">, at </w:t>
      </w:r>
      <w:r w:rsidRPr="00554B3C">
        <w:t>http://www.nytimes.com/2016/12/06/business/economy/a-bigger-economic-pie-but-a-smaller-slice-for-half-of-the-us.html</w:t>
      </w:r>
      <w:r>
        <w:t>.</w:t>
      </w:r>
    </w:p>
  </w:footnote>
  <w:footnote w:id="109">
    <w:p w:rsidR="000B7B77" w:rsidRPr="000B7B77" w:rsidRDefault="000B7B77">
      <w:pPr>
        <w:pStyle w:val="FootnoteText"/>
      </w:pPr>
      <w:r>
        <w:rPr>
          <w:rStyle w:val="FootnoteReference"/>
        </w:rPr>
        <w:footnoteRef/>
      </w:r>
      <w:r>
        <w:t xml:space="preserve"> </w:t>
      </w:r>
      <w:r>
        <w:rPr>
          <w:i/>
        </w:rPr>
        <w:t>Id.</w:t>
      </w:r>
    </w:p>
  </w:footnote>
  <w:footnote w:id="110">
    <w:p w:rsidR="00D72450" w:rsidRDefault="00D72450" w:rsidP="0078310B">
      <w:pPr>
        <w:pStyle w:val="FootnoteText"/>
        <w:jc w:val="both"/>
      </w:pPr>
      <w:r>
        <w:rPr>
          <w:rStyle w:val="FootnoteReference"/>
        </w:rPr>
        <w:footnoteRef/>
      </w:r>
      <w:r>
        <w:t xml:space="preserve"> </w:t>
      </w:r>
      <w:r>
        <w:rPr>
          <w:smallCaps/>
        </w:rPr>
        <w:t>Thomas Piketty, Capital in the Twenty-First Century</w:t>
      </w:r>
      <w:r>
        <w:t xml:space="preserve"> (2014). </w:t>
      </w:r>
      <w:r w:rsidRPr="00F8781C">
        <w:rPr>
          <w:i/>
        </w:rPr>
        <w:t>See also</w:t>
      </w:r>
      <w:r>
        <w:t xml:space="preserve"> Steven Erlanger, </w:t>
      </w:r>
      <w:r>
        <w:rPr>
          <w:i/>
        </w:rPr>
        <w:t>Taking on Adam Smith (and Karl Marx)</w:t>
      </w:r>
      <w:r>
        <w:t xml:space="preserve">, at </w:t>
      </w:r>
      <w:r w:rsidRPr="00F8781C">
        <w:t>www.nytimes.com/2014/04/20/business/international/taking-on-adam-smith-and-karl-marx.html</w:t>
      </w:r>
      <w:r>
        <w:t xml:space="preserve">; Jennifer Schuessler, </w:t>
      </w:r>
      <w:r>
        <w:rPr>
          <w:i/>
        </w:rPr>
        <w:t>Economist Receives Rock Star Treatment</w:t>
      </w:r>
      <w:r>
        <w:t xml:space="preserve">, at </w:t>
      </w:r>
    </w:p>
    <w:p w:rsidR="00D72450" w:rsidRPr="00C872AC" w:rsidRDefault="00D72450" w:rsidP="0078310B">
      <w:pPr>
        <w:pStyle w:val="FootnoteText"/>
        <w:jc w:val="both"/>
      </w:pPr>
      <w:r w:rsidRPr="00F8781C">
        <w:t>www.nytimes.com/2014/04/19/books/thomas-piketty-tours-us-for-his-new-book.html?_r=0</w:t>
      </w:r>
      <w:r>
        <w:t xml:space="preserve">; </w:t>
      </w:r>
    </w:p>
  </w:footnote>
  <w:footnote w:id="111">
    <w:p w:rsidR="00D72450" w:rsidRPr="00AF5A67" w:rsidRDefault="00D72450" w:rsidP="0078310B">
      <w:pPr>
        <w:pStyle w:val="FootnoteText"/>
        <w:widowControl w:val="0"/>
      </w:pPr>
      <w:r>
        <w:rPr>
          <w:rStyle w:val="FootnoteReference"/>
        </w:rPr>
        <w:footnoteRef/>
      </w:r>
      <w:r>
        <w:t xml:space="preserve"> Len Burman, </w:t>
      </w:r>
      <w:r>
        <w:rPr>
          <w:i/>
        </w:rPr>
        <w:t>Rising Economic Inequality and Tax Policy</w:t>
      </w:r>
      <w:r>
        <w:t xml:space="preserve">, slide 5, at </w:t>
      </w:r>
      <w:r w:rsidRPr="00AF5A67">
        <w:t>www.taxpolicycenter.org/press/upload/inequality%20and%20taxes.Burman.5-07.swf</w:t>
      </w:r>
      <w:r>
        <w:t>.</w:t>
      </w:r>
    </w:p>
  </w:footnote>
  <w:footnote w:id="112">
    <w:p w:rsidR="00D72450" w:rsidRPr="00B502B1" w:rsidRDefault="00D72450" w:rsidP="0078310B">
      <w:pPr>
        <w:pStyle w:val="FootnoteText"/>
        <w:widowControl w:val="0"/>
        <w:jc w:val="both"/>
      </w:pPr>
      <w:r>
        <w:rPr>
          <w:rStyle w:val="FootnoteReference"/>
        </w:rPr>
        <w:footnoteRef/>
      </w:r>
      <w:r>
        <w:t xml:space="preserve"> Mary Pilon, </w:t>
      </w:r>
      <w:r>
        <w:rPr>
          <w:i/>
        </w:rPr>
        <w:t>Student-Loan Debt Surpasses Credit Cards</w:t>
      </w:r>
      <w:r>
        <w:t xml:space="preserve">, at </w:t>
      </w:r>
      <w:r w:rsidRPr="00B502B1">
        <w:t>http://blogs.wsj.com/economics/2010/08/09/student-loan-debt-surpasses-credit-cards/</w:t>
      </w:r>
      <w:r>
        <w:t>.</w:t>
      </w:r>
    </w:p>
  </w:footnote>
  <w:footnote w:id="113">
    <w:p w:rsidR="00D72450" w:rsidRPr="001C4876" w:rsidRDefault="00D72450" w:rsidP="0078310B">
      <w:pPr>
        <w:pStyle w:val="FootnoteText"/>
        <w:widowControl w:val="0"/>
      </w:pPr>
      <w:r>
        <w:rPr>
          <w:rStyle w:val="FootnoteReference"/>
        </w:rPr>
        <w:footnoteRef/>
      </w:r>
      <w:r>
        <w:t xml:space="preserve"> Dennis Cauchon, </w:t>
      </w:r>
      <w:r>
        <w:rPr>
          <w:i/>
        </w:rPr>
        <w:t>Student Loans Outstanding Will Exceed $1 Trillion This Year</w:t>
      </w:r>
      <w:r>
        <w:t xml:space="preserve">, at </w:t>
      </w:r>
      <w:r w:rsidRPr="001C4876">
        <w:t>www.usatoday.com/money/perfi/college/story/2011-10-19/student-loan-debt/50818676/1.</w:t>
      </w:r>
    </w:p>
  </w:footnote>
  <w:footnote w:id="114">
    <w:p w:rsidR="00D72450" w:rsidRPr="00DE6A8B" w:rsidRDefault="00D72450" w:rsidP="0078310B">
      <w:pPr>
        <w:pStyle w:val="FootnoteText"/>
        <w:jc w:val="both"/>
      </w:pPr>
      <w:r>
        <w:rPr>
          <w:rStyle w:val="FootnoteReference"/>
        </w:rPr>
        <w:footnoteRef/>
      </w:r>
      <w:r>
        <w:t xml:space="preserve"> </w:t>
      </w:r>
      <w:r>
        <w:rPr>
          <w:i/>
        </w:rPr>
        <w:t>See, e.g.</w:t>
      </w:r>
      <w:r>
        <w:t xml:space="preserve">, Eric M. Zolt, </w:t>
      </w:r>
      <w:r>
        <w:rPr>
          <w:i/>
        </w:rPr>
        <w:t>Inequality in America: Challenges for Tax and Spending</w:t>
      </w:r>
      <w:r w:rsidRPr="00F80996">
        <w:rPr>
          <w:i/>
        </w:rPr>
        <w:t xml:space="preserve"> Policies</w:t>
      </w:r>
      <w:r>
        <w:t xml:space="preserve">, 66 </w:t>
      </w:r>
      <w:r>
        <w:rPr>
          <w:smallCaps/>
        </w:rPr>
        <w:t xml:space="preserve">Tax Law Rev. </w:t>
      </w:r>
      <w:r>
        <w:t xml:space="preserve">1101 (2013); </w:t>
      </w:r>
      <w:r w:rsidRPr="00F80996">
        <w:t>Reuven</w:t>
      </w:r>
      <w:r>
        <w:t xml:space="preserve"> S. Avi-Yonah, </w:t>
      </w:r>
      <w:r>
        <w:rPr>
          <w:i/>
        </w:rPr>
        <w:t>The Parallel March of the Ginis: How Does Taxation Relate to Inequality and What Can Be Done About It?</w:t>
      </w:r>
      <w:r>
        <w:t xml:space="preserve">, at </w:t>
      </w:r>
      <w:r w:rsidRPr="00DE6A8B">
        <w:t>http://papers.ssrn.com/sol3/papers.cfm?abstract_id=2392971</w:t>
      </w:r>
      <w:r>
        <w:t xml:space="preserve">; </w:t>
      </w:r>
      <w:r w:rsidRPr="00DE6A8B">
        <w:t>Edward Kleinbard</w:t>
      </w:r>
      <w:r>
        <w:rPr>
          <w:smallCaps/>
        </w:rPr>
        <w:t xml:space="preserve">, </w:t>
      </w:r>
      <w:r>
        <w:rPr>
          <w:i/>
        </w:rPr>
        <w:t>Progressive Tax or Progressive Fiscal System?</w:t>
      </w:r>
      <w:r>
        <w:t xml:space="preserve">, at </w:t>
      </w: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15">
    <w:p w:rsidR="00D72450" w:rsidRPr="00E37710" w:rsidRDefault="00D72450" w:rsidP="0078310B">
      <w:pPr>
        <w:pStyle w:val="FootnoteText"/>
      </w:pPr>
      <w:r>
        <w:rPr>
          <w:rStyle w:val="FootnoteReference"/>
        </w:rPr>
        <w:footnoteRef/>
      </w:r>
      <w:r>
        <w:t xml:space="preserve"> </w:t>
      </w:r>
      <w:r>
        <w:rPr>
          <w:i/>
        </w:rPr>
        <w:t xml:space="preserve">See </w:t>
      </w:r>
      <w:r w:rsidR="00E37710" w:rsidRPr="00E37710">
        <w:t>www.cbo.gov/topics/budget</w:t>
      </w:r>
      <w:r w:rsidR="00E37710">
        <w:rPr>
          <w:i/>
        </w:rPr>
        <w:t>.</w:t>
      </w:r>
    </w:p>
  </w:footnote>
  <w:footnote w:id="116">
    <w:p w:rsidR="00D72450" w:rsidRPr="003A37E8" w:rsidRDefault="00D72450" w:rsidP="0078310B">
      <w:pPr>
        <w:pStyle w:val="FootnoteText"/>
      </w:pPr>
      <w:r>
        <w:rPr>
          <w:rStyle w:val="FootnoteReference"/>
        </w:rPr>
        <w:footnoteRef/>
      </w:r>
      <w:r>
        <w:t xml:space="preserve"> </w:t>
      </w:r>
      <w:r>
        <w:rPr>
          <w:i/>
        </w:rPr>
        <w:t>See</w:t>
      </w:r>
      <w:r>
        <w:t xml:space="preserve"> </w:t>
      </w:r>
      <w:r w:rsidRPr="003A37E8">
        <w:t>http://quickfacts.census.gov/qfd/states/00000.html</w:t>
      </w:r>
      <w:r>
        <w:t>.</w:t>
      </w:r>
    </w:p>
  </w:footnote>
  <w:footnote w:id="117">
    <w:p w:rsidR="00D72450" w:rsidRPr="002F1086" w:rsidRDefault="00D72450" w:rsidP="0078310B">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18">
    <w:p w:rsidR="00D72450" w:rsidRPr="008270A4" w:rsidRDefault="00D72450" w:rsidP="0078310B">
      <w:pPr>
        <w:pStyle w:val="FootnoteText"/>
      </w:pPr>
      <w:r>
        <w:rPr>
          <w:rStyle w:val="FootnoteReference"/>
        </w:rPr>
        <w:footnoteRef/>
      </w:r>
      <w:r>
        <w:t xml:space="preserve"> Deborah A. Geier, </w:t>
      </w:r>
      <w:r>
        <w:rPr>
          <w:i/>
        </w:rPr>
        <w:t>Incremental Versus Fundamental Tax Reform and the Top One Percent</w:t>
      </w:r>
      <w:r>
        <w:t xml:space="preserve">, 56 </w:t>
      </w:r>
      <w:r>
        <w:rPr>
          <w:smallCaps/>
        </w:rPr>
        <w:t>SMU Law Rev.</w:t>
      </w:r>
      <w:r>
        <w:t xml:space="preserve"> 99, 119.</w:t>
      </w:r>
    </w:p>
  </w:footnote>
  <w:footnote w:id="119">
    <w:p w:rsidR="00D72450" w:rsidRPr="0002715A" w:rsidRDefault="00D72450" w:rsidP="0078310B">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rFonts w:cs="Times New Roman"/>
          <w:smallCaps/>
          <w:sz w:val="20"/>
          <w:szCs w:val="20"/>
        </w:rPr>
        <w:t>The Roadmap Plan</w:t>
      </w:r>
      <w:r w:rsidRPr="008902F0">
        <w:rPr>
          <w:rFonts w:cs="Times New Roman"/>
          <w:sz w:val="20"/>
          <w:szCs w:val="20"/>
        </w:rPr>
        <w:t>,</w:t>
      </w:r>
      <w:r w:rsidRPr="008902F0">
        <w:rPr>
          <w:rFonts w:cs="Times New Roman"/>
          <w:smallCaps/>
          <w:sz w:val="20"/>
          <w:szCs w:val="20"/>
        </w:rPr>
        <w:t xml:space="preserve"> </w:t>
      </w:r>
      <w:r w:rsidRPr="008902F0">
        <w:rPr>
          <w:rFonts w:cs="Times New Roman"/>
          <w:sz w:val="20"/>
          <w:szCs w:val="20"/>
        </w:rPr>
        <w:t>http</w:t>
      </w:r>
      <w:r w:rsidRPr="0002715A">
        <w:rPr>
          <w:rFonts w:cs="Times New Roman"/>
          <w:sz w:val="20"/>
          <w:szCs w:val="20"/>
        </w:rPr>
        <w:t>://roadmap.republicans.budget.house.gov/plan/#</w:t>
      </w:r>
      <w:r>
        <w:rPr>
          <w:rFonts w:cs="Times New Roman"/>
          <w:sz w:val="20"/>
          <w:szCs w:val="20"/>
        </w:rPr>
        <w:t>Federal</w:t>
      </w:r>
      <w:r w:rsidRPr="0002715A">
        <w:rPr>
          <w:rFonts w:cs="Times New Roman"/>
          <w:sz w:val="20"/>
          <w:szCs w:val="20"/>
        </w:rPr>
        <w:t xml:space="preserve">taxreform. </w:t>
      </w:r>
      <w:r>
        <w:rPr>
          <w:rFonts w:cs="Times New Roman"/>
          <w:sz w:val="20"/>
          <w:szCs w:val="20"/>
        </w:rPr>
        <w:t xml:space="preserve">In his 2014 proposed budget (announced in 2013), </w:t>
      </w:r>
      <w:r w:rsidRPr="0002715A">
        <w:rPr>
          <w:rFonts w:cs="Times New Roman"/>
          <w:sz w:val="20"/>
          <w:szCs w:val="20"/>
        </w:rPr>
        <w:t xml:space="preserve">Congressman Ryan </w:t>
      </w:r>
      <w:r>
        <w:rPr>
          <w:rFonts w:cs="Times New Roman"/>
          <w:sz w:val="20"/>
          <w:szCs w:val="20"/>
        </w:rPr>
        <w:t>mentioned</w:t>
      </w:r>
      <w:r w:rsidRPr="0002715A">
        <w:rPr>
          <w:rFonts w:cs="Times New Roman"/>
          <w:sz w:val="20"/>
          <w:szCs w:val="20"/>
        </w:rPr>
        <w:t xml:space="preserve"> </w:t>
      </w:r>
      <w:r>
        <w:rPr>
          <w:rFonts w:cs="Times New Roman"/>
          <w:sz w:val="20"/>
          <w:szCs w:val="20"/>
        </w:rPr>
        <w:t>“</w:t>
      </w:r>
      <w:r w:rsidRPr="0002715A">
        <w:rPr>
          <w:rFonts w:eastAsia="Times New Roman" w:cs="Times New Roman"/>
          <w:sz w:val="20"/>
          <w:szCs w:val="20"/>
        </w:rPr>
        <w:t>the prevalence of double tax</w:t>
      </w:r>
      <w:r>
        <w:rPr>
          <w:rFonts w:eastAsia="Times New Roman" w:cs="Times New Roman"/>
          <w:sz w:val="20"/>
          <w:szCs w:val="20"/>
        </w:rPr>
        <w:t xml:space="preserve">ation of capital and investment” but otherwise did not elaborate. </w:t>
      </w:r>
      <w:r>
        <w:rPr>
          <w:rFonts w:eastAsia="Times New Roman" w:cs="Times New Roman"/>
          <w:i/>
          <w:sz w:val="20"/>
          <w:szCs w:val="20"/>
        </w:rPr>
        <w:t xml:space="preserve">See </w:t>
      </w:r>
      <w:r w:rsidRPr="0002715A">
        <w:rPr>
          <w:rFonts w:eastAsia="Times New Roman" w:cs="Times New Roman"/>
          <w:sz w:val="20"/>
          <w:szCs w:val="20"/>
        </w:rPr>
        <w:t>http://budget.house.gov/uploadedfiles/fy14budget.pdf</w:t>
      </w:r>
      <w:r>
        <w:rPr>
          <w:rFonts w:eastAsia="Times New Roman" w:cs="Times New Roman"/>
          <w:sz w:val="20"/>
          <w:szCs w:val="20"/>
        </w:rPr>
        <w:t>,</w:t>
      </w:r>
      <w:r>
        <w:rPr>
          <w:sz w:val="20"/>
          <w:szCs w:val="20"/>
        </w:rPr>
        <w:t xml:space="preserve"> at 23.</w:t>
      </w:r>
    </w:p>
  </w:footnote>
  <w:footnote w:id="120">
    <w:p w:rsidR="00D72450" w:rsidRDefault="00D72450" w:rsidP="0078310B">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1">
    <w:p w:rsidR="00D72450" w:rsidRPr="00BA51A7" w:rsidRDefault="00D72450" w:rsidP="0078310B">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2">
    <w:p w:rsidR="00D72450" w:rsidRDefault="00D72450" w:rsidP="0078310B">
      <w:pPr>
        <w:pStyle w:val="FootnoteText"/>
        <w:widowControl w:val="0"/>
        <w:jc w:val="both"/>
      </w:pPr>
      <w:r>
        <w:rPr>
          <w:rStyle w:val="FootnoteReference"/>
        </w:rPr>
        <w:footnoteRef/>
      </w:r>
      <w:r>
        <w:t xml:space="preserve"> </w:t>
      </w:r>
      <w:r>
        <w:rPr>
          <w:smallCaps/>
        </w:rPr>
        <w:t>Edward J. McCaffery, Fair Not Flat 75 (2002).</w:t>
      </w:r>
    </w:p>
  </w:footnote>
  <w:footnote w:id="123">
    <w:p w:rsidR="00D72450" w:rsidRPr="00FA6358" w:rsidRDefault="00D72450" w:rsidP="0078310B">
      <w:pPr>
        <w:pStyle w:val="FootnoteText"/>
        <w:widowControl w:val="0"/>
        <w:jc w:val="both"/>
      </w:pPr>
      <w:r>
        <w:rPr>
          <w:rStyle w:val="FootnoteReference"/>
        </w:rPr>
        <w:footnoteRef/>
      </w:r>
      <w:r>
        <w:t xml:space="preserve"> </w:t>
      </w:r>
      <w:r>
        <w:rPr>
          <w:i/>
        </w:rPr>
        <w:t>Id.</w:t>
      </w:r>
      <w:r>
        <w:t xml:space="preserve"> at 105. </w:t>
      </w:r>
    </w:p>
  </w:footnote>
  <w:footnote w:id="124">
    <w:p w:rsidR="00D72450" w:rsidRPr="00FA6358" w:rsidRDefault="00D72450" w:rsidP="0078310B">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5">
    <w:p w:rsidR="00D72450" w:rsidRPr="00D14D03" w:rsidRDefault="00D72450" w:rsidP="0078310B">
      <w:pPr>
        <w:pStyle w:val="FootnoteText"/>
        <w:widowControl w:val="0"/>
        <w:jc w:val="both"/>
      </w:pPr>
      <w:r>
        <w:rPr>
          <w:rStyle w:val="FootnoteReference"/>
        </w:rPr>
        <w:footnoteRef/>
      </w:r>
      <w:r>
        <w:t xml:space="preserve"> </w:t>
      </w:r>
      <w:r>
        <w:rPr>
          <w:i/>
        </w:rPr>
        <w:t>Id.</w:t>
      </w:r>
      <w:r>
        <w:t xml:space="preserve"> at 110. </w:t>
      </w:r>
    </w:p>
  </w:footnote>
  <w:footnote w:id="126">
    <w:p w:rsidR="00D72450" w:rsidRDefault="00D72450" w:rsidP="0078310B">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27">
    <w:p w:rsidR="00D72450" w:rsidRPr="00ED071F" w:rsidRDefault="00D72450" w:rsidP="0078310B">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28">
    <w:p w:rsidR="00D72450" w:rsidRPr="00B03729" w:rsidRDefault="00D72450" w:rsidP="0078310B">
      <w:pPr>
        <w:pStyle w:val="FootnoteText"/>
        <w:widowControl w:val="0"/>
        <w:jc w:val="both"/>
      </w:pPr>
      <w:r>
        <w:rPr>
          <w:rStyle w:val="FootnoteReference"/>
        </w:rPr>
        <w:footnoteRef/>
      </w:r>
      <w:r>
        <w:t xml:space="preserve"> </w:t>
      </w:r>
      <w:r>
        <w:rPr>
          <w:smallCaps/>
        </w:rPr>
        <w:t>3 Report of the Royal Commission on Taxation</w:t>
      </w:r>
      <w:r>
        <w:t xml:space="preserve"> 1–24 (1966). All quotations in the text are taken from this report. </w:t>
      </w:r>
      <w:r>
        <w:rPr>
          <w:i/>
        </w:rPr>
        <w:t>See also</w:t>
      </w:r>
      <w:r>
        <w:t xml:space="preserve"> Deborah A. Geier, </w:t>
      </w:r>
      <w:r>
        <w:rPr>
          <w:i/>
        </w:rPr>
        <w:t>The Taxation of Income Available for Discretionary Use</w:t>
      </w:r>
      <w:r>
        <w:t xml:space="preserve">, 25 </w:t>
      </w:r>
      <w:r>
        <w:rPr>
          <w:smallCaps/>
        </w:rPr>
        <w:t>Va. Tax Rev.</w:t>
      </w:r>
      <w:r>
        <w:t xml:space="preserve"> 765 (2006) (using this report as a point of departure in considering tax reform). </w:t>
      </w:r>
    </w:p>
  </w:footnote>
  <w:footnote w:id="129">
    <w:p w:rsidR="00D72450" w:rsidRPr="00A13819" w:rsidRDefault="00D72450" w:rsidP="0078310B">
      <w:pPr>
        <w:pStyle w:val="FootnoteText"/>
      </w:pPr>
      <w:r>
        <w:rPr>
          <w:rStyle w:val="FootnoteReference"/>
        </w:rPr>
        <w:footnoteRef/>
      </w:r>
      <w:r>
        <w:t xml:space="preserve"> </w:t>
      </w:r>
      <w:r>
        <w:rPr>
          <w:i/>
        </w:rPr>
        <w:t>See, e.g.</w:t>
      </w:r>
      <w:r>
        <w:t xml:space="preserve">, Paul Krugman, </w:t>
      </w:r>
      <w:r>
        <w:rPr>
          <w:i/>
        </w:rPr>
        <w:t>The M.I.T. Gang</w:t>
      </w:r>
      <w:r>
        <w:t xml:space="preserve">, at </w:t>
      </w:r>
      <w:r w:rsidRPr="00A13819">
        <w:t>www.nytimes.com/2015/07/24/opinion/paul-krugman-the-mit-gang.html</w:t>
      </w:r>
      <w:r>
        <w:t>. This short article compares “the ascendancy for laissez-faire economic ideas and the Chicago school, which promoted them” in the 1970s and 1980s with more recent influential economists trained at the Massachusetts Institute of Technology, such as former Federal Reserve Chair Ben Bernanke, where “Keynes never went away.” The M.I.T. view, he asserts, “was overwhelmingly vindicated after crisis struck in 2008. Chicago school types warned incessantly that responding to the crisis by printing money and running deficits would lead to 70s-type stagflation, with soaring inflation and interest rates. But M.I.T. types predicted, correctly, that inflation and interest rates would stay low in a depressed economy, and that attempts to slash deficits too soon would deepen the slump.”</w:t>
      </w:r>
    </w:p>
  </w:footnote>
  <w:footnote w:id="130">
    <w:p w:rsidR="00D72450" w:rsidRPr="006502FD" w:rsidRDefault="00D72450" w:rsidP="0078310B">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http://www.nytimes.com/2012/03/18/business/marginal-tax-rates-and-wishful-thinking-economic-view.html?_r=0</w:t>
      </w:r>
      <w:r>
        <w:t>.</w:t>
      </w:r>
    </w:p>
  </w:footnote>
  <w:footnote w:id="131">
    <w:p w:rsidR="00D72450" w:rsidRDefault="00D72450" w:rsidP="0078310B">
      <w:pPr>
        <w:pStyle w:val="FootnoteText"/>
      </w:pPr>
      <w:r>
        <w:rPr>
          <w:rStyle w:val="FootnoteReference"/>
        </w:rPr>
        <w:footnoteRef/>
      </w:r>
      <w:r>
        <w:t xml:space="preserve"> Peter Uetz, June 2, 2012, at </w:t>
      </w:r>
      <w:r w:rsidRPr="0095058E">
        <w:t>http://commons.wikimedia.org/wiki/File:Fuel_tax_in_OECD_countries,_2010..png</w:t>
      </w:r>
      <w:r>
        <w:t xml:space="preserve">. </w:t>
      </w:r>
      <w:r w:rsidRPr="00EF32FD">
        <w:t>Attribution-Share Alike 3.0 Unported</w:t>
      </w:r>
      <w:r>
        <w:t xml:space="preserve"> license.</w:t>
      </w:r>
    </w:p>
  </w:footnote>
  <w:footnote w:id="132">
    <w:p w:rsidR="00D72450" w:rsidRPr="0046547C" w:rsidRDefault="00D72450" w:rsidP="0078310B">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33">
    <w:p w:rsidR="00D72450" w:rsidRPr="001C31B0" w:rsidRDefault="00D72450" w:rsidP="0078310B">
      <w:pPr>
        <w:pStyle w:val="FootnoteText"/>
      </w:pPr>
      <w:r>
        <w:rPr>
          <w:rStyle w:val="FootnoteReference"/>
        </w:rPr>
        <w:footnoteRef/>
      </w:r>
      <w:r>
        <w:t xml:space="preserve"> </w:t>
      </w:r>
      <w:r>
        <w:rPr>
          <w:i/>
        </w:rPr>
        <w:t xml:space="preserve">See </w:t>
      </w:r>
      <w:r>
        <w:t xml:space="preserve">Margaret Sanger-Katz, </w:t>
      </w:r>
      <w:r>
        <w:rPr>
          <w:i/>
        </w:rPr>
        <w:t>Yes, Soda Taxes Seem to Cut Soda Drinking</w:t>
      </w:r>
      <w:r>
        <w:t xml:space="preserve">, </w:t>
      </w:r>
      <w:r w:rsidRPr="001C31B0">
        <w:t>www.nytimes.com/2015/10/13/upshot/yes-soda-taxes-seem-to-cut-soda-drinking.html?_r=0</w:t>
      </w:r>
      <w:r>
        <w:t xml:space="preserve">. </w:t>
      </w:r>
      <w:r>
        <w:rPr>
          <w:i/>
        </w:rPr>
        <w:t xml:space="preserve">See generally </w:t>
      </w:r>
      <w:r>
        <w:t xml:space="preserve">Victor Fleischer, </w:t>
      </w:r>
      <w:r>
        <w:rPr>
          <w:i/>
        </w:rPr>
        <w:t>Curb Your Enthusiasm for Pigovian Taxes</w:t>
      </w:r>
      <w:r>
        <w:t xml:space="preserve">, 68 </w:t>
      </w:r>
      <w:r>
        <w:rPr>
          <w:smallCaps/>
        </w:rPr>
        <w:t xml:space="preserve">Vand. L. Rev. </w:t>
      </w:r>
      <w:r>
        <w:t>1673 (2015) (describing the conditions under which Pigovian are, and are not, well-suited to the negative externality at issue).</w:t>
      </w:r>
    </w:p>
  </w:footnote>
  <w:footnote w:id="134">
    <w:p w:rsidR="00D72450" w:rsidRPr="009205D3" w:rsidRDefault="00D72450" w:rsidP="0078310B">
      <w:pPr>
        <w:pStyle w:val="FootnoteText"/>
      </w:pPr>
      <w:r>
        <w:rPr>
          <w:rStyle w:val="FootnoteReference"/>
        </w:rPr>
        <w:footnoteRef/>
      </w:r>
      <w:r>
        <w:t xml:space="preserve"> James Surowiecki, </w:t>
      </w:r>
      <w:r>
        <w:rPr>
          <w:i/>
        </w:rPr>
        <w:t>Downsizing Supersize</w:t>
      </w:r>
      <w:r>
        <w:t xml:space="preserve">, </w:t>
      </w:r>
      <w:r>
        <w:rPr>
          <w:smallCaps/>
        </w:rPr>
        <w:t>The New Yorker</w:t>
      </w:r>
      <w:r>
        <w:t xml:space="preserve">, the Financial Page, August 13 &amp; 20, 2012, at 36, and at </w:t>
      </w:r>
      <w:r w:rsidRPr="009205D3">
        <w:t>www.newyorker.com/talk/financial/2012/08/13/120813ta_talk_surowiecki</w:t>
      </w:r>
      <w:r>
        <w:t xml:space="preserve">.  </w:t>
      </w:r>
      <w:r>
        <w:rPr>
          <w:i/>
        </w:rPr>
        <w:t>See also</w:t>
      </w:r>
      <w:r>
        <w:t xml:space="preserve"> Jonathan Masur &amp; Eric Posner, </w:t>
      </w:r>
      <w:r>
        <w:rPr>
          <w:i/>
        </w:rPr>
        <w:t>Toward a Pigovian State</w:t>
      </w:r>
      <w:r>
        <w:t xml:space="preserve">, 164 </w:t>
      </w:r>
      <w:r>
        <w:rPr>
          <w:smallCaps/>
        </w:rPr>
        <w:t>u. Pa. Law Rev.</w:t>
      </w:r>
      <w:r>
        <w:t xml:space="preserve"> 93 (2015) (arguing that government regulators should choose Pigovian taxes over regulation in combatting many negative externalities).</w:t>
      </w:r>
    </w:p>
  </w:footnote>
  <w:footnote w:id="135">
    <w:p w:rsidR="00D72450" w:rsidRPr="00C33CE8" w:rsidRDefault="00D72450" w:rsidP="0078310B">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6">
    <w:p w:rsidR="00D72450" w:rsidRPr="00DE414F" w:rsidRDefault="00D72450" w:rsidP="0078310B">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7">
    <w:p w:rsidR="00D72450" w:rsidRPr="00053E87" w:rsidRDefault="00D72450" w:rsidP="0078310B">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8">
    <w:p w:rsidR="00D72450" w:rsidRPr="00403D55" w:rsidRDefault="00D72450" w:rsidP="0078310B">
      <w:pPr>
        <w:pStyle w:val="FootnoteText"/>
        <w:jc w:val="both"/>
      </w:pPr>
      <w:r>
        <w:rPr>
          <w:rStyle w:val="FootnoteReference"/>
        </w:rPr>
        <w:footnoteRef/>
      </w:r>
      <w:r>
        <w:t xml:space="preserve"> </w:t>
      </w:r>
      <w:r>
        <w:rPr>
          <w:i/>
        </w:rPr>
        <w:t>See id.</w:t>
      </w:r>
      <w:r>
        <w:t xml:space="preserve"> (criticizing the tax preference for like kind exchanges, discussed in Chapter 13).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9">
    <w:p w:rsidR="00D72450" w:rsidRDefault="00D72450" w:rsidP="0078310B">
      <w:pPr>
        <w:pStyle w:val="FootnoteText"/>
        <w:widowControl w:val="0"/>
        <w:jc w:val="both"/>
      </w:pPr>
      <w:r>
        <w:rPr>
          <w:rStyle w:val="FootnoteReference"/>
        </w:rPr>
        <w:footnoteRef/>
      </w:r>
      <w:r>
        <w:t xml:space="preserve"> </w:t>
      </w:r>
      <w:r w:rsidRPr="00D23BCD">
        <w:t>www.economist.com/economics-a-to-z/r</w:t>
      </w:r>
      <w:r>
        <w:t>.</w:t>
      </w:r>
    </w:p>
  </w:footnote>
  <w:footnote w:id="140">
    <w:p w:rsidR="00D72450" w:rsidRPr="00EB5232" w:rsidRDefault="00D72450" w:rsidP="0078310B">
      <w:pPr>
        <w:pStyle w:val="FootnoteText"/>
      </w:pPr>
      <w:r>
        <w:rPr>
          <w:rStyle w:val="FootnoteReference"/>
        </w:rPr>
        <w:footnoteRef/>
      </w:r>
      <w:r>
        <w:t xml:space="preserve"> </w:t>
      </w:r>
      <w:r>
        <w:rPr>
          <w:i/>
        </w:rPr>
        <w:t>See, e.g.</w:t>
      </w:r>
      <w:r>
        <w:t xml:space="preserve">, Julie Creswell &amp; Andrew Pollack, </w:t>
      </w:r>
      <w:r>
        <w:rPr>
          <w:i/>
        </w:rPr>
        <w:t>The Bad Boy of Pharmaceuticals Hits Back</w:t>
      </w:r>
      <w:r>
        <w:t xml:space="preserve">, at </w:t>
      </w:r>
      <w:hyperlink r:id="rId2" w:history="1">
        <w:r w:rsidRPr="00B259A3">
          <w:rPr>
            <w:rStyle w:val="Hyperlink"/>
          </w:rPr>
          <w:t>www.nytimes.com/2015/12/06/business/martin-shkreli-the-bad-boy-of-pharmaceuticals-hits-back.html?_r=0</w:t>
        </w:r>
      </w:hyperlink>
      <w:r>
        <w:t xml:space="preserve">. </w:t>
      </w:r>
    </w:p>
  </w:footnote>
  <w:footnote w:id="141">
    <w:p w:rsidR="00D72450" w:rsidRDefault="00D72450" w:rsidP="0078310B">
      <w:pPr>
        <w:pStyle w:val="FootnoteText"/>
        <w:widowControl w:val="0"/>
      </w:pPr>
      <w:r>
        <w:rPr>
          <w:rStyle w:val="FootnoteReference"/>
        </w:rPr>
        <w:footnoteRef/>
      </w:r>
      <w:r>
        <w:t xml:space="preserve"> James Surowiecki, </w:t>
      </w:r>
      <w:r>
        <w:rPr>
          <w:i/>
        </w:rPr>
        <w:t>Open Season</w:t>
      </w:r>
      <w:r>
        <w:t xml:space="preserve">, </w:t>
      </w:r>
      <w:r>
        <w:rPr>
          <w:smallCaps/>
        </w:rPr>
        <w:t>The New Yorker</w:t>
      </w:r>
      <w:r>
        <w:t xml:space="preserve">, Oct. 21, 2013, at 31, and at </w:t>
      </w:r>
      <w:r w:rsidRPr="00F01186">
        <w:t>www.newyorker.com/talk/financial/2013/10/21/131021ta_talk_surowiecki</w:t>
      </w:r>
      <w:r>
        <w:t xml:space="preserve">. </w:t>
      </w:r>
    </w:p>
  </w:footnote>
  <w:footnote w:id="142">
    <w:p w:rsidR="00D72450" w:rsidRPr="005E5EE3" w:rsidRDefault="00D72450" w:rsidP="0078310B">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3">
    <w:p w:rsidR="00D72450" w:rsidRPr="000006F1" w:rsidRDefault="00D72450" w:rsidP="0078310B">
      <w:pPr>
        <w:widowControl w:val="0"/>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xml:space="preserve">, at </w:t>
      </w: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4">
    <w:p w:rsidR="00D72450" w:rsidRPr="00D34989" w:rsidRDefault="00D72450" w:rsidP="00280E9A">
      <w:pPr>
        <w:pStyle w:val="FootnoteText"/>
      </w:pPr>
      <w:r>
        <w:rPr>
          <w:rStyle w:val="FootnoteReference"/>
        </w:rPr>
        <w:footnoteRef/>
      </w:r>
      <w:r>
        <w:t xml:space="preserve"> Another way of framing the same issue is that, by taxing capital income, an income tax encourages current consumption over future consumption (and thus is non-neutral), whereas a consumption tax treats current and future consumption the same. For empirical doubts about this assumption, see Chris William Sanchirico, </w:t>
      </w:r>
      <w:r>
        <w:rPr>
          <w:i/>
        </w:rPr>
        <w:t>Do Capital Income Taxes Hinder Growth?</w:t>
      </w:r>
      <w:r>
        <w:t xml:space="preserve">, at </w:t>
      </w:r>
      <w:hyperlink r:id="rId3" w:history="1">
        <w:r w:rsidRPr="00865578">
          <w:rPr>
            <w:rStyle w:val="Hyperlink"/>
          </w:rPr>
          <w:t>https://publicpolicy.wharton.upenn.edu/issue-brief/v1n2.php</w:t>
        </w:r>
      </w:hyperlink>
      <w:r>
        <w:t>.</w:t>
      </w:r>
    </w:p>
  </w:footnote>
  <w:footnote w:id="145">
    <w:p w:rsidR="00D72450" w:rsidRPr="007B2D1C" w:rsidRDefault="00D72450" w:rsidP="0078310B">
      <w:pPr>
        <w:pStyle w:val="FootnoteText"/>
        <w:widowControl w:val="0"/>
        <w:jc w:val="both"/>
      </w:pPr>
      <w:r>
        <w:rPr>
          <w:rStyle w:val="FootnoteReference"/>
        </w:rPr>
        <w:footnoteRef/>
      </w:r>
      <w:r>
        <w:t xml:space="preserve"> </w:t>
      </w:r>
      <w:r>
        <w:rPr>
          <w:i/>
        </w:rPr>
        <w:t>E.g.</w:t>
      </w:r>
      <w:r>
        <w:t xml:space="preserve">, Daniel Gross, </w:t>
      </w:r>
      <w:r>
        <w:rPr>
          <w:i/>
        </w:rPr>
        <w:t>Savings Glut</w:t>
      </w:r>
      <w:r>
        <w:t>,</w:t>
      </w:r>
      <w:r>
        <w:rPr>
          <w:i/>
        </w:rPr>
        <w:t xml:space="preserve"> </w:t>
      </w:r>
      <w:r>
        <w:t xml:space="preserve">at </w:t>
      </w:r>
      <w:r w:rsidRPr="007B2D1C">
        <w:t>www.slate.com/articles/business/moneybox/2005/06/savings_glut.html</w:t>
      </w:r>
      <w:r>
        <w:t xml:space="preserve">. Sheila C. Bair, the former Chair of the Federal Deposit Insurance Corporation, wrote in 2013: “A report last year by Bain and Co. projected that by 2020 there will be $900 trillion in financial assets around the globe, chasing investments in a real economy worth only $90 trillion in gross domestic product.” Sheila C. Bair, </w:t>
      </w:r>
      <w:r>
        <w:rPr>
          <w:i/>
        </w:rPr>
        <w:t>Grand Old Party</w:t>
      </w:r>
      <w:r>
        <w:t xml:space="preserve">, at </w:t>
      </w:r>
      <w:r w:rsidRPr="00224E36">
        <w:t>www.nytimes.com/2013/02/27/opinion/republicans-must-bridge-the-income-gap.html?_r+0</w:t>
      </w:r>
      <w:r>
        <w:t xml:space="preserve">. </w:t>
      </w:r>
    </w:p>
  </w:footnote>
  <w:footnote w:id="146">
    <w:p w:rsidR="00D72450" w:rsidRPr="004F7D02" w:rsidRDefault="00D72450" w:rsidP="0078310B">
      <w:pPr>
        <w:pStyle w:val="FootnoteText"/>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7">
    <w:p w:rsidR="00D72450" w:rsidRPr="008E19A9" w:rsidRDefault="00D72450" w:rsidP="0078310B">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8">
    <w:p w:rsidR="00D72450" w:rsidRDefault="00D72450" w:rsidP="0078310B">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9">
    <w:p w:rsidR="00D72450" w:rsidRDefault="00D72450" w:rsidP="0078310B">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50">
    <w:p w:rsidR="00D72450" w:rsidRDefault="00D72450" w:rsidP="0078310B">
      <w:pPr>
        <w:pStyle w:val="FootnoteText"/>
        <w:widowControl w:val="0"/>
      </w:pPr>
      <w:r>
        <w:rPr>
          <w:rStyle w:val="FootnoteReference"/>
        </w:rPr>
        <w:footnoteRef/>
      </w:r>
      <w:r>
        <w:t xml:space="preserve"> </w:t>
      </w:r>
      <w:r w:rsidRPr="005E7699">
        <w:t>http://tax.jotwell.com/what-legal-scholars-need-to-know-about-economic-research-on-taxation-the-evidence-thoroughly-debunks-the-conventional-wisdom</w:t>
      </w:r>
      <w:r>
        <w:t>. Reprinted with permission.</w:t>
      </w:r>
    </w:p>
  </w:footnote>
  <w:footnote w:id="151">
    <w:p w:rsidR="00D72450" w:rsidRDefault="00D72450" w:rsidP="0078310B">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152">
    <w:p w:rsidR="00D72450" w:rsidRPr="00486321" w:rsidRDefault="00D72450" w:rsidP="0078310B">
      <w:pPr>
        <w:pStyle w:val="FootnoteText"/>
        <w:widowControl w:val="0"/>
        <w:jc w:val="both"/>
      </w:pPr>
      <w:r>
        <w:rPr>
          <w:rStyle w:val="FootnoteReference"/>
        </w:rPr>
        <w:footnoteRef/>
      </w:r>
      <w:r>
        <w:t xml:space="preserve"> </w:t>
      </w:r>
      <w:r>
        <w:rPr>
          <w:smallCaps/>
        </w:rPr>
        <w:t>Joint Committee on Taxation, Estimates of Federal Tax Expenditure for Fiscal Years 2015-2019, JCX-141-15 (</w:t>
      </w:r>
      <w:r>
        <w:t>Dec. 7, 2015), at</w:t>
      </w:r>
      <w:r>
        <w:rPr>
          <w:smallCaps/>
        </w:rPr>
        <w:t xml:space="preserve"> </w:t>
      </w:r>
      <w:r w:rsidRPr="004A3444">
        <w:t>www.jct.gov/publications.html?func=startdown&amp;id=4855</w:t>
      </w:r>
      <w:r>
        <w:rPr>
          <w:smallCaps/>
        </w:rPr>
        <w:t xml:space="preserve">. </w:t>
      </w:r>
      <w:r>
        <w:t xml:space="preserve">These revenue estimates do not incorporate the revenue loss under the payroll taxes (Social Security and Medicare) pertaining to the exclusions for employer-provided health care and retirement savings. </w:t>
      </w:r>
    </w:p>
  </w:footnote>
  <w:footnote w:id="153">
    <w:p w:rsidR="00D72450" w:rsidRPr="002972C2" w:rsidRDefault="00D72450" w:rsidP="0078310B">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4">
    <w:p w:rsidR="00D72450" w:rsidRPr="0035054E" w:rsidRDefault="00D72450" w:rsidP="0078310B">
      <w:pPr>
        <w:pStyle w:val="FootnoteText"/>
        <w:widowControl w:val="0"/>
      </w:pPr>
      <w:r>
        <w:rPr>
          <w:rStyle w:val="FootnoteReference"/>
        </w:rPr>
        <w:footnoteRef/>
      </w:r>
      <w:r>
        <w:t xml:space="preserve"> </w:t>
      </w:r>
      <w:r>
        <w:rPr>
          <w:smallCaps/>
        </w:rPr>
        <w:t>Congressional Budget Office</w:t>
      </w:r>
      <w:r>
        <w:t xml:space="preserve">, </w:t>
      </w:r>
      <w:r>
        <w:rPr>
          <w:i/>
        </w:rPr>
        <w:t>The Distribution of Major Tax Expenditures in the Individual Income Tax System</w:t>
      </w:r>
      <w:r>
        <w:t xml:space="preserve">, at www.cbo.gov/sites/default/files/cbofiles/attachments/43768_DistributionTaxExpenditures. </w:t>
      </w:r>
    </w:p>
  </w:footnote>
  <w:footnote w:id="155">
    <w:p w:rsidR="00D72450" w:rsidRDefault="00D72450" w:rsidP="0078310B">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6">
    <w:p w:rsidR="00D72450" w:rsidRDefault="00D72450" w:rsidP="0078310B">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7">
    <w:p w:rsidR="00D72450" w:rsidRPr="00D15EBE" w:rsidRDefault="00D72450" w:rsidP="0078310B">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8">
    <w:p w:rsidR="00D72450" w:rsidRPr="00D15EBE" w:rsidRDefault="00D72450" w:rsidP="0078310B">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9">
    <w:p w:rsidR="00D72450" w:rsidRPr="00697B5A" w:rsidRDefault="00D72450" w:rsidP="0078310B">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60">
    <w:p w:rsidR="00D72450" w:rsidRPr="00EB24CC" w:rsidRDefault="00D72450" w:rsidP="0078310B">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61">
    <w:p w:rsidR="00D72450" w:rsidRPr="00BD4595" w:rsidRDefault="00D72450" w:rsidP="0078310B">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2">
    <w:p w:rsidR="00D72450" w:rsidRPr="00BD4595" w:rsidRDefault="00D72450" w:rsidP="0078310B">
      <w:pPr>
        <w:pStyle w:val="FootnoteText"/>
      </w:pPr>
      <w:r w:rsidRPr="00BD4595">
        <w:rPr>
          <w:rStyle w:val="FootnoteReference"/>
        </w:rPr>
        <w:footnoteRef/>
      </w:r>
      <w:r w:rsidRPr="00BD4595">
        <w:t xml:space="preserve"> Treas. Reg. § 1.263(a)-4(e).</w:t>
      </w:r>
    </w:p>
  </w:footnote>
  <w:footnote w:id="163">
    <w:p w:rsidR="00D72450" w:rsidRDefault="00D72450" w:rsidP="0078310B">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4">
    <w:p w:rsidR="00D72450" w:rsidRPr="00BD4595" w:rsidRDefault="00D72450" w:rsidP="0078310B">
      <w:pPr>
        <w:pStyle w:val="FootnoteText"/>
      </w:pPr>
      <w:r w:rsidRPr="00BD4595">
        <w:rPr>
          <w:rStyle w:val="FootnoteReference"/>
        </w:rPr>
        <w:footnoteRef/>
      </w:r>
      <w:r w:rsidRPr="00BD4595">
        <w:t xml:space="preserve"> Treas. Reg. § 1.263(a)-4(d)(3).</w:t>
      </w:r>
    </w:p>
  </w:footnote>
  <w:footnote w:id="165">
    <w:p w:rsidR="00D72450" w:rsidRPr="00BD4595" w:rsidRDefault="00D72450" w:rsidP="0078310B">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6">
    <w:p w:rsidR="00D72450" w:rsidRDefault="00D72450" w:rsidP="0078310B">
      <w:pPr>
        <w:pStyle w:val="FootnoteText"/>
      </w:pPr>
      <w:r>
        <w:rPr>
          <w:rStyle w:val="FootnoteReference"/>
        </w:rPr>
        <w:footnoteRef/>
      </w:r>
      <w:r>
        <w:t xml:space="preserve"> </w:t>
      </w:r>
      <w:r>
        <w:rPr>
          <w:szCs w:val="24"/>
        </w:rPr>
        <w:t>Treas. Reg. § 1.263(a)-2(d)(1).</w:t>
      </w:r>
    </w:p>
  </w:footnote>
  <w:footnote w:id="167">
    <w:p w:rsidR="00D72450" w:rsidRDefault="00D72450" w:rsidP="0078310B">
      <w:pPr>
        <w:pStyle w:val="FootnoteText"/>
      </w:pPr>
      <w:r>
        <w:rPr>
          <w:rStyle w:val="FootnoteReference"/>
        </w:rPr>
        <w:footnoteRef/>
      </w:r>
      <w:r>
        <w:t xml:space="preserve"> Treas. Reg. § 1.263(a)-1(e).</w:t>
      </w:r>
    </w:p>
  </w:footnote>
  <w:footnote w:id="168">
    <w:p w:rsidR="00D72450" w:rsidRPr="001A2F06" w:rsidRDefault="00D72450" w:rsidP="0078310B">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9">
    <w:p w:rsidR="00D72450" w:rsidRDefault="00D72450" w:rsidP="0078310B">
      <w:pPr>
        <w:pStyle w:val="FootnoteText"/>
      </w:pPr>
      <w:r>
        <w:rPr>
          <w:rStyle w:val="FootnoteReference"/>
        </w:rPr>
        <w:footnoteRef/>
      </w:r>
      <w:r>
        <w:t xml:space="preserve"> Treas. Reg. § 1.263(a)-2(e).</w:t>
      </w:r>
    </w:p>
  </w:footnote>
  <w:footnote w:id="170">
    <w:p w:rsidR="00D72450" w:rsidRDefault="00D72450" w:rsidP="0078310B">
      <w:pPr>
        <w:pStyle w:val="FootnoteText"/>
      </w:pPr>
      <w:r>
        <w:rPr>
          <w:rStyle w:val="FootnoteReference"/>
        </w:rPr>
        <w:footnoteRef/>
      </w:r>
      <w:r>
        <w:t xml:space="preserve"> Treas. Reg. § 1.263(a)-2(f)(3).</w:t>
      </w:r>
    </w:p>
  </w:footnote>
  <w:footnote w:id="171">
    <w:p w:rsidR="00D72450" w:rsidRDefault="00D72450" w:rsidP="0078310B">
      <w:pPr>
        <w:pStyle w:val="FootnoteText"/>
      </w:pPr>
      <w:r>
        <w:rPr>
          <w:rStyle w:val="FootnoteReference"/>
        </w:rPr>
        <w:footnoteRef/>
      </w:r>
      <w:r>
        <w:t xml:space="preserve"> Treas. Reg. § 1.263(a)-2(f)(2)(iii).</w:t>
      </w:r>
    </w:p>
  </w:footnote>
  <w:footnote w:id="172">
    <w:p w:rsidR="00D72450" w:rsidRDefault="00D72450" w:rsidP="0078310B">
      <w:pPr>
        <w:pStyle w:val="FootnoteText"/>
      </w:pPr>
      <w:r>
        <w:rPr>
          <w:rStyle w:val="FootnoteReference"/>
        </w:rPr>
        <w:footnoteRef/>
      </w:r>
      <w:r>
        <w:t xml:space="preserve"> The final regulations contained a $500 cap, but this amount was increased in November 2015 to $2,500 in Notice 2015-82, 2015-50 I.R.B. 1, for taxable years beginning in 2016.</w:t>
      </w:r>
    </w:p>
  </w:footnote>
  <w:footnote w:id="173">
    <w:p w:rsidR="00D72450" w:rsidRPr="00D84CFA" w:rsidRDefault="00D72450" w:rsidP="0078310B">
      <w:pPr>
        <w:pStyle w:val="FootnoteText"/>
      </w:pPr>
      <w:r>
        <w:rPr>
          <w:rStyle w:val="FootnoteReference"/>
        </w:rPr>
        <w:footnoteRef/>
      </w:r>
      <w:r>
        <w:t xml:space="preserve"> </w:t>
      </w:r>
      <w:r>
        <w:rPr>
          <w:i/>
        </w:rPr>
        <w:t xml:space="preserve">See </w:t>
      </w:r>
      <w:r>
        <w:t xml:space="preserve">Treas. Reg. § 1.263(a)-1(f)(5). </w:t>
      </w:r>
    </w:p>
  </w:footnote>
  <w:footnote w:id="174">
    <w:p w:rsidR="00D72450" w:rsidRPr="00F72C2B" w:rsidRDefault="00D72450" w:rsidP="0078310B">
      <w:pPr>
        <w:pStyle w:val="FootnoteText"/>
      </w:pPr>
      <w:r>
        <w:rPr>
          <w:rStyle w:val="FootnoteReference"/>
        </w:rPr>
        <w:footnoteRef/>
      </w:r>
      <w:r>
        <w:t xml:space="preserve"> </w:t>
      </w:r>
      <w:r>
        <w:rPr>
          <w:i/>
        </w:rPr>
        <w:t xml:space="preserve">See </w:t>
      </w:r>
      <w:r>
        <w:t>Treas. Reg. §§ 1.263(a)-1(f)(1)(ii) and (iii).</w:t>
      </w:r>
    </w:p>
  </w:footnote>
  <w:footnote w:id="175">
    <w:p w:rsidR="00D72450" w:rsidRPr="00674414" w:rsidRDefault="00D72450" w:rsidP="0078310B">
      <w:pPr>
        <w:pStyle w:val="FootnoteText"/>
      </w:pPr>
      <w:r>
        <w:rPr>
          <w:rStyle w:val="FootnoteReference"/>
        </w:rPr>
        <w:footnoteRef/>
      </w:r>
      <w:r>
        <w:t xml:space="preserve"> </w:t>
      </w:r>
      <w:r>
        <w:rPr>
          <w:i/>
        </w:rPr>
        <w:t xml:space="preserve">See </w:t>
      </w:r>
      <w:r>
        <w:t xml:space="preserve">Treas. Reg. §§ 1.263-1(f)(3)(ii) and (iii). </w:t>
      </w:r>
    </w:p>
  </w:footnote>
  <w:footnote w:id="176">
    <w:p w:rsidR="00D72450" w:rsidRDefault="00D72450" w:rsidP="0078310B">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7">
    <w:p w:rsidR="00D72450" w:rsidRDefault="00D72450" w:rsidP="0078310B">
      <w:pPr>
        <w:pStyle w:val="FootnoteText"/>
      </w:pPr>
      <w:r>
        <w:rPr>
          <w:rStyle w:val="FootnoteReference"/>
        </w:rPr>
        <w:footnoteRef/>
      </w:r>
      <w:r>
        <w:t xml:space="preserve"> </w:t>
      </w:r>
      <w:r>
        <w:rPr>
          <w:i/>
        </w:rPr>
        <w:t xml:space="preserve">See </w:t>
      </w:r>
      <w:r>
        <w:t>Treas. Reg. § 1.263(a)-3(j)(1).</w:t>
      </w:r>
    </w:p>
  </w:footnote>
  <w:footnote w:id="178">
    <w:p w:rsidR="00D72450" w:rsidRDefault="00D72450" w:rsidP="0078310B">
      <w:pPr>
        <w:pStyle w:val="FootnoteText"/>
      </w:pPr>
      <w:r>
        <w:rPr>
          <w:rStyle w:val="FootnoteReference"/>
        </w:rPr>
        <w:footnoteRef/>
      </w:r>
      <w:r>
        <w:t xml:space="preserve"> </w:t>
      </w:r>
      <w:r>
        <w:rPr>
          <w:i/>
        </w:rPr>
        <w:t xml:space="preserve">See </w:t>
      </w:r>
      <w:r>
        <w:t>Treas. Reg. § 1.263(a)-3(j)(2)(iv).</w:t>
      </w:r>
    </w:p>
  </w:footnote>
  <w:footnote w:id="179">
    <w:p w:rsidR="00D72450" w:rsidRDefault="00D72450" w:rsidP="0078310B">
      <w:pPr>
        <w:pStyle w:val="FootnoteText"/>
      </w:pPr>
      <w:r>
        <w:rPr>
          <w:rStyle w:val="FootnoteReference"/>
        </w:rPr>
        <w:footnoteRef/>
      </w:r>
      <w:r>
        <w:t xml:space="preserve"> Treas. Reg. § 1.263(a)-3(k)(1).</w:t>
      </w:r>
    </w:p>
  </w:footnote>
  <w:footnote w:id="180">
    <w:p w:rsidR="00D72450" w:rsidRDefault="00D72450" w:rsidP="0078310B">
      <w:pPr>
        <w:pStyle w:val="FootnoteText"/>
      </w:pPr>
      <w:r>
        <w:rPr>
          <w:rStyle w:val="FootnoteReference"/>
        </w:rPr>
        <w:footnoteRef/>
      </w:r>
      <w:r>
        <w:t xml:space="preserve"> Treas. Reg. § 1.263(a)-3(k)(6).</w:t>
      </w:r>
    </w:p>
  </w:footnote>
  <w:footnote w:id="181">
    <w:p w:rsidR="00D72450" w:rsidRDefault="00D72450" w:rsidP="0078310B">
      <w:pPr>
        <w:pStyle w:val="FootnoteText"/>
      </w:pPr>
      <w:r>
        <w:rPr>
          <w:rStyle w:val="FootnoteReference"/>
        </w:rPr>
        <w:footnoteRef/>
      </w:r>
      <w:r>
        <w:t xml:space="preserve"> Treas. Reg. § 1.263(a)-3(</w:t>
      </w:r>
      <w:r>
        <w:rPr>
          <w:i/>
        </w:rPr>
        <w:t>l</w:t>
      </w:r>
      <w:r>
        <w:t>)(1).</w:t>
      </w:r>
    </w:p>
  </w:footnote>
  <w:footnote w:id="182">
    <w:p w:rsidR="00D72450" w:rsidRDefault="00D72450">
      <w:pPr>
        <w:pStyle w:val="FootnoteText"/>
      </w:pPr>
      <w:r>
        <w:rPr>
          <w:rStyle w:val="FootnoteReference"/>
        </w:rPr>
        <w:footnoteRef/>
      </w:r>
      <w:r>
        <w:t xml:space="preserve"> Treas. Reg. § 1.263(a)-3(j)(iv)(A)-(B).</w:t>
      </w:r>
    </w:p>
  </w:footnote>
  <w:footnote w:id="183">
    <w:p w:rsidR="00D72450" w:rsidRDefault="00D72450" w:rsidP="0078310B">
      <w:pPr>
        <w:pStyle w:val="FootnoteText"/>
      </w:pPr>
      <w:r>
        <w:rPr>
          <w:rStyle w:val="FootnoteReference"/>
        </w:rPr>
        <w:footnoteRef/>
      </w:r>
      <w:r>
        <w:t xml:space="preserve"> </w:t>
      </w:r>
      <w:r>
        <w:rPr>
          <w:i/>
        </w:rPr>
        <w:t>See</w:t>
      </w:r>
      <w:r>
        <w:t xml:space="preserve"> Treas. Reg. §§ 1.263(a)-3(e)(1) and (2).</w:t>
      </w:r>
    </w:p>
  </w:footnote>
  <w:footnote w:id="184">
    <w:p w:rsidR="00D72450" w:rsidRDefault="00D72450" w:rsidP="0078310B">
      <w:pPr>
        <w:pStyle w:val="FootnoteText"/>
      </w:pPr>
      <w:r>
        <w:rPr>
          <w:rStyle w:val="FootnoteReference"/>
        </w:rPr>
        <w:footnoteRef/>
      </w:r>
      <w:r>
        <w:t xml:space="preserve"> Treas. Reg. § 1.263(a)-3(e)(6), Ex. (2).</w:t>
      </w:r>
    </w:p>
  </w:footnote>
  <w:footnote w:id="185">
    <w:p w:rsidR="00D72450" w:rsidRDefault="00D72450" w:rsidP="0078310B">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6">
    <w:p w:rsidR="00D72450" w:rsidRDefault="00D72450" w:rsidP="0078310B">
      <w:pPr>
        <w:pStyle w:val="FootnoteText"/>
      </w:pPr>
      <w:r>
        <w:rPr>
          <w:rStyle w:val="FootnoteReference"/>
        </w:rPr>
        <w:footnoteRef/>
      </w:r>
      <w:r>
        <w:t xml:space="preserve"> Treas. Reg. § 1.263(a)-3(e)(3).</w:t>
      </w:r>
    </w:p>
  </w:footnote>
  <w:footnote w:id="187">
    <w:p w:rsidR="00D72450" w:rsidRDefault="00D72450" w:rsidP="0078310B">
      <w:pPr>
        <w:pStyle w:val="FootnoteText"/>
      </w:pPr>
      <w:r>
        <w:rPr>
          <w:rStyle w:val="FootnoteReference"/>
        </w:rPr>
        <w:footnoteRef/>
      </w:r>
      <w:r>
        <w:t xml:space="preserve"> Treas. Reg. § 1.263(a)-3(e)(6), Ex. (9).</w:t>
      </w:r>
    </w:p>
  </w:footnote>
  <w:footnote w:id="188">
    <w:p w:rsidR="00D72450" w:rsidRDefault="00D72450" w:rsidP="0078310B">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89">
    <w:p w:rsidR="00D72450" w:rsidRDefault="00D72450" w:rsidP="0078310B">
      <w:pPr>
        <w:pStyle w:val="FootnoteText"/>
      </w:pPr>
      <w:r>
        <w:rPr>
          <w:rStyle w:val="FootnoteReference"/>
        </w:rPr>
        <w:footnoteRef/>
      </w:r>
      <w:r>
        <w:t xml:space="preserve"> Treas. Reg. § 1.263(a)-3(i)(1)(</w:t>
      </w:r>
      <w:r w:rsidRPr="00A94146">
        <w:rPr>
          <w:i/>
        </w:rPr>
        <w:t>i</w:t>
      </w:r>
      <w:r>
        <w:t>).</w:t>
      </w:r>
    </w:p>
  </w:footnote>
  <w:footnote w:id="190">
    <w:p w:rsidR="00D72450" w:rsidRDefault="00D72450" w:rsidP="0078310B">
      <w:pPr>
        <w:pStyle w:val="FootnoteText"/>
      </w:pPr>
      <w:r>
        <w:rPr>
          <w:rStyle w:val="FootnoteReference"/>
        </w:rPr>
        <w:footnoteRef/>
      </w:r>
      <w:r>
        <w:t xml:space="preserve"> </w:t>
      </w:r>
      <w:r>
        <w:rPr>
          <w:i/>
        </w:rPr>
        <w:t>Id.</w:t>
      </w:r>
    </w:p>
  </w:footnote>
  <w:footnote w:id="191">
    <w:p w:rsidR="00D72450" w:rsidRDefault="00D72450" w:rsidP="0078310B">
      <w:pPr>
        <w:pStyle w:val="FootnoteText"/>
      </w:pPr>
      <w:r>
        <w:rPr>
          <w:rStyle w:val="FootnoteReference"/>
        </w:rPr>
        <w:footnoteRef/>
      </w:r>
      <w:r>
        <w:t xml:space="preserve"> </w:t>
      </w:r>
      <w:r>
        <w:rPr>
          <w:i/>
        </w:rPr>
        <w:t>Id.</w:t>
      </w:r>
    </w:p>
  </w:footnote>
  <w:footnote w:id="192">
    <w:p w:rsidR="00D72450" w:rsidRDefault="00D72450" w:rsidP="0078310B">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3">
    <w:p w:rsidR="00D72450" w:rsidRPr="003A46A0" w:rsidRDefault="00D72450" w:rsidP="0078310B">
      <w:pPr>
        <w:pStyle w:val="FootnoteText"/>
      </w:pPr>
      <w:r>
        <w:rPr>
          <w:rStyle w:val="FootnoteReference"/>
        </w:rPr>
        <w:footnoteRef/>
      </w:r>
      <w:r>
        <w:t xml:space="preserve"> </w:t>
      </w:r>
      <w:r>
        <w:rPr>
          <w:i/>
        </w:rPr>
        <w:t xml:space="preserve">See </w:t>
      </w:r>
      <w:r>
        <w:t>Treas. Reg. § 1.263(a)-3(h)1).</w:t>
      </w:r>
    </w:p>
  </w:footnote>
  <w:footnote w:id="194">
    <w:p w:rsidR="00D72450" w:rsidRDefault="00D72450" w:rsidP="0078310B">
      <w:pPr>
        <w:pStyle w:val="FootnoteText"/>
      </w:pPr>
      <w:r>
        <w:rPr>
          <w:rStyle w:val="FootnoteReference"/>
        </w:rPr>
        <w:footnoteRef/>
      </w:r>
      <w:r>
        <w:t xml:space="preserve"> </w:t>
      </w:r>
      <w:r>
        <w:rPr>
          <w:i/>
        </w:rPr>
        <w:t xml:space="preserve">See </w:t>
      </w:r>
      <w:r>
        <w:t>Treas. Reg. § 1.263(a)-3(h)(4).</w:t>
      </w:r>
    </w:p>
  </w:footnote>
  <w:footnote w:id="195">
    <w:p w:rsidR="00D72450" w:rsidRPr="003A46A0" w:rsidRDefault="00D72450" w:rsidP="0078310B">
      <w:pPr>
        <w:pStyle w:val="FootnoteText"/>
      </w:pPr>
      <w:r>
        <w:rPr>
          <w:rStyle w:val="FootnoteReference"/>
        </w:rPr>
        <w:footnoteRef/>
      </w:r>
      <w:r>
        <w:t xml:space="preserve"> </w:t>
      </w:r>
      <w:r>
        <w:rPr>
          <w:i/>
        </w:rPr>
        <w:t xml:space="preserve">See </w:t>
      </w:r>
      <w:r>
        <w:t>Treas. Reg. § 1.263(a)-3(h)(6).</w:t>
      </w:r>
    </w:p>
  </w:footnote>
  <w:footnote w:id="196">
    <w:p w:rsidR="00D72450" w:rsidRDefault="00D72450" w:rsidP="0078310B">
      <w:pPr>
        <w:pStyle w:val="FootnoteText"/>
      </w:pPr>
      <w:r>
        <w:rPr>
          <w:rStyle w:val="FootnoteReference"/>
        </w:rPr>
        <w:footnoteRef/>
      </w:r>
      <w:r>
        <w:t xml:space="preserve"> § 263A(b)(2)(B).</w:t>
      </w:r>
    </w:p>
  </w:footnote>
  <w:footnote w:id="197">
    <w:p w:rsidR="00D72450" w:rsidRDefault="00D72450" w:rsidP="0078310B">
      <w:pPr>
        <w:pStyle w:val="FootnoteText"/>
      </w:pPr>
      <w:r>
        <w:rPr>
          <w:rStyle w:val="FootnoteReference"/>
        </w:rPr>
        <w:footnoteRef/>
      </w:r>
      <w:r>
        <w:t xml:space="preserve"> § 263A(d).</w:t>
      </w:r>
    </w:p>
  </w:footnote>
  <w:footnote w:id="198">
    <w:p w:rsidR="00D72450" w:rsidRDefault="00D72450" w:rsidP="0078310B">
      <w:pPr>
        <w:pStyle w:val="FootnoteText"/>
      </w:pPr>
      <w:r>
        <w:rPr>
          <w:rStyle w:val="FootnoteReference"/>
        </w:rPr>
        <w:footnoteRef/>
      </w:r>
      <w:r>
        <w:t xml:space="preserve"> § 263A(h).</w:t>
      </w:r>
    </w:p>
  </w:footnote>
  <w:footnote w:id="199">
    <w:p w:rsidR="00D72450" w:rsidRDefault="00D72450" w:rsidP="0078310B">
      <w:pPr>
        <w:pStyle w:val="FootnoteText"/>
      </w:pPr>
      <w:r>
        <w:rPr>
          <w:rStyle w:val="FootnoteReference"/>
        </w:rPr>
        <w:footnoteRef/>
      </w:r>
      <w:r>
        <w:t xml:space="preserve"> </w:t>
      </w:r>
      <w:r>
        <w:rPr>
          <w:i/>
        </w:rPr>
        <w:t xml:space="preserve">See </w:t>
      </w:r>
      <w:r>
        <w:t>§ 263A(f).</w:t>
      </w:r>
    </w:p>
  </w:footnote>
  <w:footnote w:id="200">
    <w:p w:rsidR="00D72450" w:rsidRPr="00313148" w:rsidRDefault="00D72450" w:rsidP="0078310B">
      <w:pPr>
        <w:pStyle w:val="FootnoteText"/>
      </w:pPr>
      <w:r>
        <w:rPr>
          <w:rStyle w:val="FootnoteReference"/>
        </w:rPr>
        <w:footnoteRef/>
      </w:r>
      <w:r>
        <w:t xml:space="preserve"> </w:t>
      </w:r>
      <w:r>
        <w:rPr>
          <w:i/>
        </w:rPr>
        <w:t xml:space="preserve">See </w:t>
      </w:r>
      <w:r>
        <w:t>Treas. Reg. § 1.263A-1(e)(3)(ii).</w:t>
      </w:r>
    </w:p>
  </w:footnote>
  <w:footnote w:id="201">
    <w:p w:rsidR="00D72450" w:rsidRDefault="00D72450" w:rsidP="0078310B">
      <w:pPr>
        <w:pStyle w:val="FootnoteText"/>
      </w:pPr>
      <w:r>
        <w:rPr>
          <w:rStyle w:val="FootnoteReference"/>
        </w:rPr>
        <w:footnoteRef/>
      </w:r>
      <w:r>
        <w:t xml:space="preserve"> Treas. Reg. § 1.263A-1(e)(3)(iii).</w:t>
      </w:r>
    </w:p>
  </w:footnote>
  <w:footnote w:id="202">
    <w:p w:rsidR="00D72450" w:rsidRPr="00271352" w:rsidRDefault="00D72450" w:rsidP="0078310B">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3">
    <w:p w:rsidR="00D72450" w:rsidRPr="00D27FA9" w:rsidRDefault="00D72450" w:rsidP="0078310B">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4">
    <w:p w:rsidR="00D72450" w:rsidRPr="00667858" w:rsidRDefault="00D72450" w:rsidP="0078310B">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05">
    <w:p w:rsidR="00D72450" w:rsidRDefault="00D72450" w:rsidP="0078310B">
      <w:pPr>
        <w:pStyle w:val="FootnoteText"/>
      </w:pPr>
      <w:r>
        <w:rPr>
          <w:rStyle w:val="FootnoteReference"/>
        </w:rPr>
        <w:footnoteRef/>
      </w:r>
      <w:r>
        <w:t xml:space="preserve"> </w:t>
      </w:r>
      <w:r>
        <w:rPr>
          <w:i/>
        </w:rPr>
        <w:t xml:space="preserve">See </w:t>
      </w:r>
      <w:r>
        <w:t>Treas. Reg. § 1.61-2(d)(2).</w:t>
      </w:r>
    </w:p>
  </w:footnote>
  <w:footnote w:id="206">
    <w:p w:rsidR="00D72450" w:rsidRDefault="00D72450" w:rsidP="0078310B">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rsidR="00D72450" w:rsidRPr="00FD3902" w:rsidRDefault="00D72450" w:rsidP="0078310B">
      <w:pPr>
        <w:pStyle w:val="FootnoteText"/>
        <w:widowControl w:val="0"/>
        <w:jc w:val="both"/>
      </w:pPr>
      <w:r w:rsidRPr="001E536A">
        <w:t>www.people.com/people/article/0,,20223342,00.html</w:t>
      </w:r>
      <w:r>
        <w:t>.</w:t>
      </w:r>
    </w:p>
  </w:footnote>
  <w:footnote w:id="207">
    <w:p w:rsidR="00D72450" w:rsidRPr="007C32BA" w:rsidRDefault="00D72450" w:rsidP="0078310B">
      <w:pPr>
        <w:pStyle w:val="FootnoteText"/>
        <w:widowControl w:val="0"/>
      </w:pPr>
      <w:r>
        <w:rPr>
          <w:rStyle w:val="FootnoteReference"/>
        </w:rPr>
        <w:footnoteRef/>
      </w:r>
      <w:r>
        <w:t xml:space="preserve"> Matt Richtel, </w:t>
      </w:r>
      <w:r>
        <w:rPr>
          <w:i/>
        </w:rPr>
        <w:t>Housecleaning, Then Dinner? Silicon Valley Perks Come Home</w:t>
      </w:r>
      <w:r>
        <w:t xml:space="preserve">, at </w:t>
      </w:r>
      <w:r w:rsidRPr="002B181C">
        <w:t>www.nytimes.com/2012/10/20/us/in-silicon-valley-perks-now-begin-at-home.html?pagewanted=all</w:t>
      </w:r>
      <w:r>
        <w:t>.</w:t>
      </w:r>
    </w:p>
  </w:footnote>
  <w:footnote w:id="208">
    <w:p w:rsidR="00D72450" w:rsidRDefault="00D72450" w:rsidP="0078310B">
      <w:pPr>
        <w:pStyle w:val="FootnoteText"/>
        <w:jc w:val="both"/>
      </w:pPr>
      <w:r>
        <w:rPr>
          <w:rStyle w:val="FootnoteReference"/>
        </w:rPr>
        <w:footnoteRef/>
      </w:r>
      <w:r>
        <w:t xml:space="preserve"> 60 Ct. Cl. 552 (1925). </w:t>
      </w:r>
    </w:p>
  </w:footnote>
  <w:footnote w:id="209">
    <w:p w:rsidR="00D72450" w:rsidRPr="004E2407" w:rsidRDefault="00D72450" w:rsidP="0078310B">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10">
    <w:p w:rsidR="00D72450" w:rsidRDefault="00D72450" w:rsidP="0078310B">
      <w:pPr>
        <w:pStyle w:val="FootnoteText"/>
        <w:jc w:val="both"/>
      </w:pPr>
      <w:r>
        <w:rPr>
          <w:rStyle w:val="FootnoteReference"/>
        </w:rPr>
        <w:footnoteRef/>
      </w:r>
      <w:r>
        <w:t xml:space="preserve"> O.D. 265, 1 C.B. 71 (1919).</w:t>
      </w:r>
    </w:p>
  </w:footnote>
  <w:footnote w:id="211">
    <w:p w:rsidR="00D72450" w:rsidRDefault="00D72450" w:rsidP="0078310B">
      <w:pPr>
        <w:pStyle w:val="FootnoteText"/>
        <w:jc w:val="both"/>
      </w:pPr>
      <w:r>
        <w:rPr>
          <w:rStyle w:val="FootnoteReference"/>
        </w:rPr>
        <w:footnoteRef/>
      </w:r>
      <w:r>
        <w:t xml:space="preserve"> T.D. 2992, 2 C.B. 76 (1920). </w:t>
      </w:r>
    </w:p>
  </w:footnote>
  <w:footnote w:id="212">
    <w:p w:rsidR="00D72450" w:rsidRPr="00041BBF" w:rsidRDefault="00D72450" w:rsidP="0078310B">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13">
    <w:p w:rsidR="00D72450" w:rsidRDefault="00D72450" w:rsidP="0078310B">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4">
    <w:p w:rsidR="00D72450" w:rsidRDefault="00D72450" w:rsidP="0078310B">
      <w:pPr>
        <w:pStyle w:val="FootnoteText"/>
        <w:widowControl w:val="0"/>
        <w:jc w:val="both"/>
      </w:pPr>
      <w:r>
        <w:rPr>
          <w:rStyle w:val="FootnoteReference"/>
        </w:rPr>
        <w:footnoteRef/>
      </w:r>
      <w:r>
        <w:t xml:space="preserve"> 36 B.T.A. 838 (1937).</w:t>
      </w:r>
    </w:p>
  </w:footnote>
  <w:footnote w:id="215">
    <w:p w:rsidR="00D72450" w:rsidRPr="0076459C" w:rsidRDefault="00D72450" w:rsidP="0078310B">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6">
    <w:p w:rsidR="00D72450" w:rsidRPr="003037FD" w:rsidRDefault="00D72450" w:rsidP="0078310B">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7">
    <w:p w:rsidR="00D72450" w:rsidRDefault="00D72450" w:rsidP="0078310B">
      <w:pPr>
        <w:pStyle w:val="FootnoteText"/>
      </w:pPr>
      <w:r>
        <w:rPr>
          <w:rStyle w:val="FootnoteReference"/>
        </w:rPr>
        <w:footnoteRef/>
      </w:r>
      <w:r>
        <w:t xml:space="preserve"> 204 F.3d 1103 (Fed. Cir. 2000). </w:t>
      </w:r>
    </w:p>
  </w:footnote>
  <w:footnote w:id="218">
    <w:p w:rsidR="00D72450" w:rsidRDefault="00D72450" w:rsidP="0078310B">
      <w:pPr>
        <w:pStyle w:val="FootnoteText"/>
      </w:pPr>
      <w:r>
        <w:rPr>
          <w:rStyle w:val="FootnoteReference"/>
        </w:rPr>
        <w:footnoteRef/>
      </w:r>
      <w:r>
        <w:t xml:space="preserve"> </w:t>
      </w:r>
      <w:r>
        <w:rPr>
          <w:i/>
        </w:rPr>
        <w:t>See</w:t>
      </w:r>
      <w:r>
        <w:t xml:space="preserve"> Announcement 2002-18, 2002-1 C.B. 621.</w:t>
      </w:r>
    </w:p>
  </w:footnote>
  <w:footnote w:id="219">
    <w:p w:rsidR="00D72450" w:rsidRDefault="00D72450" w:rsidP="0078310B">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20">
    <w:p w:rsidR="00D72450" w:rsidRDefault="00D72450" w:rsidP="0078310B">
      <w:pPr>
        <w:pStyle w:val="FootnoteText"/>
      </w:pPr>
      <w:r>
        <w:rPr>
          <w:rStyle w:val="FootnoteReference"/>
        </w:rPr>
        <w:footnoteRef/>
      </w:r>
      <w:r>
        <w:t xml:space="preserve"> </w:t>
      </w:r>
      <w:r>
        <w:rPr>
          <w:i/>
        </w:rPr>
        <w:t>See</w:t>
      </w:r>
      <w:r>
        <w:t xml:space="preserve"> § 83(h).</w:t>
      </w:r>
    </w:p>
  </w:footnote>
  <w:footnote w:id="221">
    <w:p w:rsidR="00D72450" w:rsidRDefault="00D72450" w:rsidP="0078310B">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2">
    <w:p w:rsidR="00D72450" w:rsidRDefault="00D72450" w:rsidP="0078310B">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3">
    <w:p w:rsidR="00D72450" w:rsidRDefault="00D72450" w:rsidP="0078310B">
      <w:pPr>
        <w:pStyle w:val="FootnoteText"/>
        <w:widowControl w:val="0"/>
        <w:jc w:val="both"/>
      </w:pPr>
      <w:r>
        <w:rPr>
          <w:rStyle w:val="FootnoteReference"/>
        </w:rPr>
        <w:footnoteRef/>
      </w:r>
      <w:r>
        <w:t xml:space="preserve"> Capital gains have been regularly taxed under the English income tax only since 1965.</w:t>
      </w:r>
    </w:p>
  </w:footnote>
  <w:footnote w:id="224">
    <w:p w:rsidR="00D72450" w:rsidRDefault="00D72450" w:rsidP="0078310B">
      <w:pPr>
        <w:pStyle w:val="FootnoteText"/>
        <w:widowControl w:val="0"/>
        <w:jc w:val="both"/>
      </w:pPr>
      <w:r>
        <w:rPr>
          <w:rStyle w:val="FootnoteReference"/>
        </w:rPr>
        <w:footnoteRef/>
      </w:r>
      <w:r>
        <w:t xml:space="preserve"> 252 U.S. 189 (1920). </w:t>
      </w:r>
    </w:p>
  </w:footnote>
  <w:footnote w:id="225">
    <w:p w:rsidR="00D72450" w:rsidRPr="00D20A56" w:rsidRDefault="00D72450" w:rsidP="0078310B">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26">
    <w:p w:rsidR="00D72450" w:rsidRPr="00380EAA" w:rsidRDefault="00D72450" w:rsidP="0078310B">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rsidR="00D72450" w:rsidRDefault="00D72450" w:rsidP="0078310B">
      <w:pPr>
        <w:pStyle w:val="FootnoteText"/>
      </w:pPr>
    </w:p>
  </w:footnote>
  <w:footnote w:id="227">
    <w:p w:rsidR="00D72450" w:rsidRPr="000D48EF" w:rsidRDefault="00D72450" w:rsidP="0078310B">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28">
    <w:p w:rsidR="00D72450" w:rsidRPr="00A8413D" w:rsidRDefault="00D72450" w:rsidP="0078310B">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29">
    <w:p w:rsidR="00D72450" w:rsidRDefault="00D72450">
      <w:pPr>
        <w:pStyle w:val="FootnoteText"/>
      </w:pPr>
      <w:r>
        <w:rPr>
          <w:rStyle w:val="FootnoteReference"/>
        </w:rPr>
        <w:footnoteRef/>
      </w:r>
      <w:r>
        <w:t xml:space="preserve"> 1999-1 C.B. 271.</w:t>
      </w:r>
    </w:p>
  </w:footnote>
  <w:footnote w:id="230">
    <w:p w:rsidR="00D72450" w:rsidRPr="00347071" w:rsidRDefault="00D72450" w:rsidP="0078310B">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1">
    <w:p w:rsidR="00D72450" w:rsidRDefault="00D72450" w:rsidP="0078310B">
      <w:pPr>
        <w:pStyle w:val="FootnoteText"/>
        <w:widowControl w:val="0"/>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r w:rsidRPr="007277F4">
        <w:t>at</w:t>
      </w:r>
      <w:r>
        <w:rPr>
          <w:i/>
        </w:rPr>
        <w:t xml:space="preserve"> </w:t>
      </w:r>
      <w:r w:rsidRPr="00D32BEE">
        <w:t>www.urban.org/UploadedPDF/social-security-medicare-benefits-over-lifetime.pdf</w:t>
      </w:r>
      <w:r>
        <w:t>.</w:t>
      </w:r>
    </w:p>
  </w:footnote>
  <w:footnote w:id="232">
    <w:p w:rsidR="00D72450" w:rsidRPr="004B016F" w:rsidRDefault="00D72450" w:rsidP="0078310B">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3">
    <w:p w:rsidR="00D72450" w:rsidRDefault="00D72450" w:rsidP="0078310B">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4">
    <w:p w:rsidR="00D72450" w:rsidRDefault="00D72450" w:rsidP="0078310B">
      <w:pPr>
        <w:pStyle w:val="FootnoteText"/>
      </w:pPr>
      <w:r>
        <w:rPr>
          <w:rStyle w:val="FootnoteReference"/>
        </w:rPr>
        <w:footnoteRef/>
      </w:r>
      <w:r>
        <w:t xml:space="preserve"> </w:t>
      </w:r>
      <w:r w:rsidRPr="00873596">
        <w:t>www.forbes.com/sites/robertwood/2014/03/01/oscar-freebies-balloon-to-80k-dont-tell-irs/</w:t>
      </w:r>
      <w:r>
        <w:t>. Reprinted with permission of the author.</w:t>
      </w:r>
    </w:p>
  </w:footnote>
  <w:footnote w:id="235">
    <w:p w:rsidR="00D72450" w:rsidRDefault="00D72450" w:rsidP="0078310B">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36">
    <w:p w:rsidR="00D72450" w:rsidRDefault="00D72450" w:rsidP="0078310B">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37">
    <w:p w:rsidR="00D72450" w:rsidRDefault="00D72450" w:rsidP="0078310B">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 even if the other requirements for a qualified employee discount are satisfied.</w:t>
      </w:r>
    </w:p>
  </w:footnote>
  <w:footnote w:id="238">
    <w:p w:rsidR="00D72450" w:rsidRDefault="00D72450" w:rsidP="0078310B">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39">
    <w:p w:rsidR="00D72450" w:rsidRDefault="00D72450" w:rsidP="0078310B">
      <w:pPr>
        <w:pStyle w:val="FootnoteText"/>
      </w:pPr>
      <w:r>
        <w:rPr>
          <w:rStyle w:val="FootnoteReference"/>
        </w:rPr>
        <w:footnoteRef/>
      </w:r>
      <w:r>
        <w:t xml:space="preserve"> </w:t>
      </w:r>
      <w:r>
        <w:rPr>
          <w:i/>
        </w:rPr>
        <w:t xml:space="preserve">See </w:t>
      </w:r>
      <w:r>
        <w:t>Treas. Reg. § 1.61-14.</w:t>
      </w:r>
    </w:p>
  </w:footnote>
  <w:footnote w:id="240">
    <w:p w:rsidR="00D72450" w:rsidRDefault="00D72450" w:rsidP="0078310B">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1">
    <w:p w:rsidR="00D72450" w:rsidRDefault="00D72450" w:rsidP="0078310B">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2">
    <w:p w:rsidR="00D72450" w:rsidRPr="00561FE1" w:rsidRDefault="00D72450" w:rsidP="0078310B">
      <w:pPr>
        <w:pStyle w:val="FootnoteText"/>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3">
    <w:p w:rsidR="00D72450" w:rsidRDefault="00D72450" w:rsidP="0078310B">
      <w:pPr>
        <w:pStyle w:val="FootnoteText"/>
        <w:jc w:val="both"/>
      </w:pPr>
      <w:r>
        <w:rPr>
          <w:rStyle w:val="FootnoteReference"/>
        </w:rPr>
        <w:footnoteRef/>
      </w:r>
      <w:r>
        <w:t xml:space="preserve"> I do not think that a baseball hit by a player into the stands can be properly categorized as a “prize,” which would be includable immediately under § 74.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4">
    <w:p w:rsidR="00D72450" w:rsidRPr="00FF2E2F" w:rsidRDefault="00D72450" w:rsidP="0078310B">
      <w:pPr>
        <w:pStyle w:val="FootnoteText"/>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5">
    <w:p w:rsidR="00D72450" w:rsidRDefault="00D72450" w:rsidP="0078310B">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was first broken in 2013, when Francis Bacon’s three-paneled painting “Three Studies of Lucian Freud” sold for $142.4 million. </w:t>
      </w:r>
      <w:r>
        <w:rPr>
          <w:i/>
        </w:rPr>
        <w:t>See</w:t>
      </w:r>
      <w:r>
        <w:t xml:space="preserve"> Carol Vogel, </w:t>
      </w:r>
      <w:r>
        <w:rPr>
          <w:i/>
        </w:rPr>
        <w:t>At $142.4 Million, Triptych is the Most Expensive Artwork Ever Sold at an Auction</w:t>
      </w:r>
      <w:r>
        <w:t xml:space="preserve">, at </w:t>
      </w:r>
      <w:r w:rsidRPr="00356871">
        <w:t>www.nytimes.com/2013/11/13/arts/design/bacons-study-of-freud-sells-for-more-than-142-million.html</w:t>
      </w:r>
      <w:r>
        <w:t xml:space="preserve">. In turn, that record was again broken in 2015 when Picasso’s “Les Femmes d’Alger” was sold for $179.4 million. </w:t>
      </w:r>
      <w:r>
        <w:rPr>
          <w:i/>
        </w:rPr>
        <w:t>See</w:t>
      </w:r>
      <w:r w:rsidRPr="00E06D82">
        <w:t xml:space="preserve"> Doreen Carvajal,</w:t>
      </w:r>
      <w:r>
        <w:t xml:space="preserve"> </w:t>
      </w:r>
      <w:r>
        <w:rPr>
          <w:i/>
        </w:rPr>
        <w:t>Impressionist and Modern Art Lifts Christie’s First Half</w:t>
      </w:r>
      <w:r>
        <w:t xml:space="preserve">, at </w:t>
      </w:r>
      <w:r w:rsidRPr="00AA49E4">
        <w:t>www.nytimes.com/2015/07/21/business/international/</w:t>
      </w:r>
      <w:r w:rsidRPr="00E06D82">
        <w:t>impressionist-and-modern-art-lifts-christies-first-</w:t>
      </w:r>
      <w:r>
        <w:t>h</w:t>
      </w:r>
      <w:r w:rsidRPr="00E06D82">
        <w:t>alf.html?_r=0</w:t>
      </w:r>
      <w:r>
        <w:t xml:space="preserve">. </w:t>
      </w:r>
    </w:p>
    <w:p w:rsidR="00D72450" w:rsidRDefault="00D72450" w:rsidP="0078310B">
      <w:pPr>
        <w:pStyle w:val="FootnoteText"/>
        <w:widowControl w:val="0"/>
        <w:ind w:firstLine="288"/>
        <w:jc w:val="both"/>
      </w:pPr>
      <w:r>
        <w:t xml:space="preserve">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p>
    <w:p w:rsidR="00D72450" w:rsidRPr="00F166AE" w:rsidRDefault="00D72450" w:rsidP="0078310B">
      <w:pPr>
        <w:pStyle w:val="FootnoteText"/>
        <w:widowControl w:val="0"/>
        <w:jc w:val="both"/>
      </w:pPr>
      <w:r w:rsidRPr="00F166AE">
        <w:t>www.nytimes.com/2014/04/24/garden/the-unsettling-thing-about-ellen.html?hpw&amp;rref=garden</w:t>
      </w:r>
      <w:r>
        <w:t>.</w:t>
      </w:r>
    </w:p>
  </w:footnote>
  <w:footnote w:id="246">
    <w:p w:rsidR="00D72450" w:rsidRPr="00C757A9" w:rsidRDefault="00D72450">
      <w:pPr>
        <w:pStyle w:val="FootnoteText"/>
      </w:pPr>
      <w:r>
        <w:rPr>
          <w:rStyle w:val="FootnoteReference"/>
        </w:rPr>
        <w:footnoteRef/>
      </w:r>
      <w:r>
        <w:t xml:space="preserve"> </w:t>
      </w:r>
      <w:r>
        <w:rPr>
          <w:smallCaps/>
        </w:rPr>
        <w:t>Ajay Mehotra, Making the Modern American Fiscal State</w:t>
      </w:r>
      <w:r>
        <w:t xml:space="preserve"> 27 (2014).</w:t>
      </w:r>
    </w:p>
  </w:footnote>
  <w:footnote w:id="247">
    <w:p w:rsidR="00D72450" w:rsidRDefault="00D72450" w:rsidP="0078310B">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48">
    <w:p w:rsidR="00D72450" w:rsidRDefault="00D72450" w:rsidP="0078310B">
      <w:pPr>
        <w:pStyle w:val="FootnoteText"/>
      </w:pPr>
      <w:r>
        <w:rPr>
          <w:rStyle w:val="FootnoteReference"/>
        </w:rPr>
        <w:footnoteRef/>
      </w:r>
      <w:r>
        <w:t xml:space="preserve"> </w:t>
      </w:r>
      <w:r w:rsidRPr="00292FBC">
        <w:t>http://teachingamericanhistory.org/library/document/new-nationalism-speech/</w:t>
      </w:r>
      <w:r>
        <w:t>.</w:t>
      </w:r>
    </w:p>
  </w:footnote>
  <w:footnote w:id="249">
    <w:p w:rsidR="00D72450" w:rsidRDefault="00D72450" w:rsidP="0078310B">
      <w:pPr>
        <w:pStyle w:val="FootnoteText"/>
      </w:pPr>
      <w:r>
        <w:rPr>
          <w:rStyle w:val="FootnoteReference"/>
        </w:rPr>
        <w:footnoteRef/>
      </w:r>
      <w:r>
        <w:t xml:space="preserve"> </w:t>
      </w:r>
      <w:r w:rsidRPr="00AC26C5">
        <w:t>http://www.jstor.org/stable/1813978?seq=8</w:t>
      </w:r>
      <w:r>
        <w:t xml:space="preserve">. </w:t>
      </w:r>
    </w:p>
  </w:footnote>
  <w:footnote w:id="250">
    <w:p w:rsidR="00D72450" w:rsidRDefault="00D72450" w:rsidP="0078310B">
      <w:pPr>
        <w:pStyle w:val="FootnoteText"/>
        <w:widowControl w:val="0"/>
        <w:jc w:val="both"/>
      </w:pPr>
      <w:r>
        <w:rPr>
          <w:rStyle w:val="FootnoteReference"/>
        </w:rPr>
        <w:footnoteRef/>
      </w:r>
      <w:r>
        <w:t xml:space="preserve"> The other four were Janet Morse Cargill of the family</w:t>
      </w:r>
      <w:r w:rsidRPr="00CB7049">
        <w:rPr>
          <w:rFonts w:cs="Times New Roman"/>
        </w:rPr>
        <w:t xml:space="preserve"> that founded Cargill, Inc., the Texas pipeline magnate Daniel Duncan, and the California real estate mogul Walter Shorenstein. </w:t>
      </w:r>
      <w:r>
        <w:rPr>
          <w:rFonts w:cs="Times New Roman"/>
        </w:rPr>
        <w:t>“</w:t>
      </w:r>
      <w:r w:rsidRPr="00CB7049">
        <w:rPr>
          <w:rFonts w:cs="Times New Roman"/>
        </w:rPr>
        <w:t>By rough calculation, their deaths in 2010 have cost the government some $6.5 billion.</w:t>
      </w:r>
      <w:r>
        <w:rPr>
          <w:rFonts w:cs="Times New Roman"/>
        </w:rPr>
        <w:t xml:space="preserve">” </w:t>
      </w:r>
      <w:r w:rsidRPr="00CB7049">
        <w:rPr>
          <w:rFonts w:cs="Times New Roman"/>
        </w:rPr>
        <w:t>www.elderlawanswers.com/Resources/Article.asp?ID=8454</w:t>
      </w:r>
      <w:r>
        <w:rPr>
          <w:rFonts w:cs="Times New Roman"/>
        </w:rPr>
        <w:t>.</w:t>
      </w:r>
    </w:p>
  </w:footnote>
  <w:footnote w:id="251">
    <w:p w:rsidR="00D72450" w:rsidRPr="004F42CD" w:rsidRDefault="00D72450" w:rsidP="0078310B">
      <w:pPr>
        <w:pStyle w:val="FootnoteText"/>
        <w:widowControl w:val="0"/>
        <w:jc w:val="both"/>
      </w:pPr>
      <w:r>
        <w:rPr>
          <w:rStyle w:val="FootnoteReference"/>
        </w:rPr>
        <w:footnoteRef/>
      </w:r>
      <w:r>
        <w:t xml:space="preserve"> Benjamin Harris, </w:t>
      </w:r>
      <w:r>
        <w:rPr>
          <w:i/>
        </w:rPr>
        <w:t>Estate Taxes After ATRA</w:t>
      </w:r>
      <w:r>
        <w:t xml:space="preserve">, 138 </w:t>
      </w:r>
      <w:r>
        <w:rPr>
          <w:smallCaps/>
        </w:rPr>
        <w:t xml:space="preserve">Tax Notes </w:t>
      </w:r>
      <w:r>
        <w:t xml:space="preserve">1005 (2013). </w:t>
      </w:r>
    </w:p>
  </w:footnote>
  <w:footnote w:id="252">
    <w:p w:rsidR="00D72450" w:rsidRPr="00DD590E" w:rsidRDefault="00D72450" w:rsidP="0078310B">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53">
    <w:p w:rsidR="00D72450" w:rsidRPr="00791FAE" w:rsidRDefault="00D72450" w:rsidP="0078310B">
      <w:pPr>
        <w:pStyle w:val="FootnoteText"/>
      </w:pPr>
      <w:r>
        <w:rPr>
          <w:rStyle w:val="FootnoteReference"/>
        </w:rPr>
        <w:footnoteRef/>
      </w:r>
      <w:r>
        <w:t xml:space="preserve"> </w:t>
      </w:r>
      <w:r>
        <w:rPr>
          <w:i/>
        </w:rPr>
        <w:t>Id.</w:t>
      </w:r>
      <w:r>
        <w:t xml:space="preserve"> at 484. </w:t>
      </w:r>
    </w:p>
  </w:footnote>
  <w:footnote w:id="254">
    <w:p w:rsidR="00D72450" w:rsidRPr="005A6A50" w:rsidRDefault="00D72450" w:rsidP="0078310B">
      <w:pPr>
        <w:pStyle w:val="FootnoteText"/>
      </w:pPr>
      <w:r>
        <w:rPr>
          <w:rStyle w:val="FootnoteReference"/>
        </w:rPr>
        <w:footnoteRef/>
      </w:r>
      <w:r>
        <w:t xml:space="preserve"> </w:t>
      </w:r>
      <w:r>
        <w:rPr>
          <w:i/>
        </w:rPr>
        <w:t>Id.</w:t>
      </w:r>
    </w:p>
  </w:footnote>
  <w:footnote w:id="255">
    <w:p w:rsidR="00D72450" w:rsidRPr="00DA3119" w:rsidRDefault="00D72450" w:rsidP="0078310B">
      <w:pPr>
        <w:pStyle w:val="FootnoteText"/>
      </w:pPr>
      <w:r>
        <w:rPr>
          <w:rStyle w:val="FootnoteReference"/>
        </w:rPr>
        <w:footnoteRef/>
      </w:r>
      <w:r>
        <w:t xml:space="preserve"> </w:t>
      </w:r>
      <w:r>
        <w:rPr>
          <w:i/>
        </w:rPr>
        <w:t>Id.</w:t>
      </w:r>
    </w:p>
  </w:footnote>
  <w:footnote w:id="256">
    <w:p w:rsidR="00D72450" w:rsidRPr="00266238" w:rsidRDefault="00D72450" w:rsidP="0078310B">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57">
    <w:p w:rsidR="00D72450" w:rsidRDefault="00D72450" w:rsidP="0078310B">
      <w:pPr>
        <w:pStyle w:val="FootnoteText"/>
        <w:widowControl w:val="0"/>
        <w:jc w:val="both"/>
      </w:pPr>
      <w:r>
        <w:rPr>
          <w:rStyle w:val="FootnoteReference"/>
        </w:rPr>
        <w:footnoteRef/>
      </w:r>
      <w:r>
        <w:t xml:space="preserve"> 278 U.S. 470 (1929).</w:t>
      </w:r>
    </w:p>
  </w:footnote>
  <w:footnote w:id="258">
    <w:p w:rsidR="00D72450" w:rsidRPr="00786CD1" w:rsidRDefault="00D72450" w:rsidP="0078310B">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59">
    <w:p w:rsidR="00D72450" w:rsidRPr="00A87166" w:rsidRDefault="00D72450" w:rsidP="0078310B">
      <w:pPr>
        <w:pStyle w:val="FootnoteText"/>
        <w:widowControl w:val="0"/>
        <w:jc w:val="both"/>
      </w:pPr>
      <w:r>
        <w:rPr>
          <w:rStyle w:val="FootnoteReference"/>
        </w:rPr>
        <w:footnoteRef/>
      </w:r>
      <w:r>
        <w:t xml:space="preserve"> This canon is slightly different from </w:t>
      </w:r>
      <w:r>
        <w:rPr>
          <w:i/>
        </w:rPr>
        <w:t>ejusdem generis</w:t>
      </w:r>
      <w:r>
        <w:t xml:space="preserve">, discussed in Chapter 6 in connection with the scope of the residual clause in § 61. </w:t>
      </w:r>
      <w:r>
        <w:rPr>
          <w:i/>
        </w:rPr>
        <w:t xml:space="preserve">Ejusdem generis </w:t>
      </w:r>
      <w:r>
        <w:t xml:space="preserve">can be invoked when a list of items is followed by a generic catch-all clause. </w:t>
      </w:r>
      <w:r>
        <w:rPr>
          <w:i/>
        </w:rPr>
        <w:t xml:space="preserve">Ejusdem generis </w:t>
      </w:r>
      <w:r>
        <w:t xml:space="preserve">instructs that the scope of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While </w:t>
      </w:r>
      <w:r>
        <w:rPr>
          <w:i/>
        </w:rPr>
        <w:t xml:space="preserve">ejusdem generis </w:t>
      </w:r>
      <w:r>
        <w:t xml:space="preserve">pertains to the meaning of a vague catch-all clause at the end of a list of items, </w:t>
      </w:r>
      <w:r>
        <w:rPr>
          <w:i/>
        </w:rPr>
        <w:t xml:space="preserve">noscitur a sociis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60">
    <w:p w:rsidR="00D72450" w:rsidRDefault="00D72450" w:rsidP="0078310B">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61">
    <w:p w:rsidR="00D72450" w:rsidRPr="008F6BF4" w:rsidRDefault="00D72450" w:rsidP="0078310B">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w:t>
      </w:r>
      <w:r w:rsidRPr="008F6BF4">
        <w:t xml:space="preserve">qualify as gifts in any event 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62">
    <w:p w:rsidR="00D72450" w:rsidRDefault="00D72450" w:rsidP="0078310B">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63">
    <w:p w:rsidR="00D72450" w:rsidRDefault="00D72450" w:rsidP="0078310B">
      <w:pPr>
        <w:pStyle w:val="FootnoteText"/>
      </w:pPr>
      <w:r>
        <w:rPr>
          <w:rStyle w:val="FootnoteReference"/>
        </w:rPr>
        <w:footnoteRef/>
      </w:r>
      <w:r>
        <w:t xml:space="preserve"> </w:t>
      </w:r>
      <w:r>
        <w:rPr>
          <w:i/>
        </w:rPr>
        <w:t xml:space="preserve">See </w:t>
      </w:r>
      <w:r>
        <w:t>§ 7463(b).</w:t>
      </w:r>
    </w:p>
  </w:footnote>
  <w:footnote w:id="264">
    <w:p w:rsidR="00D72450" w:rsidRPr="00577522" w:rsidRDefault="00D72450" w:rsidP="0078310B">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65">
    <w:p w:rsidR="00D72450" w:rsidRPr="00E35E1A" w:rsidRDefault="00D72450" w:rsidP="0078310B">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66">
    <w:p w:rsidR="00D72450" w:rsidRDefault="00D72450" w:rsidP="0078310B">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67">
    <w:p w:rsidR="00D72450" w:rsidRDefault="00D72450" w:rsidP="0078310B">
      <w:pPr>
        <w:pStyle w:val="FootnoteText"/>
      </w:pPr>
      <w:r>
        <w:rPr>
          <w:rStyle w:val="FootnoteReference"/>
        </w:rPr>
        <w:footnoteRef/>
      </w:r>
      <w:r>
        <w:t xml:space="preserve"> My thanks go to Professor Patricia Cain for this information and insight. </w:t>
      </w:r>
    </w:p>
  </w:footnote>
  <w:footnote w:id="268">
    <w:p w:rsidR="00D72450" w:rsidRDefault="00D72450" w:rsidP="0078310B">
      <w:pPr>
        <w:pStyle w:val="FootnoteText"/>
        <w:widowControl w:val="0"/>
        <w:jc w:val="both"/>
      </w:pPr>
      <w:r>
        <w:rPr>
          <w:rStyle w:val="FootnoteReference"/>
        </w:rPr>
        <w:footnoteRef/>
      </w:r>
      <w:r>
        <w:t xml:space="preserve"> 1974-2 C.B. 25.</w:t>
      </w:r>
    </w:p>
  </w:footnote>
  <w:footnote w:id="269">
    <w:p w:rsidR="00D72450" w:rsidRDefault="00D72450" w:rsidP="0078310B">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70">
    <w:p w:rsidR="00D72450" w:rsidRDefault="00D72450" w:rsidP="0078310B">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18, however, no more than 50% (30% in some cases) of AGI can be offset by charitable contributions. Thus, her failure to avoid inclusion under an agency theory meant that approximately one-half of her wages were subject to income taxation, notwithstanding her contribution. If she had succeeded in her agency argument, none of the wages would have been taxed because religious orders are also tax-exempt entities. </w:t>
      </w:r>
    </w:p>
  </w:footnote>
  <w:footnote w:id="271">
    <w:p w:rsidR="00D72450" w:rsidRDefault="00D72450" w:rsidP="0078310B">
      <w:pPr>
        <w:pStyle w:val="FootnoteText"/>
        <w:widowControl w:val="0"/>
        <w:jc w:val="both"/>
      </w:pPr>
      <w:r>
        <w:rPr>
          <w:rStyle w:val="FootnoteReference"/>
        </w:rPr>
        <w:footnoteRef/>
      </w:r>
      <w:r>
        <w:t xml:space="preserve"> 323 U.S. 44.</w:t>
      </w:r>
    </w:p>
  </w:footnote>
  <w:footnote w:id="272">
    <w:p w:rsidR="00D72450" w:rsidRPr="004F2CD0" w:rsidRDefault="00D72450" w:rsidP="0078310B">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73">
    <w:p w:rsidR="00D72450" w:rsidRPr="00F733CA" w:rsidRDefault="00D72450" w:rsidP="0078310B">
      <w:pPr>
        <w:pStyle w:val="FootnoteText"/>
        <w:jc w:val="both"/>
      </w:pPr>
      <w:r>
        <w:rPr>
          <w:rStyle w:val="FootnoteReference"/>
        </w:rPr>
        <w:footnoteRef/>
      </w:r>
      <w:r>
        <w:t xml:space="preserve"> Congress added this additional rate schedule in 1951, which provided to unmarried individuals who had one or more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74">
    <w:p w:rsidR="00D72450" w:rsidRDefault="00D72450" w:rsidP="0078310B">
      <w:pPr>
        <w:pStyle w:val="FootnoteText"/>
        <w:widowControl w:val="0"/>
        <w:jc w:val="both"/>
      </w:pPr>
      <w:r>
        <w:rPr>
          <w:rStyle w:val="FootnoteReference"/>
        </w:rPr>
        <w:footnoteRef/>
      </w:r>
      <w:r>
        <w:t xml:space="preserve"> Why would anyone file under the married filing separately schedule, as opposed to filing a joint return?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updated innocent spouse guidelines).</w:t>
      </w:r>
    </w:p>
  </w:footnote>
  <w:footnote w:id="275">
    <w:p w:rsidR="00D72450" w:rsidRPr="00715884" w:rsidRDefault="00D72450" w:rsidP="0078310B">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76">
    <w:p w:rsidR="00D72450" w:rsidRPr="00715884" w:rsidRDefault="00D72450" w:rsidP="0078310B">
      <w:pPr>
        <w:pStyle w:val="FootnoteText"/>
        <w:widowControl w:val="0"/>
        <w:jc w:val="both"/>
      </w:pPr>
      <w:r>
        <w:rPr>
          <w:rStyle w:val="FootnoteReference"/>
        </w:rPr>
        <w:footnoteRef/>
      </w:r>
      <w:r>
        <w:t xml:space="preserve"> </w:t>
      </w:r>
      <w:r>
        <w:rPr>
          <w:i/>
        </w:rPr>
        <w:t>Id.</w:t>
      </w:r>
      <w:r>
        <w:t xml:space="preserve"> at xv.</w:t>
      </w:r>
    </w:p>
  </w:footnote>
  <w:footnote w:id="277">
    <w:p w:rsidR="00D72450" w:rsidRDefault="00D72450" w:rsidP="0078310B">
      <w:pPr>
        <w:pStyle w:val="FootnoteText"/>
      </w:pPr>
      <w:r>
        <w:rPr>
          <w:rStyle w:val="FootnoteReference"/>
        </w:rPr>
        <w:footnoteRef/>
      </w:r>
      <w:r>
        <w:t xml:space="preserve"> 133 S. Ct. 2675 (2013).</w:t>
      </w:r>
    </w:p>
  </w:footnote>
  <w:footnote w:id="278">
    <w:p w:rsidR="00D72450" w:rsidRDefault="00D72450" w:rsidP="0078310B">
      <w:pPr>
        <w:pStyle w:val="FootnoteText"/>
      </w:pPr>
      <w:r>
        <w:rPr>
          <w:rStyle w:val="FootnoteReference"/>
        </w:rPr>
        <w:footnoteRef/>
      </w:r>
      <w:r>
        <w:t xml:space="preserve"> 135 S. Ct. 2584 (2015).</w:t>
      </w:r>
    </w:p>
  </w:footnote>
  <w:footnote w:id="279">
    <w:p w:rsidR="00D72450" w:rsidRPr="009A3A9C" w:rsidRDefault="00D72450" w:rsidP="0078310B">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80">
    <w:p w:rsidR="00D72450" w:rsidRDefault="00D72450" w:rsidP="0078310B">
      <w:pPr>
        <w:pStyle w:val="FootnoteText"/>
      </w:pPr>
      <w:r>
        <w:rPr>
          <w:rStyle w:val="FootnoteReference"/>
        </w:rPr>
        <w:footnoteRef/>
      </w:r>
      <w:r>
        <w:t xml:space="preserve"> 2013-2 C.B. 201.</w:t>
      </w:r>
    </w:p>
  </w:footnote>
  <w:footnote w:id="281">
    <w:p w:rsidR="00D72450" w:rsidRPr="00FC2F2F" w:rsidRDefault="00D72450" w:rsidP="0078310B">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82">
    <w:p w:rsidR="00D72450" w:rsidRDefault="00D72450" w:rsidP="0078310B">
      <w:pPr>
        <w:pStyle w:val="FootnoteText"/>
        <w:widowControl w:val="0"/>
        <w:jc w:val="both"/>
      </w:pPr>
      <w:r>
        <w:rPr>
          <w:rStyle w:val="FootnoteReference"/>
        </w:rPr>
        <w:footnoteRef/>
      </w:r>
      <w:r>
        <w:t xml:space="preserve"> 311 U.S. 112 (1940).</w:t>
      </w:r>
    </w:p>
  </w:footnote>
  <w:footnote w:id="283">
    <w:p w:rsidR="00D72450" w:rsidRPr="004B55B3" w:rsidRDefault="00D72450" w:rsidP="0078310B">
      <w:pPr>
        <w:pStyle w:val="FootnoteText"/>
        <w:widowControl w:val="0"/>
      </w:pPr>
      <w:r>
        <w:rPr>
          <w:rStyle w:val="FootnoteReference"/>
        </w:rPr>
        <w:footnoteRef/>
      </w:r>
      <w:r>
        <w:t xml:space="preserve"> Lisa Whitcomb &amp; Scott A. Bowman, </w:t>
      </w:r>
      <w:r>
        <w:rPr>
          <w:i/>
        </w:rPr>
        <w:t>What’s Yours Is Mine and What’s Mine Is Mine: Grantor Trust Sections 673 and 676</w:t>
      </w:r>
      <w:r>
        <w:t xml:space="preserve">, at 2, available at </w:t>
      </w:r>
      <w:r w:rsidRPr="004B55B3">
        <w:t>www.americanbar.org/content/dam/</w:t>
      </w:r>
      <w:r>
        <w:t>aba/events/taxation/taxiq-11mid-</w:t>
      </w:r>
      <w:r w:rsidRPr="004B55B3">
        <w:t>022.authcheckdam.pdf</w:t>
      </w:r>
      <w:r>
        <w:t>.</w:t>
      </w:r>
    </w:p>
  </w:footnote>
  <w:footnote w:id="284">
    <w:p w:rsidR="00D72450" w:rsidRPr="001470B6" w:rsidRDefault="00D72450" w:rsidP="0078310B">
      <w:pPr>
        <w:pStyle w:val="FootnoteText"/>
      </w:pPr>
      <w:r>
        <w:rPr>
          <w:rStyle w:val="FootnoteReference"/>
        </w:rPr>
        <w:footnoteRef/>
      </w:r>
      <w:r>
        <w:t xml:space="preserve"> Notice that §§ 671 in 677 apply only to determine whether the trust is a grantor trust (ignored for tax purposes) or a nongrantor trust (not ignored for tax purposes). For example, they do not control the different issue regarding whether an assignment by a nongrantor trust beneficiary to a third party, as in </w:t>
      </w:r>
      <w:r w:rsidRPr="004D30CE">
        <w:rPr>
          <w:i/>
        </w:rPr>
        <w:t>Blair</w:t>
      </w:r>
      <w:r>
        <w:t xml:space="preserve"> and </w:t>
      </w:r>
      <w:r>
        <w:rPr>
          <w:i/>
        </w:rPr>
        <w:t>Harrison v. Schaffner</w:t>
      </w:r>
      <w:r>
        <w:t xml:space="preserve">, will be respected (or not) for tax purposes under the common law assignment of income doctrine developed by such cases, even though the issue of “control” informs both issues. </w:t>
      </w:r>
    </w:p>
  </w:footnote>
  <w:footnote w:id="285">
    <w:p w:rsidR="00D72450" w:rsidRPr="00A61034" w:rsidRDefault="00D72450" w:rsidP="0078310B">
      <w:pPr>
        <w:pStyle w:val="FootnoteText"/>
        <w:widowControl w:val="0"/>
        <w:jc w:val="both"/>
      </w:pPr>
      <w:r>
        <w:rPr>
          <w:rStyle w:val="FootnoteReference"/>
        </w:rPr>
        <w:footnoteRef/>
      </w:r>
      <w:r>
        <w:t xml:space="preserve"> </w:t>
      </w:r>
      <w:r>
        <w:rPr>
          <w:i/>
        </w:rPr>
        <w:t>See, e.g.</w:t>
      </w:r>
      <w:r>
        <w:t>, Rev. Rul. 76-178, 1976-1 C.B. 273.</w:t>
      </w:r>
    </w:p>
  </w:footnote>
  <w:footnote w:id="286">
    <w:p w:rsidR="00D72450" w:rsidRDefault="00D72450" w:rsidP="0078310B">
      <w:pPr>
        <w:pStyle w:val="FootnoteText"/>
        <w:widowControl w:val="0"/>
        <w:jc w:val="both"/>
      </w:pPr>
      <w:r>
        <w:rPr>
          <w:rStyle w:val="FootnoteReference"/>
        </w:rPr>
        <w:footnoteRef/>
      </w:r>
      <w:r>
        <w:t xml:space="preserve"> Rev. Proc. 2013-15, 2013-1 C.B. 441. </w:t>
      </w:r>
    </w:p>
  </w:footnote>
  <w:footnote w:id="287">
    <w:p w:rsidR="00D72450" w:rsidRDefault="00D72450" w:rsidP="0078310B">
      <w:pPr>
        <w:pStyle w:val="FootnoteText"/>
        <w:jc w:val="both"/>
      </w:pPr>
      <w:r>
        <w:rPr>
          <w:rStyle w:val="FootnoteReference"/>
        </w:rPr>
        <w:footnoteRef/>
      </w:r>
      <w:r>
        <w:t xml:space="preserve"> </w:t>
      </w:r>
      <w:r>
        <w:rPr>
          <w:szCs w:val="24"/>
        </w:rPr>
        <w:t>But what if the beneficiaries are her 12-year-old niece and 7-year-old nephew, whose parents are in the 39.6% marginal tax bracket, as well? Do not forget about the kiddie tax.</w:t>
      </w:r>
    </w:p>
  </w:footnote>
  <w:footnote w:id="288">
    <w:p w:rsidR="00D72450" w:rsidRDefault="00D72450" w:rsidP="0078310B">
      <w:pPr>
        <w:pStyle w:val="FootnoteText"/>
      </w:pPr>
      <w:r>
        <w:rPr>
          <w:rStyle w:val="FootnoteReference"/>
        </w:rPr>
        <w:footnoteRef/>
      </w:r>
      <w:r>
        <w:t xml:space="preserve"> </w:t>
      </w:r>
      <w:r>
        <w:rPr>
          <w:i/>
        </w:rPr>
        <w:t>Horst</w:t>
      </w:r>
      <w:r>
        <w:t>,</w:t>
      </w:r>
      <w:r>
        <w:rPr>
          <w:i/>
        </w:rPr>
        <w:t xml:space="preserve"> </w:t>
      </w:r>
      <w:r>
        <w:t>311 U.S. at 118.</w:t>
      </w:r>
    </w:p>
  </w:footnote>
  <w:footnote w:id="289">
    <w:p w:rsidR="00D72450" w:rsidRDefault="00D72450" w:rsidP="0078310B">
      <w:pPr>
        <w:pStyle w:val="FootnoteText"/>
      </w:pPr>
      <w:r>
        <w:rPr>
          <w:rStyle w:val="FootnoteReference"/>
        </w:rPr>
        <w:footnoteRef/>
      </w:r>
      <w:r>
        <w:t xml:space="preserve"> Same-sex married couples are treated the same as opposite-sex married couples for Federal income tax purposes after both Windsor v. Commissioner, 133 S. Ct. 2675 (2013), and Obergefell v. Hodges, 133 S. Ct. 2584 (2015), as briefly described in the last chapter. </w:t>
      </w:r>
    </w:p>
  </w:footnote>
  <w:footnote w:id="290">
    <w:p w:rsidR="00D72450" w:rsidRDefault="00D72450" w:rsidP="0078310B">
      <w:pPr>
        <w:pStyle w:val="FootnoteText"/>
        <w:jc w:val="both"/>
      </w:pPr>
      <w:r>
        <w:rPr>
          <w:rStyle w:val="FootnoteReference"/>
        </w:rPr>
        <w:footnoteRef/>
      </w:r>
      <w:r>
        <w:t xml:space="preserve"> The § 215 alimony deduction is not an Itemized Deduction but rather an Above-the-Line Deduction under § 62(a)(10). Thus, a payor taking the Standard Deduction is not deprived of the alimony deduction.</w:t>
      </w:r>
    </w:p>
  </w:footnote>
  <w:footnote w:id="291">
    <w:p w:rsidR="00D72450" w:rsidRDefault="00D72450" w:rsidP="0078310B">
      <w:pPr>
        <w:pStyle w:val="FootnoteText"/>
        <w:jc w:val="both"/>
      </w:pPr>
      <w:r>
        <w:rPr>
          <w:rStyle w:val="FootnoteReference"/>
        </w:rPr>
        <w:footnoteRef/>
      </w:r>
      <w:r>
        <w:t xml:space="preserve"> 97-2 U.S.T.C. ¶ 50,948 (E.D.N.C. 1997).</w:t>
      </w:r>
    </w:p>
  </w:footnote>
  <w:footnote w:id="292">
    <w:p w:rsidR="00D72450" w:rsidRDefault="00D72450" w:rsidP="0078310B">
      <w:pPr>
        <w:pStyle w:val="FootnoteText"/>
        <w:jc w:val="both"/>
      </w:pPr>
      <w:r>
        <w:rPr>
          <w:rStyle w:val="FootnoteReference"/>
        </w:rPr>
        <w:footnoteRef/>
      </w:r>
      <w:r>
        <w:t xml:space="preserve"> T.C. Memo. 1998-166.</w:t>
      </w:r>
    </w:p>
  </w:footnote>
  <w:footnote w:id="293">
    <w:p w:rsidR="00D72450" w:rsidRDefault="00D72450" w:rsidP="0078310B">
      <w:pPr>
        <w:pStyle w:val="FootnoteText"/>
        <w:jc w:val="both"/>
      </w:pPr>
      <w:r>
        <w:rPr>
          <w:rStyle w:val="FootnoteReference"/>
        </w:rPr>
        <w:footnoteRef/>
      </w:r>
      <w:r>
        <w:t xml:space="preserve"> </w:t>
      </w:r>
      <w:r>
        <w:rPr>
          <w:i/>
        </w:rPr>
        <w:t>Id</w:t>
      </w:r>
      <w:r>
        <w:t>.</w:t>
      </w:r>
    </w:p>
  </w:footnote>
  <w:footnote w:id="294">
    <w:p w:rsidR="00D72450" w:rsidRDefault="00D72450" w:rsidP="0078310B">
      <w:pPr>
        <w:pStyle w:val="FootnoteText"/>
        <w:jc w:val="both"/>
      </w:pPr>
      <w:r>
        <w:rPr>
          <w:rStyle w:val="FootnoteReference"/>
        </w:rPr>
        <w:footnoteRef/>
      </w:r>
      <w:r>
        <w:t xml:space="preserve"> T.C. Memo. 1997-38. </w:t>
      </w:r>
    </w:p>
  </w:footnote>
  <w:footnote w:id="295">
    <w:p w:rsidR="00D72450" w:rsidRDefault="00D72450" w:rsidP="0078310B">
      <w:pPr>
        <w:pStyle w:val="FootnoteText"/>
        <w:jc w:val="both"/>
      </w:pPr>
      <w:r>
        <w:rPr>
          <w:rStyle w:val="FootnoteReference"/>
        </w:rPr>
        <w:footnoteRef/>
      </w:r>
      <w:r>
        <w:t xml:space="preserve"> T.C. Memo. 2000-364.</w:t>
      </w:r>
    </w:p>
  </w:footnote>
  <w:footnote w:id="296">
    <w:p w:rsidR="00D72450" w:rsidRDefault="00D72450" w:rsidP="0078310B">
      <w:pPr>
        <w:pStyle w:val="FootnoteText"/>
        <w:jc w:val="both"/>
      </w:pPr>
      <w:r>
        <w:rPr>
          <w:rStyle w:val="FootnoteReference"/>
        </w:rPr>
        <w:footnoteRef/>
      </w:r>
      <w:r>
        <w:t xml:space="preserve"> T.C. Memo. 2000-373.</w:t>
      </w:r>
    </w:p>
  </w:footnote>
  <w:footnote w:id="297">
    <w:p w:rsidR="00D72450" w:rsidRDefault="00D72450" w:rsidP="0078310B">
      <w:pPr>
        <w:pStyle w:val="FootnoteText"/>
        <w:jc w:val="both"/>
      </w:pPr>
      <w:r>
        <w:rPr>
          <w:rStyle w:val="FootnoteReference"/>
        </w:rPr>
        <w:footnoteRef/>
      </w:r>
      <w:r>
        <w:t xml:space="preserve"> T.C. Memo. 1998-61. </w:t>
      </w:r>
    </w:p>
  </w:footnote>
  <w:footnote w:id="298">
    <w:p w:rsidR="00D72450" w:rsidRPr="00A1777B" w:rsidRDefault="00D72450" w:rsidP="0078310B">
      <w:pPr>
        <w:pStyle w:val="FootnoteText"/>
        <w:jc w:val="both"/>
      </w:pPr>
      <w:r>
        <w:rPr>
          <w:rStyle w:val="FootnoteReference"/>
        </w:rPr>
        <w:footnoteRef/>
      </w:r>
      <w:r>
        <w:t xml:space="preserve"> </w:t>
      </w:r>
      <w:r>
        <w:rPr>
          <w:i/>
        </w:rPr>
        <w:t>Id</w:t>
      </w:r>
      <w:r>
        <w:t xml:space="preserve">. </w:t>
      </w:r>
    </w:p>
  </w:footnote>
  <w:footnote w:id="299">
    <w:p w:rsidR="00D72450" w:rsidRPr="00A1777B" w:rsidRDefault="00D72450" w:rsidP="0078310B">
      <w:pPr>
        <w:pStyle w:val="FootnoteText"/>
        <w:jc w:val="both"/>
      </w:pPr>
      <w:r>
        <w:rPr>
          <w:rStyle w:val="FootnoteReference"/>
        </w:rPr>
        <w:footnoteRef/>
      </w:r>
      <w:r>
        <w:t xml:space="preserve"> </w:t>
      </w:r>
      <w:r>
        <w:rPr>
          <w:i/>
        </w:rPr>
        <w:t>See, e.g.</w:t>
      </w:r>
      <w:r>
        <w:t xml:space="preserve">, </w:t>
      </w:r>
      <w:r w:rsidRPr="00C62484">
        <w:t>Barrett v. U.S.</w:t>
      </w:r>
      <w:r>
        <w:t>, 74 F.3d 661 (5</w:t>
      </w:r>
      <w:r w:rsidRPr="00A1777B">
        <w:rPr>
          <w:vertAlign w:val="superscript"/>
        </w:rPr>
        <w:t>th</w:t>
      </w:r>
      <w:r>
        <w:t xml:space="preserve"> Cir. 1996) (medical insurance policy); </w:t>
      </w:r>
      <w:r w:rsidRPr="00C62484">
        <w:t>Preston v. Comm’r,</w:t>
      </w:r>
      <w:r>
        <w:t xml:space="preserve"> 209 F.3d 1281 (11</w:t>
      </w:r>
      <w:r w:rsidRPr="00A1777B">
        <w:rPr>
          <w:vertAlign w:val="superscript"/>
        </w:rPr>
        <w:t>th</w:t>
      </w:r>
      <w:r>
        <w:t xml:space="preserve"> Cir. 2000) (car repair expenses).</w:t>
      </w:r>
    </w:p>
  </w:footnote>
  <w:footnote w:id="300">
    <w:p w:rsidR="00D72450" w:rsidRDefault="00D72450" w:rsidP="0078310B">
      <w:pPr>
        <w:pStyle w:val="FootnoteText"/>
        <w:jc w:val="both"/>
      </w:pPr>
      <w:r>
        <w:rPr>
          <w:rStyle w:val="FootnoteReference"/>
        </w:rPr>
        <w:footnoteRef/>
      </w:r>
      <w:r>
        <w:t xml:space="preserve"> T.C. Memo. 1999-251. </w:t>
      </w:r>
    </w:p>
  </w:footnote>
  <w:footnote w:id="301">
    <w:p w:rsidR="00D72450" w:rsidRPr="00EA5280" w:rsidRDefault="00D72450" w:rsidP="0078310B">
      <w:pPr>
        <w:pStyle w:val="FootnoteText"/>
        <w:jc w:val="both"/>
      </w:pPr>
      <w:r>
        <w:rPr>
          <w:rStyle w:val="FootnoteReference"/>
        </w:rPr>
        <w:footnoteRef/>
      </w:r>
      <w:r>
        <w:t xml:space="preserve"> </w:t>
      </w:r>
      <w:r>
        <w:rPr>
          <w:i/>
        </w:rPr>
        <w:t>Id</w:t>
      </w:r>
      <w:r>
        <w:t>.</w:t>
      </w:r>
    </w:p>
  </w:footnote>
  <w:footnote w:id="302">
    <w:p w:rsidR="00D72450" w:rsidRPr="004B5742" w:rsidRDefault="00D72450" w:rsidP="0078310B">
      <w:pPr>
        <w:pStyle w:val="FootnoteText"/>
        <w:jc w:val="both"/>
      </w:pPr>
      <w:r>
        <w:rPr>
          <w:rStyle w:val="FootnoteReference"/>
        </w:rPr>
        <w:footnoteRef/>
      </w:r>
      <w:r>
        <w:t xml:space="preserve"> T.C. Memo. 1999-243; </w:t>
      </w:r>
      <w:r>
        <w:rPr>
          <w:i/>
        </w:rPr>
        <w:t>see also</w:t>
      </w:r>
      <w:r>
        <w:t xml:space="preserve"> </w:t>
      </w:r>
      <w:r w:rsidRPr="00C62484">
        <w:t>Gonzales v. Comm’r,</w:t>
      </w:r>
      <w:r>
        <w:t xml:space="preserve"> T.C. Memo. 1999-332; </w:t>
      </w:r>
      <w:r w:rsidRPr="00C62484">
        <w:t>Ambrose v. Comm’r,</w:t>
      </w:r>
      <w:r>
        <w:t xml:space="preserve"> T.C. Memo. 1996-128</w:t>
      </w:r>
      <w:r w:rsidRPr="00C62484">
        <w:t>; Heller v. Comm’r,</w:t>
      </w:r>
      <w:r>
        <w:t xml:space="preserve"> 103 F.3d 138 (9</w:t>
      </w:r>
      <w:r w:rsidRPr="00FB6C22">
        <w:rPr>
          <w:vertAlign w:val="superscript"/>
        </w:rPr>
        <w:t>th</w:t>
      </w:r>
      <w:r>
        <w:t xml:space="preserve"> Cir. 1996).</w:t>
      </w:r>
    </w:p>
  </w:footnote>
  <w:footnote w:id="303">
    <w:p w:rsidR="00D72450" w:rsidRPr="00BB07DA" w:rsidRDefault="00D72450" w:rsidP="0078310B">
      <w:pPr>
        <w:pStyle w:val="FootnoteText"/>
        <w:jc w:val="both"/>
      </w:pPr>
      <w:r>
        <w:rPr>
          <w:rStyle w:val="FootnoteReference"/>
        </w:rPr>
        <w:footnoteRef/>
      </w:r>
      <w:r>
        <w:t xml:space="preserve"> Deborah A. Geier, </w:t>
      </w:r>
      <w:r>
        <w:rPr>
          <w:i/>
        </w:rPr>
        <w:t>Simplifying and Rationalizing the Federal Income Tax Law Applicable to Transfers in Divorce</w:t>
      </w:r>
      <w:r>
        <w:t xml:space="preserve">, </w:t>
      </w:r>
      <w:r>
        <w:rPr>
          <w:smallCaps/>
        </w:rPr>
        <w:t>55 Tax Law.</w:t>
      </w:r>
      <w:r>
        <w:t xml:space="preserve"> 363, 431-39 (2002); </w:t>
      </w:r>
      <w:r>
        <w:rPr>
          <w:i/>
        </w:rPr>
        <w:t xml:space="preserve">earlier version at </w:t>
      </w:r>
      <w:r>
        <w:rPr>
          <w:smallCaps/>
        </w:rPr>
        <w:t>Joint Committee on Taxation, Study of the Overall State of the Federal Tax System and Recommendations for Simplification</w:t>
      </w:r>
      <w:r>
        <w:t xml:space="preserve">, JCS-3-01, </w:t>
      </w:r>
      <w:r>
        <w:rPr>
          <w:smallCaps/>
        </w:rPr>
        <w:t>Volume III</w:t>
      </w:r>
      <w:r>
        <w:t xml:space="preserve"> (</w:t>
      </w:r>
      <w:r>
        <w:rPr>
          <w:smallCaps/>
        </w:rPr>
        <w:t>Academic Papers)</w:t>
      </w:r>
      <w:r>
        <w:t xml:space="preserve">, April, 2001, at 19. </w:t>
      </w:r>
    </w:p>
  </w:footnote>
  <w:footnote w:id="304">
    <w:p w:rsidR="00D72450" w:rsidRDefault="00D72450" w:rsidP="0078310B">
      <w:pPr>
        <w:pStyle w:val="FootnoteText"/>
        <w:jc w:val="both"/>
      </w:pPr>
      <w:r>
        <w:rPr>
          <w:rStyle w:val="FootnoteReference"/>
        </w:rPr>
        <w:t>[248]</w:t>
      </w:r>
      <w:r>
        <w:t xml:space="preserve"> This figure represents the $360 that John would have paid on that $1,000 per month if they designated it as “not alimony” less the $180 that Mary will pay on that $1,200 per month if they make sure the definition of alimony in I.R.C. § 71 is satisfied.</w:t>
      </w:r>
    </w:p>
  </w:footnote>
  <w:footnote w:id="305">
    <w:p w:rsidR="00D72450" w:rsidRPr="00A65749" w:rsidRDefault="00D72450" w:rsidP="0078310B">
      <w:pPr>
        <w:pStyle w:val="FootnoteText"/>
        <w:jc w:val="both"/>
      </w:pPr>
      <w:r>
        <w:rPr>
          <w:rStyle w:val="FootnoteReference"/>
        </w:rPr>
        <w:footnoteRef/>
      </w:r>
      <w:r>
        <w:t xml:space="preserve"> </w:t>
      </w:r>
      <w:r>
        <w:rPr>
          <w:i/>
        </w:rPr>
        <w:t>See</w:t>
      </w:r>
      <w:r>
        <w:t xml:space="preserve"> §§ 152(e)(1) and (2).</w:t>
      </w:r>
    </w:p>
  </w:footnote>
  <w:footnote w:id="306">
    <w:p w:rsidR="00D72450" w:rsidRPr="00781089" w:rsidRDefault="00D72450" w:rsidP="0078310B">
      <w:pPr>
        <w:pStyle w:val="FootnoteText"/>
      </w:pPr>
      <w:r>
        <w:rPr>
          <w:rStyle w:val="FootnoteReference"/>
        </w:rPr>
        <w:footnoteRef/>
      </w:r>
      <w:r>
        <w:t xml:space="preserve"> </w:t>
      </w:r>
      <w:r>
        <w:rPr>
          <w:i/>
        </w:rPr>
        <w:t>See, e.g.</w:t>
      </w:r>
      <w:r>
        <w:t xml:space="preserve">,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but they neglected to satisfy the stop-at-death requirement! Thus, the payments were nevertheless tax neutral payments (not includable by the payee and not deductible by the payor). </w:t>
      </w:r>
    </w:p>
  </w:footnote>
  <w:footnote w:id="307">
    <w:p w:rsidR="00D72450" w:rsidRPr="004974A4" w:rsidRDefault="00D72450">
      <w:pPr>
        <w:pStyle w:val="FootnoteText"/>
      </w:pPr>
      <w:r>
        <w:rPr>
          <w:rStyle w:val="FootnoteReference"/>
        </w:rPr>
        <w:footnoteRef/>
      </w:r>
      <w:r>
        <w:t xml:space="preserve"> Wealthy divorcing parties may use a so-called alimony trust to arrange payments. The ins and outs of alimony trusts are beyond the scope of this introductory textbook, but those interested in reading more should see Katrina Vitale, </w:t>
      </w:r>
      <w:r>
        <w:rPr>
          <w:i/>
        </w:rPr>
        <w:t>Revisiting the Tax Consequences of the Alimony Trust</w:t>
      </w:r>
      <w:r>
        <w:t xml:space="preserve">, 152 </w:t>
      </w:r>
      <w:r>
        <w:rPr>
          <w:smallCaps/>
        </w:rPr>
        <w:t>Tax Notes</w:t>
      </w:r>
      <w:r>
        <w:t xml:space="preserve"> 1461 (2016). </w:t>
      </w:r>
    </w:p>
  </w:footnote>
  <w:footnote w:id="308">
    <w:p w:rsidR="00D72450" w:rsidRPr="00A03591" w:rsidRDefault="00D72450" w:rsidP="0078310B">
      <w:pPr>
        <w:autoSpaceDE w:val="0"/>
        <w:autoSpaceDN w:val="0"/>
        <w:adjustRightInd w:val="0"/>
        <w:jc w:val="both"/>
        <w:rPr>
          <w:sz w:val="20"/>
          <w:szCs w:val="20"/>
        </w:rPr>
      </w:pPr>
      <w:r>
        <w:rPr>
          <w:rStyle w:val="FootnoteReference"/>
        </w:rPr>
        <w:t>[3]</w:t>
      </w:r>
      <w:r>
        <w:t xml:space="preserve"> </w:t>
      </w:r>
      <w:r w:rsidRPr="00A03591">
        <w:rPr>
          <w:rFonts w:ascii="TimesNewRomanPSMT" w:hAnsi="TimesNewRomanPSMT" w:cs="TimesNewRomanPSMT"/>
          <w:sz w:val="20"/>
          <w:szCs w:val="20"/>
        </w:rPr>
        <w:t>Respondent notes that the $16,632 disallowed in the notice of deficiency is</w:t>
      </w:r>
      <w:r>
        <w:rPr>
          <w:rFonts w:ascii="TimesNewRomanPSMT" w:hAnsi="TimesNewRomanPSMT" w:cs="TimesNewRomanPSMT"/>
          <w:sz w:val="20"/>
          <w:szCs w:val="20"/>
        </w:rPr>
        <w:t xml:space="preserve"> </w:t>
      </w:r>
      <w:r w:rsidRPr="00A03591">
        <w:rPr>
          <w:rFonts w:ascii="TimesNewRomanPSMT" w:hAnsi="TimesNewRomanPSMT" w:cs="TimesNewRomanPSMT"/>
          <w:sz w:val="20"/>
          <w:szCs w:val="20"/>
        </w:rPr>
        <w:t>not representative of the 12 monthly health insurance premium payments of</w:t>
      </w:r>
      <w:r>
        <w:rPr>
          <w:rFonts w:ascii="TimesNewRomanPSMT" w:hAnsi="TimesNewRomanPSMT" w:cs="TimesNewRomanPSMT"/>
          <w:sz w:val="20"/>
          <w:szCs w:val="20"/>
        </w:rPr>
        <w:t xml:space="preserve"> </w:t>
      </w:r>
      <w:r w:rsidRPr="00A03591">
        <w:rPr>
          <w:rFonts w:ascii="TimesNewRomanPSMT" w:hAnsi="TimesNewRomanPSMT" w:cs="TimesNewRomanPSMT"/>
          <w:sz w:val="20"/>
          <w:szCs w:val="20"/>
        </w:rPr>
        <w:t>$1,400 petitioner made because 12 multiplied by $1,400 equals $16,800.</w:t>
      </w:r>
      <w:r>
        <w:rPr>
          <w:rFonts w:ascii="TimesNewRomanPSMT" w:hAnsi="TimesNewRomanPSMT" w:cs="TimesNewRomanPSMT"/>
          <w:sz w:val="20"/>
          <w:szCs w:val="20"/>
        </w:rPr>
        <w:t xml:space="preserve"> </w:t>
      </w:r>
      <w:r w:rsidRPr="00A03591">
        <w:rPr>
          <w:rFonts w:ascii="TimesNewRomanPSMT" w:hAnsi="TimesNewRomanPSMT" w:cs="TimesNewRomanPSMT"/>
          <w:sz w:val="20"/>
          <w:szCs w:val="20"/>
        </w:rPr>
        <w:t>Respondent disallowed $16,632 because it was the difference between what was</w:t>
      </w:r>
      <w:r>
        <w:rPr>
          <w:rFonts w:ascii="TimesNewRomanPSMT" w:hAnsi="TimesNewRomanPSMT" w:cs="TimesNewRomanPSMT"/>
          <w:sz w:val="20"/>
          <w:szCs w:val="20"/>
        </w:rPr>
        <w:t xml:space="preserve"> </w:t>
      </w:r>
      <w:r w:rsidRPr="00A03591">
        <w:rPr>
          <w:rFonts w:ascii="TimesNewRomanPSMT" w:hAnsi="TimesNewRomanPSMT" w:cs="TimesNewRomanPSMT"/>
          <w:sz w:val="20"/>
          <w:szCs w:val="20"/>
        </w:rPr>
        <w:t>allowed ($29,968) as an alimony deduction and the total amount petitioner</w:t>
      </w:r>
      <w:r>
        <w:rPr>
          <w:rFonts w:ascii="TimesNewRomanPSMT" w:hAnsi="TimesNewRomanPSMT" w:cs="TimesNewRomanPSMT"/>
          <w:sz w:val="20"/>
          <w:szCs w:val="20"/>
        </w:rPr>
        <w:t xml:space="preserve"> </w:t>
      </w:r>
      <w:r w:rsidRPr="00A03591">
        <w:rPr>
          <w:rFonts w:ascii="TimesNewRomanPSMT" w:hAnsi="TimesNewRomanPSMT" w:cs="TimesNewRomanPSMT"/>
          <w:sz w:val="20"/>
          <w:szCs w:val="20"/>
        </w:rPr>
        <w:t>claimed on his 2010 Federal income tax return ($45,600).</w:t>
      </w:r>
    </w:p>
  </w:footnote>
  <w:footnote w:id="309">
    <w:p w:rsidR="00D72450" w:rsidRDefault="00D72450" w:rsidP="0078310B">
      <w:pPr>
        <w:pStyle w:val="FootnoteText"/>
        <w:jc w:val="both"/>
      </w:pPr>
      <w:r>
        <w:rPr>
          <w:rStyle w:val="FootnoteReference"/>
        </w:rPr>
        <w:footnoteRef/>
      </w:r>
      <w:r>
        <w:t xml:space="preserve"> 370 U.S. 65 (1962). </w:t>
      </w:r>
    </w:p>
  </w:footnote>
  <w:footnote w:id="310">
    <w:p w:rsidR="00D72450" w:rsidRDefault="00D72450" w:rsidP="0078310B">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311">
    <w:p w:rsidR="00D72450" w:rsidRPr="00D730E8" w:rsidRDefault="00D72450" w:rsidP="0078310B">
      <w:pPr>
        <w:pStyle w:val="FootnoteText"/>
        <w:jc w:val="both"/>
      </w:pPr>
      <w:r>
        <w:rPr>
          <w:rStyle w:val="FootnoteReference"/>
        </w:rPr>
        <w:footnoteRef/>
      </w:r>
      <w:r>
        <w:t xml:space="preserve"> 370 U.S. at 73, n.7. </w:t>
      </w:r>
      <w:r>
        <w:rPr>
          <w:i/>
        </w:rPr>
        <w:t>See also</w:t>
      </w:r>
      <w:r>
        <w:t xml:space="preserve"> Rev. Rul. 67-221, 1967-2 C.B. 63.</w:t>
      </w:r>
    </w:p>
  </w:footnote>
  <w:footnote w:id="312">
    <w:p w:rsidR="00D72450" w:rsidRDefault="00D72450" w:rsidP="0078310B">
      <w:pPr>
        <w:pStyle w:val="FootnoteText"/>
        <w:jc w:val="both"/>
      </w:pPr>
      <w:r>
        <w:rPr>
          <w:rStyle w:val="FootnoteReference"/>
        </w:rPr>
        <w:footnoteRef/>
      </w:r>
      <w:r>
        <w:t xml:space="preserve"> Rev. Rul. 76-83, 1976-1 C.B. 213.</w:t>
      </w:r>
    </w:p>
  </w:footnote>
  <w:footnote w:id="313">
    <w:p w:rsidR="00D72450" w:rsidRDefault="00D72450" w:rsidP="0078310B">
      <w:pPr>
        <w:pStyle w:val="FootnoteText"/>
        <w:jc w:val="both"/>
      </w:pPr>
      <w:r>
        <w:rPr>
          <w:rStyle w:val="FootnoteReference"/>
        </w:rPr>
        <w:footnoteRef/>
      </w:r>
      <w:r>
        <w:t xml:space="preserve"> Rev. Rul. 74-347, 1974-2 C.B. 26.</w:t>
      </w:r>
    </w:p>
  </w:footnote>
  <w:footnote w:id="314">
    <w:p w:rsidR="00D72450" w:rsidRDefault="00D72450" w:rsidP="0078310B">
      <w:pPr>
        <w:pStyle w:val="FootnoteText"/>
        <w:jc w:val="both"/>
      </w:pPr>
      <w:r>
        <w:rPr>
          <w:rStyle w:val="FootnoteReference"/>
        </w:rPr>
        <w:footnoteRef/>
      </w:r>
      <w:r>
        <w:t xml:space="preserve"> Rev. Rul. 81-292, 1981-2 C.B. 158.</w:t>
      </w:r>
    </w:p>
  </w:footnote>
  <w:footnote w:id="315">
    <w:p w:rsidR="00D72450" w:rsidRDefault="00D72450" w:rsidP="0078310B">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16">
    <w:p w:rsidR="00D72450" w:rsidRDefault="00D72450" w:rsidP="0078310B">
      <w:pPr>
        <w:pStyle w:val="FootnoteText"/>
        <w:jc w:val="both"/>
      </w:pPr>
      <w:r>
        <w:rPr>
          <w:rStyle w:val="FootnoteReference"/>
        </w:rPr>
        <w:footnoteRef/>
      </w:r>
      <w:r>
        <w:t xml:space="preserve"> Rev. Rul. 74-347, 1974-2 C.B. 26.</w:t>
      </w:r>
    </w:p>
  </w:footnote>
  <w:footnote w:id="317">
    <w:p w:rsidR="00D72450" w:rsidRDefault="00D72450" w:rsidP="0078310B">
      <w:pPr>
        <w:pStyle w:val="FootnoteText"/>
        <w:jc w:val="both"/>
      </w:pPr>
      <w:r>
        <w:rPr>
          <w:rStyle w:val="FootnoteReference"/>
        </w:rPr>
        <w:footnoteRef/>
      </w:r>
      <w:r>
        <w:t xml:space="preserve"> ORS 107.105(1)(f) (discussed in </w:t>
      </w:r>
      <w:r w:rsidRPr="00034337">
        <w:t>Laird v. U.S.,</w:t>
      </w:r>
      <w:r>
        <w:t xml:space="preserve"> 16 Cl. Ct. 441 (1989)). </w:t>
      </w:r>
    </w:p>
  </w:footnote>
  <w:footnote w:id="318">
    <w:p w:rsidR="00D72450" w:rsidRDefault="00D72450" w:rsidP="0078310B">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19">
    <w:p w:rsidR="00D72450" w:rsidRPr="00754385" w:rsidRDefault="00D72450" w:rsidP="0078310B">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$3.1 billion in assets, it makes philanthropic grants exceeding $100 million each year in seven areas.</w:t>
      </w:r>
    </w:p>
  </w:footnote>
  <w:footnote w:id="320">
    <w:p w:rsidR="00D72450" w:rsidRDefault="00D72450" w:rsidP="0078310B">
      <w:pPr>
        <w:pStyle w:val="FootnoteText"/>
      </w:pPr>
      <w:r>
        <w:rPr>
          <w:rStyle w:val="FootnoteReference"/>
        </w:rPr>
        <w:footnoteRef/>
      </w:r>
      <w:r>
        <w:t xml:space="preserve"> He owned the Kresge five and dime stores and K Mart, among others. </w:t>
      </w:r>
    </w:p>
  </w:footnote>
  <w:footnote w:id="321">
    <w:p w:rsidR="00D72450" w:rsidRPr="005470CD" w:rsidRDefault="00D72450" w:rsidP="0078310B">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22">
    <w:p w:rsidR="00D72450" w:rsidRDefault="00D72450" w:rsidP="0078310B">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23">
    <w:p w:rsidR="00D72450" w:rsidRDefault="00D72450" w:rsidP="0078310B">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4"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5"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24">
    <w:p w:rsidR="00D72450" w:rsidRDefault="00D72450" w:rsidP="0078310B">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25">
    <w:p w:rsidR="00D72450" w:rsidRDefault="00D72450" w:rsidP="0078310B">
      <w:pPr>
        <w:pStyle w:val="FootnoteText"/>
      </w:pPr>
      <w:r>
        <w:rPr>
          <w:rStyle w:val="FootnoteReference"/>
        </w:rPr>
        <w:footnoteRef/>
      </w:r>
      <w:r>
        <w:t xml:space="preserve"> 2013-2 C.B. 201.</w:t>
      </w:r>
    </w:p>
  </w:footnote>
  <w:footnote w:id="326">
    <w:p w:rsidR="00D72450" w:rsidRDefault="00D72450" w:rsidP="0078310B">
      <w:pPr>
        <w:pStyle w:val="FootnoteText"/>
        <w:jc w:val="both"/>
      </w:pPr>
      <w:r w:rsidRPr="00E63F3B">
        <w:rPr>
          <w:vertAlign w:val="superscript"/>
        </w:rPr>
        <w:footnoteRef/>
      </w:r>
      <w:r w:rsidRPr="005470CD">
        <w:t xml:space="preserve"> </w:t>
      </w:r>
      <w:r>
        <w:rPr>
          <w:i/>
        </w:rPr>
        <w:t xml:space="preserve">See </w:t>
      </w:r>
      <w:r>
        <w:t xml:space="preserve">Patricia Cain, </w:t>
      </w:r>
      <w:r>
        <w:rPr>
          <w:i/>
        </w:rPr>
        <w:t>Planning for Same-Sex Couples in 2011</w:t>
      </w:r>
      <w:r>
        <w:t>, 28-29, at http://ssrn.com/abstract= 1860217.</w:t>
      </w:r>
    </w:p>
  </w:footnote>
  <w:footnote w:id="327">
    <w:p w:rsidR="00D72450" w:rsidRDefault="00D72450" w:rsidP="0078310B">
      <w:pPr>
        <w:pStyle w:val="FootnoteText"/>
        <w:jc w:val="both"/>
      </w:pPr>
      <w:r>
        <w:rPr>
          <w:rStyle w:val="FootnoteReference"/>
        </w:rPr>
        <w:footnoteRef/>
      </w:r>
      <w:r>
        <w:t xml:space="preserve"> Cain, </w:t>
      </w:r>
      <w:r>
        <w:rPr>
          <w:i/>
        </w:rPr>
        <w:t xml:space="preserve">supra </w:t>
      </w:r>
      <w:r>
        <w:t>note 31, at 26.</w:t>
      </w:r>
    </w:p>
  </w:footnote>
  <w:footnote w:id="328">
    <w:p w:rsidR="00D72450" w:rsidRDefault="00D72450" w:rsidP="0078310B">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29">
    <w:p w:rsidR="00D72450" w:rsidRDefault="00D72450" w:rsidP="0078310B">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15, a taxpayer cannot convert accrued ordinary income to capital gain by selling the income interest to another. Moreover, in Chapter 13, you will learn that Lee can defer inclusion of her realized gain on the sale of her property interest until receipt of the cash sale proceeds under the § 453 installment sale rules. </w:t>
      </w:r>
    </w:p>
  </w:footnote>
  <w:footnote w:id="330">
    <w:p w:rsidR="00D72450" w:rsidRDefault="00D72450" w:rsidP="0078310B">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rsidR="00D72450" w:rsidRPr="00552AA8" w:rsidRDefault="00D72450" w:rsidP="0078310B">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31">
    <w:p w:rsidR="00D72450" w:rsidRPr="00C33E19" w:rsidRDefault="00D72450" w:rsidP="0078310B">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32">
    <w:p w:rsidR="00D72450" w:rsidRDefault="00D72450" w:rsidP="0078310B">
      <w:pPr>
        <w:pStyle w:val="FootnoteText"/>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33">
    <w:p w:rsidR="00D72450" w:rsidRDefault="00D72450" w:rsidP="0078310B">
      <w:pPr>
        <w:pStyle w:val="FootnoteText"/>
      </w:pPr>
      <w:r>
        <w:rPr>
          <w:rStyle w:val="FootnoteReference"/>
        </w:rPr>
        <w:footnoteRef/>
      </w:r>
      <w:r>
        <w:t xml:space="preserve"> </w:t>
      </w:r>
      <w:r>
        <w:rPr>
          <w:i/>
          <w:szCs w:val="24"/>
        </w:rPr>
        <w:t>See</w:t>
      </w:r>
      <w:r>
        <w:t xml:space="preserve"> §§ 7872(f)(1) and (2).</w:t>
      </w:r>
    </w:p>
  </w:footnote>
  <w:footnote w:id="334">
    <w:p w:rsidR="00D72450" w:rsidRDefault="00D72450" w:rsidP="0078310B">
      <w:pPr>
        <w:pStyle w:val="FootnoteText"/>
      </w:pPr>
      <w:r>
        <w:rPr>
          <w:rStyle w:val="FootnoteReference"/>
        </w:rPr>
        <w:footnoteRef/>
      </w:r>
      <w:r>
        <w:t xml:space="preserve"> </w:t>
      </w:r>
      <w:r>
        <w:rPr>
          <w:i/>
        </w:rPr>
        <w:t xml:space="preserve">See </w:t>
      </w:r>
      <w:r>
        <w:t>§ 7872(c)(3).</w:t>
      </w:r>
    </w:p>
  </w:footnote>
  <w:footnote w:id="335">
    <w:p w:rsidR="00D72450" w:rsidRDefault="00D72450" w:rsidP="0078310B">
      <w:pPr>
        <w:pStyle w:val="FootnoteText"/>
      </w:pPr>
      <w:r>
        <w:rPr>
          <w:rStyle w:val="FootnoteReference"/>
        </w:rPr>
        <w:footnoteRef/>
      </w:r>
      <w:r>
        <w:t xml:space="preserve"> </w:t>
      </w:r>
      <w:r>
        <w:rPr>
          <w:i/>
        </w:rPr>
        <w:t xml:space="preserve">See </w:t>
      </w:r>
      <w:r>
        <w:t>§ 7872(b).</w:t>
      </w:r>
    </w:p>
  </w:footnote>
  <w:footnote w:id="336">
    <w:p w:rsidR="00D72450" w:rsidRDefault="00D72450" w:rsidP="0078310B">
      <w:pPr>
        <w:pStyle w:val="FootnoteText"/>
      </w:pPr>
      <w:r>
        <w:rPr>
          <w:rStyle w:val="FootnoteReference"/>
        </w:rPr>
        <w:footnoteRef/>
      </w:r>
      <w:r>
        <w:t xml:space="preserve"> </w:t>
      </w:r>
      <w:r>
        <w:rPr>
          <w:i/>
        </w:rPr>
        <w:t xml:space="preserve">See </w:t>
      </w:r>
      <w:r>
        <w:t>§ 7872(a)(1)(A).</w:t>
      </w:r>
    </w:p>
  </w:footnote>
  <w:footnote w:id="337">
    <w:p w:rsidR="00D72450" w:rsidRPr="005D1509" w:rsidRDefault="00D72450" w:rsidP="0078310B">
      <w:pPr>
        <w:pStyle w:val="FootnoteText"/>
      </w:pPr>
      <w:r>
        <w:rPr>
          <w:rStyle w:val="FootnoteReference"/>
        </w:rPr>
        <w:footnoteRef/>
      </w:r>
      <w:r>
        <w:t xml:space="preserve"> </w:t>
      </w:r>
      <w:r>
        <w:rPr>
          <w:i/>
        </w:rPr>
        <w:t xml:space="preserve">See </w:t>
      </w:r>
      <w:r>
        <w:t>§ 7872(a)(1)(B).</w:t>
      </w:r>
    </w:p>
  </w:footnote>
  <w:footnote w:id="338">
    <w:p w:rsidR="00D72450" w:rsidRDefault="00D72450" w:rsidP="0078310B">
      <w:pPr>
        <w:pStyle w:val="FootnoteText"/>
      </w:pPr>
      <w:r>
        <w:rPr>
          <w:rStyle w:val="FootnoteReference"/>
        </w:rPr>
        <w:footnoteRef/>
      </w:r>
      <w:r>
        <w:t xml:space="preserve"> </w:t>
      </w:r>
      <w:r>
        <w:rPr>
          <w:i/>
        </w:rPr>
        <w:t>See</w:t>
      </w:r>
      <w:r>
        <w:t xml:space="preserve"> Prop. Treas. Reg. § 1.7872-4(d)(2)(i).</w:t>
      </w:r>
    </w:p>
  </w:footnote>
  <w:footnote w:id="339">
    <w:p w:rsidR="00D72450" w:rsidRDefault="00D72450" w:rsidP="0078310B">
      <w:pPr>
        <w:pStyle w:val="FootnoteText"/>
      </w:pPr>
      <w:r>
        <w:rPr>
          <w:rStyle w:val="FootnoteReference"/>
        </w:rPr>
        <w:footnoteRef/>
      </w:r>
      <w:r>
        <w:t xml:space="preserve"> </w:t>
      </w:r>
      <w:r>
        <w:rPr>
          <w:i/>
          <w:szCs w:val="24"/>
        </w:rPr>
        <w:t>See</w:t>
      </w:r>
      <w:r>
        <w:t xml:space="preserve"> § 7872(c).</w:t>
      </w:r>
    </w:p>
  </w:footnote>
  <w:footnote w:id="340">
    <w:p w:rsidR="00D72450" w:rsidRDefault="00D72450" w:rsidP="0078310B">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41">
    <w:p w:rsidR="00D72450" w:rsidRPr="004C6833" w:rsidRDefault="00D72450" w:rsidP="0078310B">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Thus, for example, a cash method taxpayer cannot move compensation income from December 31 of Year 1 to January 1 of Year 2 (thus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42">
    <w:p w:rsidR="00D72450" w:rsidRPr="004C6833" w:rsidRDefault="00D72450" w:rsidP="0078310B">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43">
    <w:p w:rsidR="00D72450" w:rsidRPr="004C6833" w:rsidRDefault="00D72450" w:rsidP="0078310B">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44">
    <w:p w:rsidR="00D72450" w:rsidRDefault="00D72450"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 xml:space="preserve">Chapter 22. </w:t>
      </w:r>
    </w:p>
  </w:footnote>
  <w:footnote w:id="345">
    <w:p w:rsidR="00D72450" w:rsidRDefault="00D72450"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 xml:space="preserve">Economic performance within the meaning of § 461(h) would also occur as he received the electricity. </w:t>
      </w:r>
      <w:r w:rsidRPr="001B67CA">
        <w:rPr>
          <w:i/>
          <w:sz w:val="20"/>
          <w:szCs w:val="20"/>
        </w:rPr>
        <w:t xml:space="preserve">See </w:t>
      </w:r>
      <w:r>
        <w:rPr>
          <w:sz w:val="20"/>
          <w:szCs w:val="20"/>
        </w:rPr>
        <w:t>§ 461(h)(2)(A).</w:t>
      </w:r>
    </w:p>
  </w:footnote>
  <w:footnote w:id="346">
    <w:p w:rsidR="00D72450" w:rsidRDefault="00D72450" w:rsidP="00A8261C">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47">
    <w:p w:rsidR="00D72450" w:rsidRDefault="00D72450">
      <w:pPr>
        <w:pStyle w:val="FootnoteText"/>
      </w:pPr>
      <w:r>
        <w:rPr>
          <w:rStyle w:val="FootnoteReference"/>
        </w:rPr>
        <w:footnoteRef/>
      </w:r>
      <w:r>
        <w:t xml:space="preserve"> In the world of consumer credit agreements, the documents can sometimes describe the rate at which interest accrues on a loan under “the Rule of 78s,” sometimes known as the “sum of the digits” method. The details of the Rule of 78s are not important for our purposes except to note that the timing of interest overstates the portion of each payment that would be considered “interest” in the early years under economic accrual principles reflected in the declining balance method (and, thus, understates interest in the later years of the loan period). Of course, because of the time value of money, accrual method borrowers paying deductible interest would love to be able to identify which portion of each payment is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48">
    <w:p w:rsidR="00D72450" w:rsidRPr="00644B21" w:rsidRDefault="00D72450" w:rsidP="0078310B">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49">
    <w:p w:rsidR="00D72450" w:rsidRDefault="00D72450" w:rsidP="0078310B">
      <w:pPr>
        <w:pStyle w:val="FootnoteText"/>
      </w:pPr>
      <w:r>
        <w:rPr>
          <w:rStyle w:val="FootnoteReference"/>
        </w:rPr>
        <w:footnoteRef/>
      </w:r>
      <w:r>
        <w:t xml:space="preserve"> </w:t>
      </w:r>
      <w:r>
        <w:rPr>
          <w:i/>
        </w:rPr>
        <w:t>See</w:t>
      </w:r>
      <w:r>
        <w:t xml:space="preserve"> § 83(h).</w:t>
      </w:r>
    </w:p>
  </w:footnote>
  <w:footnote w:id="350">
    <w:p w:rsidR="00D72450" w:rsidRDefault="00D72450" w:rsidP="0078310B">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51">
    <w:p w:rsidR="00D72450" w:rsidRDefault="00D72450" w:rsidP="0078310B">
      <w:pPr>
        <w:pStyle w:val="FootnoteText"/>
      </w:pPr>
      <w:r>
        <w:rPr>
          <w:rStyle w:val="FootnoteReference"/>
        </w:rPr>
        <w:footnoteRef/>
      </w:r>
      <w:r>
        <w:t xml:space="preserve"> </w:t>
      </w:r>
      <w:r>
        <w:rPr>
          <w:i/>
        </w:rPr>
        <w:t xml:space="preserve">See </w:t>
      </w:r>
      <w:r>
        <w:t>§§ 1272(a)(1) and (3).</w:t>
      </w:r>
    </w:p>
  </w:footnote>
  <w:footnote w:id="352">
    <w:p w:rsidR="00D72450" w:rsidRDefault="00D72450" w:rsidP="0078310B">
      <w:pPr>
        <w:pStyle w:val="FootnoteText"/>
      </w:pPr>
      <w:r>
        <w:rPr>
          <w:rStyle w:val="FootnoteReference"/>
        </w:rPr>
        <w:footnoteRef/>
      </w:r>
      <w:r>
        <w:t xml:space="preserve"> </w:t>
      </w:r>
      <w:r w:rsidRPr="00E82532">
        <w:rPr>
          <w:i/>
        </w:rPr>
        <w:t>See</w:t>
      </w:r>
      <w:r>
        <w:t xml:space="preserve"> § 1272(a)(2)(E).</w:t>
      </w:r>
    </w:p>
  </w:footnote>
  <w:footnote w:id="353">
    <w:p w:rsidR="00D72450" w:rsidRDefault="00D72450" w:rsidP="0078310B">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54">
    <w:p w:rsidR="00D72450" w:rsidRDefault="00D72450" w:rsidP="0078310B">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55">
    <w:p w:rsidR="00D72450" w:rsidRDefault="00D72450" w:rsidP="0078310B">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21.</w:t>
      </w:r>
    </w:p>
  </w:footnote>
  <w:footnote w:id="356">
    <w:p w:rsidR="00D72450" w:rsidRDefault="00D72450" w:rsidP="0078310B">
      <w:pPr>
        <w:pStyle w:val="FootnoteText"/>
        <w:jc w:val="both"/>
      </w:pPr>
      <w:r>
        <w:rPr>
          <w:rStyle w:val="FootnoteReference"/>
        </w:rPr>
        <w:footnoteRef/>
      </w:r>
      <w:r>
        <w:t xml:space="preserve"> </w:t>
      </w:r>
      <w:r>
        <w:rPr>
          <w:i/>
        </w:rPr>
        <w:t xml:space="preserve">See </w:t>
      </w:r>
      <w:r>
        <w:t>§ 72(e)(2)(B).</w:t>
      </w:r>
    </w:p>
  </w:footnote>
  <w:footnote w:id="357">
    <w:p w:rsidR="00D72450" w:rsidRDefault="00D72450" w:rsidP="0078310B">
      <w:pPr>
        <w:pStyle w:val="FootnoteText"/>
        <w:jc w:val="both"/>
      </w:pPr>
      <w:r>
        <w:rPr>
          <w:rStyle w:val="FootnoteReference"/>
        </w:rPr>
        <w:footnoteRef/>
      </w:r>
      <w:r>
        <w:t xml:space="preserve"> </w:t>
      </w:r>
      <w:r>
        <w:rPr>
          <w:i/>
        </w:rPr>
        <w:t xml:space="preserve">See </w:t>
      </w:r>
      <w:r>
        <w:t>§§ 72(e)(4)(A) and  (p).</w:t>
      </w:r>
    </w:p>
  </w:footnote>
  <w:footnote w:id="358">
    <w:p w:rsidR="00D72450" w:rsidRDefault="00D72450" w:rsidP="0078310B">
      <w:pPr>
        <w:pStyle w:val="FootnoteText"/>
        <w:jc w:val="both"/>
      </w:pPr>
      <w:r>
        <w:rPr>
          <w:rStyle w:val="FootnoteReference"/>
        </w:rPr>
        <w:footnoteRef/>
      </w:r>
      <w:r>
        <w:t xml:space="preserve"> </w:t>
      </w:r>
      <w:r>
        <w:rPr>
          <w:i/>
        </w:rPr>
        <w:t>See</w:t>
      </w:r>
      <w:r>
        <w:t xml:space="preserve"> §§ 72(q), (t) and (v).</w:t>
      </w:r>
    </w:p>
  </w:footnote>
  <w:footnote w:id="359">
    <w:p w:rsidR="00D72450" w:rsidRDefault="00D72450" w:rsidP="0078310B">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6" w:history="1">
        <w:r w:rsidRPr="00544AD2">
          <w:t>North American Oil v. Burnet</w:t>
        </w:r>
        <w:r w:rsidRPr="00F70CDE">
          <w:rPr>
            <w:i/>
          </w:rPr>
          <w:t xml:space="preserve">, </w:t>
        </w:r>
        <w:r w:rsidRPr="00F70CDE">
          <w:t>286 U.S. 417</w:t>
        </w:r>
      </w:hyperlink>
      <w:r w:rsidRPr="00BA2B5E">
        <w:t xml:space="preserve">; </w:t>
      </w:r>
      <w:hyperlink r:id="rId7" w:history="1">
        <w:r w:rsidRPr="00544AD2">
          <w:t>U.S. v. Lewis,</w:t>
        </w:r>
        <w:r w:rsidRPr="00BA2B5E">
          <w:t xml:space="preserve"> 340 U.S. 590</w:t>
        </w:r>
      </w:hyperlink>
      <w:r w:rsidRPr="00BA2B5E">
        <w:t xml:space="preserve">; </w:t>
      </w:r>
      <w:hyperlink r:id="rId8"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60">
    <w:p w:rsidR="00D72450" w:rsidRDefault="00D72450" w:rsidP="0078310B">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61">
    <w:p w:rsidR="00D72450" w:rsidRDefault="00D72450" w:rsidP="0078310B">
      <w:pPr>
        <w:pStyle w:val="FootnoteText"/>
        <w:widowControl w:val="0"/>
        <w:jc w:val="both"/>
      </w:pPr>
      <w:r>
        <w:rPr>
          <w:rStyle w:val="FootnoteReference"/>
        </w:rPr>
        <w:footnoteRef/>
      </w:r>
      <w:r>
        <w:t xml:space="preserve"> As a sneak preview, we shall see this principle again and again, including in the next chapter (§ 61(a)(12) debt-discharge income), in the capital gains chapter (so-called depreciation recapture), and in Chapter 21 (the tax benefit rule).</w:t>
      </w:r>
    </w:p>
  </w:footnote>
  <w:footnote w:id="362">
    <w:p w:rsidR="00D72450" w:rsidRDefault="00D72450" w:rsidP="0078310B">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9" w:history="1">
        <w:r w:rsidRPr="00544AD2">
          <w:t>Schlude v. Comm’r,</w:t>
        </w:r>
        <w:r w:rsidRPr="008456BD">
          <w:t xml:space="preserve"> 372 U.S. 128 (1963)</w:t>
        </w:r>
      </w:hyperlink>
      <w:r w:rsidRPr="008456BD">
        <w:t xml:space="preserve">; </w:t>
      </w:r>
      <w:hyperlink r:id="rId10" w:history="1">
        <w:r w:rsidRPr="00544AD2">
          <w:t>American Automobile Assn. v. U.S.,</w:t>
        </w:r>
        <w:r w:rsidRPr="008456BD">
          <w:t xml:space="preserve"> 367 U.S. 687 (1961)</w:t>
        </w:r>
      </w:hyperlink>
      <w:r w:rsidRPr="008456BD">
        <w:t xml:space="preserve">; </w:t>
      </w:r>
      <w:hyperlink r:id="rId11"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22.]</w:t>
      </w:r>
    </w:p>
  </w:footnote>
  <w:footnote w:id="363">
    <w:p w:rsidR="00D72450" w:rsidRDefault="00D72450" w:rsidP="0078310B">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even if the remaining balance becomes wholly worthless. That interpretation of the prohibition for nonbusiness lenders to deduct partially worthless debts is incorrect. The inability to deduct partially worthless debts means only that the nonbusiness lender, unlike the business lender, must wait for any remaining balance to become wholly worthless before taking any bad-debt deduction under § 166(d).  </w:t>
      </w:r>
    </w:p>
  </w:footnote>
  <w:footnote w:id="364">
    <w:p w:rsidR="00D72450" w:rsidRPr="0033495B" w:rsidRDefault="00D72450" w:rsidP="0078310B">
      <w:pPr>
        <w:pStyle w:val="FootnoteText"/>
      </w:pPr>
      <w:r>
        <w:rPr>
          <w:rStyle w:val="FootnoteReference"/>
        </w:rPr>
        <w:footnoteRef/>
      </w:r>
      <w:r>
        <w:t xml:space="preserve"> </w:t>
      </w:r>
      <w:r>
        <w:rPr>
          <w:i/>
        </w:rPr>
        <w:t xml:space="preserve">See </w:t>
      </w:r>
      <w:r>
        <w:t>§ 6511(a).</w:t>
      </w:r>
    </w:p>
  </w:footnote>
  <w:footnote w:id="365">
    <w:p w:rsidR="00D72450" w:rsidRDefault="00D72450" w:rsidP="0078310B">
      <w:pPr>
        <w:pStyle w:val="FootnoteText"/>
      </w:pPr>
      <w:r>
        <w:rPr>
          <w:rStyle w:val="FootnoteReference"/>
        </w:rPr>
        <w:footnoteRef/>
      </w:r>
      <w:r>
        <w:t xml:space="preserve"> </w:t>
      </w:r>
      <w:r>
        <w:rPr>
          <w:i/>
        </w:rPr>
        <w:t>See</w:t>
      </w:r>
      <w:r>
        <w:t xml:space="preserve"> § 6511(d)(1).</w:t>
      </w:r>
    </w:p>
  </w:footnote>
  <w:footnote w:id="366">
    <w:p w:rsidR="00D72450" w:rsidRDefault="00D72450" w:rsidP="00A00B09">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67">
    <w:p w:rsidR="00D72450" w:rsidRDefault="00D72450" w:rsidP="0078310B">
      <w:pPr>
        <w:pStyle w:val="FootnoteText"/>
        <w:widowControl w:val="0"/>
        <w:jc w:val="both"/>
      </w:pPr>
      <w:r>
        <w:rPr>
          <w:rStyle w:val="FootnoteReference"/>
        </w:rPr>
        <w:footnoteRef/>
      </w:r>
      <w:r>
        <w:t xml:space="preserve"> As described in Chapter 10,</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68">
    <w:p w:rsidR="00D72450" w:rsidRDefault="00D72450" w:rsidP="0078310B">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69">
    <w:p w:rsidR="00D72450" w:rsidRDefault="00D72450" w:rsidP="0078310B">
      <w:pPr>
        <w:pStyle w:val="FootnoteText"/>
        <w:widowControl w:val="0"/>
        <w:jc w:val="both"/>
      </w:pPr>
      <w:r>
        <w:rPr>
          <w:rStyle w:val="FootnoteReference"/>
        </w:rPr>
        <w:footnoteRef/>
      </w:r>
      <w:r>
        <w:t xml:space="preserve"> 61 F.2d 751 (2d Cir. 1932). </w:t>
      </w:r>
    </w:p>
  </w:footnote>
  <w:footnote w:id="370">
    <w:p w:rsidR="00D72450" w:rsidRDefault="00D72450" w:rsidP="0078310B">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71">
    <w:p w:rsidR="00D72450" w:rsidRDefault="00D72450" w:rsidP="0078310B">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2" w:history="1">
        <w:r w:rsidRPr="00D10E09">
          <w:t>Rev. Rul. 92-99, 1992-2 C.B. 35</w:t>
        </w:r>
      </w:hyperlink>
      <w:r w:rsidRPr="00D10E09">
        <w:t>.</w:t>
      </w:r>
    </w:p>
  </w:footnote>
  <w:footnote w:id="372">
    <w:p w:rsidR="00D72450" w:rsidRPr="003F1210" w:rsidRDefault="00D72450" w:rsidP="0078310B">
      <w:pPr>
        <w:pStyle w:val="FootnoteText"/>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73">
    <w:p w:rsidR="00D72450" w:rsidRDefault="00D72450" w:rsidP="0078310B">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74">
    <w:p w:rsidR="00D72450" w:rsidRDefault="00D72450" w:rsidP="0078310B">
      <w:pPr>
        <w:pStyle w:val="FootnoteText"/>
        <w:widowControl w:val="0"/>
        <w:jc w:val="both"/>
      </w:pPr>
      <w:r>
        <w:rPr>
          <w:rStyle w:val="FootnoteReference"/>
        </w:rPr>
        <w:footnoteRef/>
      </w:r>
      <w:r>
        <w:t xml:space="preserve"> T.C. Memo. 1996-248, </w:t>
      </w:r>
      <w:r>
        <w:rPr>
          <w:i/>
        </w:rPr>
        <w:t>aff’d</w:t>
      </w:r>
      <w:r>
        <w:t xml:space="preserve">, U.S.T.C. </w:t>
      </w:r>
      <w:r>
        <w:rPr>
          <w:rFonts w:cs="Times New Roman"/>
        </w:rPr>
        <w:t>¶</w:t>
      </w:r>
      <w:r>
        <w:t xml:space="preserve"> 50,619 (11</w:t>
      </w:r>
      <w:r w:rsidRPr="00847C14">
        <w:rPr>
          <w:vertAlign w:val="superscript"/>
        </w:rPr>
        <w:t>th</w:t>
      </w:r>
      <w:r>
        <w:t xml:space="preserve"> Cir. 1997) (</w:t>
      </w:r>
      <w:r w:rsidRPr="006B367B">
        <w:rPr>
          <w:i/>
        </w:rPr>
        <w:t>per curiam</w:t>
      </w:r>
      <w:r>
        <w:t>).</w:t>
      </w:r>
    </w:p>
  </w:footnote>
  <w:footnote w:id="375">
    <w:p w:rsidR="00D72450" w:rsidRPr="00DA12ED" w:rsidRDefault="00D72450" w:rsidP="0078310B">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76">
    <w:p w:rsidR="00D72450" w:rsidRDefault="00D72450" w:rsidP="0078310B">
      <w:pPr>
        <w:pStyle w:val="FootnoteText"/>
        <w:widowControl w:val="0"/>
        <w:jc w:val="both"/>
      </w:pPr>
      <w:r>
        <w:rPr>
          <w:rStyle w:val="FootnoteReference"/>
        </w:rPr>
        <w:footnoteRef/>
      </w:r>
      <w:r>
        <w:t xml:space="preserve"> 331 U.S. 1 (1947). </w:t>
      </w:r>
    </w:p>
  </w:footnote>
  <w:footnote w:id="377">
    <w:p w:rsidR="00D72450" w:rsidRPr="00042114" w:rsidRDefault="00D72450" w:rsidP="0078310B">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rsidR="00D72450" w:rsidRDefault="00D72450" w:rsidP="0078310B">
      <w:pPr>
        <w:pStyle w:val="FootnoteText"/>
        <w:widowControl w:val="0"/>
        <w:jc w:val="both"/>
      </w:pPr>
    </w:p>
  </w:footnote>
  <w:footnote w:id="378">
    <w:p w:rsidR="00D72450" w:rsidRDefault="00D72450" w:rsidP="0078310B">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3"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4" w:history="1">
        <w:r w:rsidRPr="00F02ECF">
          <w:t xml:space="preserve">82 </w:t>
        </w:r>
        <w:r w:rsidRPr="00CA215A">
          <w:rPr>
            <w:smallCaps/>
          </w:rPr>
          <w:t>Colum. L. Rev.</w:t>
        </w:r>
        <w:r w:rsidRPr="00F02ECF">
          <w:t>, at 1515</w:t>
        </w:r>
      </w:hyperlink>
      <w:r>
        <w:t>.</w:t>
      </w:r>
    </w:p>
    <w:p w:rsidR="00D72450" w:rsidRPr="005752A9" w:rsidRDefault="00D72450" w:rsidP="0078310B">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5"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79">
    <w:p w:rsidR="00D72450" w:rsidRDefault="00D72450" w:rsidP="0078310B">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6" w:history="1">
        <w:r>
          <w:t>26 U.S.</w:t>
        </w:r>
        <w:r w:rsidRPr="005752A9">
          <w:t>C. § 465(a)</w:t>
        </w:r>
      </w:hyperlink>
      <w:r w:rsidRPr="005752A9">
        <w:t xml:space="preserve">. Real estate investments, however, are exempt from this prohibition. </w:t>
      </w:r>
      <w:hyperlink r:id="rId17"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80">
    <w:p w:rsidR="00D72450" w:rsidRDefault="00D72450" w:rsidP="0078310B">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81">
    <w:p w:rsidR="00D72450" w:rsidRDefault="00D72450" w:rsidP="0078310B">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rsidR="00D72450" w:rsidRDefault="00D72450" w:rsidP="0078310B">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D72450" w:rsidRDefault="00D72450" w:rsidP="0078310B">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rsidR="00D72450" w:rsidRDefault="00D72450" w:rsidP="0078310B">
      <w:pPr>
        <w:pStyle w:val="FootnoteText"/>
        <w:widowControl w:val="0"/>
        <w:spacing w:after="120"/>
        <w:jc w:val="both"/>
      </w:pPr>
      <w:r w:rsidRPr="005752A9">
        <w:t xml:space="preserve">In the context of a sale or disposition of property under </w:t>
      </w:r>
      <w:hyperlink r:id="rId18"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82">
    <w:p w:rsidR="00D72450" w:rsidRDefault="00D72450" w:rsidP="0078310B">
      <w:pPr>
        <w:pStyle w:val="FootnoteText"/>
        <w:widowControl w:val="0"/>
        <w:jc w:val="both"/>
      </w:pPr>
      <w:r>
        <w:rPr>
          <w:rStyle w:val="FootnoteReference"/>
        </w:rPr>
        <w:footnoteRef/>
      </w:r>
      <w:r>
        <w:t xml:space="preserve"> 271 U.S. 170 (1926). </w:t>
      </w:r>
    </w:p>
  </w:footnote>
  <w:footnote w:id="383">
    <w:p w:rsidR="00D72450" w:rsidRPr="00885A08" w:rsidRDefault="00D72450" w:rsidP="0078310B">
      <w:pPr>
        <w:pStyle w:val="FootnoteText"/>
        <w:widowControl w:val="0"/>
        <w:jc w:val="both"/>
      </w:pPr>
      <w:r>
        <w:rPr>
          <w:rStyle w:val="FootnoteReference"/>
        </w:rPr>
        <w:footnoteRef/>
      </w:r>
      <w:r>
        <w:t xml:space="preserve"> </w:t>
      </w:r>
      <w:r>
        <w:rPr>
          <w:i/>
        </w:rPr>
        <w:t>Id.</w:t>
      </w:r>
      <w:r>
        <w:t xml:space="preserve"> at 175.</w:t>
      </w:r>
    </w:p>
  </w:footnote>
  <w:footnote w:id="384">
    <w:p w:rsidR="00D72450" w:rsidRPr="00FC0909" w:rsidRDefault="00D72450" w:rsidP="0078310B">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85">
    <w:p w:rsidR="00D72450" w:rsidRPr="00D22FFD" w:rsidRDefault="00D72450" w:rsidP="0078310B">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86">
    <w:p w:rsidR="00D72450" w:rsidRDefault="00D72450" w:rsidP="0078310B">
      <w:pPr>
        <w:pStyle w:val="FootnoteText"/>
        <w:widowControl w:val="0"/>
        <w:jc w:val="both"/>
      </w:pPr>
      <w:r>
        <w:rPr>
          <w:rStyle w:val="FootnoteReference"/>
        </w:rPr>
        <w:footnoteRef/>
      </w:r>
      <w:r>
        <w:t xml:space="preserve"> 916 F.2d at 116 n.11.</w:t>
      </w:r>
    </w:p>
  </w:footnote>
  <w:footnote w:id="387">
    <w:p w:rsidR="00D72450" w:rsidRDefault="00D72450" w:rsidP="0078310B">
      <w:pPr>
        <w:pStyle w:val="FootnoteText"/>
        <w:widowControl w:val="0"/>
        <w:jc w:val="both"/>
      </w:pPr>
      <w:r>
        <w:rPr>
          <w:rStyle w:val="FootnoteReference"/>
        </w:rPr>
        <w:footnoteRef/>
      </w:r>
      <w:r>
        <w:t xml:space="preserve"> Rev. Rul. 92-99, 1992-2 C.B. 35.</w:t>
      </w:r>
    </w:p>
  </w:footnote>
  <w:footnote w:id="388">
    <w:p w:rsidR="00D72450" w:rsidRDefault="00D72450" w:rsidP="0078310B">
      <w:pPr>
        <w:pStyle w:val="FootnoteText"/>
        <w:widowControl w:val="0"/>
        <w:jc w:val="both"/>
      </w:pPr>
      <w:r>
        <w:rPr>
          <w:rStyle w:val="FootnoteReference"/>
        </w:rPr>
        <w:footnoteRef/>
      </w:r>
      <w:r>
        <w:t xml:space="preserve"> 99 T.C. 197 (1992).</w:t>
      </w:r>
    </w:p>
  </w:footnote>
  <w:footnote w:id="389">
    <w:p w:rsidR="00D72450" w:rsidRPr="00055E11" w:rsidRDefault="00D72450" w:rsidP="0078310B">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90">
    <w:p w:rsidR="00D72450" w:rsidRPr="00EA466B" w:rsidRDefault="00D72450" w:rsidP="0078310B">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91">
    <w:p w:rsidR="00D72450" w:rsidRDefault="00D72450" w:rsidP="0078310B">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92">
    <w:p w:rsidR="00D72450" w:rsidRDefault="00D72450" w:rsidP="0078310B">
      <w:pPr>
        <w:pStyle w:val="FootnoteText"/>
        <w:widowControl w:val="0"/>
        <w:jc w:val="both"/>
      </w:pPr>
      <w:r>
        <w:rPr>
          <w:rStyle w:val="FootnoteReference"/>
        </w:rPr>
        <w:footnoteRef/>
      </w:r>
      <w:r>
        <w:t xml:space="preserve"> </w:t>
      </w:r>
      <w:r w:rsidRPr="006145F1">
        <w:t>88 T.C. 984 (1987)</w:t>
      </w:r>
      <w:r>
        <w:t>.</w:t>
      </w:r>
    </w:p>
  </w:footnote>
  <w:footnote w:id="393">
    <w:p w:rsidR="00D72450" w:rsidRDefault="00D72450" w:rsidP="0078310B">
      <w:pPr>
        <w:pStyle w:val="FootnoteText"/>
        <w:widowControl w:val="0"/>
        <w:jc w:val="both"/>
      </w:pPr>
      <w:r>
        <w:rPr>
          <w:rStyle w:val="FootnoteReference"/>
        </w:rPr>
        <w:footnoteRef/>
      </w:r>
      <w:r>
        <w:t xml:space="preserve"> 370 U.S. 65 (1962). </w:t>
      </w:r>
    </w:p>
  </w:footnote>
  <w:footnote w:id="394">
    <w:p w:rsidR="00D72450" w:rsidRDefault="00D72450" w:rsidP="0078310B">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95">
    <w:p w:rsidR="00D72450" w:rsidRDefault="00D72450">
      <w:pPr>
        <w:pStyle w:val="FootnoteText"/>
      </w:pPr>
      <w:r>
        <w:rPr>
          <w:rStyle w:val="FootnoteReference"/>
        </w:rPr>
        <w:footnoteRef/>
      </w:r>
      <w:r>
        <w:t xml:space="preserve"> </w:t>
      </w:r>
      <w:r w:rsidRPr="00CE1380">
        <w:t>In contrast, § 121, a nonrecognition provision that we shall examine in Chapter 18, allows certain gain realized on the sale of a principal residence to be completely forgiven.</w:t>
      </w:r>
    </w:p>
  </w:footnote>
  <w:footnote w:id="396">
    <w:p w:rsidR="00D72450" w:rsidRPr="004A048B" w:rsidRDefault="00D72450" w:rsidP="0078310B">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97">
    <w:p w:rsidR="00D72450" w:rsidRDefault="00D72450" w:rsidP="0078310B">
      <w:pPr>
        <w:pStyle w:val="FootnoteText"/>
      </w:pPr>
      <w:r>
        <w:rPr>
          <w:rStyle w:val="FootnoteReference"/>
        </w:rPr>
        <w:footnoteRef/>
      </w:r>
      <w:r>
        <w:t xml:space="preserve"> </w:t>
      </w:r>
      <w:r>
        <w:rPr>
          <w:i/>
        </w:rPr>
        <w:t xml:space="preserve">See </w:t>
      </w:r>
      <w:r>
        <w:t>Treas. Reg. § 1.61-3.</w:t>
      </w:r>
    </w:p>
  </w:footnote>
  <w:footnote w:id="398">
    <w:p w:rsidR="00D72450" w:rsidRPr="003816E4" w:rsidRDefault="00D72450" w:rsidP="0078310B">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99">
    <w:p w:rsidR="00D72450" w:rsidRPr="00CE6B08" w:rsidRDefault="00D72450" w:rsidP="0078310B">
      <w:pPr>
        <w:pStyle w:val="FootnoteText"/>
        <w:widowControl w:val="0"/>
        <w:jc w:val="both"/>
      </w:pPr>
      <w:r>
        <w:rPr>
          <w:rStyle w:val="FootnoteReference"/>
        </w:rPr>
        <w:footnoteRef/>
      </w:r>
      <w:r>
        <w:t xml:space="preserve"> </w:t>
      </w:r>
      <w:r>
        <w:rPr>
          <w:i/>
        </w:rPr>
        <w:t xml:space="preserve">See </w:t>
      </w:r>
      <w:r>
        <w:t xml:space="preserve">Treas. Reg. § 1.446-1(c)(1)(i). </w:t>
      </w:r>
    </w:p>
  </w:footnote>
  <w:footnote w:id="400">
    <w:p w:rsidR="00D72450" w:rsidRPr="00CE6B08" w:rsidRDefault="00D72450" w:rsidP="0078310B">
      <w:pPr>
        <w:pStyle w:val="FootnoteText"/>
        <w:widowControl w:val="0"/>
        <w:jc w:val="both"/>
      </w:pPr>
      <w:r>
        <w:rPr>
          <w:rStyle w:val="FootnoteReference"/>
        </w:rPr>
        <w:footnoteRef/>
      </w:r>
      <w:r>
        <w:t xml:space="preserve"> </w:t>
      </w:r>
      <w:r>
        <w:rPr>
          <w:i/>
        </w:rPr>
        <w:t xml:space="preserve">See </w:t>
      </w:r>
      <w:r>
        <w:t>Treas. Reg. § 1.446-1(c)(1)(ii).</w:t>
      </w:r>
    </w:p>
  </w:footnote>
  <w:footnote w:id="401">
    <w:p w:rsidR="00D72450" w:rsidRDefault="00D72450" w:rsidP="0078310B">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402">
    <w:p w:rsidR="00D72450" w:rsidRDefault="00D72450" w:rsidP="0078310B">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403">
    <w:p w:rsidR="00D72450" w:rsidRPr="00A24132" w:rsidRDefault="00D72450" w:rsidP="0078310B">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404">
    <w:p w:rsidR="00D72450" w:rsidRDefault="00D72450" w:rsidP="0078310B">
      <w:pPr>
        <w:pStyle w:val="FootnoteText"/>
        <w:widowControl w:val="0"/>
        <w:jc w:val="both"/>
      </w:pPr>
      <w:r>
        <w:rPr>
          <w:rStyle w:val="FootnoteReference"/>
        </w:rPr>
        <w:footnoteRef/>
      </w:r>
      <w:r>
        <w:t xml:space="preserve"> 283 U.S. 404 (1931).</w:t>
      </w:r>
    </w:p>
  </w:footnote>
  <w:footnote w:id="405">
    <w:p w:rsidR="00D72450" w:rsidRDefault="00D72450" w:rsidP="0078310B">
      <w:pPr>
        <w:pStyle w:val="FootnoteText"/>
        <w:widowControl w:val="0"/>
        <w:jc w:val="both"/>
      </w:pPr>
      <w:r>
        <w:rPr>
          <w:rStyle w:val="FootnoteReference"/>
        </w:rPr>
        <w:footnoteRef/>
      </w:r>
      <w:r>
        <w:t xml:space="preserve"> 29 T.C. 670 (1958).</w:t>
      </w:r>
    </w:p>
  </w:footnote>
  <w:footnote w:id="406">
    <w:p w:rsidR="00D72450" w:rsidRDefault="00D72450" w:rsidP="0078310B">
      <w:pPr>
        <w:pStyle w:val="FootnoteText"/>
      </w:pPr>
      <w:r>
        <w:rPr>
          <w:rStyle w:val="FootnoteReference"/>
        </w:rPr>
        <w:footnoteRef/>
      </w:r>
      <w:r>
        <w:t xml:space="preserve"> 1976-2 C.B. 242.</w:t>
      </w:r>
    </w:p>
  </w:footnote>
  <w:footnote w:id="407">
    <w:p w:rsidR="00D72450" w:rsidRDefault="00D72450" w:rsidP="0078310B">
      <w:pPr>
        <w:pStyle w:val="FootnoteText"/>
        <w:widowControl w:val="0"/>
        <w:jc w:val="both"/>
      </w:pPr>
      <w:r>
        <w:rPr>
          <w:rStyle w:val="FootnoteReference"/>
        </w:rPr>
        <w:footnoteRef/>
      </w:r>
      <w:r>
        <w:t xml:space="preserve"> PLR 8127089 (Apr. 10, 1981).</w:t>
      </w:r>
    </w:p>
  </w:footnote>
  <w:footnote w:id="408">
    <w:p w:rsidR="00D72450" w:rsidRDefault="00D72450" w:rsidP="0078310B">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rsidR="00D72450" w:rsidRDefault="00D72450" w:rsidP="0078310B">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One view is that the cost basis of property received in a taxable exchange is the fair market value of the property </w:t>
      </w:r>
      <w:r>
        <w:rPr>
          <w:i/>
          <w:iCs/>
        </w:rPr>
        <w:t xml:space="preserve">given </w:t>
      </w:r>
      <w:r>
        <w:t xml:space="preserve">in the exchange. The other view is that the cost basis of property received in a taxable exchange is the fair market value of the property </w:t>
      </w:r>
      <w:r>
        <w:rPr>
          <w:i/>
          <w:iCs/>
        </w:rPr>
        <w:t xml:space="preserve">received </w:t>
      </w:r>
      <w:r>
        <w:t xml:space="preserve">in the exchange….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rsidR="00D72450" w:rsidRPr="003604D3" w:rsidRDefault="00D72450" w:rsidP="0078310B">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409">
    <w:p w:rsidR="00D72450" w:rsidRDefault="00D72450" w:rsidP="0078310B">
      <w:pPr>
        <w:pStyle w:val="FootnoteText"/>
        <w:widowControl w:val="0"/>
        <w:jc w:val="both"/>
      </w:pPr>
      <w:r>
        <w:rPr>
          <w:rStyle w:val="FootnoteReference"/>
        </w:rPr>
        <w:footnoteRef/>
      </w:r>
      <w:r>
        <w:t xml:space="preserve"> 1979-1 C.B. 264.</w:t>
      </w:r>
    </w:p>
  </w:footnote>
  <w:footnote w:id="410">
    <w:p w:rsidR="00D72450" w:rsidRDefault="00D72450" w:rsidP="0078310B">
      <w:pPr>
        <w:pStyle w:val="FootnoteText"/>
        <w:widowControl w:val="0"/>
        <w:jc w:val="both"/>
      </w:pPr>
      <w:r>
        <w:rPr>
          <w:rStyle w:val="FootnoteReference"/>
        </w:rPr>
        <w:footnoteRef/>
      </w:r>
      <w:r>
        <w:t xml:space="preserve"> </w:t>
      </w:r>
      <w:r>
        <w:rPr>
          <w:i/>
        </w:rPr>
        <w:t xml:space="preserve">See </w:t>
      </w:r>
      <w:r>
        <w:t>§ 1031(e).</w:t>
      </w:r>
    </w:p>
  </w:footnote>
  <w:footnote w:id="411">
    <w:p w:rsidR="00D72450" w:rsidRPr="007367F7" w:rsidRDefault="00D72450" w:rsidP="0078310B">
      <w:pPr>
        <w:widowControl w:val="0"/>
        <w:jc w:val="both"/>
        <w:rPr>
          <w:sz w:val="20"/>
          <w:szCs w:val="20"/>
        </w:rPr>
      </w:pPr>
      <w:r w:rsidRPr="007367F7">
        <w:rPr>
          <w:rStyle w:val="FootnoteReference"/>
          <w:sz w:val="20"/>
          <w:szCs w:val="20"/>
        </w:rPr>
        <w:footnoteRef/>
      </w:r>
      <w:r w:rsidRPr="007367F7">
        <w:rPr>
          <w:sz w:val="20"/>
          <w:szCs w:val="20"/>
        </w:rPr>
        <w:t xml:space="preserve"> </w:t>
      </w:r>
      <w:r w:rsidRPr="007367F7">
        <w:rPr>
          <w:i/>
          <w:sz w:val="20"/>
          <w:szCs w:val="20"/>
        </w:rPr>
        <w:t>See</w:t>
      </w:r>
      <w:r w:rsidRPr="007367F7">
        <w:rPr>
          <w:sz w:val="20"/>
          <w:szCs w:val="20"/>
        </w:rPr>
        <w:t xml:space="preserve"> Treas. Reg. § 1.1031(a)-2. </w:t>
      </w:r>
    </w:p>
  </w:footnote>
  <w:footnote w:id="412">
    <w:p w:rsidR="00D72450" w:rsidRDefault="00D72450" w:rsidP="0078310B">
      <w:pPr>
        <w:pStyle w:val="FootnoteText"/>
        <w:widowControl w:val="0"/>
        <w:jc w:val="both"/>
      </w:pPr>
      <w:r>
        <w:rPr>
          <w:rStyle w:val="FootnoteReference"/>
        </w:rPr>
        <w:footnoteRef/>
      </w:r>
      <w:r>
        <w:t xml:space="preserve"> While § 1223(1) applies to substituted basis property, § 1223(2) applies to carryover basis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413">
    <w:p w:rsidR="00D72450" w:rsidRDefault="00D72450" w:rsidP="0078310B">
      <w:pPr>
        <w:pStyle w:val="FootnoteText"/>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414">
    <w:p w:rsidR="00D72450" w:rsidRPr="00DC3C85" w:rsidRDefault="00D72450" w:rsidP="0078310B">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415">
    <w:p w:rsidR="00D72450" w:rsidRPr="00126879" w:rsidRDefault="00D72450" w:rsidP="007C18AF">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416">
    <w:p w:rsidR="00D72450" w:rsidRPr="009964F3" w:rsidRDefault="00D72450" w:rsidP="0078310B">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17">
    <w:p w:rsidR="00D72450" w:rsidRPr="009432D8" w:rsidRDefault="00D72450" w:rsidP="0078310B">
      <w:pPr>
        <w:pStyle w:val="FootnoteText"/>
        <w:widowControl w:val="0"/>
        <w:jc w:val="both"/>
      </w:pPr>
      <w:r>
        <w:rPr>
          <w:rStyle w:val="FootnoteReference"/>
        </w:rPr>
        <w:footnoteRef/>
      </w:r>
      <w:r>
        <w:t xml:space="preserve"> </w:t>
      </w:r>
      <w:r w:rsidRPr="006B367B">
        <w:t>Simon v. Comm’r,</w:t>
      </w:r>
      <w:r>
        <w:t xml:space="preserve"> 103 T.C. 247, 253 (1994). </w:t>
      </w:r>
    </w:p>
  </w:footnote>
  <w:footnote w:id="418">
    <w:p w:rsidR="00D72450" w:rsidRDefault="00D72450" w:rsidP="0078310B">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19">
    <w:p w:rsidR="00D72450" w:rsidRPr="00F507C3" w:rsidRDefault="00D72450" w:rsidP="0078310B">
      <w:pPr>
        <w:pStyle w:val="FootnoteText"/>
        <w:jc w:val="both"/>
      </w:pPr>
      <w:r>
        <w:rPr>
          <w:rStyle w:val="FootnoteReference"/>
        </w:rPr>
        <w:footnoteRef/>
      </w:r>
      <w:r>
        <w:t xml:space="preserve"> </w:t>
      </w:r>
      <w:r>
        <w:rPr>
          <w:i/>
        </w:rPr>
        <w:t>See infra</w:t>
      </w:r>
      <w:r>
        <w:t xml:space="preserve"> Chapter 22, Part B., for a more extended discussion of GAAP and the different goals and purposes of financial accounting and tax accounting. </w:t>
      </w:r>
    </w:p>
  </w:footnote>
  <w:footnote w:id="420">
    <w:p w:rsidR="00D72450" w:rsidRDefault="00D72450" w:rsidP="0078310B">
      <w:pPr>
        <w:pStyle w:val="FootnoteText"/>
        <w:widowControl w:val="0"/>
        <w:jc w:val="both"/>
      </w:pPr>
      <w:r>
        <w:rPr>
          <w:rStyle w:val="FootnoteReference"/>
        </w:rPr>
        <w:footnoteRef/>
      </w:r>
      <w:r>
        <w:t xml:space="preserve"> </w:t>
      </w:r>
      <w:r>
        <w:rPr>
          <w:i/>
        </w:rPr>
        <w:t xml:space="preserve">See </w:t>
      </w:r>
      <w:r>
        <w:t>Treas. Reg. § 1.167(a)-2.</w:t>
      </w:r>
    </w:p>
  </w:footnote>
  <w:footnote w:id="421">
    <w:p w:rsidR="00D72450" w:rsidRDefault="00D72450" w:rsidP="0078310B">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22">
    <w:p w:rsidR="00D72450" w:rsidRDefault="00D72450" w:rsidP="0078310B">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23">
    <w:p w:rsidR="00D72450" w:rsidRDefault="00D72450" w:rsidP="0078310B">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24">
    <w:p w:rsidR="00D72450" w:rsidRDefault="00D72450" w:rsidP="0078310B">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25">
    <w:p w:rsidR="00D72450" w:rsidRDefault="00D72450" w:rsidP="0078310B">
      <w:pPr>
        <w:pStyle w:val="FootnoteText"/>
        <w:widowControl w:val="0"/>
        <w:jc w:val="both"/>
      </w:pPr>
      <w:r>
        <w:rPr>
          <w:rStyle w:val="FootnoteReference"/>
        </w:rPr>
        <w:footnoteRef/>
      </w:r>
      <w:r>
        <w:t xml:space="preserve"> 103 T.C. 285 (1994), </w:t>
      </w:r>
      <w:r>
        <w:rPr>
          <w:i/>
        </w:rPr>
        <w:t>aff’d</w:t>
      </w:r>
      <w:r>
        <w:t>, 65 F.3d 329 (1995).</w:t>
      </w:r>
    </w:p>
  </w:footnote>
  <w:footnote w:id="426">
    <w:p w:rsidR="00D72450" w:rsidRDefault="00D72450" w:rsidP="0078310B">
      <w:pPr>
        <w:pStyle w:val="FootnoteText"/>
        <w:widowControl w:val="0"/>
        <w:jc w:val="both"/>
      </w:pPr>
      <w:r>
        <w:rPr>
          <w:rStyle w:val="FootnoteReference"/>
        </w:rPr>
        <w:footnoteRef/>
      </w:r>
      <w:r>
        <w:t xml:space="preserve"> 103 T.C. at 287.</w:t>
      </w:r>
    </w:p>
  </w:footnote>
  <w:footnote w:id="427">
    <w:p w:rsidR="00D72450" w:rsidRDefault="00D72450" w:rsidP="0078310B">
      <w:pPr>
        <w:pStyle w:val="FootnoteText"/>
        <w:widowControl w:val="0"/>
        <w:jc w:val="both"/>
      </w:pPr>
      <w:r>
        <w:rPr>
          <w:rStyle w:val="FootnoteReference"/>
        </w:rPr>
        <w:footnoteRef/>
      </w:r>
      <w:r>
        <w:t xml:space="preserve"> </w:t>
      </w:r>
      <w:r>
        <w:rPr>
          <w:i/>
        </w:rPr>
        <w:t>See</w:t>
      </w:r>
      <w:r>
        <w:t xml:space="preserve"> 1996-2 C.B. 2.</w:t>
      </w:r>
    </w:p>
  </w:footnote>
  <w:footnote w:id="428">
    <w:p w:rsidR="00D72450" w:rsidRPr="00CA31BC" w:rsidRDefault="00D72450" w:rsidP="0078310B">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29">
    <w:p w:rsidR="00D72450" w:rsidRDefault="00D72450" w:rsidP="0078310B">
      <w:pPr>
        <w:pStyle w:val="FootnoteText"/>
      </w:pPr>
      <w:r>
        <w:rPr>
          <w:rStyle w:val="FootnoteReference"/>
        </w:rPr>
        <w:footnoteRef/>
      </w:r>
      <w:r>
        <w:t xml:space="preserve"> Narrow exceptions to the rule that § 179 property cannot be real property are found in § 179(f). “Qualified leasehold improvement property,” “qualified restaurant property,” and “qualified retail improvement property,”—each as defined in §§ 168(e)(6), (7), and (8)—can be the subject of § 179 expensing.</w:t>
      </w:r>
    </w:p>
  </w:footnote>
  <w:footnote w:id="430">
    <w:p w:rsidR="00D72450" w:rsidRDefault="00D72450" w:rsidP="0078310B">
      <w:pPr>
        <w:pStyle w:val="FootnoteText"/>
      </w:pPr>
      <w:r>
        <w:rPr>
          <w:rStyle w:val="FootnoteReference"/>
        </w:rPr>
        <w:footnoteRef/>
      </w:r>
      <w:r>
        <w:t xml:space="preserve"> 1987-2 C.B. 687.</w:t>
      </w:r>
    </w:p>
  </w:footnote>
  <w:footnote w:id="431">
    <w:p w:rsidR="00D72450" w:rsidRPr="0090427C" w:rsidRDefault="00D72450" w:rsidP="0078310B">
      <w:pPr>
        <w:pStyle w:val="FootnoteText"/>
      </w:pPr>
      <w:r>
        <w:rPr>
          <w:rStyle w:val="FootnoteReference"/>
        </w:rPr>
        <w:footnoteRef/>
      </w:r>
      <w:r>
        <w:t xml:space="preserve"> Unlike regular depreciation, § 168(k) bonus depreciation is elective, but the taxpayer is presumed to make the election to take bonus depreciation unless she expressly opts out. </w:t>
      </w:r>
      <w:r>
        <w:rPr>
          <w:i/>
        </w:rPr>
        <w:t xml:space="preserve">See </w:t>
      </w:r>
      <w:r>
        <w:t xml:space="preserve">§ 168(k)(2)(D)(iii). </w:t>
      </w:r>
    </w:p>
  </w:footnote>
  <w:footnote w:id="432">
    <w:p w:rsidR="00D72450" w:rsidRDefault="00D72450" w:rsidP="0078310B">
      <w:pPr>
        <w:pStyle w:val="FootnoteText"/>
        <w:widowControl w:val="0"/>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at </w:t>
      </w:r>
      <w:r w:rsidRPr="005000C7">
        <w:t>www.jct.gov/publications.html?func=startdown&amp;id=3343</w:t>
      </w:r>
      <w:r>
        <w:t>.</w:t>
      </w:r>
    </w:p>
  </w:footnote>
  <w:footnote w:id="433">
    <w:p w:rsidR="00D72450" w:rsidRDefault="00D72450" w:rsidP="0078310B">
      <w:pPr>
        <w:pStyle w:val="FootnoteText"/>
      </w:pPr>
      <w:r>
        <w:rPr>
          <w:rStyle w:val="FootnoteReference"/>
        </w:rPr>
        <w:footnoteRef/>
      </w:r>
      <w:r>
        <w:t xml:space="preserve"> </w:t>
      </w:r>
      <w:r>
        <w:rPr>
          <w:i/>
        </w:rPr>
        <w:t xml:space="preserve">See </w:t>
      </w:r>
      <w:r w:rsidRPr="002379CE">
        <w:t>http://wiki.answers.com/Q/What_was_the_average_car_price_IN_1984?#slide=2</w:t>
      </w:r>
      <w:r>
        <w:t>.</w:t>
      </w:r>
    </w:p>
  </w:footnote>
  <w:footnote w:id="434">
    <w:p w:rsidR="00D72450" w:rsidRPr="00592FE6" w:rsidRDefault="00D72450" w:rsidP="0078310B">
      <w:pPr>
        <w:pStyle w:val="FootnoteText"/>
        <w:widowControl w:val="0"/>
        <w:jc w:val="both"/>
      </w:pPr>
      <w:r>
        <w:rPr>
          <w:rStyle w:val="FootnoteReference"/>
        </w:rPr>
        <w:footnoteRef/>
      </w:r>
      <w:r>
        <w:t xml:space="preserve"> </w:t>
      </w:r>
      <w:r>
        <w:rPr>
          <w:i/>
        </w:rPr>
        <w:t>See</w:t>
      </w:r>
      <w:r>
        <w:t xml:space="preserve"> Rev. Proc. 2016-23, 2016-16 I.R.B. 581.</w:t>
      </w:r>
    </w:p>
  </w:footnote>
  <w:footnote w:id="435">
    <w:p w:rsidR="00D72450" w:rsidRDefault="00D72450" w:rsidP="0078310B">
      <w:pPr>
        <w:pStyle w:val="FootnoteText"/>
        <w:jc w:val="both"/>
      </w:pPr>
      <w:r>
        <w:rPr>
          <w:rStyle w:val="FootnoteReference"/>
        </w:rPr>
        <w:footnoteRef/>
      </w:r>
      <w:r>
        <w:t xml:space="preserve"> </w:t>
      </w:r>
      <w:r>
        <w:rPr>
          <w:i/>
        </w:rPr>
        <w:t>See</w:t>
      </w:r>
      <w:r>
        <w:t xml:space="preserve"> § 280F(a)(2).</w:t>
      </w:r>
    </w:p>
  </w:footnote>
  <w:footnote w:id="436">
    <w:p w:rsidR="00D72450" w:rsidRDefault="00D72450" w:rsidP="0078310B">
      <w:pPr>
        <w:pStyle w:val="FootnoteText"/>
        <w:jc w:val="both"/>
      </w:pPr>
      <w:r>
        <w:rPr>
          <w:rStyle w:val="FootnoteReference"/>
        </w:rPr>
        <w:footnoteRef/>
      </w:r>
      <w:r>
        <w:t xml:space="preserve"> </w:t>
      </w:r>
      <w:r>
        <w:rPr>
          <w:i/>
        </w:rPr>
        <w:t>See</w:t>
      </w:r>
      <w:r>
        <w:t xml:space="preserve"> § 280F(b).</w:t>
      </w:r>
    </w:p>
  </w:footnote>
  <w:footnote w:id="437">
    <w:p w:rsidR="00D72450" w:rsidRDefault="00D72450" w:rsidP="0078310B">
      <w:pPr>
        <w:pStyle w:val="FootnoteText"/>
        <w:jc w:val="both"/>
      </w:pPr>
      <w:r>
        <w:rPr>
          <w:rStyle w:val="FootnoteReference"/>
        </w:rPr>
        <w:footnoteRef/>
      </w:r>
      <w:r>
        <w:t xml:space="preserve"> </w:t>
      </w:r>
      <w:r>
        <w:rPr>
          <w:i/>
        </w:rPr>
        <w:t>See</w:t>
      </w:r>
      <w:r>
        <w:t xml:space="preserve"> § 280F(d)(5).</w:t>
      </w:r>
    </w:p>
  </w:footnote>
  <w:footnote w:id="438">
    <w:p w:rsidR="00D72450" w:rsidRPr="00C3364F" w:rsidRDefault="00D72450" w:rsidP="0078310B">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C3364F">
        <w:rPr>
          <w:sz w:val="20"/>
          <w:szCs w:val="20"/>
        </w:rPr>
        <w:t>www.alphaleasing.com/businessaspects/over6000gvwr.asp (web site containing list of 6,000 lb</w:t>
      </w:r>
      <w:r>
        <w:rPr>
          <w:sz w:val="20"/>
          <w:szCs w:val="20"/>
        </w:rPr>
        <w:t>.</w:t>
      </w:r>
      <w:r w:rsidRPr="00C3364F">
        <w:rPr>
          <w:sz w:val="20"/>
          <w:szCs w:val="20"/>
        </w:rPr>
        <w:t xml:space="preserve"> SUVs</w:t>
      </w:r>
      <w:r>
        <w:rPr>
          <w:sz w:val="20"/>
          <w:szCs w:val="20"/>
        </w:rPr>
        <w:t>)</w:t>
      </w:r>
      <w:r w:rsidRPr="00C3364F">
        <w:rPr>
          <w:sz w:val="20"/>
          <w:szCs w:val="20"/>
        </w:rPr>
        <w:t xml:space="preserve">. </w:t>
      </w:r>
    </w:p>
    <w:p w:rsidR="00D72450" w:rsidRPr="00C3364F" w:rsidRDefault="00D72450" w:rsidP="0078310B">
      <w:pPr>
        <w:pStyle w:val="FootnoteText"/>
        <w:widowControl w:val="0"/>
        <w:jc w:val="both"/>
      </w:pPr>
    </w:p>
  </w:footnote>
  <w:footnote w:id="439">
    <w:p w:rsidR="00D72450" w:rsidRPr="00EB7ED9" w:rsidRDefault="00D72450" w:rsidP="0078310B">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40">
    <w:p w:rsidR="00D72450" w:rsidRDefault="00D72450" w:rsidP="0078310B">
      <w:pPr>
        <w:pStyle w:val="FootnoteText"/>
        <w:widowControl w:val="0"/>
        <w:jc w:val="both"/>
      </w:pPr>
      <w:r>
        <w:rPr>
          <w:rStyle w:val="FootnoteReference"/>
        </w:rPr>
        <w:footnoteRef/>
      </w:r>
      <w:r>
        <w:t xml:space="preserve"> 507 U.S. 546 (1993). </w:t>
      </w:r>
    </w:p>
  </w:footnote>
  <w:footnote w:id="441">
    <w:p w:rsidR="00D72450" w:rsidRDefault="00D72450" w:rsidP="0078310B">
      <w:pPr>
        <w:pStyle w:val="FootnoteText"/>
        <w:jc w:val="both"/>
      </w:pPr>
      <w:r>
        <w:rPr>
          <w:rStyle w:val="FootnoteReference"/>
        </w:rPr>
        <w:footnoteRef/>
      </w:r>
      <w:r>
        <w:t xml:space="preserve"> </w:t>
      </w:r>
      <w:r>
        <w:rPr>
          <w:i/>
        </w:rPr>
        <w:t xml:space="preserve">See </w:t>
      </w:r>
      <w:r>
        <w:t>§§ 197(a) and (d)(1)(A).</w:t>
      </w:r>
    </w:p>
  </w:footnote>
  <w:footnote w:id="442">
    <w:p w:rsidR="00D72450" w:rsidRDefault="00D72450" w:rsidP="0078310B">
      <w:pPr>
        <w:pStyle w:val="FootnoteText"/>
        <w:jc w:val="both"/>
      </w:pPr>
      <w:r>
        <w:rPr>
          <w:rStyle w:val="FootnoteReference"/>
        </w:rPr>
        <w:footnoteRef/>
      </w:r>
      <w:r>
        <w:rPr>
          <w:i/>
        </w:rPr>
        <w:t xml:space="preserve"> See</w:t>
      </w:r>
      <w:r>
        <w:t xml:space="preserve"> § 197(d)(2)(B).  </w:t>
      </w:r>
    </w:p>
  </w:footnote>
  <w:footnote w:id="443">
    <w:p w:rsidR="00D72450" w:rsidRDefault="00D72450" w:rsidP="0078310B">
      <w:pPr>
        <w:pStyle w:val="FootnoteText"/>
        <w:widowControl w:val="0"/>
        <w:jc w:val="both"/>
      </w:pPr>
      <w:r>
        <w:rPr>
          <w:rStyle w:val="FootnoteReference"/>
        </w:rPr>
        <w:footnoteRef/>
      </w:r>
      <w:r>
        <w:t xml:space="preserve"> </w:t>
      </w:r>
      <w:r>
        <w:rPr>
          <w:i/>
        </w:rPr>
        <w:t xml:space="preserve">See </w:t>
      </w:r>
      <w:r>
        <w:t>§ 197(e)(4).</w:t>
      </w:r>
    </w:p>
  </w:footnote>
  <w:footnote w:id="444">
    <w:p w:rsidR="00D72450" w:rsidRDefault="00D72450" w:rsidP="0078310B">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45">
    <w:p w:rsidR="00D72450" w:rsidRDefault="00D72450" w:rsidP="0078310B">
      <w:pPr>
        <w:pStyle w:val="FootnoteText"/>
        <w:widowControl w:val="0"/>
        <w:jc w:val="both"/>
      </w:pPr>
      <w:r>
        <w:rPr>
          <w:rStyle w:val="FootnoteReference"/>
        </w:rPr>
        <w:footnoteRef/>
      </w:r>
      <w:r>
        <w:t xml:space="preserve"> </w:t>
      </w:r>
      <w:r>
        <w:rPr>
          <w:i/>
        </w:rPr>
        <w:t>See</w:t>
      </w:r>
      <w:r>
        <w:t xml:space="preserve"> Treas. Reg. §§ 1.167(a)-3(b)(3); 1.197-2(f)(1).</w:t>
      </w:r>
    </w:p>
  </w:footnote>
  <w:footnote w:id="446">
    <w:p w:rsidR="00D72450" w:rsidRPr="00AF3C8B" w:rsidRDefault="00D72450" w:rsidP="0078310B">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47">
    <w:p w:rsidR="00D72450" w:rsidRPr="00DD7664" w:rsidRDefault="00D72450" w:rsidP="0078310B">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48">
    <w:p w:rsidR="00D72450" w:rsidRDefault="00D72450" w:rsidP="0078310B">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49">
    <w:p w:rsidR="00D72450" w:rsidRDefault="00D72450" w:rsidP="0078310B">
      <w:pPr>
        <w:pStyle w:val="FootnoteText"/>
      </w:pPr>
      <w:r>
        <w:rPr>
          <w:rStyle w:val="FootnoteReference"/>
        </w:rPr>
        <w:footnoteRef/>
      </w:r>
      <w:r>
        <w:t xml:space="preserve"> </w:t>
      </w:r>
      <w:r>
        <w:rPr>
          <w:i/>
        </w:rPr>
        <w:t>See, e.g.</w:t>
      </w:r>
      <w:r>
        <w:t xml:space="preserve">, Catherine Rampell, </w:t>
      </w:r>
      <w:r>
        <w:rPr>
          <w:i/>
        </w:rPr>
        <w:t>Man v. Machine</w:t>
      </w:r>
      <w:r>
        <w:t xml:space="preserve">, at </w:t>
      </w:r>
      <w:r w:rsidRPr="0067707E">
        <w:t>http://economix.blogs.nytimes.com/2011/06/10/man-vs-machine</w:t>
      </w:r>
      <w:r>
        <w:t xml:space="preserve"> (reporting that spending on equipment and software rose by 25.6% while spending on labor rose by only 2.2% during the seven quarters of the recovery that began in June 2009).</w:t>
      </w:r>
    </w:p>
  </w:footnote>
  <w:footnote w:id="450">
    <w:p w:rsidR="00D72450" w:rsidRPr="007B264C" w:rsidRDefault="00D72450" w:rsidP="0078310B">
      <w:pPr>
        <w:pStyle w:val="FootnoteText"/>
        <w:jc w:val="both"/>
      </w:pPr>
      <w:r>
        <w:rPr>
          <w:rStyle w:val="FootnoteReference"/>
        </w:rPr>
        <w:footnoteRef/>
      </w:r>
      <w:r>
        <w:t xml:space="preserve"> The rate schedule for corporations is found in § 11, which has no counterpart to § 1(h). Thus, the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51">
    <w:p w:rsidR="00D72450" w:rsidRPr="002A147E" w:rsidRDefault="00D72450" w:rsidP="0078310B">
      <w:pPr>
        <w:pStyle w:val="FootnoteText"/>
        <w:widowControl w:val="0"/>
        <w:jc w:val="both"/>
      </w:pPr>
      <w:r>
        <w:rPr>
          <w:rStyle w:val="FootnoteReference"/>
        </w:rPr>
        <w:footnoteRef/>
      </w:r>
      <w:r>
        <w:t xml:space="preserve"> </w:t>
      </w:r>
      <w:r w:rsidRPr="00E27895">
        <w:t xml:space="preserve">Unused deductions at the time of a decedent's death, including capital loss carryovers, cannot be transferred to the decedent's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52">
    <w:p w:rsidR="00D72450" w:rsidRDefault="00D72450" w:rsidP="0078310B">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53">
    <w:p w:rsidR="00D72450" w:rsidRDefault="00D72450" w:rsidP="0078310B">
      <w:pPr>
        <w:pStyle w:val="FootnoteText"/>
        <w:widowControl w:val="0"/>
        <w:jc w:val="both"/>
      </w:pPr>
      <w:r>
        <w:rPr>
          <w:rStyle w:val="FootnoteReference"/>
        </w:rPr>
        <w:footnoteRef/>
      </w:r>
      <w:r>
        <w:t xml:space="preserve"> The mechanism used prior to 1986 to effectuate the reduced capital gains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54">
    <w:p w:rsidR="00D72450" w:rsidRPr="002951D7" w:rsidRDefault="00D72450" w:rsidP="0078310B">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55">
    <w:p w:rsidR="00D72450" w:rsidRDefault="00D72450" w:rsidP="0078310B">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56">
    <w:p w:rsidR="00D72450" w:rsidRDefault="00D72450" w:rsidP="0078310B">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57">
    <w:p w:rsidR="00D72450" w:rsidRDefault="00D72450" w:rsidP="0078310B">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58">
    <w:p w:rsidR="00D72450" w:rsidRPr="0047448F" w:rsidRDefault="00D72450" w:rsidP="0078310B">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59">
    <w:p w:rsidR="00D72450" w:rsidRDefault="00D72450" w:rsidP="0078310B">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rsidR="00D72450" w:rsidRPr="00287A95" w:rsidRDefault="00D72450" w:rsidP="0078310B">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60">
    <w:p w:rsidR="00D72450" w:rsidRPr="002C39CC" w:rsidRDefault="00D72450" w:rsidP="0078310B">
      <w:pPr>
        <w:pStyle w:val="FootnoteText"/>
        <w:widowControl w:val="0"/>
        <w:jc w:val="both"/>
      </w:pPr>
      <w:r>
        <w:rPr>
          <w:rStyle w:val="FootnoteReference"/>
        </w:rPr>
        <w:footnoteRef/>
      </w:r>
      <w:r>
        <w:t xml:space="preserve"> </w:t>
      </w:r>
      <w:r>
        <w:rPr>
          <w:i/>
        </w:rPr>
        <w:t>Id.</w:t>
      </w:r>
      <w:r>
        <w:t xml:space="preserve"> at 3.</w:t>
      </w:r>
    </w:p>
  </w:footnote>
  <w:footnote w:id="461">
    <w:p w:rsidR="00D72450" w:rsidRPr="002C39CC" w:rsidRDefault="00D72450" w:rsidP="0078310B">
      <w:pPr>
        <w:pStyle w:val="FootnoteText"/>
        <w:widowControl w:val="0"/>
        <w:jc w:val="both"/>
      </w:pPr>
      <w:r>
        <w:rPr>
          <w:rStyle w:val="FootnoteReference"/>
        </w:rPr>
        <w:footnoteRef/>
      </w:r>
      <w:r>
        <w:t xml:space="preserve"> </w:t>
      </w:r>
      <w:r>
        <w:rPr>
          <w:i/>
        </w:rPr>
        <w:t>Id.</w:t>
      </w:r>
      <w:r>
        <w:t xml:space="preserve"> at 5.</w:t>
      </w:r>
    </w:p>
  </w:footnote>
  <w:footnote w:id="462">
    <w:p w:rsidR="00D72450" w:rsidRPr="0098619E" w:rsidRDefault="00D72450" w:rsidP="0078310B">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63">
    <w:p w:rsidR="00D72450" w:rsidRPr="005E34FD" w:rsidRDefault="00D72450" w:rsidP="0078310B">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64">
    <w:p w:rsidR="00D72450" w:rsidRDefault="00D72450" w:rsidP="0078310B">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however, a significant proportion of corporate-earned income is not doubly taxed. First, more than half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65">
    <w:p w:rsidR="00D72450" w:rsidRPr="00287A95" w:rsidRDefault="00D72450" w:rsidP="0078310B">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66">
    <w:p w:rsidR="00D72450" w:rsidRDefault="00D72450" w:rsidP="0078310B">
      <w:pPr>
        <w:pStyle w:val="FootnoteText"/>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67">
    <w:p w:rsidR="00D72450" w:rsidRPr="006F5D4D" w:rsidRDefault="00D72450" w:rsidP="0078310B">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68">
    <w:p w:rsidR="00D72450" w:rsidRDefault="00D72450" w:rsidP="0078310B">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69">
    <w:p w:rsidR="00D72450" w:rsidRPr="00C05500" w:rsidRDefault="00D72450" w:rsidP="0078310B">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70">
    <w:p w:rsidR="00D72450" w:rsidRDefault="00D72450" w:rsidP="0078310B">
      <w:pPr>
        <w:pStyle w:val="FootnoteText"/>
      </w:pPr>
      <w:r>
        <w:rPr>
          <w:rStyle w:val="FootnoteReference"/>
        </w:rPr>
        <w:footnoteRef/>
      </w:r>
      <w:r>
        <w:t xml:space="preserve"> England introduced basis indexing in 1982 but repealed it in 1988 because of its complexity.</w:t>
      </w:r>
    </w:p>
  </w:footnote>
  <w:footnote w:id="471">
    <w:p w:rsidR="00D72450" w:rsidRPr="001F0678" w:rsidRDefault="00D72450" w:rsidP="0078310B">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72">
    <w:p w:rsidR="00D72450" w:rsidRPr="00304042" w:rsidRDefault="00D72450" w:rsidP="0078310B">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73">
    <w:p w:rsidR="00D72450" w:rsidRPr="004C05D5" w:rsidRDefault="00D72450" w:rsidP="0078310B">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74">
    <w:p w:rsidR="00D72450" w:rsidRDefault="00D72450" w:rsidP="0078310B">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75">
    <w:p w:rsidR="00D72450" w:rsidRPr="00380F45" w:rsidRDefault="00D72450" w:rsidP="0078310B">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76">
    <w:p w:rsidR="00D72450" w:rsidRDefault="00D72450" w:rsidP="0078310B">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19" w:history="1">
        <w:r w:rsidRPr="006B367B">
          <w:t>Suburban Realty,</w:t>
        </w:r>
        <w:r w:rsidRPr="0030287B">
          <w:t xml:space="preserve"> 615 F.2d 171</w:t>
        </w:r>
      </w:hyperlink>
      <w:r w:rsidRPr="0030287B">
        <w:t xml:space="preserve">; </w:t>
      </w:r>
      <w:hyperlink r:id="rId20" w:history="1">
        <w:r w:rsidRPr="006B367B">
          <w:t>Houston Endowment,</w:t>
        </w:r>
        <w:r w:rsidRPr="0030287B">
          <w:t xml:space="preserve"> 606 F.2d 77</w:t>
        </w:r>
      </w:hyperlink>
      <w:r w:rsidRPr="0030287B">
        <w:t xml:space="preserve">; </w:t>
      </w:r>
      <w:hyperlink r:id="rId21"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2"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3"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4" w:history="1">
        <w:r w:rsidRPr="0030287B">
          <w:t>262 F.2d 957</w:t>
        </w:r>
      </w:hyperlink>
      <w:r w:rsidRPr="0030287B">
        <w:t xml:space="preserve"> (5th Cir.), </w:t>
      </w:r>
      <w:r w:rsidRPr="0030287B">
        <w:rPr>
          <w:i/>
        </w:rPr>
        <w:t>cert. denied</w:t>
      </w:r>
      <w:r w:rsidRPr="0030287B">
        <w:t xml:space="preserve">, </w:t>
      </w:r>
      <w:hyperlink r:id="rId25"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77">
    <w:p w:rsidR="00D72450" w:rsidRDefault="00D72450" w:rsidP="0078310B">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6" w:history="1">
        <w:r w:rsidRPr="006B367B">
          <w:t>Thompson v. Comm’r,</w:t>
        </w:r>
        <w:r w:rsidRPr="0030287B">
          <w:t xml:space="preserve"> 322 F.2d 122, 127 (5th Cir.1963)</w:t>
        </w:r>
      </w:hyperlink>
      <w:r w:rsidRPr="0030287B">
        <w:t>.</w:t>
      </w:r>
    </w:p>
  </w:footnote>
  <w:footnote w:id="478">
    <w:p w:rsidR="00D72450" w:rsidRDefault="00D72450" w:rsidP="0078310B">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79">
    <w:p w:rsidR="00D72450" w:rsidRDefault="00D72450" w:rsidP="0078310B">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80">
    <w:p w:rsidR="00D72450" w:rsidRPr="000901E7" w:rsidRDefault="00D72450" w:rsidP="0078310B">
      <w:pPr>
        <w:pStyle w:val="FootnoteText"/>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81">
    <w:p w:rsidR="00D72450" w:rsidRPr="00FF7527" w:rsidRDefault="00D72450" w:rsidP="0078310B">
      <w:pPr>
        <w:pStyle w:val="FootnoteText"/>
        <w:widowControl w:val="0"/>
        <w:jc w:val="both"/>
      </w:pPr>
      <w:r>
        <w:rPr>
          <w:rStyle w:val="FootnoteReference"/>
        </w:rPr>
        <w:footnoteRef/>
      </w:r>
      <w:r>
        <w:t xml:space="preserve"> The story recounted here is from Matthew G. Brown, </w:t>
      </w:r>
      <w:r w:rsidRPr="00C713A3">
        <w:rPr>
          <w:i/>
        </w:rPr>
        <w:t>The First Nixon Papers Controversy: Richard Nixon’s 1969 Prepresidential Papers Tax Deduction</w:t>
      </w:r>
      <w:r>
        <w:t xml:space="preserve">, 26 </w:t>
      </w:r>
      <w:r>
        <w:rPr>
          <w:smallCaps/>
        </w:rPr>
        <w:t>Archival Issues</w:t>
      </w:r>
      <w:r>
        <w:t xml:space="preserve"> (2001). </w:t>
      </w:r>
    </w:p>
  </w:footnote>
  <w:footnote w:id="482">
    <w:p w:rsidR="00D72450" w:rsidRPr="004A42AB" w:rsidRDefault="00D72450" w:rsidP="0078310B">
      <w:pPr>
        <w:pStyle w:val="FootnoteText"/>
        <w:widowControl w:val="0"/>
        <w:jc w:val="both"/>
      </w:pPr>
      <w:r>
        <w:rPr>
          <w:rStyle w:val="FootnoteReference"/>
        </w:rPr>
        <w:footnoteRef/>
      </w:r>
      <w:r>
        <w:t xml:space="preserve"> </w:t>
      </w:r>
      <w:r>
        <w:rPr>
          <w:i/>
        </w:rPr>
        <w:t>Id.</w:t>
      </w:r>
      <w:r>
        <w:t xml:space="preserve"> at 10. </w:t>
      </w:r>
    </w:p>
  </w:footnote>
  <w:footnote w:id="483">
    <w:p w:rsidR="00D72450" w:rsidRPr="00E063FB" w:rsidRDefault="00D72450" w:rsidP="0078310B">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84">
    <w:p w:rsidR="00D72450" w:rsidRPr="00B7466B" w:rsidRDefault="00D72450" w:rsidP="0078310B">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85">
    <w:p w:rsidR="00D72450" w:rsidRPr="00407B8E" w:rsidRDefault="00D72450" w:rsidP="0078310B">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86">
    <w:p w:rsidR="00D72450" w:rsidRDefault="00D72450" w:rsidP="0078310B">
      <w:pPr>
        <w:pStyle w:val="FootnoteText"/>
        <w:widowControl w:val="0"/>
        <w:jc w:val="both"/>
      </w:pPr>
      <w:r>
        <w:rPr>
          <w:rStyle w:val="FootnoteReference"/>
        </w:rPr>
        <w:footnoteRef/>
      </w:r>
      <w:r>
        <w:t xml:space="preserve"> 350 U.S. 46 (1955).</w:t>
      </w:r>
    </w:p>
  </w:footnote>
  <w:footnote w:id="487">
    <w:p w:rsidR="00D72450" w:rsidRDefault="00D72450" w:rsidP="0078310B">
      <w:pPr>
        <w:pStyle w:val="FootnoteText"/>
        <w:widowControl w:val="0"/>
        <w:jc w:val="both"/>
      </w:pPr>
      <w:r>
        <w:rPr>
          <w:rStyle w:val="FootnoteReference"/>
        </w:rPr>
        <w:footnoteRef/>
      </w:r>
      <w:r>
        <w:t xml:space="preserve"> </w:t>
      </w:r>
      <w:r>
        <w:rPr>
          <w:i/>
        </w:rPr>
        <w:t>Id.</w:t>
      </w:r>
      <w:r>
        <w:t xml:space="preserve"> at 51-52. </w:t>
      </w:r>
    </w:p>
  </w:footnote>
  <w:footnote w:id="488">
    <w:p w:rsidR="00D72450" w:rsidRPr="0064345D" w:rsidRDefault="00D72450" w:rsidP="0078310B">
      <w:pPr>
        <w:pStyle w:val="FootnoteText"/>
        <w:widowControl w:val="0"/>
        <w:jc w:val="both"/>
      </w:pPr>
      <w:r>
        <w:rPr>
          <w:rStyle w:val="FootnoteReference"/>
        </w:rPr>
        <w:footnoteRef/>
      </w:r>
      <w:r>
        <w:t xml:space="preserve"> </w:t>
      </w:r>
      <w:r>
        <w:rPr>
          <w:i/>
        </w:rPr>
        <w:t>Id.</w:t>
      </w:r>
      <w:r>
        <w:t xml:space="preserve"> at 52-53.</w:t>
      </w:r>
    </w:p>
  </w:footnote>
  <w:footnote w:id="489">
    <w:p w:rsidR="00D72450" w:rsidRDefault="00D72450" w:rsidP="0078310B">
      <w:pPr>
        <w:pStyle w:val="FootnoteText"/>
        <w:widowControl w:val="0"/>
        <w:jc w:val="both"/>
      </w:pPr>
      <w:r>
        <w:rPr>
          <w:rStyle w:val="FootnoteReference"/>
        </w:rPr>
        <w:footnoteRef/>
      </w:r>
      <w:r>
        <w:t xml:space="preserve"> 221 F.2d 944 (2d Cir. 1955).  </w:t>
      </w:r>
    </w:p>
  </w:footnote>
  <w:footnote w:id="490">
    <w:p w:rsidR="00D72450" w:rsidRDefault="00D72450" w:rsidP="0078310B">
      <w:pPr>
        <w:pStyle w:val="FootnoteText"/>
        <w:widowControl w:val="0"/>
        <w:jc w:val="both"/>
      </w:pPr>
      <w:r>
        <w:rPr>
          <w:rStyle w:val="FootnoteReference"/>
        </w:rPr>
        <w:footnoteRef/>
      </w:r>
      <w:r>
        <w:t xml:space="preserve"> 485 U.S. 212 (1988).</w:t>
      </w:r>
    </w:p>
  </w:footnote>
  <w:footnote w:id="491">
    <w:p w:rsidR="00D72450" w:rsidRDefault="00D72450" w:rsidP="0078310B">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92">
    <w:p w:rsidR="00D72450" w:rsidRDefault="00D72450" w:rsidP="0078310B">
      <w:pPr>
        <w:pStyle w:val="FootnoteText"/>
        <w:widowControl w:val="0"/>
        <w:jc w:val="both"/>
      </w:pPr>
      <w:r>
        <w:rPr>
          <w:rStyle w:val="FootnoteReference"/>
        </w:rPr>
        <w:footnoteRef/>
      </w:r>
      <w:r>
        <w:t xml:space="preserve"> 356 U.S. 260 (1958).</w:t>
      </w:r>
    </w:p>
  </w:footnote>
  <w:footnote w:id="493">
    <w:p w:rsidR="00D72450" w:rsidRDefault="00D72450" w:rsidP="0078310B">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94">
    <w:p w:rsidR="00D72450" w:rsidRPr="00FD5276" w:rsidRDefault="00D72450" w:rsidP="0078310B">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95">
    <w:p w:rsidR="00D72450" w:rsidRPr="00413E3B" w:rsidRDefault="00D72450" w:rsidP="0078310B">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96">
    <w:p w:rsidR="00D72450" w:rsidRDefault="00D72450" w:rsidP="0078310B">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97">
    <w:p w:rsidR="00D72450" w:rsidRPr="00FF2B88" w:rsidRDefault="00D72450" w:rsidP="0078310B">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98">
    <w:p w:rsidR="00D72450" w:rsidRDefault="00D72450" w:rsidP="0078310B">
      <w:pPr>
        <w:pStyle w:val="FootnoteText"/>
        <w:widowControl w:val="0"/>
        <w:jc w:val="both"/>
      </w:pPr>
      <w:r>
        <w:rPr>
          <w:rStyle w:val="FootnoteReference"/>
        </w:rPr>
        <w:footnoteRef/>
      </w:r>
      <w:r>
        <w:t xml:space="preserve"> It also throws in additional property, such as certain timber, coal, livestock, unharvested crops</w:t>
      </w:r>
    </w:p>
  </w:footnote>
  <w:footnote w:id="499">
    <w:p w:rsidR="00D72450" w:rsidRDefault="00D72450" w:rsidP="0078310B">
      <w:pPr>
        <w:pStyle w:val="FootnoteText"/>
        <w:widowControl w:val="0"/>
        <w:jc w:val="both"/>
      </w:pPr>
      <w:r>
        <w:rPr>
          <w:rStyle w:val="FootnoteReference"/>
        </w:rPr>
        <w:footnoteRef/>
      </w:r>
      <w:r>
        <w:t xml:space="preserve"> T.C. Memo. 1971-6.</w:t>
      </w:r>
    </w:p>
  </w:footnote>
  <w:footnote w:id="500">
    <w:p w:rsidR="00D72450" w:rsidRPr="00046DF1" w:rsidRDefault="00D72450" w:rsidP="0078310B">
      <w:pPr>
        <w:pStyle w:val="FootnoteText"/>
      </w:pPr>
      <w:r>
        <w:rPr>
          <w:rStyle w:val="FootnoteReference"/>
        </w:rPr>
        <w:footnoteRef/>
      </w:r>
      <w:r>
        <w:t xml:space="preserve"> </w:t>
      </w:r>
      <w:r>
        <w:rPr>
          <w:i/>
        </w:rPr>
        <w:t xml:space="preserve">See </w:t>
      </w:r>
      <w:r>
        <w:t>TAM 8350008 (Aug. 23, 1983).</w:t>
      </w:r>
    </w:p>
  </w:footnote>
  <w:footnote w:id="501">
    <w:p w:rsidR="00D72450" w:rsidRDefault="00D72450" w:rsidP="0078310B">
      <w:pPr>
        <w:pStyle w:val="FootnoteText"/>
      </w:pPr>
      <w:r>
        <w:rPr>
          <w:rStyle w:val="FootnoteReference"/>
        </w:rPr>
        <w:footnoteRef/>
      </w:r>
      <w:r>
        <w:t xml:space="preserve"> </w:t>
      </w:r>
      <w:r>
        <w:rPr>
          <w:i/>
        </w:rPr>
        <w:t xml:space="preserve">See </w:t>
      </w:r>
      <w:r>
        <w:t>§§ 1245(d) and 1250(h).</w:t>
      </w:r>
    </w:p>
  </w:footnote>
  <w:footnote w:id="502">
    <w:p w:rsidR="00D72450" w:rsidRDefault="00D72450" w:rsidP="0078310B">
      <w:pPr>
        <w:pStyle w:val="FootnoteText"/>
        <w:widowControl w:val="0"/>
        <w:jc w:val="both"/>
      </w:pPr>
      <w:r>
        <w:rPr>
          <w:rStyle w:val="FootnoteReference"/>
        </w:rPr>
        <w:footnoteRef/>
      </w:r>
      <w:r>
        <w:t xml:space="preserve"> This use of the annual accounting principle is evidenced in § 61(a)(12) debt-discharge income, as well. As described in Chapter 11, a borrower who fails to repay debt (unconnected with property) does not go back and include the borrowed loan principal in the year originally received (and excluded). Exclusion in the year of receipt was proper based on what we anticipated would happen in the future: repayment of the loan principal with after-tax dollars. When repayment fails to occur, we take care of the problem in that later year by creating an income inclusion to reverse, in effect, the prior exclusion of the loan proceeds that we now know, with the benefit of hindsight only, to be unjustified. </w:t>
      </w:r>
    </w:p>
  </w:footnote>
  <w:footnote w:id="503">
    <w:p w:rsidR="00D72450" w:rsidRDefault="00D72450">
      <w:pPr>
        <w:pStyle w:val="FootnoteText"/>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504">
    <w:p w:rsidR="00D72450" w:rsidRDefault="00D72450" w:rsidP="0078310B">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505">
    <w:p w:rsidR="00D72450" w:rsidRDefault="00D72450" w:rsidP="0078310B">
      <w:pPr>
        <w:pStyle w:val="FootnoteText"/>
        <w:widowControl w:val="0"/>
        <w:jc w:val="both"/>
      </w:pPr>
      <w:r>
        <w:rPr>
          <w:rStyle w:val="FootnoteReference"/>
        </w:rPr>
        <w:footnoteRef/>
      </w:r>
      <w:r>
        <w:t xml:space="preserve"> They also can often defer the inclusion until future years.</w:t>
      </w:r>
    </w:p>
  </w:footnote>
  <w:footnote w:id="506">
    <w:p w:rsidR="00D72450" w:rsidRPr="00F9055C" w:rsidRDefault="00D72450" w:rsidP="0078310B">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507">
    <w:p w:rsidR="00D72450" w:rsidRPr="00814670" w:rsidRDefault="00D72450" w:rsidP="0078310B">
      <w:pPr>
        <w:pStyle w:val="FootnoteText"/>
        <w:widowControl w:val="0"/>
        <w:jc w:val="both"/>
      </w:pPr>
      <w:r>
        <w:rPr>
          <w:rStyle w:val="FootnoteReference"/>
        </w:rPr>
        <w:footnoteRef/>
      </w:r>
      <w:r>
        <w:t xml:space="preserve"> For example, some may have heard through the popular press of the notorious so-called Boss (Bond Option Sales Strategy) and Son of Boss tax shelters, which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508">
    <w:p w:rsidR="00D72450" w:rsidRDefault="00D72450" w:rsidP="0078310B">
      <w:pPr>
        <w:pStyle w:val="FootnoteText"/>
        <w:widowControl w:val="0"/>
        <w:jc w:val="both"/>
      </w:pPr>
      <w:r>
        <w:rPr>
          <w:rStyle w:val="FootnoteReference"/>
        </w:rPr>
        <w:footnoteRef/>
      </w:r>
      <w:r>
        <w:t xml:space="preserve"> Recall from Chapter 12 that the relief from nonrecourse debt on the transfer of property creates § 1001(b) A/R under </w:t>
      </w:r>
      <w:r>
        <w:rPr>
          <w:i/>
        </w:rPr>
        <w:t xml:space="preserve">Tufts </w:t>
      </w:r>
      <w:r>
        <w:t>to the full extent of the debt, even if the nonrecourse debt exceeds the FMV of the property, contrary to the bifurcated approach adopted in the case of excess recourse debt that is discharged on transfer.</w:t>
      </w:r>
    </w:p>
  </w:footnote>
  <w:footnote w:id="509">
    <w:p w:rsidR="00D72450" w:rsidRDefault="00D72450" w:rsidP="0078310B">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510">
    <w:p w:rsidR="00D72450" w:rsidRDefault="00D72450" w:rsidP="0078310B">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27" w:history="1">
        <w:r w:rsidRPr="00251F57">
          <w:t>64 T.C. at 767</w:t>
        </w:r>
      </w:hyperlink>
      <w:r w:rsidRPr="00251F57">
        <w:t>.</w:t>
      </w:r>
    </w:p>
    <w:p w:rsidR="00D72450" w:rsidRPr="00251F57" w:rsidRDefault="00D72450" w:rsidP="0078310B">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28"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29" w:history="1">
        <w:r w:rsidRPr="00E739FD">
          <w:t>Bornstein v. Comm’r,</w:t>
        </w:r>
        <w:r w:rsidRPr="00251F57">
          <w:t xml:space="preserve"> 334 F.2d 779 (1st Cir. 1964)</w:t>
        </w:r>
      </w:hyperlink>
      <w:r w:rsidRPr="00251F57">
        <w:t xml:space="preserve">; </w:t>
      </w:r>
      <w:hyperlink r:id="rId30" w:history="1">
        <w:r w:rsidRPr="00E739FD">
          <w:t xml:space="preserve">MacRae v. Comm’r, </w:t>
        </w:r>
        <w:r w:rsidRPr="00251F57">
          <w:t>294 F.2d 56 (9th Cir. 1961)</w:t>
        </w:r>
      </w:hyperlink>
      <w:r w:rsidRPr="00251F57">
        <w:t>.</w:t>
      </w:r>
    </w:p>
    <w:p w:rsidR="00D72450" w:rsidRPr="00251F57" w:rsidRDefault="00D72450" w:rsidP="0078310B">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1"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2" w:history="1">
        <w:r w:rsidRPr="00251F57">
          <w:t>64 T.C. at 767-768</w:t>
        </w:r>
      </w:hyperlink>
      <w:r w:rsidRPr="00251F57">
        <w:t>.</w:t>
      </w:r>
    </w:p>
    <w:p w:rsidR="00D72450" w:rsidRPr="00251F57" w:rsidRDefault="00D72450" w:rsidP="0078310B">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rsidR="00D72450" w:rsidRPr="00251F57" w:rsidRDefault="00D72450" w:rsidP="0078310B">
      <w:pPr>
        <w:pStyle w:val="FootnoteText"/>
        <w:widowControl w:val="0"/>
        <w:jc w:val="both"/>
      </w:pPr>
    </w:p>
  </w:footnote>
  <w:footnote w:id="511">
    <w:p w:rsidR="00D72450" w:rsidRDefault="00D72450" w:rsidP="0078310B">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3" w:history="1">
        <w:r w:rsidRPr="00251F57">
          <w:t>Rev. Rul. 69-77, 1969-1</w:t>
        </w:r>
      </w:hyperlink>
      <w:r>
        <w:t xml:space="preserve"> C. B</w:t>
      </w:r>
      <w:r w:rsidRPr="00251F57">
        <w:t>. 59.</w:t>
      </w:r>
    </w:p>
  </w:footnote>
  <w:footnote w:id="512">
    <w:p w:rsidR="00D72450" w:rsidRDefault="00D72450" w:rsidP="0078310B">
      <w:pPr>
        <w:pStyle w:val="FootnoteText"/>
        <w:widowControl w:val="0"/>
        <w:jc w:val="both"/>
      </w:pPr>
      <w:r>
        <w:rPr>
          <w:rStyle w:val="FootnoteReference"/>
        </w:rPr>
        <w:footnoteRef/>
      </w:r>
      <w:r>
        <w:t xml:space="preserve"> Professor James Edward Maule of Villanova University School of Law, who engages in genealogy as a hobby, figured out that Governor and Presidential candidate Mitt Romney was the “half-first-cousin-once-removed” of Wayne Romney. Email submission to Taxprof, a closed, Internet discussion group for tax law professors at AALS-accredited law schools, Feb. 12, 2012 (copy on file with author).</w:t>
      </w:r>
    </w:p>
  </w:footnote>
  <w:footnote w:id="513">
    <w:p w:rsidR="00D72450" w:rsidRDefault="00D72450" w:rsidP="0078310B">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14">
    <w:p w:rsidR="00D72450" w:rsidRPr="00663A4D" w:rsidRDefault="00D72450" w:rsidP="0078310B">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xml:space="preserve">. In other words, because the only cash received by the Romneys was “prepaid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15">
    <w:p w:rsidR="00D72450" w:rsidRDefault="00D72450" w:rsidP="0078310B">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16">
    <w:p w:rsidR="00D72450" w:rsidRDefault="00D72450" w:rsidP="0078310B">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17">
    <w:p w:rsidR="00D72450" w:rsidRPr="00CB7C25" w:rsidRDefault="00D72450" w:rsidP="0078310B">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w:t>
      </w:r>
    </w:p>
  </w:footnote>
  <w:footnote w:id="518">
    <w:p w:rsidR="00D72450" w:rsidRDefault="00D72450" w:rsidP="0078310B">
      <w:pPr>
        <w:pStyle w:val="FootnoteText"/>
        <w:widowControl w:val="0"/>
        <w:jc w:val="both"/>
      </w:pPr>
      <w:r>
        <w:rPr>
          <w:rStyle w:val="FootnoteReference"/>
        </w:rPr>
        <w:footnoteRef/>
      </w:r>
      <w:r>
        <w:t xml:space="preserve"> 2001-1 C.B. 1156.</w:t>
      </w:r>
    </w:p>
  </w:footnote>
  <w:footnote w:id="519">
    <w:p w:rsidR="00D72450" w:rsidRPr="00B50B0D" w:rsidRDefault="00D72450" w:rsidP="0078310B">
      <w:pPr>
        <w:pStyle w:val="FootnoteText"/>
        <w:widowControl w:val="0"/>
        <w:jc w:val="both"/>
      </w:pPr>
      <w:r>
        <w:rPr>
          <w:rStyle w:val="FootnoteReference"/>
        </w:rPr>
        <w:footnoteRef/>
      </w:r>
      <w:r>
        <w:t xml:space="preserve"> 293 U.S. 465 (1935), </w:t>
      </w:r>
      <w:r>
        <w:rPr>
          <w:i/>
        </w:rPr>
        <w:t>aff’g</w:t>
      </w:r>
      <w:r>
        <w:t xml:space="preserve"> 69 F.2d 809 (2d Cir. 1934).</w:t>
      </w:r>
    </w:p>
  </w:footnote>
  <w:footnote w:id="520">
    <w:p w:rsidR="00D72450" w:rsidRDefault="00D72450" w:rsidP="0078310B">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21">
    <w:p w:rsidR="00D72450" w:rsidRDefault="00D72450" w:rsidP="0078310B">
      <w:pPr>
        <w:pStyle w:val="FootnoteText"/>
        <w:widowControl w:val="0"/>
        <w:jc w:val="both"/>
      </w:pPr>
      <w:r>
        <w:rPr>
          <w:rStyle w:val="FootnoteReference"/>
        </w:rPr>
        <w:footnoteRef/>
      </w:r>
      <w:r>
        <w:t xml:space="preserve"> 364 F.2d 734 (2d Cir. 1966). </w:t>
      </w:r>
    </w:p>
  </w:footnote>
  <w:footnote w:id="522">
    <w:p w:rsidR="00D72450" w:rsidRPr="00C84666" w:rsidRDefault="00D72450" w:rsidP="0078310B">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23">
    <w:p w:rsidR="00D72450" w:rsidRPr="00D253F8" w:rsidRDefault="00D72450" w:rsidP="0078310B">
      <w:pPr>
        <w:pStyle w:val="FootnoteText"/>
        <w:widowControl w:val="0"/>
        <w:jc w:val="both"/>
      </w:pPr>
      <w:r>
        <w:rPr>
          <w:rStyle w:val="FootnoteReference"/>
        </w:rPr>
        <w:footnoteRef/>
      </w:r>
      <w:r>
        <w:t xml:space="preserve"> </w:t>
      </w:r>
      <w:r>
        <w:rPr>
          <w:i/>
        </w:rPr>
        <w:t>Goldstein</w:t>
      </w:r>
      <w:r>
        <w:t>, 364 F.2d at 736.</w:t>
      </w:r>
    </w:p>
  </w:footnote>
  <w:footnote w:id="524">
    <w:p w:rsidR="00D72450" w:rsidRDefault="00D72450" w:rsidP="0078310B">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25">
    <w:p w:rsidR="00D72450" w:rsidRPr="007F2C73" w:rsidRDefault="00D72450" w:rsidP="0078310B">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26">
    <w:p w:rsidR="00D72450" w:rsidRPr="005163FC" w:rsidRDefault="00D72450" w:rsidP="0078310B">
      <w:pPr>
        <w:pStyle w:val="FootnoteText"/>
        <w:widowControl w:val="0"/>
        <w:jc w:val="both"/>
      </w:pPr>
      <w:r>
        <w:rPr>
          <w:rStyle w:val="FootnoteReference"/>
        </w:rPr>
        <w:footnoteRef/>
      </w:r>
      <w:r>
        <w:t xml:space="preserve"> </w:t>
      </w:r>
      <w:r>
        <w:rPr>
          <w:i/>
        </w:rPr>
        <w:t>Id.</w:t>
      </w:r>
      <w:r>
        <w:t xml:space="preserve"> at 740-42.</w:t>
      </w:r>
    </w:p>
  </w:footnote>
  <w:footnote w:id="527">
    <w:p w:rsidR="00D72450" w:rsidRDefault="00D72450" w:rsidP="0078310B">
      <w:pPr>
        <w:pStyle w:val="FootnoteText"/>
      </w:pPr>
      <w:r>
        <w:rPr>
          <w:rStyle w:val="FootnoteReference"/>
        </w:rPr>
        <w:footnoteRef/>
      </w:r>
      <w:r>
        <w:t xml:space="preserve"> </w:t>
      </w:r>
      <w:r>
        <w:rPr>
          <w:i/>
        </w:rPr>
        <w:t xml:space="preserve">See </w:t>
      </w:r>
      <w:r>
        <w:t>§§ 6662(d)(2)(B) and (C).</w:t>
      </w:r>
    </w:p>
  </w:footnote>
  <w:footnote w:id="528">
    <w:p w:rsidR="00D72450" w:rsidRPr="00E43699" w:rsidRDefault="00D72450" w:rsidP="0078310B">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29">
    <w:p w:rsidR="00D72450" w:rsidRPr="00626C06" w:rsidRDefault="00D72450" w:rsidP="0078310B">
      <w:pPr>
        <w:pStyle w:val="FootnoteText"/>
        <w:widowControl w:val="0"/>
        <w:jc w:val="both"/>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30">
    <w:p w:rsidR="00D72450" w:rsidRPr="00B964ED" w:rsidRDefault="00D72450" w:rsidP="0078310B">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low-taxed capital gain. For that reason, some argued that § 469, in particular, could be defended as consumer protection legislation. </w:t>
      </w:r>
    </w:p>
  </w:footnote>
  <w:footnote w:id="531">
    <w:p w:rsidR="00D72450" w:rsidRDefault="00D72450" w:rsidP="0078310B">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32">
    <w:p w:rsidR="00D72450" w:rsidRDefault="00D72450" w:rsidP="0078310B">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14, his depreciation deductions, which reduce his basis under § 1016(a)(2), will in virtually all cases exceed any real loss in the property’s value.</w:t>
      </w:r>
    </w:p>
  </w:footnote>
  <w:footnote w:id="533">
    <w:p w:rsidR="00D72450" w:rsidRPr="00B4690C" w:rsidRDefault="00D72450" w:rsidP="0078310B">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34">
    <w:p w:rsidR="00D72450" w:rsidRDefault="00D72450" w:rsidP="0078310B">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14.</w:t>
      </w:r>
    </w:p>
  </w:footnote>
  <w:footnote w:id="535">
    <w:p w:rsidR="00D72450" w:rsidRDefault="00D72450" w:rsidP="0078310B">
      <w:pPr>
        <w:widowControl w:val="0"/>
        <w:jc w:val="both"/>
      </w:pPr>
      <w:r w:rsidRPr="00EE1D53">
        <w:rPr>
          <w:rStyle w:val="FootnoteReference"/>
          <w:sz w:val="20"/>
          <w:szCs w:val="20"/>
        </w:rPr>
        <w:footnoteRef/>
      </w:r>
      <w:r w:rsidRPr="00EE1D53">
        <w:rPr>
          <w:sz w:val="20"/>
          <w:szCs w:val="20"/>
        </w:rPr>
        <w:t xml:space="preserve"> If the capital return is, itself, not going to enter the tax base, no deductions are necessary to avoid doubly taxing the same dollars to the same taxpa</w:t>
      </w:r>
      <w:r>
        <w:rPr>
          <w:sz w:val="20"/>
          <w:szCs w:val="20"/>
        </w:rPr>
        <w:t xml:space="preserve">yer, as you learned in Chapter 2. </w:t>
      </w:r>
    </w:p>
  </w:footnote>
  <w:footnote w:id="536">
    <w:p w:rsidR="00D72450" w:rsidRDefault="00D72450" w:rsidP="0078310B">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you must remember that dividends are not real capital gain. Thus, for example, dividends do nothing to help a taxpayer with a large capital loss carryover under § 1212(b) to deduct those carryovers under § 1211(b).</w:t>
      </w:r>
    </w:p>
  </w:footnote>
  <w:footnote w:id="537">
    <w:p w:rsidR="00D72450" w:rsidRPr="00653676" w:rsidRDefault="00D72450" w:rsidP="0078310B">
      <w:pPr>
        <w:pStyle w:val="FootnoteText"/>
        <w:widowControl w:val="0"/>
        <w:jc w:val="both"/>
      </w:pPr>
      <w:r>
        <w:rPr>
          <w:rStyle w:val="FootnoteReference"/>
        </w:rPr>
        <w:footnoteRef/>
      </w:r>
      <w:r>
        <w:t xml:space="preserve"> 137 </w:t>
      </w:r>
      <w:r>
        <w:rPr>
          <w:smallCaps/>
        </w:rPr>
        <w:t>Tax Notes</w:t>
      </w:r>
      <w:r>
        <w:t xml:space="preserve"> 335 (2012). Reprinted with permission of Tax Analysts.</w:t>
      </w:r>
    </w:p>
  </w:footnote>
  <w:footnote w:id="538">
    <w:p w:rsidR="00D72450" w:rsidRDefault="00D72450" w:rsidP="0078310B">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39">
    <w:p w:rsidR="00D72450" w:rsidRDefault="00D72450" w:rsidP="0078310B">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40">
    <w:p w:rsidR="00D72450" w:rsidRDefault="00D72450" w:rsidP="0078310B">
      <w:pPr>
        <w:pStyle w:val="FootnoteText"/>
        <w:widowControl w:val="0"/>
        <w:jc w:val="both"/>
      </w:pPr>
      <w:r>
        <w:rPr>
          <w:rStyle w:val="FootnoteReference"/>
        </w:rPr>
        <w:footnoteRef/>
      </w:r>
      <w:r>
        <w:t xml:space="preserve"> As described in Chapter 14, certain “start-up costs” that otherwise qualify as current business “expenses” but are incurred before a new business opens must be capitalized and can be amortized under § 195. To be eligible for § 195 amortization, however, the outlay must be one that, if incurred in connection with an existing operating business, would be allowable as a deduction for the taxable year in which paid or incurred. Thus, § 195 amortization is not generally relevant to education costs.</w:t>
      </w:r>
    </w:p>
  </w:footnote>
  <w:footnote w:id="541">
    <w:p w:rsidR="00D72450" w:rsidRPr="00560649" w:rsidRDefault="00D72450" w:rsidP="0078310B">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42">
    <w:p w:rsidR="00D72450" w:rsidRDefault="00D72450" w:rsidP="0078310B">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43">
    <w:p w:rsidR="00D72450" w:rsidRDefault="00D72450" w:rsidP="0078310B">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44">
    <w:p w:rsidR="00D72450" w:rsidRDefault="00D72450" w:rsidP="0078310B">
      <w:pPr>
        <w:pStyle w:val="FootnoteText"/>
      </w:pPr>
      <w:r>
        <w:rPr>
          <w:rStyle w:val="FootnoteReference"/>
        </w:rPr>
        <w:footnoteRef/>
      </w:r>
      <w:r>
        <w:t xml:space="preserve"> </w:t>
      </w:r>
      <w:r>
        <w:rPr>
          <w:spacing w:val="-2"/>
          <w:szCs w:val="24"/>
        </w:rPr>
        <w:t>Rev. Rul. 74-78, 1974-1 C.B. 44.</w:t>
      </w:r>
    </w:p>
  </w:footnote>
  <w:footnote w:id="545">
    <w:p w:rsidR="00D72450" w:rsidRDefault="00D72450" w:rsidP="0078310B">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46">
    <w:p w:rsidR="00D72450" w:rsidRPr="00272D91" w:rsidRDefault="00D72450" w:rsidP="0078310B">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47">
    <w:p w:rsidR="00D72450" w:rsidRPr="004E17F5" w:rsidRDefault="00D72450" w:rsidP="0078310B">
      <w:pPr>
        <w:pStyle w:val="FootnoteText"/>
        <w:widowControl w:val="0"/>
        <w:jc w:val="both"/>
      </w:pPr>
      <w:r w:rsidRPr="004E17F5">
        <w:rPr>
          <w:rStyle w:val="FootnoteReference"/>
        </w:rPr>
        <w:footnoteRef/>
      </w:r>
      <w:r w:rsidRPr="004E17F5">
        <w:t xml:space="preserve"> </w:t>
      </w:r>
      <w:r>
        <w:t>T.C. Memo. 1980-488.</w:t>
      </w:r>
    </w:p>
  </w:footnote>
  <w:footnote w:id="548">
    <w:p w:rsidR="00D72450" w:rsidRPr="004E17F5" w:rsidRDefault="00D72450" w:rsidP="0078310B">
      <w:pPr>
        <w:pStyle w:val="FootnoteText"/>
        <w:widowControl w:val="0"/>
        <w:jc w:val="both"/>
      </w:pPr>
      <w:r w:rsidRPr="004E17F5">
        <w:rPr>
          <w:rStyle w:val="FootnoteReference"/>
        </w:rPr>
        <w:footnoteRef/>
      </w:r>
      <w:r w:rsidRPr="004E17F5">
        <w:t xml:space="preserve"> T.C. Memo. 2005-207</w:t>
      </w:r>
      <w:r>
        <w:t>.</w:t>
      </w:r>
    </w:p>
  </w:footnote>
  <w:footnote w:id="549">
    <w:p w:rsidR="00D72450" w:rsidRPr="004E17F5" w:rsidRDefault="00D72450" w:rsidP="0078310B">
      <w:pPr>
        <w:pStyle w:val="FootnoteText"/>
        <w:widowControl w:val="0"/>
        <w:jc w:val="both"/>
      </w:pPr>
      <w:r w:rsidRPr="004E17F5">
        <w:rPr>
          <w:rStyle w:val="FootnoteReference"/>
        </w:rPr>
        <w:footnoteRef/>
      </w:r>
      <w:r w:rsidRPr="004E17F5">
        <w:t xml:space="preserve"> T.C. Memo. 1971-57</w:t>
      </w:r>
      <w:r>
        <w:t>.</w:t>
      </w:r>
    </w:p>
  </w:footnote>
  <w:footnote w:id="550">
    <w:p w:rsidR="00D72450" w:rsidRPr="004E17F5" w:rsidRDefault="00D72450" w:rsidP="0078310B">
      <w:pPr>
        <w:pStyle w:val="FootnoteText"/>
        <w:widowControl w:val="0"/>
        <w:jc w:val="both"/>
      </w:pPr>
      <w:r w:rsidRPr="004E17F5">
        <w:rPr>
          <w:rStyle w:val="FootnoteReference"/>
        </w:rPr>
        <w:footnoteRef/>
      </w:r>
      <w:r w:rsidRPr="004E17F5">
        <w:t xml:space="preserve"> T.C. Memo. 1997-33</w:t>
      </w:r>
      <w:r>
        <w:t>.</w:t>
      </w:r>
    </w:p>
  </w:footnote>
  <w:footnote w:id="551">
    <w:p w:rsidR="00D72450" w:rsidRPr="004E17F5" w:rsidRDefault="00D72450" w:rsidP="0078310B">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52">
    <w:p w:rsidR="00D72450" w:rsidRPr="00B31D57" w:rsidRDefault="00D72450" w:rsidP="0078310B">
      <w:pPr>
        <w:pStyle w:val="FootnoteText"/>
        <w:widowControl w:val="0"/>
        <w:jc w:val="both"/>
      </w:pPr>
      <w:r w:rsidRPr="00B31D57">
        <w:rPr>
          <w:rStyle w:val="FootnoteReference"/>
        </w:rPr>
        <w:footnoteRef/>
      </w:r>
      <w:r>
        <w:t xml:space="preserve"> T.C. Summary Opinion 2009-182.</w:t>
      </w:r>
    </w:p>
  </w:footnote>
  <w:footnote w:id="553">
    <w:p w:rsidR="00D72450" w:rsidRDefault="00D72450">
      <w:pPr>
        <w:pStyle w:val="FootnoteText"/>
      </w:pPr>
      <w:r>
        <w:rPr>
          <w:rStyle w:val="FootnoteReference"/>
        </w:rPr>
        <w:footnoteRef/>
      </w:r>
      <w:r>
        <w:t xml:space="preserve"> T.C. Summary Opinion 2016-35.</w:t>
      </w:r>
    </w:p>
  </w:footnote>
  <w:footnote w:id="554">
    <w:p w:rsidR="00D72450" w:rsidRPr="00ED2C2C" w:rsidRDefault="00D72450" w:rsidP="0078310B">
      <w:pPr>
        <w:pStyle w:val="FootnoteText"/>
        <w:widowControl w:val="0"/>
        <w:jc w:val="both"/>
      </w:pPr>
      <w:r>
        <w:rPr>
          <w:rStyle w:val="FootnoteReference"/>
        </w:rPr>
        <w:footnoteRef/>
      </w:r>
      <w:r>
        <w:t xml:space="preserve"> The one-year rule for business travel expense is found in the middle sentence of the paragraph following § 162(a)(3), and § 274(n)(1) generally reduces by 50% the deduction for meal and entertainment costs otherwise allowable as business expenses. Section 162 deductions for meal and travel expenses are considered more generally in Chapter 20. </w:t>
      </w:r>
    </w:p>
  </w:footnote>
  <w:footnote w:id="555">
    <w:p w:rsidR="00D72450" w:rsidRDefault="00D72450" w:rsidP="0078310B">
      <w:pPr>
        <w:pStyle w:val="FootnoteText"/>
        <w:widowControl w:val="0"/>
        <w:jc w:val="both"/>
      </w:pPr>
      <w:r>
        <w:rPr>
          <w:rStyle w:val="FootnoteReference"/>
        </w:rPr>
        <w:footnoteRef/>
      </w:r>
      <w:r>
        <w:t xml:space="preserve"> Indeed, Meghan suffered a $12,000 loss within the meaning of § 1001(a) when she recovered only $8,000 of her $20,000 basis in the car. The loss is a nondeductible personal loss, however, under § 165(c)(3).</w:t>
      </w:r>
    </w:p>
  </w:footnote>
  <w:footnote w:id="556">
    <w:p w:rsidR="00D72450" w:rsidRDefault="00D72450" w:rsidP="0078310B">
      <w:pPr>
        <w:pStyle w:val="FootnoteText"/>
        <w:widowControl w:val="0"/>
        <w:jc w:val="both"/>
      </w:pPr>
      <w:r>
        <w:rPr>
          <w:rStyle w:val="FootnoteReference"/>
        </w:rPr>
        <w:footnoteRef/>
      </w:r>
      <w:r>
        <w:t xml:space="preserve"> Can Meghan elect nonrecognition under § 1033? Recall from Chapter 13 how strictly the standard “similar or related in service or use” is interpreted, perhaps making it difficult for her to find eligible replacement property. </w:t>
      </w:r>
    </w:p>
  </w:footnote>
  <w:footnote w:id="557">
    <w:p w:rsidR="00D72450" w:rsidRPr="00FB486A" w:rsidRDefault="00D72450" w:rsidP="0078310B">
      <w:pPr>
        <w:pStyle w:val="FootnoteText"/>
        <w:widowControl w:val="0"/>
        <w:jc w:val="both"/>
      </w:pPr>
      <w:r>
        <w:rPr>
          <w:rStyle w:val="FootnoteReference"/>
        </w:rPr>
        <w:footnoteRef/>
      </w:r>
      <w:r>
        <w:t xml:space="preserve"> 113 </w:t>
      </w:r>
      <w:r>
        <w:rPr>
          <w:smallCaps/>
        </w:rPr>
        <w:t>Tax Notes</w:t>
      </w:r>
      <w:r>
        <w:t xml:space="preserve"> 576 (2006). Reprinted with permission of Tax Analysts. The </w:t>
      </w:r>
      <w:r w:rsidRPr="00EA7FC2">
        <w:rPr>
          <w:i/>
        </w:rPr>
        <w:t>Murphy</w:t>
      </w:r>
      <w:r>
        <w:t xml:space="preserve"> case alluded to in the title was an odd beast. Ms. Murphy received compensatory damages of $45,000 for “emotional distress or mental anguish” and $25,000 for “injury to professional reputation” after bringing a complaint with the Department of Labor under various whistleblower statutes. She alleged that the New York Air National Guard provided unfavorable employment references after she complained to state authorities about environmental hazards at the base. A three-judge panel of the D.C. Circuit Court of Appeals initially held that Ms. Murphy could not exclude the damages under § 104(a)(2) because her injuries were not “physical” but that the government’s attempt to tax them as “income” was nevertheless unconstitutional. </w:t>
      </w:r>
      <w:r>
        <w:rPr>
          <w:i/>
        </w:rPr>
        <w:t>See Murphy v. IRS</w:t>
      </w:r>
      <w:r>
        <w:t xml:space="preserve">, 460 F.3d 79 (2006). After heavy criticism in the academic community, the D.C. Circuit took the rare step of </w:t>
      </w:r>
      <w:r>
        <w:rPr>
          <w:i/>
        </w:rPr>
        <w:t>sua sponte</w:t>
      </w:r>
      <w:r>
        <w:t xml:space="preserve"> vacating its judgment and issuing a replacement opinion, which held that the tax is constitutional as an indirect tax satisfying the uniformity requirement even if the damages did not constitute “income.” </w:t>
      </w:r>
      <w:r>
        <w:rPr>
          <w:i/>
        </w:rPr>
        <w:t xml:space="preserve">See </w:t>
      </w:r>
      <w:r w:rsidRPr="00FF3B73">
        <w:t>Murphy v. IRS,</w:t>
      </w:r>
      <w:r>
        <w:t xml:space="preserve"> 493F.3d 170 (2007). (Chapter 3, Part A., discussed the difference between an “indirect” and “direct” tax, as well as the constitutional ramifications of the distinction.) In my view there is no question that her award constituted income, as Ms. Murphy had no basis in her human capital. Nevertheless, the issue is moot if a tax on non-physical damages is nevertheless constitutional on other grounds.</w:t>
      </w:r>
    </w:p>
  </w:footnote>
  <w:footnote w:id="558">
    <w:p w:rsidR="00D72450" w:rsidRDefault="00D72450" w:rsidP="0078310B">
      <w:pPr>
        <w:pStyle w:val="FootnoteText"/>
        <w:widowControl w:val="0"/>
        <w:jc w:val="both"/>
      </w:pPr>
      <w:r>
        <w:rPr>
          <w:rStyle w:val="FootnoteReference"/>
        </w:rPr>
        <w:t>[19]</w:t>
      </w:r>
      <w:r>
        <w:t xml:space="preserve"> 31 Op. Att’y Gen. 304, 308 (1918).</w:t>
      </w:r>
    </w:p>
  </w:footnote>
  <w:footnote w:id="559">
    <w:p w:rsidR="00D72450" w:rsidRDefault="00D72450" w:rsidP="0078310B">
      <w:pPr>
        <w:pStyle w:val="FootnoteText"/>
        <w:widowControl w:val="0"/>
        <w:jc w:val="both"/>
      </w:pPr>
      <w:r>
        <w:rPr>
          <w:rStyle w:val="FootnoteReference"/>
        </w:rPr>
        <w:t>[20]</w:t>
      </w:r>
      <w:r>
        <w:t xml:space="preserve"> T.D. 2747, 20 Treas. Dec. Int. Rev. 457 (1918).</w:t>
      </w:r>
    </w:p>
  </w:footnote>
  <w:footnote w:id="560">
    <w:p w:rsidR="00D72450" w:rsidRDefault="00D72450" w:rsidP="0078310B">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61">
    <w:p w:rsidR="00D72450" w:rsidRDefault="00D72450" w:rsidP="0078310B">
      <w:pPr>
        <w:pStyle w:val="FootnoteText"/>
        <w:widowControl w:val="0"/>
        <w:jc w:val="both"/>
      </w:pPr>
      <w:r>
        <w:rPr>
          <w:rStyle w:val="FootnoteReference"/>
        </w:rPr>
        <w:t>[22]</w:t>
      </w:r>
      <w:r>
        <w:t xml:space="preserve"> 278 U.S. 470 (1929).</w:t>
      </w:r>
    </w:p>
  </w:footnote>
  <w:footnote w:id="562">
    <w:p w:rsidR="00D72450" w:rsidRDefault="00D72450" w:rsidP="0078310B">
      <w:pPr>
        <w:pStyle w:val="FootnoteText"/>
        <w:widowControl w:val="0"/>
        <w:jc w:val="both"/>
      </w:pPr>
      <w:r>
        <w:rPr>
          <w:rStyle w:val="FootnoteReference"/>
        </w:rPr>
        <w:t>[23]</w:t>
      </w:r>
      <w:r>
        <w:t xml:space="preserve"> </w:t>
      </w:r>
      <w:r>
        <w:rPr>
          <w:i/>
          <w:iCs/>
        </w:rPr>
        <w:t>Id.</w:t>
      </w:r>
      <w:r>
        <w:t xml:space="preserve"> at 471-72 (emphasis added).</w:t>
      </w:r>
    </w:p>
  </w:footnote>
  <w:footnote w:id="563">
    <w:p w:rsidR="00D72450" w:rsidRDefault="00D72450" w:rsidP="0078310B">
      <w:pPr>
        <w:pStyle w:val="FootnoteText"/>
        <w:widowControl w:val="0"/>
        <w:jc w:val="both"/>
      </w:pPr>
      <w:r>
        <w:rPr>
          <w:rStyle w:val="FootnoteReference"/>
        </w:rPr>
        <w:t>[24]</w:t>
      </w:r>
      <w:r>
        <w:t xml:space="preserve"> </w:t>
      </w:r>
      <w:r>
        <w:rPr>
          <w:i/>
          <w:iCs/>
        </w:rPr>
        <w:t>Id.</w:t>
      </w:r>
      <w:r>
        <w:t xml:space="preserve"> at 476 (emphasis added).</w:t>
      </w:r>
    </w:p>
  </w:footnote>
  <w:footnote w:id="564">
    <w:p w:rsidR="00D72450" w:rsidRDefault="00D72450" w:rsidP="0078310B">
      <w:pPr>
        <w:pStyle w:val="FootnoteText"/>
        <w:widowControl w:val="0"/>
      </w:pPr>
      <w:r>
        <w:rPr>
          <w:rStyle w:val="FootnoteReference"/>
        </w:rPr>
        <w:footnoteRef/>
      </w:r>
      <w:r>
        <w:t xml:space="preserve"> 252 U.S. 189 (1920).</w:t>
      </w:r>
    </w:p>
  </w:footnote>
  <w:footnote w:id="565">
    <w:p w:rsidR="00D72450" w:rsidRDefault="00D72450" w:rsidP="0078310B">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66">
    <w:p w:rsidR="00D72450" w:rsidRDefault="00D72450" w:rsidP="0078310B">
      <w:pPr>
        <w:pStyle w:val="FootnoteText"/>
        <w:widowControl w:val="0"/>
        <w:jc w:val="both"/>
      </w:pPr>
      <w:r>
        <w:rPr>
          <w:rStyle w:val="FootnoteReference"/>
        </w:rPr>
        <w:footnoteRef/>
      </w:r>
      <w:r>
        <w:t xml:space="preserve"> 504 U.S. 229 (1992). </w:t>
      </w:r>
    </w:p>
  </w:footnote>
  <w:footnote w:id="567">
    <w:p w:rsidR="00D72450" w:rsidRDefault="00D72450" w:rsidP="0078310B">
      <w:pPr>
        <w:pStyle w:val="FootnoteText"/>
        <w:widowControl w:val="0"/>
        <w:jc w:val="both"/>
      </w:pPr>
      <w:r>
        <w:rPr>
          <w:rStyle w:val="FootnoteReference"/>
        </w:rPr>
        <w:footnoteRef/>
      </w:r>
      <w:r>
        <w:t xml:space="preserve"> 515 U.S. 323. (1995).</w:t>
      </w:r>
    </w:p>
  </w:footnote>
  <w:footnote w:id="568">
    <w:p w:rsidR="00D72450" w:rsidRDefault="00D72450" w:rsidP="0078310B">
      <w:pPr>
        <w:pStyle w:val="FootnoteText"/>
        <w:widowControl w:val="0"/>
        <w:jc w:val="both"/>
      </w:pPr>
      <w:r>
        <w:rPr>
          <w:rStyle w:val="FootnoteReference"/>
        </w:rPr>
        <w:footnoteRef/>
      </w:r>
      <w:r>
        <w:t xml:space="preserve"> 519 U.S. 79 (1996). </w:t>
      </w:r>
    </w:p>
  </w:footnote>
  <w:footnote w:id="569">
    <w:p w:rsidR="00D72450" w:rsidRPr="00A72236" w:rsidRDefault="00D72450" w:rsidP="0078310B">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70">
    <w:p w:rsidR="00D72450" w:rsidRPr="00A72236" w:rsidRDefault="00D72450" w:rsidP="0078310B">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71">
    <w:p w:rsidR="00D72450" w:rsidRDefault="00D72450" w:rsidP="0078310B">
      <w:pPr>
        <w:pStyle w:val="FootnoteText"/>
        <w:widowControl w:val="0"/>
        <w:jc w:val="both"/>
      </w:pPr>
      <w:r>
        <w:rPr>
          <w:rStyle w:val="FootnoteReference"/>
        </w:rPr>
        <w:footnoteRef/>
      </w:r>
      <w:r>
        <w:t xml:space="preserve"> </w:t>
      </w:r>
      <w:r>
        <w:rPr>
          <w:i/>
        </w:rPr>
        <w:t xml:space="preserve">See also </w:t>
      </w:r>
      <w:r>
        <w:t>Treas. Reg. § 1.104-1(c)(1).</w:t>
      </w:r>
    </w:p>
  </w:footnote>
  <w:footnote w:id="572">
    <w:p w:rsidR="00D72450" w:rsidRDefault="00D72450" w:rsidP="0078310B">
      <w:pPr>
        <w:pStyle w:val="FootnoteText"/>
        <w:widowControl w:val="0"/>
        <w:jc w:val="both"/>
      </w:pPr>
      <w:r>
        <w:rPr>
          <w:rStyle w:val="FootnoteReference"/>
        </w:rPr>
        <w:footnoteRef/>
      </w:r>
      <w:r>
        <w:t xml:space="preserve"> 1974-1 C.B. 33.</w:t>
      </w:r>
    </w:p>
  </w:footnote>
  <w:footnote w:id="573">
    <w:p w:rsidR="00D72450" w:rsidRDefault="00D72450" w:rsidP="0078310B">
      <w:pPr>
        <w:pStyle w:val="FootnoteText"/>
        <w:widowControl w:val="0"/>
        <w:jc w:val="both"/>
      </w:pPr>
      <w:r>
        <w:rPr>
          <w:rStyle w:val="FootnoteReference"/>
        </w:rPr>
        <w:footnoteRef/>
      </w:r>
      <w:r>
        <w:t xml:space="preserve"> 1998-2 C.B. 182. </w:t>
      </w:r>
    </w:p>
  </w:footnote>
  <w:footnote w:id="574">
    <w:p w:rsidR="00D72450" w:rsidRDefault="00D72450" w:rsidP="0078310B">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75">
    <w:p w:rsidR="00D72450" w:rsidRDefault="00D72450" w:rsidP="0078310B">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76">
    <w:p w:rsidR="00D72450" w:rsidRPr="00F96627" w:rsidRDefault="00D72450" w:rsidP="0078310B">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reprinted in Chapter 22, Part B., </w:t>
      </w:r>
      <w:r>
        <w:rPr>
          <w:i/>
          <w:sz w:val="20"/>
          <w:szCs w:val="20"/>
        </w:rPr>
        <w:t>infra</w:t>
      </w:r>
      <w:r>
        <w:rPr>
          <w:sz w:val="20"/>
          <w:szCs w:val="20"/>
        </w:rPr>
        <w:t xml:space="preserve">, which considers the timing of the tortfeasor’s business expense deductions for the settlement payments. </w:t>
      </w:r>
    </w:p>
  </w:footnote>
  <w:footnote w:id="577">
    <w:p w:rsidR="00D72450" w:rsidRPr="00B44375" w:rsidRDefault="00D72450" w:rsidP="0078310B">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78">
    <w:p w:rsidR="00D72450" w:rsidRPr="00A25379" w:rsidRDefault="00D72450" w:rsidP="0078310B">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79">
    <w:p w:rsidR="00D72450" w:rsidRPr="008854C4" w:rsidRDefault="00D72450" w:rsidP="0078310B">
      <w:pPr>
        <w:pStyle w:val="FootnoteText"/>
        <w:widowControl w:val="0"/>
        <w:jc w:val="both"/>
      </w:pPr>
      <w:r>
        <w:rPr>
          <w:rStyle w:val="FootnoteReference"/>
        </w:rPr>
        <w:footnoteRef/>
      </w:r>
      <w:r>
        <w:t xml:space="preserve"> </w:t>
      </w:r>
      <w:r>
        <w:rPr>
          <w:i/>
        </w:rPr>
        <w:t>See, e.g.</w:t>
      </w:r>
      <w:r>
        <w:t>, Rev. Rul.. 85-98, 1985-2 C.B. 51.</w:t>
      </w:r>
    </w:p>
  </w:footnote>
  <w:footnote w:id="580">
    <w:p w:rsidR="00D72450" w:rsidRDefault="00D72450" w:rsidP="0078310B">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81">
    <w:p w:rsidR="00D72450" w:rsidRDefault="00D72450" w:rsidP="0078310B">
      <w:pPr>
        <w:pStyle w:val="FootnoteText"/>
        <w:widowControl w:val="0"/>
        <w:jc w:val="both"/>
      </w:pPr>
      <w:r>
        <w:rPr>
          <w:rStyle w:val="FootnoteReference"/>
        </w:rPr>
        <w:footnoteRef/>
      </w:r>
      <w:r>
        <w:t xml:space="preserve"> 543 U.S. 426 (2005). </w:t>
      </w:r>
    </w:p>
  </w:footnote>
  <w:footnote w:id="582">
    <w:p w:rsidR="00D72450" w:rsidRDefault="00D72450" w:rsidP="0078310B">
      <w:pPr>
        <w:pStyle w:val="FootnoteText"/>
      </w:pPr>
      <w:r>
        <w:rPr>
          <w:rStyle w:val="FootnoteReference"/>
        </w:rPr>
        <w:footnoteRef/>
      </w:r>
      <w:r>
        <w:t xml:space="preserve"> </w:t>
      </w:r>
      <w:r>
        <w:rPr>
          <w:i/>
        </w:rPr>
        <w:t xml:space="preserve">See </w:t>
      </w:r>
      <w:r>
        <w:t>§§ 62(a)(20) and (e)(1).</w:t>
      </w:r>
    </w:p>
  </w:footnote>
  <w:footnote w:id="583">
    <w:p w:rsidR="00D72450" w:rsidRPr="00486321" w:rsidRDefault="00D72450" w:rsidP="0078310B">
      <w:pPr>
        <w:pStyle w:val="FootnoteText"/>
        <w:widowControl w:val="0"/>
        <w:jc w:val="both"/>
      </w:pPr>
      <w:r>
        <w:rPr>
          <w:rStyle w:val="FootnoteReference"/>
        </w:rPr>
        <w:footnoteRef/>
      </w:r>
      <w:r>
        <w:t xml:space="preserve"> </w:t>
      </w:r>
      <w:r>
        <w:rPr>
          <w:smallCaps/>
        </w:rPr>
        <w:t>Joint Committee on Taxation, Estimates of Federal Tax Expenditure for Fiscal Years 2015-2019, JCX-141-15 (</w:t>
      </w:r>
      <w:r>
        <w:t>Dec. 7, 2015), at</w:t>
      </w:r>
      <w:r w:rsidRPr="00AE3FD2">
        <w:t xml:space="preserve"> www.jct.gov/publications.html?func=startdown&amp;id=4855</w:t>
      </w:r>
      <w:r w:rsidRPr="001B6C1B">
        <w:t>.</w:t>
      </w:r>
      <w:r>
        <w:rPr>
          <w:smallCaps/>
        </w:rPr>
        <w:t xml:space="preserve"> </w:t>
      </w:r>
      <w:r>
        <w:t>These revenue estimates do not incorporate the revenue loss under the payroll taxes (Social Security and Medicare) pertaining to the exclusions for employer-provided health care and retirement savings.</w:t>
      </w:r>
    </w:p>
  </w:footnote>
  <w:footnote w:id="584">
    <w:p w:rsidR="00D72450" w:rsidRPr="00C25A42" w:rsidRDefault="00D72450" w:rsidP="0078310B">
      <w:pPr>
        <w:widowControl w:val="0"/>
        <w:jc w:val="both"/>
        <w:rPr>
          <w:sz w:val="20"/>
          <w:szCs w:val="20"/>
        </w:rPr>
      </w:pPr>
      <w:r w:rsidRPr="00C25A42">
        <w:rPr>
          <w:rStyle w:val="FootnoteReference"/>
          <w:sz w:val="20"/>
          <w:szCs w:val="20"/>
        </w:rPr>
        <w:footnoteRef/>
      </w:r>
      <w:r>
        <w:rPr>
          <w:sz w:val="20"/>
          <w:szCs w:val="20"/>
        </w:rPr>
        <w:t xml:space="preserve"> </w:t>
      </w:r>
      <w:r>
        <w:rPr>
          <w:smallCaps/>
          <w:sz w:val="20"/>
          <w:szCs w:val="20"/>
        </w:rPr>
        <w:t xml:space="preserve">Congressional Budget Office, The Distribution of Major Tax Expenditures in the Individual Income Tax System, </w:t>
      </w:r>
      <w:r>
        <w:rPr>
          <w:sz w:val="20"/>
          <w:szCs w:val="20"/>
        </w:rPr>
        <w:t xml:space="preserve">at </w:t>
      </w:r>
      <w:r w:rsidRPr="0061378F">
        <w:rPr>
          <w:sz w:val="20"/>
          <w:szCs w:val="20"/>
        </w:rPr>
        <w:t>www.cbo.gov/sites/default/files/cbofiles/attachments/43768_DistributionTaxExpenditures.pdf</w:t>
      </w:r>
      <w:r>
        <w:rPr>
          <w:sz w:val="20"/>
          <w:szCs w:val="20"/>
        </w:rPr>
        <w:t xml:space="preserve">. The tax expenditures reflected here include the exclusions for employer-provided health care and long-term care insurance, pension contributions and earnings, built-in gain at death under § 1014, and Social Security and Railroad Retirement benefits; the deductions for qualified residence interest, nonbusiness state and local income, sales, real estate, and personal property taxes, charitable contributions; the reduced tax rates applied to net capital gain and qualified dividends; and the child tax and earned income tax credits. </w:t>
      </w:r>
    </w:p>
    <w:p w:rsidR="00D72450" w:rsidRDefault="00D72450" w:rsidP="0078310B">
      <w:pPr>
        <w:pStyle w:val="FootnoteText"/>
        <w:widowControl w:val="0"/>
        <w:jc w:val="both"/>
      </w:pPr>
    </w:p>
  </w:footnote>
  <w:footnote w:id="585">
    <w:p w:rsidR="00D72450" w:rsidRPr="006A7C09" w:rsidRDefault="00D72450" w:rsidP="0078310B">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86">
    <w:p w:rsidR="00D72450" w:rsidRPr="00B3135C" w:rsidRDefault="00D72450" w:rsidP="0078310B">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87">
    <w:p w:rsidR="00D72450" w:rsidRDefault="00D72450" w:rsidP="0078310B">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88">
    <w:p w:rsidR="00D72450" w:rsidRDefault="00D72450" w:rsidP="0078310B">
      <w:pPr>
        <w:pStyle w:val="FootnoteText"/>
        <w:widowControl w:val="0"/>
        <w:jc w:val="both"/>
      </w:pPr>
      <w:r>
        <w:rPr>
          <w:rStyle w:val="FootnoteReference"/>
        </w:rPr>
        <w:footnoteRef/>
      </w:r>
      <w:r>
        <w:t xml:space="preserve"> </w:t>
      </w:r>
      <w:r>
        <w:rPr>
          <w:i/>
          <w:iCs/>
        </w:rPr>
        <w:t>Id.</w:t>
      </w:r>
      <w:r>
        <w:t xml:space="preserve"> at 257 n.5.</w:t>
      </w:r>
    </w:p>
  </w:footnote>
  <w:footnote w:id="589">
    <w:p w:rsidR="00D72450" w:rsidRDefault="00D72450" w:rsidP="0078310B">
      <w:pPr>
        <w:pStyle w:val="FootnoteText"/>
        <w:widowControl w:val="0"/>
        <w:jc w:val="both"/>
      </w:pPr>
      <w:r>
        <w:rPr>
          <w:rStyle w:val="FootnoteReference"/>
        </w:rPr>
        <w:footnoteRef/>
      </w:r>
      <w:r>
        <w:t xml:space="preserve"> Margin A. Sullivan, </w:t>
      </w:r>
      <w:r>
        <w:rPr>
          <w:i/>
          <w:iCs/>
        </w:rPr>
        <w:t>The Economics of the American Dream</w:t>
      </w:r>
      <w:r>
        <w:t xml:space="preserve">, 106 </w:t>
      </w:r>
      <w:r>
        <w:rPr>
          <w:smallCaps/>
        </w:rPr>
        <w:t>Tax Notes</w:t>
      </w:r>
      <w:r>
        <w:t xml:space="preserve"> 407, 407 (2005). </w:t>
      </w:r>
    </w:p>
  </w:footnote>
  <w:footnote w:id="590">
    <w:p w:rsidR="00D72450" w:rsidRDefault="00D72450" w:rsidP="0078310B">
      <w:pPr>
        <w:pStyle w:val="FootnoteText"/>
        <w:widowControl w:val="0"/>
        <w:jc w:val="both"/>
      </w:pPr>
      <w:r>
        <w:rPr>
          <w:rStyle w:val="FootnoteReference"/>
        </w:rPr>
        <w:footnoteRef/>
      </w:r>
      <w:r>
        <w:t xml:space="preserve"> </w:t>
      </w:r>
      <w:r>
        <w:rPr>
          <w:i/>
          <w:iCs/>
        </w:rPr>
        <w:t>Id.</w:t>
      </w:r>
      <w:r>
        <w:t xml:space="preserve"> </w:t>
      </w:r>
    </w:p>
  </w:footnote>
  <w:footnote w:id="591">
    <w:p w:rsidR="00D72450" w:rsidRDefault="00D72450" w:rsidP="0078310B">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92">
    <w:p w:rsidR="00D72450" w:rsidRPr="00E90BB4" w:rsidRDefault="00D72450" w:rsidP="0078310B">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93">
    <w:p w:rsidR="00D72450" w:rsidRPr="00E90BB4" w:rsidRDefault="00D72450" w:rsidP="0078310B">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94">
    <w:p w:rsidR="00D72450" w:rsidRPr="00E90BB4" w:rsidRDefault="00D72450" w:rsidP="0078310B">
      <w:pPr>
        <w:pStyle w:val="FootnoteText"/>
        <w:widowControl w:val="0"/>
        <w:jc w:val="both"/>
      </w:pPr>
      <w:r>
        <w:rPr>
          <w:rStyle w:val="FootnoteReference"/>
        </w:rPr>
        <w:footnoteRef/>
      </w:r>
      <w:r>
        <w:t xml:space="preserve"> </w:t>
      </w:r>
      <w:r>
        <w:rPr>
          <w:i/>
        </w:rPr>
        <w:t>Id.</w:t>
      </w:r>
    </w:p>
  </w:footnote>
  <w:footnote w:id="595">
    <w:p w:rsidR="00D72450" w:rsidRPr="00CF5347" w:rsidRDefault="00D72450" w:rsidP="0078310B">
      <w:pPr>
        <w:pStyle w:val="FootnoteText"/>
        <w:widowControl w:val="0"/>
        <w:jc w:val="both"/>
      </w:pPr>
      <w:r>
        <w:rPr>
          <w:rStyle w:val="FootnoteReference"/>
        </w:rPr>
        <w:footnoteRef/>
      </w:r>
      <w:r>
        <w:t xml:space="preserve"> </w:t>
      </w:r>
      <w:r>
        <w:rPr>
          <w:i/>
        </w:rPr>
        <w:t>Id.</w:t>
      </w:r>
      <w:r>
        <w:t xml:space="preserve"> at 52-56 and 64-65. </w:t>
      </w:r>
    </w:p>
  </w:footnote>
  <w:footnote w:id="596">
    <w:p w:rsidR="00D72450" w:rsidRPr="00CF5347" w:rsidRDefault="00D72450" w:rsidP="0078310B">
      <w:pPr>
        <w:pStyle w:val="FootnoteText"/>
        <w:widowControl w:val="0"/>
        <w:jc w:val="both"/>
      </w:pPr>
      <w:r>
        <w:rPr>
          <w:rStyle w:val="FootnoteReference"/>
        </w:rPr>
        <w:footnoteRef/>
      </w:r>
      <w:r>
        <w:t xml:space="preserve"> </w:t>
      </w:r>
      <w:r>
        <w:rPr>
          <w:i/>
        </w:rPr>
        <w:t>Id.</w:t>
      </w:r>
      <w:r>
        <w:t xml:space="preserve"> at 58-59.</w:t>
      </w:r>
    </w:p>
  </w:footnote>
  <w:footnote w:id="597">
    <w:p w:rsidR="00D72450" w:rsidRPr="00697E84" w:rsidRDefault="00D72450" w:rsidP="0078310B">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98">
    <w:p w:rsidR="00D72450" w:rsidRPr="000D0871" w:rsidRDefault="00D72450" w:rsidP="0078310B">
      <w:pPr>
        <w:pStyle w:val="FootnoteText"/>
        <w:widowControl w:val="0"/>
      </w:pPr>
      <w:r>
        <w:rPr>
          <w:rStyle w:val="FootnoteReference"/>
        </w:rPr>
        <w:footnoteRef/>
      </w:r>
      <w:r>
        <w:t xml:space="preserve"> Benjamin H. Harris, C. Eugene Steuerle &amp; Amanda Eng, </w:t>
      </w:r>
      <w:r>
        <w:rPr>
          <w:i/>
        </w:rPr>
        <w:t>New Perspectives on Homeownership Tax Incentives</w:t>
      </w:r>
      <w:r>
        <w:t xml:space="preserve">, 141 </w:t>
      </w:r>
      <w:r>
        <w:rPr>
          <w:smallCaps/>
        </w:rPr>
        <w:t>Tax Notes</w:t>
      </w:r>
      <w:r>
        <w:t xml:space="preserve"> 1315, 1319 (2013). </w:t>
      </w:r>
    </w:p>
  </w:footnote>
  <w:footnote w:id="599">
    <w:p w:rsidR="00D72450" w:rsidRPr="00DA22A0" w:rsidRDefault="00D72450" w:rsidP="0078310B">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that</w:t>
      </w:r>
      <w:r w:rsidRPr="00166507">
        <w:t xml:space="preserve"> </w:t>
      </w:r>
      <w:r>
        <w:t>current housing tax preferences encourages an inefficient overinvestment in housing and consequent underinvestment in business assets and that though housing prices would fall with repeal of preferences the effect would likely be transitory).</w:t>
      </w:r>
    </w:p>
  </w:footnote>
  <w:footnote w:id="600">
    <w:p w:rsidR="00D72450" w:rsidRPr="00CB2086" w:rsidRDefault="00D72450" w:rsidP="0078310B">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601">
    <w:p w:rsidR="00D72450" w:rsidRDefault="00D72450" w:rsidP="0078310B">
      <w:pPr>
        <w:pStyle w:val="FootnoteText"/>
      </w:pPr>
      <w:r>
        <w:rPr>
          <w:rStyle w:val="FootnoteReference"/>
        </w:rPr>
        <w:footnoteRef/>
      </w:r>
      <w:r>
        <w:t xml:space="preserve"> </w:t>
      </w:r>
      <w:r>
        <w:rPr>
          <w:i/>
        </w:rPr>
        <w:t>See</w:t>
      </w:r>
      <w:r>
        <w:t xml:space="preserve"> § 163(h)(4)(A)(i).</w:t>
      </w:r>
    </w:p>
  </w:footnote>
  <w:footnote w:id="602">
    <w:p w:rsidR="00D72450" w:rsidRDefault="00D72450" w:rsidP="0078310B">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603">
    <w:p w:rsidR="00D72450" w:rsidRDefault="00D72450" w:rsidP="0078310B">
      <w:pPr>
        <w:pStyle w:val="FootnoteText"/>
        <w:widowControl w:val="0"/>
        <w:jc w:val="both"/>
      </w:pPr>
      <w:r>
        <w:rPr>
          <w:rStyle w:val="FootnoteReference"/>
        </w:rPr>
        <w:footnoteRef/>
      </w:r>
      <w:r>
        <w:t xml:space="preserve"> </w:t>
      </w:r>
      <w:r w:rsidRPr="00E204EE">
        <w:t>Chief Counsel Advice 200940030 (Aug. 7, 2009)</w:t>
      </w:r>
      <w:r>
        <w:t>.</w:t>
      </w:r>
    </w:p>
  </w:footnote>
  <w:footnote w:id="604">
    <w:p w:rsidR="00D72450" w:rsidRDefault="00D72450" w:rsidP="0078310B">
      <w:pPr>
        <w:pStyle w:val="FootnoteText"/>
      </w:pPr>
      <w:r>
        <w:rPr>
          <w:rStyle w:val="FootnoteReference"/>
        </w:rPr>
        <w:footnoteRef/>
      </w:r>
      <w:r>
        <w:t xml:space="preserve"> 796 F.3d 1051 (9</w:t>
      </w:r>
      <w:r w:rsidRPr="00DE210B">
        <w:rPr>
          <w:vertAlign w:val="superscript"/>
        </w:rPr>
        <w:t>th</w:t>
      </w:r>
      <w:r>
        <w:t xml:space="preserve"> Cir. 2015).</w:t>
      </w:r>
    </w:p>
  </w:footnote>
  <w:footnote w:id="605">
    <w:p w:rsidR="00D72450" w:rsidRDefault="00D72450" w:rsidP="0078310B">
      <w:pPr>
        <w:pStyle w:val="FootnoteText"/>
        <w:widowControl w:val="0"/>
        <w:jc w:val="both"/>
      </w:pPr>
      <w:r>
        <w:rPr>
          <w:rStyle w:val="FootnoteReference"/>
        </w:rPr>
        <w:footnoteRef/>
      </w:r>
      <w:r>
        <w:t xml:space="preserve"> On our facts, the worksheet would show that their average balance for Year 1 was $1.25 million, which is lower than the original $1.3 million borrowed, equal to the sum of their $1.3 million balance at the beginning of the year and</w:t>
      </w:r>
      <w:r>
        <w:rPr>
          <w:i/>
        </w:rPr>
        <w:t xml:space="preserve"> </w:t>
      </w:r>
      <w:r>
        <w:t>their $1.2 million balance at the end of the year ($2.5 million) divided by 2. The IRS worksheet takes taxpayers through the process fairly painlessly.</w:t>
      </w:r>
    </w:p>
  </w:footnote>
  <w:footnote w:id="606">
    <w:p w:rsidR="00D72450" w:rsidRDefault="00D72450" w:rsidP="0078310B">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18. </w:t>
      </w:r>
    </w:p>
  </w:footnote>
  <w:footnote w:id="607">
    <w:p w:rsidR="00D72450" w:rsidRPr="00DE5B2A" w:rsidRDefault="00D72450" w:rsidP="0078310B">
      <w:pPr>
        <w:pStyle w:val="FootnoteText"/>
        <w:widowControl w:val="0"/>
        <w:jc w:val="both"/>
      </w:pPr>
      <w:r>
        <w:rPr>
          <w:rStyle w:val="FootnoteReference"/>
        </w:rPr>
        <w:footnoteRef/>
      </w:r>
      <w:r>
        <w:t xml:space="preserve"> </w:t>
      </w:r>
      <w:r>
        <w:rPr>
          <w:i/>
        </w:rPr>
        <w:t>Id</w:t>
      </w:r>
      <w:r>
        <w:t xml:space="preserve">. </w:t>
      </w:r>
    </w:p>
  </w:footnote>
  <w:footnote w:id="608">
    <w:p w:rsidR="00D72450" w:rsidRDefault="00D72450" w:rsidP="0078310B">
      <w:pPr>
        <w:pStyle w:val="FootnoteText"/>
      </w:pPr>
      <w:r>
        <w:rPr>
          <w:rStyle w:val="FootnoteReference"/>
        </w:rPr>
        <w:footnoteRef/>
      </w:r>
      <w:r>
        <w:t xml:space="preserve"> </w:t>
      </w:r>
      <w:r>
        <w:rPr>
          <w:i/>
          <w:szCs w:val="24"/>
        </w:rPr>
        <w:t xml:space="preserve">See </w:t>
      </w:r>
      <w:r>
        <w:t>§§ 121(a), (b)(1) &amp; (2), and (d)(5)(A).</w:t>
      </w:r>
    </w:p>
  </w:footnote>
  <w:footnote w:id="609">
    <w:p w:rsidR="00D72450" w:rsidRDefault="00D72450" w:rsidP="0078310B">
      <w:pPr>
        <w:pStyle w:val="FootnoteText"/>
      </w:pPr>
      <w:r>
        <w:rPr>
          <w:rStyle w:val="FootnoteReference"/>
        </w:rPr>
        <w:footnoteRef/>
      </w:r>
      <w:r>
        <w:t xml:space="preserve"> </w:t>
      </w:r>
      <w:r>
        <w:rPr>
          <w:i/>
        </w:rPr>
        <w:t>See</w:t>
      </w:r>
      <w:r>
        <w:t xml:space="preserve"> § 121(d)(5)(B).</w:t>
      </w:r>
    </w:p>
  </w:footnote>
  <w:footnote w:id="610">
    <w:p w:rsidR="00D72450" w:rsidRDefault="00D72450" w:rsidP="0078310B">
      <w:pPr>
        <w:pStyle w:val="FootnoteText"/>
      </w:pPr>
      <w:r>
        <w:rPr>
          <w:rStyle w:val="FootnoteReference"/>
        </w:rPr>
        <w:footnoteRef/>
      </w:r>
      <w:r>
        <w:t xml:space="preserve"> </w:t>
      </w:r>
      <w:r>
        <w:rPr>
          <w:i/>
        </w:rPr>
        <w:t xml:space="preserve">See </w:t>
      </w:r>
      <w:r>
        <w:t>§ 121(b)(3)(A).</w:t>
      </w:r>
    </w:p>
  </w:footnote>
  <w:footnote w:id="611">
    <w:p w:rsidR="00D72450" w:rsidRPr="00F37DFC" w:rsidRDefault="00D72450" w:rsidP="0078310B">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612">
    <w:p w:rsidR="00D72450" w:rsidRDefault="00D72450" w:rsidP="0078310B">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613">
    <w:p w:rsidR="00D72450" w:rsidRDefault="00D72450" w:rsidP="0078310B">
      <w:pPr>
        <w:pStyle w:val="FootnoteText"/>
        <w:widowControl w:val="0"/>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r>
        <w:t xml:space="preserve">at </w:t>
      </w:r>
      <w:r w:rsidRPr="000A0F18">
        <w:t>www.thetaxbook.com/updates/thetaxauthority_update_service/pdf/govdocs/tech_pl110-289.pdf</w:t>
      </w:r>
      <w:r>
        <w:t>.</w:t>
      </w:r>
    </w:p>
  </w:footnote>
  <w:footnote w:id="614">
    <w:p w:rsidR="00D72450" w:rsidRDefault="00D72450" w:rsidP="0078310B">
      <w:pPr>
        <w:pStyle w:val="FootnoteText"/>
        <w:widowControl w:val="0"/>
        <w:jc w:val="both"/>
      </w:pPr>
      <w:r>
        <w:rPr>
          <w:rStyle w:val="FootnoteReference"/>
        </w:rPr>
        <w:footnoteRef/>
      </w:r>
      <w:r>
        <w:t xml:space="preserve"> Recall from Chapter 13 that taxpayers can elect under § 1033 to avoid recognizing realized personal casualty gains to the extent that they roll over the amount realized on the casualty into property “similar or related in service or use” within a certain time period. </w:t>
      </w:r>
    </w:p>
  </w:footnote>
  <w:footnote w:id="615">
    <w:p w:rsidR="00D72450" w:rsidRDefault="00D72450" w:rsidP="0078310B">
      <w:pPr>
        <w:pStyle w:val="FootnoteText"/>
        <w:widowControl w:val="0"/>
        <w:jc w:val="both"/>
      </w:pPr>
      <w:r>
        <w:rPr>
          <w:rStyle w:val="FootnoteReference"/>
        </w:rPr>
        <w:footnoteRef/>
      </w:r>
      <w:r>
        <w:t xml:space="preserve"> 1972-1 C.B. 60.</w:t>
      </w:r>
    </w:p>
  </w:footnote>
  <w:footnote w:id="616">
    <w:p w:rsidR="00D72450" w:rsidRDefault="00D72450" w:rsidP="0078310B">
      <w:pPr>
        <w:pStyle w:val="FootnoteText"/>
        <w:widowControl w:val="0"/>
        <w:jc w:val="both"/>
      </w:pPr>
      <w:r>
        <w:rPr>
          <w:rStyle w:val="FootnoteReference"/>
        </w:rPr>
        <w:footnoteRef/>
      </w:r>
      <w:r>
        <w:t xml:space="preserve"> Rev. Rul. 63-232, 1972-2 C.B. 101.</w:t>
      </w:r>
    </w:p>
  </w:footnote>
  <w:footnote w:id="617">
    <w:p w:rsidR="00D72450" w:rsidRDefault="00D72450" w:rsidP="0078310B">
      <w:pPr>
        <w:pStyle w:val="FootnoteText"/>
        <w:widowControl w:val="0"/>
        <w:jc w:val="both"/>
      </w:pPr>
      <w:r>
        <w:rPr>
          <w:rStyle w:val="FootnoteReference"/>
        </w:rPr>
        <w:footnoteRef/>
      </w:r>
      <w:r>
        <w:t xml:space="preserve"> 1972-2 C.B. 101. </w:t>
      </w:r>
    </w:p>
  </w:footnote>
  <w:footnote w:id="618">
    <w:p w:rsidR="00D72450" w:rsidRDefault="00D72450" w:rsidP="0078310B">
      <w:pPr>
        <w:pStyle w:val="FootnoteText"/>
        <w:widowControl w:val="0"/>
        <w:jc w:val="both"/>
      </w:pPr>
      <w:r>
        <w:rPr>
          <w:rStyle w:val="FootnoteReference"/>
        </w:rPr>
        <w:footnoteRef/>
      </w:r>
      <w:r>
        <w:t xml:space="preserve"> 48 T.C. 430 (1967). </w:t>
      </w:r>
    </w:p>
  </w:footnote>
  <w:footnote w:id="619">
    <w:p w:rsidR="00D72450" w:rsidRDefault="00D72450" w:rsidP="0078310B">
      <w:pPr>
        <w:pStyle w:val="FootnoteText"/>
        <w:jc w:val="both"/>
      </w:pPr>
      <w:r>
        <w:rPr>
          <w:rStyle w:val="FootnoteReference"/>
        </w:rPr>
        <w:footnoteRef/>
      </w:r>
      <w:r>
        <w:t xml:space="preserve"> </w:t>
      </w:r>
      <w:r>
        <w:rPr>
          <w:i/>
        </w:rPr>
        <w:t>See, e.g.</w:t>
      </w:r>
      <w:r>
        <w:t>, Treas. Reg. § 1.165-7(a)(3) (allowing deduction of automobile damage arising from faulty driving so long as the damage “is not due to the willful act or willful negligence” of the taxpayer).</w:t>
      </w:r>
    </w:p>
  </w:footnote>
  <w:footnote w:id="620">
    <w:p w:rsidR="00D72450" w:rsidRPr="00231B3D" w:rsidRDefault="00D72450" w:rsidP="0078310B">
      <w:pPr>
        <w:pStyle w:val="FootnoteText"/>
        <w:widowControl w:val="0"/>
        <w:jc w:val="both"/>
      </w:pPr>
      <w:r>
        <w:rPr>
          <w:rStyle w:val="FootnoteReference"/>
        </w:rPr>
        <w:footnoteRef/>
      </w:r>
      <w:r>
        <w:t xml:space="preserve"> </w:t>
      </w:r>
      <w:r>
        <w:rPr>
          <w:i/>
        </w:rPr>
        <w:t>See</w:t>
      </w:r>
      <w:r>
        <w:t xml:space="preserve"> Treas. Reg. § 1.165-7(b)(2)(i). </w:t>
      </w:r>
    </w:p>
  </w:footnote>
  <w:footnote w:id="621">
    <w:p w:rsidR="00D72450" w:rsidRPr="00231B3D" w:rsidRDefault="00D72450" w:rsidP="0078310B">
      <w:pPr>
        <w:pStyle w:val="FootnoteText"/>
        <w:widowControl w:val="0"/>
        <w:jc w:val="both"/>
      </w:pPr>
      <w:r>
        <w:rPr>
          <w:rStyle w:val="FootnoteReference"/>
        </w:rPr>
        <w:footnoteRef/>
      </w:r>
      <w:r>
        <w:t xml:space="preserve"> </w:t>
      </w:r>
      <w:r>
        <w:rPr>
          <w:i/>
        </w:rPr>
        <w:t>See</w:t>
      </w:r>
      <w:r>
        <w:t xml:space="preserve"> Treas. Reg. § 1.165-7(2)(ii). </w:t>
      </w:r>
    </w:p>
  </w:footnote>
  <w:footnote w:id="622">
    <w:p w:rsidR="00D72450" w:rsidRDefault="00D72450" w:rsidP="0078310B">
      <w:pPr>
        <w:pStyle w:val="FootnoteText"/>
      </w:pPr>
      <w:r>
        <w:rPr>
          <w:rStyle w:val="FootnoteReference"/>
        </w:rPr>
        <w:footnoteRef/>
      </w:r>
      <w:r>
        <w:t xml:space="preserve"> </w:t>
      </w:r>
      <w:r>
        <w:rPr>
          <w:i/>
        </w:rPr>
        <w:t>OECD Health Statistics 2015</w:t>
      </w:r>
      <w:r>
        <w:t xml:space="preserve">, </w:t>
      </w:r>
      <w:r>
        <w:rPr>
          <w:i/>
        </w:rPr>
        <w:t>Focus on Health Spending</w:t>
      </w:r>
      <w:r>
        <w:t xml:space="preserve">, at </w:t>
      </w:r>
      <w:r w:rsidRPr="0053352D">
        <w:t>www.oecd.org/els/health-systems/health-data.htm</w:t>
      </w:r>
      <w:r>
        <w:t>.  Reprinted with permission.</w:t>
      </w:r>
    </w:p>
  </w:footnote>
  <w:footnote w:id="623">
    <w:p w:rsidR="00D72450" w:rsidRPr="00EF57ED" w:rsidRDefault="00D72450" w:rsidP="0078310B">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24">
    <w:p w:rsidR="00D72450" w:rsidRPr="008E2A32" w:rsidRDefault="00D72450" w:rsidP="0078310B">
      <w:pPr>
        <w:pStyle w:val="FootnoteText"/>
        <w:widowControl w:val="0"/>
        <w:jc w:val="both"/>
      </w:pPr>
      <w:r>
        <w:rPr>
          <w:rStyle w:val="FootnoteReference"/>
        </w:rPr>
        <w:footnoteRef/>
      </w:r>
      <w:r>
        <w:t xml:space="preserve"> </w:t>
      </w:r>
      <w:r>
        <w:rPr>
          <w:i/>
        </w:rPr>
        <w:t xml:space="preserve">See </w:t>
      </w:r>
      <w:r>
        <w:t xml:space="preserve">Elisabeth Rosenthal, </w:t>
      </w:r>
      <w:r>
        <w:rPr>
          <w:i/>
        </w:rPr>
        <w:t>The $2.7 Trillion Medical Bill</w:t>
      </w:r>
      <w:r>
        <w:t xml:space="preserve">, at </w:t>
      </w:r>
      <w:r w:rsidRPr="00631262">
        <w:t>www.nytimes.com/2013/06/02/health/colonoscopies-explain-why-us-leads-the-world-in-health-expenditures.html?_r=0</w:t>
      </w:r>
      <w:r>
        <w:t xml:space="preserve">. </w:t>
      </w:r>
    </w:p>
  </w:footnote>
  <w:footnote w:id="625">
    <w:p w:rsidR="00D72450" w:rsidRPr="00E8475C" w:rsidRDefault="00D72450" w:rsidP="0078310B">
      <w:pPr>
        <w:pStyle w:val="FootnoteText"/>
        <w:widowControl w:val="0"/>
        <w:jc w:val="both"/>
      </w:pPr>
      <w:r>
        <w:rPr>
          <w:rStyle w:val="FootnoteReference"/>
        </w:rPr>
        <w:footnoteRef/>
      </w:r>
      <w:r>
        <w:t xml:space="preserve"> Elisabeth Rosenthal, </w:t>
      </w:r>
      <w:r>
        <w:rPr>
          <w:i/>
        </w:rPr>
        <w:t>American Way of Birth Costliest in the World</w:t>
      </w:r>
      <w:r>
        <w:t xml:space="preserve">, </w:t>
      </w:r>
      <w:r>
        <w:rPr>
          <w:smallCaps/>
        </w:rPr>
        <w:t xml:space="preserve">N.Y. Times </w:t>
      </w:r>
      <w:r>
        <w:t xml:space="preserve">, Jul. 1, 2013, at A1, at </w:t>
      </w:r>
      <w:r w:rsidRPr="00E8475C">
        <w:t>www.nytimes.com/2013/07/01/health/american-way-of-birth-costliest-in-the-world.html?pagewanted=all&amp;_r=0</w:t>
      </w:r>
      <w:r>
        <w:t>.</w:t>
      </w:r>
    </w:p>
  </w:footnote>
  <w:footnote w:id="626">
    <w:p w:rsidR="00D72450" w:rsidRPr="00C4758F" w:rsidRDefault="00D72450" w:rsidP="0078310B">
      <w:pPr>
        <w:pStyle w:val="FootnoteText"/>
        <w:widowControl w:val="0"/>
        <w:jc w:val="both"/>
      </w:pPr>
      <w:r>
        <w:rPr>
          <w:rStyle w:val="FootnoteReference"/>
        </w:rPr>
        <w:footnoteRef/>
      </w:r>
      <w:r>
        <w:t xml:space="preserve"> </w:t>
      </w:r>
      <w:r>
        <w:rPr>
          <w:i/>
        </w:rPr>
        <w:t>Id.</w:t>
      </w:r>
    </w:p>
  </w:footnote>
  <w:footnote w:id="627">
    <w:p w:rsidR="00D72450" w:rsidRPr="00521E83" w:rsidRDefault="00D72450" w:rsidP="0078310B">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28">
    <w:p w:rsidR="00D72450" w:rsidRPr="00BD3294" w:rsidRDefault="00D72450" w:rsidP="0078310B">
      <w:pPr>
        <w:pStyle w:val="FootnoteText"/>
        <w:widowControl w:val="0"/>
        <w:jc w:val="both"/>
      </w:pPr>
      <w:r>
        <w:rPr>
          <w:rStyle w:val="FootnoteReference"/>
        </w:rPr>
        <w:footnoteRef/>
      </w:r>
      <w:r>
        <w:t xml:space="preserve"> 134 T.C. 34 (2010).</w:t>
      </w:r>
    </w:p>
  </w:footnote>
  <w:footnote w:id="629">
    <w:p w:rsidR="00D72450" w:rsidRDefault="00D72450" w:rsidP="0078310B">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30">
    <w:p w:rsidR="00D72450" w:rsidRDefault="00D72450" w:rsidP="0078310B">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31">
    <w:p w:rsidR="00D72450" w:rsidRPr="00A811C4" w:rsidRDefault="00D72450" w:rsidP="0078310B">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32">
    <w:p w:rsidR="00D72450" w:rsidRPr="006F739B" w:rsidRDefault="00D72450" w:rsidP="0078310B">
      <w:pPr>
        <w:pStyle w:val="FootnoteText"/>
        <w:widowControl w:val="0"/>
        <w:jc w:val="both"/>
      </w:pPr>
      <w:r>
        <w:rPr>
          <w:rStyle w:val="FootnoteReference"/>
        </w:rPr>
        <w:footnoteRef/>
      </w:r>
      <w:r>
        <w:t xml:space="preserve"> </w:t>
      </w:r>
      <w:r>
        <w:rPr>
          <w:i/>
        </w:rPr>
        <w:t>Id.</w:t>
      </w:r>
    </w:p>
  </w:footnote>
  <w:footnote w:id="633">
    <w:p w:rsidR="00D72450" w:rsidRPr="00A811C4" w:rsidRDefault="00D72450" w:rsidP="0078310B">
      <w:pPr>
        <w:pStyle w:val="FootnoteText"/>
        <w:widowControl w:val="0"/>
        <w:jc w:val="both"/>
      </w:pPr>
      <w:r>
        <w:rPr>
          <w:rStyle w:val="FootnoteReference"/>
        </w:rPr>
        <w:footnoteRef/>
      </w:r>
      <w:r>
        <w:t xml:space="preserve"> </w:t>
      </w:r>
      <w:r>
        <w:rPr>
          <w:i/>
        </w:rPr>
        <w:t>Id.</w:t>
      </w:r>
    </w:p>
  </w:footnote>
  <w:footnote w:id="634">
    <w:p w:rsidR="00D72450" w:rsidRPr="00B26828" w:rsidRDefault="00D72450" w:rsidP="0078310B">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35">
    <w:p w:rsidR="00D72450" w:rsidRPr="006F5997" w:rsidRDefault="00D72450" w:rsidP="0078310B">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36">
    <w:p w:rsidR="00D72450" w:rsidRPr="00C66342" w:rsidRDefault="00D72450" w:rsidP="0078310B">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37">
    <w:p w:rsidR="00D72450" w:rsidRPr="006F5997" w:rsidRDefault="00D72450" w:rsidP="0078310B">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57.</w:t>
      </w:r>
    </w:p>
  </w:footnote>
  <w:footnote w:id="638">
    <w:p w:rsidR="00D72450" w:rsidRPr="00656865" w:rsidRDefault="00D72450" w:rsidP="0078310B">
      <w:pPr>
        <w:pStyle w:val="FootnoteText"/>
        <w:widowControl w:val="0"/>
        <w:jc w:val="both"/>
      </w:pPr>
      <w:r>
        <w:rPr>
          <w:rStyle w:val="FootnoteReference"/>
        </w:rPr>
        <w:footnoteRef/>
      </w:r>
      <w:r>
        <w:t xml:space="preserve"> </w:t>
      </w:r>
      <w:r>
        <w:rPr>
          <w:i/>
        </w:rPr>
        <w:t>Id.</w:t>
      </w:r>
    </w:p>
  </w:footnote>
  <w:footnote w:id="639">
    <w:p w:rsidR="00D72450" w:rsidRPr="006F5997" w:rsidRDefault="00D72450" w:rsidP="0078310B">
      <w:pPr>
        <w:pStyle w:val="FootnoteText"/>
        <w:widowControl w:val="0"/>
        <w:jc w:val="both"/>
      </w:pPr>
      <w:r>
        <w:rPr>
          <w:rStyle w:val="FootnoteReference"/>
        </w:rPr>
        <w:footnoteRef/>
      </w:r>
      <w:r>
        <w:t xml:space="preserve"> </w:t>
      </w:r>
      <w:r>
        <w:rPr>
          <w:i/>
        </w:rPr>
        <w:t>Id.</w:t>
      </w:r>
    </w:p>
  </w:footnote>
  <w:footnote w:id="640">
    <w:p w:rsidR="00D72450" w:rsidRDefault="00D72450" w:rsidP="0078310B">
      <w:pPr>
        <w:pStyle w:val="FootnoteText"/>
        <w:widowControl w:val="0"/>
        <w:jc w:val="both"/>
      </w:pPr>
      <w:r>
        <w:rPr>
          <w:rStyle w:val="FootnoteReference"/>
        </w:rPr>
        <w:footnoteRef/>
      </w:r>
      <w:r>
        <w:t xml:space="preserve"> Lisa Clemons-Cope, Stephen Zuckerman &amp; Dean Resnick, </w:t>
      </w:r>
      <w:r>
        <w:rPr>
          <w:i/>
        </w:rPr>
        <w:t>Limiting the Tax Exclusion of Employer-Sponsored Health Insurance Premiums: Revenue Potential and Distributional Consequences</w:t>
      </w:r>
      <w:r>
        <w:t>, at</w:t>
      </w:r>
    </w:p>
    <w:p w:rsidR="00D72450" w:rsidRPr="0023128B" w:rsidRDefault="00D72450" w:rsidP="0078310B">
      <w:pPr>
        <w:pStyle w:val="FootnoteText"/>
        <w:widowControl w:val="0"/>
        <w:jc w:val="both"/>
      </w:pPr>
      <w:r w:rsidRPr="0023128B">
        <w:t>www.urban.org/UploadedPDF/412816-Limiting-the-Tax-Exclusion-of-Employer-Sponsored-Health-Insurance-</w:t>
      </w:r>
      <w:r>
        <w:t>P</w:t>
      </w:r>
      <w:r w:rsidRPr="0023128B">
        <w:t>remiums.pdf</w:t>
      </w:r>
      <w:r>
        <w:t>.</w:t>
      </w:r>
    </w:p>
  </w:footnote>
  <w:footnote w:id="641">
    <w:p w:rsidR="00D72450" w:rsidRDefault="00D72450" w:rsidP="0078310B">
      <w:pPr>
        <w:pStyle w:val="FootnoteText"/>
        <w:widowControl w:val="0"/>
        <w:jc w:val="both"/>
      </w:pPr>
      <w:r>
        <w:rPr>
          <w:rStyle w:val="FootnoteReference"/>
        </w:rPr>
        <w:footnoteRef/>
      </w:r>
      <w:r>
        <w:t xml:space="preserve"> The § 223 deduction is taken above the line in reaching AGI under § 62(a)(19).</w:t>
      </w:r>
    </w:p>
  </w:footnote>
  <w:footnote w:id="642">
    <w:p w:rsidR="00D72450" w:rsidRPr="00865AE3" w:rsidRDefault="00D72450" w:rsidP="0078310B">
      <w:pPr>
        <w:pStyle w:val="FootnoteText"/>
        <w:widowControl w:val="0"/>
        <w:jc w:val="both"/>
      </w:pPr>
      <w:r>
        <w:rPr>
          <w:rStyle w:val="FootnoteReference"/>
        </w:rPr>
        <w:footnoteRef/>
      </w:r>
      <w:r>
        <w:t xml:space="preserve"> For 2017, § 223 requires a health plan with an annual deductible of at least $1,300 for an individual ($2,600 for family coverage) and maximum out-of-pocket expenses of $6,550 for individual coverage ($13,100 for family coverage). The 2017 maximum contribution to an HSA is $3,400 for self-only coverage under a high-deductible plan and $6,750 for family coverage. </w:t>
      </w:r>
      <w:r>
        <w:rPr>
          <w:i/>
        </w:rPr>
        <w:t>See</w:t>
      </w:r>
      <w:r>
        <w:t xml:space="preserve"> Rev. Proc. 2016-28, 2016-20 I.R.B. 852.</w:t>
      </w:r>
    </w:p>
  </w:footnote>
  <w:footnote w:id="643">
    <w:p w:rsidR="00D72450" w:rsidRPr="00223B8B" w:rsidRDefault="00D72450" w:rsidP="0078310B">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44">
    <w:p w:rsidR="00D72450" w:rsidRDefault="00D72450" w:rsidP="0078310B">
      <w:pPr>
        <w:pStyle w:val="FootnoteText"/>
        <w:widowControl w:val="0"/>
        <w:jc w:val="both"/>
      </w:pPr>
      <w:r>
        <w:rPr>
          <w:rStyle w:val="FootnoteReference"/>
        </w:rPr>
        <w:footnoteRef/>
      </w:r>
      <w:r>
        <w:t xml:space="preserve"> Elisabeth Rosenthal, </w:t>
      </w:r>
      <w:r>
        <w:rPr>
          <w:i/>
        </w:rPr>
        <w:t>Price for a New Hip? Many Hospitals are Stumped</w:t>
      </w:r>
      <w:r>
        <w:t>, at</w:t>
      </w:r>
    </w:p>
    <w:p w:rsidR="00D72450" w:rsidRPr="00714934" w:rsidRDefault="00D72450" w:rsidP="0078310B">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45">
    <w:p w:rsidR="00D72450" w:rsidRDefault="00D72450" w:rsidP="0078310B">
      <w:pPr>
        <w:pStyle w:val="FootnoteText"/>
      </w:pPr>
      <w:r>
        <w:rPr>
          <w:rStyle w:val="FootnoteReference"/>
        </w:rPr>
        <w:footnoteRef/>
      </w:r>
      <w:r>
        <w:t xml:space="preserve"> </w:t>
      </w:r>
      <w:r>
        <w:rPr>
          <w:i/>
        </w:rPr>
        <w:t xml:space="preserve">See </w:t>
      </w:r>
      <w:r w:rsidRPr="000332FC">
        <w:t>www.healthreformbeyondthebasics.org/premium-tax-credits-answers-to-frequently-asked-questions/</w:t>
      </w:r>
      <w:r>
        <w:t xml:space="preserve">; </w:t>
      </w:r>
      <w:r w:rsidRPr="00D24BD6">
        <w:t>http://aspe.hhs.gov/poverty/14poverty.cfm</w:t>
      </w:r>
      <w:r>
        <w:t xml:space="preserve">. If the taxpayer chooses to claim the credit with her annual tax return rather than having it paid monthly directly to the insurance company providing coverage, Form 8962 leads the taxpayer through the credit computation. </w:t>
      </w:r>
    </w:p>
  </w:footnote>
  <w:footnote w:id="646">
    <w:p w:rsidR="00D72450" w:rsidRPr="003825E8" w:rsidRDefault="00D72450" w:rsidP="0078310B">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47">
    <w:p w:rsidR="00D72450" w:rsidRPr="00663A92" w:rsidRDefault="00D72450" w:rsidP="0078310B">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48">
    <w:p w:rsidR="00D72450" w:rsidRPr="00677F73" w:rsidRDefault="00D72450" w:rsidP="0078310B">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49">
    <w:p w:rsidR="00D72450" w:rsidRDefault="00D72450" w:rsidP="0078310B">
      <w:pPr>
        <w:pStyle w:val="FootnoteText"/>
        <w:widowControl w:val="0"/>
        <w:jc w:val="both"/>
      </w:pPr>
      <w:r>
        <w:rPr>
          <w:rStyle w:val="FootnoteReference"/>
        </w:rPr>
        <w:footnoteRef/>
      </w:r>
      <w:r>
        <w:t xml:space="preserve"> </w:t>
      </w:r>
      <w:r>
        <w:rPr>
          <w:smallCaps/>
        </w:rPr>
        <w:t>Joint Committee on Taxation</w:t>
      </w:r>
      <w:r>
        <w:t xml:space="preserve">, </w:t>
      </w:r>
      <w:r>
        <w:rPr>
          <w:smallCaps/>
        </w:rPr>
        <w:t xml:space="preserve">Present Law and Background Relating to the Federal Tax Treatment of Charitable Contributions, JCX-4-13 </w:t>
      </w:r>
      <w:r>
        <w:t>(Feb. 11, 2013)</w:t>
      </w:r>
      <w:r>
        <w:rPr>
          <w:smallCaps/>
        </w:rPr>
        <w:t>,</w:t>
      </w:r>
      <w:r>
        <w:t xml:space="preserve"> at</w:t>
      </w:r>
    </w:p>
    <w:p w:rsidR="00D72450" w:rsidRPr="009E3D10" w:rsidRDefault="00D72450" w:rsidP="0078310B">
      <w:pPr>
        <w:pStyle w:val="FootnoteText"/>
        <w:widowControl w:val="0"/>
        <w:jc w:val="both"/>
      </w:pPr>
      <w:r>
        <w:t xml:space="preserve"> </w:t>
      </w:r>
      <w:r w:rsidRPr="00BB16B5">
        <w:t>www.jct.gov/publications.html?func=showdown&amp;id=4506</w:t>
      </w:r>
      <w:r>
        <w:t>.</w:t>
      </w:r>
    </w:p>
  </w:footnote>
  <w:footnote w:id="650">
    <w:p w:rsidR="00D72450" w:rsidRPr="00645975" w:rsidRDefault="00D72450" w:rsidP="0078310B">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51">
    <w:p w:rsidR="00D72450" w:rsidRDefault="00D72450" w:rsidP="0078310B">
      <w:pPr>
        <w:pStyle w:val="FootnoteText"/>
        <w:widowControl w:val="0"/>
        <w:jc w:val="both"/>
      </w:pPr>
      <w:r>
        <w:rPr>
          <w:rStyle w:val="FootnoteReference"/>
        </w:rPr>
        <w:footnoteRef/>
      </w:r>
      <w:r>
        <w:t xml:space="preserve"> There are actually two types of private foundations: private non-operating foundations (the much more common type) and private operating foundations. Private non-operating foundations make grants to other nonprofit organizations, while private operating foundations use the bulk of their resources in furtherance of their own charitable programs, instead of making grants to other nonprofit organizations. The Getty Museum in Los Angeles is a private operating foundation. The § 170 deduction restrictions mentioned in the text do not apply to private operating foundations, which will not be further discussed here. </w:t>
      </w:r>
    </w:p>
  </w:footnote>
  <w:footnote w:id="652">
    <w:p w:rsidR="00D72450" w:rsidRDefault="00D72450" w:rsidP="0078310B">
      <w:pPr>
        <w:pStyle w:val="FootnoteText"/>
        <w:jc w:val="both"/>
      </w:pPr>
      <w:r>
        <w:rPr>
          <w:rStyle w:val="FootnoteReference"/>
        </w:rPr>
        <w:footnoteRef/>
      </w:r>
      <w:r>
        <w:t xml:space="preserve"> Under the Gift Aid program in England, for example, every </w:t>
      </w:r>
      <w:r>
        <w:rPr>
          <w:rFonts w:cs="Times New Roman"/>
        </w:rPr>
        <w:t>£1 donated to a qualified charity by English citizens certifying that they will pay income tax at least equal to their aggregate Gift Aid donations for the year</w:t>
      </w:r>
      <w:r>
        <w:t xml:space="preserve"> generates a direct payment of 25 pence from the U.K. government to the charity</w:t>
      </w:r>
      <w:r>
        <w:rPr>
          <w:rFonts w:cs="Times New Roman"/>
        </w:rPr>
        <w:t>. Such an approach is economically equivalent to a 20% tax credit. In the U.S., direct payments to charities by the Federal government might not be possible with respect to donations to churches, synagogues, and mosques (the largest recipients of donations) without violating the First Amendment Establishment Clause.</w:t>
      </w:r>
    </w:p>
  </w:footnote>
  <w:footnote w:id="653">
    <w:p w:rsidR="00D72450" w:rsidRDefault="00D72450" w:rsidP="0078310B">
      <w:pPr>
        <w:pStyle w:val="FootnoteText"/>
        <w:widowControl w:val="0"/>
        <w:jc w:val="both"/>
      </w:pPr>
      <w:r>
        <w:rPr>
          <w:rStyle w:val="FootnoteReference"/>
        </w:rPr>
        <w:footnoteRef/>
      </w:r>
      <w:r>
        <w:t xml:space="preserve"> Similarly, President Obama’s budget proposals perennially advocated limiting the tax benefit for all Itemized Deductions, including the charitable contribution deduction, to no more than 28% for taxpayers in higher tax brackets, and those who oppose the proposal argue that it would reduce the incentive for the wealthy to give to charity. </w:t>
      </w:r>
    </w:p>
  </w:footnote>
  <w:footnote w:id="654">
    <w:p w:rsidR="00D72450" w:rsidRPr="00583B42" w:rsidRDefault="00D72450" w:rsidP="0078310B">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55">
    <w:p w:rsidR="00D72450" w:rsidRPr="00D40CBD" w:rsidRDefault="00D72450" w:rsidP="0078310B">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56">
    <w:p w:rsidR="00D72450" w:rsidRPr="00376B64" w:rsidRDefault="00D72450" w:rsidP="0078310B">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57">
    <w:p w:rsidR="00D72450" w:rsidRPr="0013350C" w:rsidRDefault="00D72450" w:rsidP="0078310B">
      <w:pPr>
        <w:pStyle w:val="FootnoteText"/>
        <w:widowControl w:val="0"/>
        <w:jc w:val="both"/>
      </w:pPr>
      <w:r>
        <w:rPr>
          <w:rStyle w:val="FootnoteReference"/>
        </w:rPr>
        <w:footnoteRef/>
      </w:r>
      <w:r>
        <w:t xml:space="preserve"> Warner, </w:t>
      </w:r>
      <w:r>
        <w:rPr>
          <w:i/>
        </w:rPr>
        <w:t xml:space="preserve">supra </w:t>
      </w:r>
      <w:r>
        <w:t xml:space="preserve">note 77, at 12. </w:t>
      </w:r>
    </w:p>
  </w:footnote>
  <w:footnote w:id="658">
    <w:p w:rsidR="00D72450" w:rsidRPr="008F0CF7" w:rsidRDefault="00D72450" w:rsidP="0078310B">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59">
    <w:p w:rsidR="00D72450" w:rsidRPr="008F0CF7" w:rsidRDefault="00D72450" w:rsidP="0078310B">
      <w:pPr>
        <w:pStyle w:val="FootnoteText"/>
      </w:pPr>
      <w:r>
        <w:rPr>
          <w:rStyle w:val="FootnoteReference"/>
        </w:rPr>
        <w:footnoteRef/>
      </w:r>
      <w:r>
        <w:t xml:space="preserve"> </w:t>
      </w:r>
      <w:r>
        <w:rPr>
          <w:i/>
        </w:rPr>
        <w:t>Id.</w:t>
      </w:r>
    </w:p>
  </w:footnote>
  <w:footnote w:id="660">
    <w:p w:rsidR="00D72450" w:rsidRPr="00070130" w:rsidRDefault="00D72450" w:rsidP="0078310B">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r w:rsidRPr="007D630C">
        <w:t>http://givingusa.org/product/giving-usa-2015-report-highlights/</w:t>
      </w:r>
      <w:r>
        <w:t xml:space="preserve">/. Reprinted with permission. In 2014, 72% of charitable contributions were made by individuals, 15% were made by foundations, 8% came from bequests, and 5% were made by corporations. </w:t>
      </w:r>
      <w:r>
        <w:rPr>
          <w:i/>
        </w:rPr>
        <w:t>See id.</w:t>
      </w:r>
      <w:r>
        <w:t xml:space="preserve"> </w:t>
      </w:r>
    </w:p>
  </w:footnote>
  <w:footnote w:id="661">
    <w:p w:rsidR="00D72450" w:rsidRPr="004E41F7" w:rsidRDefault="00D72450" w:rsidP="0078310B">
      <w:pPr>
        <w:pStyle w:val="FootnoteText"/>
      </w:pPr>
      <w:r>
        <w:rPr>
          <w:rStyle w:val="FootnoteReference"/>
        </w:rPr>
        <w:footnoteRef/>
      </w:r>
      <w:r>
        <w:t xml:space="preserve"> </w:t>
      </w:r>
      <w:r w:rsidRPr="00F96B7D">
        <w:t>Comm’r v. Duberstein</w:t>
      </w:r>
      <w:r>
        <w:t>, 363 U.S. 278, 285 (1960).</w:t>
      </w:r>
    </w:p>
  </w:footnote>
  <w:footnote w:id="662">
    <w:p w:rsidR="00D72450" w:rsidRPr="000A45B9" w:rsidRDefault="00D72450" w:rsidP="0078310B">
      <w:pPr>
        <w:pStyle w:val="FootnoteText"/>
      </w:pPr>
      <w:r>
        <w:rPr>
          <w:rStyle w:val="FootnoteReference"/>
        </w:rPr>
        <w:footnoteRef/>
      </w:r>
      <w:r>
        <w:t xml:space="preserve"> </w:t>
      </w:r>
      <w:r>
        <w:rPr>
          <w:i/>
        </w:rPr>
        <w:t>Id.</w:t>
      </w:r>
      <w:r>
        <w:t xml:space="preserve"> at 286.</w:t>
      </w:r>
    </w:p>
  </w:footnote>
  <w:footnote w:id="663">
    <w:p w:rsidR="00D72450" w:rsidRDefault="00D72450" w:rsidP="0078310B">
      <w:pPr>
        <w:pStyle w:val="FootnoteText"/>
        <w:widowControl w:val="0"/>
        <w:jc w:val="both"/>
      </w:pPr>
      <w:r>
        <w:rPr>
          <w:rStyle w:val="FootnoteReference"/>
        </w:rPr>
        <w:footnoteRef/>
      </w:r>
      <w:r>
        <w:t xml:space="preserve"> 477 U.S. 105 (1986).</w:t>
      </w:r>
    </w:p>
  </w:footnote>
  <w:footnote w:id="664">
    <w:p w:rsidR="00D72450" w:rsidRPr="0012395A" w:rsidRDefault="00D72450" w:rsidP="0078310B">
      <w:pPr>
        <w:pStyle w:val="FootnoteText"/>
        <w:widowControl w:val="0"/>
        <w:jc w:val="both"/>
      </w:pPr>
      <w:r>
        <w:rPr>
          <w:rStyle w:val="FootnoteReference"/>
        </w:rPr>
        <w:footnoteRef/>
      </w:r>
      <w:r>
        <w:t xml:space="preserve"> </w:t>
      </w:r>
      <w:r>
        <w:rPr>
          <w:i/>
        </w:rPr>
        <w:t>Id.</w:t>
      </w:r>
      <w:r>
        <w:t xml:space="preserve"> at 116-18.</w:t>
      </w:r>
    </w:p>
  </w:footnote>
  <w:footnote w:id="665">
    <w:p w:rsidR="00D72450" w:rsidRPr="003B3388" w:rsidRDefault="00D72450" w:rsidP="0078310B">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4" w:history="1">
        <w:r w:rsidRPr="00F96B7D">
          <w:t xml:space="preserve">Miller v. IRS, </w:t>
        </w:r>
        <w:r w:rsidRPr="003B3388">
          <w:t>829 F. 2d 500 (CA4 1987)</w:t>
        </w:r>
      </w:hyperlink>
      <w:r w:rsidRPr="003B3388">
        <w:t xml:space="preserve"> (same), cert. pending, No. 87-1449, with </w:t>
      </w:r>
      <w:hyperlink r:id="rId35" w:history="1">
        <w:r w:rsidRPr="00F96B7D">
          <w:t xml:space="preserve">Neher v. Comm’r, </w:t>
        </w:r>
        <w:r w:rsidRPr="003B3388">
          <w:t>852 F. 2d 848 (CA6 1988)</w:t>
        </w:r>
      </w:hyperlink>
      <w:r w:rsidRPr="003B3388">
        <w:t xml:space="preserve"> (holding payments deductible); </w:t>
      </w:r>
      <w:hyperlink r:id="rId36" w:history="1">
        <w:r w:rsidRPr="00F96B7D">
          <w:t>Foley v. Comm’r,</w:t>
        </w:r>
        <w:r w:rsidRPr="003B3388">
          <w:t xml:space="preserve"> 844 F. 2d 94 (CA2 1988)</w:t>
        </w:r>
      </w:hyperlink>
      <w:r w:rsidRPr="003B3388">
        <w:t xml:space="preserve"> (same), cert. pending, No. 88-102; </w:t>
      </w:r>
      <w:hyperlink r:id="rId37"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66">
    <w:p w:rsidR="00D72450" w:rsidRDefault="00D72450" w:rsidP="0078310B">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38" w:history="1">
        <w:r w:rsidRPr="00F96B7D">
          <w:t xml:space="preserve">American Bar Endowment, </w:t>
        </w:r>
        <w:r w:rsidRPr="009F1312">
          <w:t>477 U.S., at 117</w:t>
        </w:r>
      </w:hyperlink>
      <w:r w:rsidRPr="009F1312">
        <w:t xml:space="preserve"> (citing </w:t>
      </w:r>
      <w:hyperlink r:id="rId39" w:history="1">
        <w:r>
          <w:t>Rev. Rul. 67-246, 1967-2 C</w:t>
        </w:r>
        <w:r w:rsidRPr="009F1312">
          <w:t>.</w:t>
        </w:r>
        <w:r>
          <w:t>B</w:t>
        </w:r>
        <w:r w:rsidRPr="009F1312">
          <w:t>. 104</w:t>
        </w:r>
      </w:hyperlink>
      <w:r w:rsidRPr="009F1312">
        <w:t>). We thus have no occasion to decide this issue.</w:t>
      </w:r>
    </w:p>
  </w:footnote>
  <w:footnote w:id="667">
    <w:p w:rsidR="00D72450" w:rsidRPr="00782291" w:rsidRDefault="00D72450" w:rsidP="0078310B">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68">
    <w:p w:rsidR="00D72450" w:rsidRDefault="00D72450" w:rsidP="0078310B">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69">
    <w:p w:rsidR="00D72450" w:rsidRPr="00E1405E" w:rsidRDefault="00D72450" w:rsidP="0078310B">
      <w:pPr>
        <w:pStyle w:val="FootnoteText"/>
        <w:widowControl w:val="0"/>
        <w:jc w:val="both"/>
      </w:pPr>
      <w:r>
        <w:rPr>
          <w:rStyle w:val="FootnoteReference"/>
        </w:rPr>
        <w:footnoteRef/>
      </w:r>
      <w:r>
        <w:t xml:space="preserve"> </w:t>
      </w:r>
      <w:r>
        <w:rPr>
          <w:i/>
        </w:rPr>
        <w:t>Id.</w:t>
      </w:r>
      <w:r>
        <w:t xml:space="preserve"> at 377.</w:t>
      </w:r>
    </w:p>
  </w:footnote>
  <w:footnote w:id="670">
    <w:p w:rsidR="00D72450" w:rsidRPr="0018110A" w:rsidRDefault="00D72450" w:rsidP="0078310B">
      <w:pPr>
        <w:pStyle w:val="FootnoteText"/>
        <w:widowControl w:val="0"/>
        <w:jc w:val="both"/>
      </w:pPr>
      <w:r>
        <w:rPr>
          <w:rStyle w:val="FootnoteReference"/>
        </w:rPr>
        <w:footnoteRef/>
      </w:r>
      <w:r>
        <w:t xml:space="preserve"> </w:t>
      </w:r>
      <w:r>
        <w:rPr>
          <w:i/>
        </w:rPr>
        <w:t>See</w:t>
      </w:r>
      <w:r>
        <w:t xml:space="preserve"> Rev. Rul. 93-73, 1993-2 C.B. 75.</w:t>
      </w:r>
    </w:p>
  </w:footnote>
  <w:footnote w:id="671">
    <w:p w:rsidR="00D72450" w:rsidRPr="00EA3407" w:rsidRDefault="00D72450" w:rsidP="0078310B">
      <w:pPr>
        <w:pStyle w:val="FootnoteText"/>
        <w:widowControl w:val="0"/>
        <w:jc w:val="both"/>
      </w:pPr>
      <w:r>
        <w:rPr>
          <w:rStyle w:val="FootnoteReference"/>
        </w:rPr>
        <w:footnoteRef/>
      </w:r>
      <w:r>
        <w:t xml:space="preserve"> </w:t>
      </w:r>
      <w:r>
        <w:rPr>
          <w:i/>
        </w:rPr>
        <w:t>See also</w:t>
      </w:r>
      <w:r>
        <w:t xml:space="preserve"> Rev. Rul. 83-104, 1983-2 C.B. 46.</w:t>
      </w:r>
    </w:p>
  </w:footnote>
  <w:footnote w:id="672">
    <w:p w:rsidR="00D72450" w:rsidRDefault="00D72450" w:rsidP="0078310B">
      <w:pPr>
        <w:pStyle w:val="FootnoteText"/>
        <w:widowControl w:val="0"/>
        <w:jc w:val="both"/>
      </w:pPr>
      <w:r>
        <w:rPr>
          <w:rStyle w:val="FootnoteReference"/>
        </w:rPr>
        <w:t>[1]</w:t>
      </w:r>
      <w:r>
        <w:t xml:space="preserve"> </w:t>
      </w:r>
      <w:r w:rsidRPr="00A11716">
        <w:rPr>
          <w:i/>
        </w:rPr>
        <w:t>See</w:t>
      </w:r>
      <w:r w:rsidRPr="00A11716">
        <w:t xml:space="preserve"> </w:t>
      </w:r>
      <w:hyperlink r:id="rId40"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1" w:history="1">
        <w:r w:rsidRPr="00A11716">
          <w:t>Establishment Clause</w:t>
        </w:r>
      </w:hyperlink>
      <w:r w:rsidRPr="00A11716">
        <w:t xml:space="preserve">); </w:t>
      </w:r>
      <w:hyperlink r:id="rId42"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3"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4" w:history="1">
        <w:r w:rsidRPr="00F96B7D">
          <w:t>Agostini v. Felton,</w:t>
        </w:r>
        <w:r>
          <w:t xml:space="preserve"> 521 U.S. 203 </w:t>
        </w:r>
        <w:r w:rsidRPr="00A11716">
          <w:t>1997)</w:t>
        </w:r>
      </w:hyperlink>
      <w:r w:rsidRPr="00A11716">
        <w:t>.</w:t>
      </w:r>
    </w:p>
  </w:footnote>
  <w:footnote w:id="673">
    <w:p w:rsidR="00D72450" w:rsidRPr="00391860" w:rsidRDefault="00D72450" w:rsidP="0078310B">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74">
    <w:p w:rsidR="00D72450" w:rsidRPr="0015176E" w:rsidRDefault="00D72450" w:rsidP="0078310B">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91 at 847 n.84.</w:t>
      </w:r>
    </w:p>
  </w:footnote>
  <w:footnote w:id="675">
    <w:p w:rsidR="00D72450" w:rsidRPr="00E72BFA" w:rsidRDefault="00D72450" w:rsidP="0078310B">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76">
    <w:p w:rsidR="00D72450" w:rsidRPr="00645975" w:rsidRDefault="00D72450" w:rsidP="0078310B">
      <w:pPr>
        <w:widowControl w:val="0"/>
        <w:jc w:val="both"/>
      </w:pPr>
      <w:r w:rsidRPr="00645975">
        <w:rPr>
          <w:rStyle w:val="FootnoteReference"/>
          <w:sz w:val="20"/>
          <w:szCs w:val="20"/>
        </w:rPr>
        <w:footnoteRef/>
      </w:r>
      <w:r w:rsidRPr="00645975">
        <w:rPr>
          <w:sz w:val="20"/>
          <w:szCs w:val="20"/>
        </w:rPr>
        <w:t xml:space="preserve"> </w:t>
      </w:r>
      <w:r w:rsidRPr="00645975">
        <w:rPr>
          <w:i/>
          <w:sz w:val="20"/>
          <w:szCs w:val="20"/>
        </w:rPr>
        <w:t>See</w:t>
      </w:r>
      <w:r w:rsidRPr="00645975">
        <w:rPr>
          <w:sz w:val="20"/>
          <w:szCs w:val="20"/>
        </w:rPr>
        <w:t xml:space="preserve"> Curtis Eichelberger &amp; Charles R. Babcock, </w:t>
      </w:r>
      <w:r w:rsidRPr="00645975">
        <w:rPr>
          <w:i/>
          <w:sz w:val="20"/>
          <w:szCs w:val="20"/>
        </w:rPr>
        <w:t>Football Ticket Tax Break Helps Colleges Get Millions</w:t>
      </w:r>
      <w:r w:rsidRPr="00645975">
        <w:rPr>
          <w:sz w:val="20"/>
          <w:szCs w:val="20"/>
        </w:rPr>
        <w:t xml:space="preserve">, at </w:t>
      </w:r>
      <w:r w:rsidRPr="00431282">
        <w:rPr>
          <w:rFonts w:eastAsia="Times New Roman" w:cs="Times New Roman"/>
          <w:sz w:val="20"/>
          <w:szCs w:val="20"/>
        </w:rPr>
        <w:t>www.bloomberg.com/news/2012-10-25/got-college-football-tickets-take-a-tax-break.html</w:t>
      </w:r>
      <w:r>
        <w:rPr>
          <w:rFonts w:eastAsia="Times New Roman" w:cs="Times New Roman"/>
          <w:sz w:val="20"/>
          <w:szCs w:val="20"/>
        </w:rPr>
        <w:t xml:space="preserve">. The article describes how the law, which originally applied </w:t>
      </w:r>
      <w:r w:rsidRPr="000015F5">
        <w:rPr>
          <w:rFonts w:eastAsia="Times New Roman" w:cs="Times New Roman"/>
          <w:i/>
          <w:sz w:val="20"/>
          <w:szCs w:val="20"/>
        </w:rPr>
        <w:t>only</w:t>
      </w:r>
      <w:r>
        <w:rPr>
          <w:rFonts w:eastAsia="Times New Roman" w:cs="Times New Roman"/>
          <w:sz w:val="20"/>
          <w:szCs w:val="20"/>
        </w:rPr>
        <w:t xml:space="preserve"> to Louisiana State and the University of Texas at Austin, was enacted in 1986 and expanded in 1988 to all colleges and universities when they complained. The authors believe that the Ohio State University benefited the most from this provision in 2011. </w:t>
      </w:r>
    </w:p>
  </w:footnote>
  <w:footnote w:id="677">
    <w:p w:rsidR="00D72450" w:rsidRPr="00645975" w:rsidRDefault="00D72450" w:rsidP="0078310B">
      <w:pPr>
        <w:pStyle w:val="FootnoteText"/>
        <w:widowControl w:val="0"/>
        <w:jc w:val="both"/>
        <w:rPr>
          <w:i/>
        </w:rPr>
      </w:pPr>
      <w:r>
        <w:rPr>
          <w:rStyle w:val="FootnoteReference"/>
        </w:rPr>
        <w:footnoteRef/>
      </w:r>
      <w:r>
        <w:t xml:space="preserve"> </w:t>
      </w:r>
      <w:r>
        <w:rPr>
          <w:i/>
        </w:rPr>
        <w:t>Id.</w:t>
      </w:r>
    </w:p>
  </w:footnote>
  <w:footnote w:id="678">
    <w:p w:rsidR="00D72450" w:rsidRDefault="00D72450" w:rsidP="0078310B">
      <w:pPr>
        <w:pStyle w:val="FootnoteText"/>
      </w:pPr>
      <w:r>
        <w:rPr>
          <w:rStyle w:val="FootnoteReference"/>
        </w:rPr>
        <w:footnoteRef/>
      </w:r>
      <w:r>
        <w:t xml:space="preserve"> </w:t>
      </w:r>
      <w:r>
        <w:rPr>
          <w:i/>
        </w:rPr>
        <w:t>See, e.g.</w:t>
      </w:r>
      <w:r>
        <w:t>,</w:t>
      </w:r>
      <w:r>
        <w:rPr>
          <w:i/>
        </w:rPr>
        <w:t xml:space="preserve"> </w:t>
      </w:r>
      <w:r>
        <w:t xml:space="preserve">§§ 170(a)(3), (f)(2)-(4), and (o).  </w:t>
      </w:r>
    </w:p>
  </w:footnote>
  <w:footnote w:id="679">
    <w:p w:rsidR="00D72450" w:rsidRDefault="00D72450" w:rsidP="0078310B">
      <w:pPr>
        <w:pStyle w:val="FootnoteText"/>
        <w:jc w:val="both"/>
      </w:pPr>
      <w:r>
        <w:rPr>
          <w:rStyle w:val="FootnoteReference"/>
        </w:rPr>
        <w:footnoteRef/>
      </w:r>
      <w:r>
        <w:t xml:space="preserve"> We shall ignore (iv), relating to certain “taxidermy property,” which was added in 2006 after an expos</w:t>
      </w:r>
      <w:r>
        <w:rPr>
          <w:rFonts w:cs="Times New Roman"/>
        </w:rPr>
        <w:t>é</w:t>
      </w:r>
      <w:r>
        <w:t xml:space="preserve">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rsidR="00D72450" w:rsidRDefault="00D72450" w:rsidP="0078310B">
      <w:pPr>
        <w:pStyle w:val="FootnoteText"/>
        <w:jc w:val="both"/>
      </w:pPr>
      <w:r>
        <w:t xml:space="preserve"> </w:t>
      </w:r>
      <w:r w:rsidRPr="000509C4">
        <w:t>www.washingtonpost.com/wp-dyn/articles/A26324-2005Apr4.html</w:t>
      </w:r>
      <w:r>
        <w:t>.</w:t>
      </w:r>
    </w:p>
  </w:footnote>
  <w:footnote w:id="680">
    <w:p w:rsidR="00D72450" w:rsidRDefault="00D72450" w:rsidP="0078310B">
      <w:pPr>
        <w:pStyle w:val="FootnoteText"/>
      </w:pPr>
      <w:r>
        <w:rPr>
          <w:rStyle w:val="FootnoteReference"/>
        </w:rPr>
        <w:footnoteRef/>
      </w:r>
      <w:r>
        <w:t xml:space="preserve"> </w:t>
      </w:r>
      <w:r>
        <w:rPr>
          <w:i/>
        </w:rPr>
        <w:t xml:space="preserve">See </w:t>
      </w:r>
      <w:r>
        <w:t>§ 512(b).</w:t>
      </w:r>
    </w:p>
  </w:footnote>
  <w:footnote w:id="681">
    <w:p w:rsidR="00D72450" w:rsidRDefault="00D72450" w:rsidP="0078310B">
      <w:pPr>
        <w:pStyle w:val="FootnoteText"/>
        <w:widowControl w:val="0"/>
        <w:jc w:val="both"/>
      </w:pPr>
      <w:r>
        <w:rPr>
          <w:rStyle w:val="FootnoteReference"/>
        </w:rPr>
        <w:footnoteRef/>
      </w:r>
      <w:r>
        <w:t xml:space="preserve"> </w:t>
      </w:r>
      <w:r>
        <w:rPr>
          <w:i/>
        </w:rPr>
        <w:t>See, e.g.</w:t>
      </w:r>
      <w:r>
        <w:t xml:space="preserve">, </w:t>
      </w:r>
      <w:r>
        <w:rPr>
          <w:i/>
        </w:rPr>
        <w:t xml:space="preserve">Mystery Painting is Revealed to be a Rembrandt Worth </w:t>
      </w:r>
      <w:r>
        <w:rPr>
          <w:rFonts w:cs="Times New Roman"/>
          <w:i/>
        </w:rPr>
        <w:t>£</w:t>
      </w:r>
      <w:r>
        <w:rPr>
          <w:i/>
        </w:rPr>
        <w:t>20 million</w:t>
      </w:r>
      <w:r>
        <w:t xml:space="preserve">, at </w:t>
      </w:r>
    </w:p>
    <w:p w:rsidR="00D72450" w:rsidRPr="00183456" w:rsidRDefault="00D72450" w:rsidP="0078310B">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82">
    <w:p w:rsidR="00D72450" w:rsidRPr="00B06B07" w:rsidRDefault="00D72450" w:rsidP="0078310B">
      <w:pPr>
        <w:pStyle w:val="FootnoteText"/>
        <w:widowControl w:val="0"/>
        <w:jc w:val="both"/>
      </w:pPr>
      <w:r>
        <w:rPr>
          <w:rStyle w:val="FootnoteReference"/>
        </w:rPr>
        <w:footnoteRef/>
      </w:r>
      <w:r>
        <w:t xml:space="preserve"> </w:t>
      </w:r>
      <w:r>
        <w:rPr>
          <w:i/>
        </w:rPr>
        <w:t>See</w:t>
      </w:r>
      <w:r>
        <w:t xml:space="preserve"> Treas. Reg. § 1.170A-4(b)(3)(i). </w:t>
      </w:r>
    </w:p>
  </w:footnote>
  <w:footnote w:id="683">
    <w:p w:rsidR="00D72450" w:rsidRDefault="00D72450" w:rsidP="0078310B">
      <w:pPr>
        <w:pStyle w:val="FootnoteText"/>
        <w:widowControl w:val="0"/>
        <w:jc w:val="both"/>
      </w:pPr>
      <w:r>
        <w:rPr>
          <w:rStyle w:val="FootnoteReference"/>
        </w:rPr>
        <w:footnoteRef/>
      </w:r>
      <w:r>
        <w:t xml:space="preserve"> PLR 8009027 (Nov. 29, 1979). </w:t>
      </w:r>
    </w:p>
  </w:footnote>
  <w:footnote w:id="684">
    <w:p w:rsidR="00D72450" w:rsidRDefault="00D72450" w:rsidP="0078310B">
      <w:pPr>
        <w:pStyle w:val="FootnoteText"/>
      </w:pPr>
      <w:r>
        <w:rPr>
          <w:rStyle w:val="FootnoteReference"/>
        </w:rPr>
        <w:footnoteRef/>
      </w:r>
      <w:r>
        <w:t xml:space="preserve"> Congress also enacted § 170(f)(16) in 2006, which denies deduction for clothing and household items unless they are in “good used condition or better.”</w:t>
      </w:r>
    </w:p>
  </w:footnote>
  <w:footnote w:id="685">
    <w:p w:rsidR="00D72450" w:rsidRDefault="00D72450" w:rsidP="0078310B">
      <w:pPr>
        <w:pStyle w:val="FootnoteText"/>
      </w:pPr>
      <w:r>
        <w:rPr>
          <w:rStyle w:val="FootnoteReference"/>
        </w:rPr>
        <w:footnoteRef/>
      </w:r>
      <w:r>
        <w:t xml:space="preserve"> </w:t>
      </w:r>
      <w:r>
        <w:rPr>
          <w:i/>
        </w:rPr>
        <w:t xml:space="preserve">See </w:t>
      </w:r>
      <w:r>
        <w:t>§ 170(f)(17).</w:t>
      </w:r>
    </w:p>
  </w:footnote>
  <w:footnote w:id="686">
    <w:p w:rsidR="00D72450" w:rsidRDefault="00D72450" w:rsidP="0078310B">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87">
    <w:p w:rsidR="00D72450" w:rsidRPr="006258C5" w:rsidRDefault="00D72450" w:rsidP="0078310B">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88">
    <w:p w:rsidR="00D72450" w:rsidRDefault="00D72450" w:rsidP="0078310B">
      <w:pPr>
        <w:pStyle w:val="FootnoteText"/>
      </w:pPr>
      <w:r>
        <w:rPr>
          <w:rStyle w:val="FootnoteReference"/>
        </w:rPr>
        <w:footnoteRef/>
      </w:r>
      <w:r>
        <w:t xml:space="preserve"> </w:t>
      </w:r>
      <w:r w:rsidRPr="00032718">
        <w:rPr>
          <w:i/>
        </w:rPr>
        <w:t xml:space="preserve">See </w:t>
      </w:r>
      <w:r>
        <w:t>§ 170(b)(1)(C)(iii).</w:t>
      </w:r>
    </w:p>
  </w:footnote>
  <w:footnote w:id="689">
    <w:p w:rsidR="00D72450" w:rsidRPr="009E7DF4" w:rsidRDefault="00D72450" w:rsidP="0078310B">
      <w:pPr>
        <w:pStyle w:val="FootnoteText"/>
        <w:widowControl w:val="0"/>
      </w:pPr>
      <w:r>
        <w:rPr>
          <w:rStyle w:val="FootnoteReference"/>
        </w:rPr>
        <w:footnoteRef/>
      </w:r>
      <w:r>
        <w:t xml:space="preserve"> </w:t>
      </w:r>
      <w:r>
        <w:rPr>
          <w:i/>
        </w:rPr>
        <w:t>See generally</w:t>
      </w:r>
      <w:r>
        <w:t xml:space="preserve"> IRS Publication 526 at </w:t>
      </w:r>
      <w:r w:rsidRPr="009E7DF4">
        <w:t>www.irs.gov/publications/p526/ar02.html#en_US_2012_publink1000229802</w:t>
      </w:r>
      <w:r>
        <w:t>.</w:t>
      </w:r>
    </w:p>
  </w:footnote>
  <w:footnote w:id="690">
    <w:p w:rsidR="00D72450" w:rsidRPr="002C6CDE" w:rsidRDefault="00D72450" w:rsidP="0078310B">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91">
    <w:p w:rsidR="00D72450" w:rsidRDefault="00D72450" w:rsidP="0078310B">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general rule of statutory interpretation, the specific takes precedence over the general. </w:t>
      </w:r>
    </w:p>
  </w:footnote>
  <w:footnote w:id="692">
    <w:p w:rsidR="00D72450" w:rsidRDefault="00D72450" w:rsidP="0078310B">
      <w:pPr>
        <w:pStyle w:val="FootnoteText"/>
        <w:widowControl w:val="0"/>
        <w:jc w:val="both"/>
      </w:pPr>
      <w:r>
        <w:rPr>
          <w:rStyle w:val="FootnoteReference"/>
        </w:rPr>
        <w:footnoteRef/>
      </w:r>
      <w:r>
        <w:t xml:space="preserve"> 343 U.S. 118 (1952).</w:t>
      </w:r>
    </w:p>
  </w:footnote>
  <w:footnote w:id="693">
    <w:p w:rsidR="00D72450" w:rsidRDefault="00D72450" w:rsidP="0078310B">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94">
    <w:p w:rsidR="00D72450" w:rsidRDefault="00D72450" w:rsidP="0078310B">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695">
    <w:p w:rsidR="00D72450" w:rsidRDefault="00D72450" w:rsidP="0078310B">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696">
    <w:p w:rsidR="00D72450" w:rsidRPr="00BF3127" w:rsidRDefault="00D72450" w:rsidP="0078310B">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697">
    <w:p w:rsidR="00D72450" w:rsidRPr="00997CB3" w:rsidRDefault="00D72450" w:rsidP="0078310B">
      <w:pPr>
        <w:pStyle w:val="FootnoteText"/>
        <w:widowControl w:val="0"/>
        <w:jc w:val="both"/>
      </w:pPr>
      <w:r>
        <w:rPr>
          <w:rStyle w:val="FootnoteReference"/>
        </w:rPr>
        <w:footnoteRef/>
      </w:r>
      <w:r>
        <w:t xml:space="preserve"> </w:t>
      </w:r>
      <w:r>
        <w:rPr>
          <w:i/>
        </w:rPr>
        <w:t xml:space="preserve">See </w:t>
      </w:r>
      <w:r w:rsidRPr="00F96B7D">
        <w:t>Offutt v. Comm’r,</w:t>
      </w:r>
      <w:r>
        <w:t xml:space="preserve"> 16 T.C. 1214 (1951); </w:t>
      </w:r>
      <w:r w:rsidRPr="00F96B7D">
        <w:t>Estate of Todisco v. Comm’r,</w:t>
      </w:r>
      <w:r>
        <w:t xml:space="preserve"> 757 F.2d 1 (1</w:t>
      </w:r>
      <w:r w:rsidRPr="00BF3127">
        <w:rPr>
          <w:vertAlign w:val="superscript"/>
        </w:rPr>
        <w:t>st</w:t>
      </w:r>
      <w:r>
        <w:t xml:space="preserve"> Cir. 1985), </w:t>
      </w:r>
      <w:r>
        <w:rPr>
          <w:i/>
        </w:rPr>
        <w:t>aff’g</w:t>
      </w:r>
      <w:r>
        <w:t xml:space="preserve">, T.C. Memo. 1983-247; </w:t>
      </w:r>
      <w:r w:rsidRPr="00F96B7D">
        <w:t>Kochevar v. Comm’r,</w:t>
      </w:r>
      <w:r>
        <w:t xml:space="preserve"> T.C. Memo. 1995-607; </w:t>
      </w:r>
      <w:r w:rsidRPr="00F96B7D">
        <w:t>Praytor v. Comm’r,</w:t>
      </w:r>
      <w:r>
        <w:t xml:space="preserve"> T.C. Memo. 2000-282 (each characterizing certain business “expenses” of the professional gambler as wagering “losses” subject to § 165(d)).</w:t>
      </w:r>
    </w:p>
  </w:footnote>
  <w:footnote w:id="698">
    <w:p w:rsidR="00D72450" w:rsidRDefault="00D72450" w:rsidP="0078310B">
      <w:pPr>
        <w:pStyle w:val="FootnoteText"/>
        <w:widowControl w:val="0"/>
        <w:jc w:val="both"/>
      </w:pPr>
      <w:r>
        <w:rPr>
          <w:rStyle w:val="FootnoteReference"/>
        </w:rPr>
        <w:footnoteRef/>
      </w:r>
      <w:r>
        <w:t xml:space="preserve"> 136 T.C. 81 (2011).</w:t>
      </w:r>
    </w:p>
  </w:footnote>
  <w:footnote w:id="699">
    <w:p w:rsidR="00D72450" w:rsidRDefault="00D72450" w:rsidP="0078310B">
      <w:pPr>
        <w:pStyle w:val="FootnoteText"/>
        <w:widowControl w:val="0"/>
        <w:jc w:val="both"/>
      </w:pPr>
      <w:r>
        <w:rPr>
          <w:rStyle w:val="FootnoteReference"/>
        </w:rPr>
        <w:footnoteRef/>
      </w:r>
      <w:r>
        <w:t xml:space="preserve"> Action on Decision (AOD) 2012-3. </w:t>
      </w:r>
    </w:p>
  </w:footnote>
  <w:footnote w:id="700">
    <w:p w:rsidR="00D72450" w:rsidRPr="00B765D5" w:rsidRDefault="00D72450" w:rsidP="0078310B">
      <w:pPr>
        <w:pStyle w:val="FootnoteText"/>
        <w:widowControl w:val="0"/>
        <w:jc w:val="both"/>
      </w:pPr>
      <w:r>
        <w:rPr>
          <w:rStyle w:val="FootnoteReference"/>
        </w:rPr>
        <w:footnoteRef/>
      </w:r>
      <w:r>
        <w:t xml:space="preserve"> Treas. Reg. § 1.212-1(c).</w:t>
      </w:r>
    </w:p>
  </w:footnote>
  <w:footnote w:id="701">
    <w:p w:rsidR="00D72450" w:rsidRDefault="00D72450" w:rsidP="0078310B">
      <w:pPr>
        <w:pStyle w:val="FootnoteText"/>
        <w:widowControl w:val="0"/>
        <w:jc w:val="both"/>
      </w:pPr>
      <w:r>
        <w:rPr>
          <w:rStyle w:val="FootnoteReference"/>
        </w:rPr>
        <w:footnoteRef/>
      </w:r>
      <w:r>
        <w:t xml:space="preserve"> Actually, that statement is not quite accurate today. Because § 183(b) is not listed in § 62, it is an Itemized Deduction, which means that Connor may not be able to benefit from it if he takes the Standard Deduction. Moreover, even if Connor itemizes his deductions, the § 183(b) deduction is also a MID subject to the 2% floor because § 183(b) is also not listed in § 67(b). Thus, it is not quite accurate to say today that Connor’s $400 of Gross Income from his coffee table sale will, in fact, necessarily be fully offset by his § 183(b) deduction, though that clearly was its original purpose. </w:t>
      </w:r>
    </w:p>
  </w:footnote>
  <w:footnote w:id="702">
    <w:p w:rsidR="00D72450" w:rsidRDefault="00D72450" w:rsidP="0078310B">
      <w:pPr>
        <w:pStyle w:val="FootnoteText"/>
        <w:widowControl w:val="0"/>
        <w:jc w:val="both"/>
      </w:pPr>
      <w:r>
        <w:rPr>
          <w:rStyle w:val="FootnoteReference"/>
        </w:rPr>
        <w:footnoteRef/>
      </w:r>
      <w:r>
        <w:t xml:space="preserve"> As business or income-production deductions not incurred by an employee (rather than a §183(b) deduction), Connor would be permitted to take these § 167, 168, </w:t>
      </w:r>
      <w:r>
        <w:rPr>
          <w:i/>
        </w:rPr>
        <w:t>etc.</w:t>
      </w:r>
      <w:r>
        <w:t>, deductions above the line under § 62(a)(1).</w:t>
      </w:r>
    </w:p>
  </w:footnote>
  <w:footnote w:id="703">
    <w:p w:rsidR="00D72450" w:rsidRPr="00987852" w:rsidRDefault="00D72450" w:rsidP="0078310B">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w:t>
      </w:r>
    </w:p>
  </w:footnote>
  <w:footnote w:id="704">
    <w:p w:rsidR="00D72450" w:rsidRDefault="00D72450" w:rsidP="0078310B">
      <w:pPr>
        <w:pStyle w:val="FootnoteText"/>
        <w:widowControl w:val="0"/>
        <w:jc w:val="both"/>
      </w:pPr>
      <w:r>
        <w:rPr>
          <w:rStyle w:val="FootnoteReference"/>
        </w:rPr>
        <w:footnoteRef/>
      </w:r>
      <w:r>
        <w:t xml:space="preserve"> </w:t>
      </w:r>
      <w:r w:rsidRPr="00F23885">
        <w:t>379 F.2d 252 (2d Cir. 1967)</w:t>
      </w:r>
      <w:r>
        <w:t>.</w:t>
      </w:r>
    </w:p>
  </w:footnote>
  <w:footnote w:id="705">
    <w:p w:rsidR="00D72450" w:rsidRDefault="00D72450" w:rsidP="0078310B">
      <w:pPr>
        <w:pStyle w:val="FootnoteText"/>
        <w:widowControl w:val="0"/>
        <w:jc w:val="both"/>
      </w:pPr>
      <w:r>
        <w:rPr>
          <w:rStyle w:val="FootnoteReference"/>
        </w:rPr>
        <w:footnoteRef/>
      </w:r>
      <w:r>
        <w:t xml:space="preserve"> 68 T.C. 696 (1977). </w:t>
      </w:r>
    </w:p>
  </w:footnote>
  <w:footnote w:id="706">
    <w:p w:rsidR="00D72450" w:rsidRDefault="00D72450" w:rsidP="0078310B">
      <w:pPr>
        <w:pStyle w:val="FootnoteText"/>
        <w:widowControl w:val="0"/>
        <w:jc w:val="both"/>
      </w:pPr>
      <w:r>
        <w:rPr>
          <w:rStyle w:val="FootnoteReference"/>
        </w:rPr>
        <w:footnoteRef/>
      </w:r>
      <w:r>
        <w:t xml:space="preserve"> T.C. Memo. 1981-550. </w:t>
      </w:r>
    </w:p>
  </w:footnote>
  <w:footnote w:id="707">
    <w:p w:rsidR="00D72450" w:rsidRDefault="00D72450" w:rsidP="0078310B">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708">
    <w:p w:rsidR="00D72450" w:rsidRPr="00D865F2" w:rsidRDefault="00D72450" w:rsidP="0078310B">
      <w:pPr>
        <w:pStyle w:val="FootnoteText"/>
        <w:widowControl w:val="0"/>
        <w:jc w:val="both"/>
      </w:pPr>
      <w:r>
        <w:rPr>
          <w:rStyle w:val="FootnoteReference"/>
        </w:rPr>
        <w:footnoteRef/>
      </w:r>
      <w:r>
        <w:t xml:space="preserve"> </w:t>
      </w:r>
      <w:r>
        <w:rPr>
          <w:i/>
        </w:rPr>
        <w:t>Fields</w:t>
      </w:r>
      <w:r>
        <w:t>, T.C. Memo. 1981-550.</w:t>
      </w:r>
    </w:p>
  </w:footnote>
  <w:footnote w:id="709">
    <w:p w:rsidR="00D72450" w:rsidRDefault="00D72450" w:rsidP="0078310B">
      <w:pPr>
        <w:pStyle w:val="FootnoteText"/>
        <w:widowControl w:val="0"/>
        <w:jc w:val="both"/>
      </w:pPr>
      <w:r>
        <w:rPr>
          <w:rStyle w:val="FootnoteReference"/>
        </w:rPr>
        <w:t>[4]</w:t>
      </w:r>
      <w:r w:rsidRPr="007E06EE">
        <w:t xml:space="preserve"> Petitioner argues that the presumption under </w:t>
      </w:r>
      <w:hyperlink r:id="rId45" w:history="1">
        <w:r w:rsidRPr="007E06EE">
          <w:t>sec. 183(d)</w:t>
        </w:r>
      </w:hyperlink>
      <w:r w:rsidRPr="007E06EE">
        <w:t xml:space="preserve"> applies. Under </w:t>
      </w:r>
      <w:hyperlink r:id="rId46"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47" w:history="1">
        <w:r>
          <w:t>Bunney v. Comm’</w:t>
        </w:r>
        <w:r w:rsidRPr="002E705D">
          <w:t>r,</w:t>
        </w:r>
        <w:r w:rsidRPr="007E06EE">
          <w:t xml:space="preserve"> T.C. Memo 2003-233</w:t>
        </w:r>
      </w:hyperlink>
      <w:r w:rsidRPr="007E06EE">
        <w:t xml:space="preserve"> (citing </w:t>
      </w:r>
      <w:hyperlink r:id="rId48" w:history="1">
        <w:r w:rsidRPr="002E705D">
          <w:t>Golanty v. Comm’r,</w:t>
        </w:r>
        <w:r w:rsidRPr="007E06EE">
          <w:t xml:space="preserve"> 72 T.C. 411, 425 (1979)</w:t>
        </w:r>
      </w:hyperlink>
      <w:r w:rsidRPr="007E06EE">
        <w:t xml:space="preserve">, affd. without published opinion </w:t>
      </w:r>
      <w:hyperlink r:id="rId49"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0"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1" w:history="1">
        <w:r w:rsidRPr="002E705D">
          <w:t>Mitchell v. Comm</w:t>
        </w:r>
        <w:r>
          <w:t>’</w:t>
        </w:r>
        <w:r w:rsidRPr="002E705D">
          <w:t>r,</w:t>
        </w:r>
        <w:r w:rsidRPr="007E06EE">
          <w:t xml:space="preserve"> T.C. Memo 2006-145</w:t>
        </w:r>
      </w:hyperlink>
      <w:r w:rsidRPr="007E06EE">
        <w:t xml:space="preserve"> (citing </w:t>
      </w:r>
      <w:hyperlink r:id="rId52" w:history="1">
        <w:r w:rsidRPr="007E06EE">
          <w:t>sec. 183(d)</w:t>
        </w:r>
      </w:hyperlink>
      <w:r w:rsidRPr="007E06EE">
        <w:t xml:space="preserve">). Since we found that petitioner's equestrian and design activities constitute a single undertaking, the </w:t>
      </w:r>
      <w:hyperlink r:id="rId53"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710">
    <w:p w:rsidR="00D72450" w:rsidRPr="0050196F" w:rsidRDefault="00D72450" w:rsidP="0078310B">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711">
    <w:p w:rsidR="00D72450" w:rsidRDefault="00D72450" w:rsidP="0078310B">
      <w:pPr>
        <w:pStyle w:val="FootnoteText"/>
        <w:widowControl w:val="0"/>
        <w:jc w:val="both"/>
      </w:pPr>
      <w:r>
        <w:rPr>
          <w:rStyle w:val="FootnoteReference"/>
        </w:rPr>
        <w:footnoteRef/>
      </w:r>
      <w:r>
        <w:t xml:space="preserve"> 290 U.S. 111 (1933).</w:t>
      </w:r>
    </w:p>
  </w:footnote>
  <w:footnote w:id="712">
    <w:p w:rsidR="00D72450" w:rsidRPr="00444031" w:rsidRDefault="00D72450" w:rsidP="0078310B">
      <w:pPr>
        <w:pStyle w:val="FootnoteText"/>
        <w:widowControl w:val="0"/>
        <w:jc w:val="both"/>
      </w:pPr>
      <w:r>
        <w:rPr>
          <w:rStyle w:val="FootnoteReference"/>
        </w:rPr>
        <w:footnoteRef/>
      </w:r>
      <w:r>
        <w:t xml:space="preserve"> </w:t>
      </w:r>
      <w:r w:rsidRPr="002E705D">
        <w:t xml:space="preserve">INDOPCO v. Comm’r, </w:t>
      </w:r>
      <w:r>
        <w:t>503 U.S. 79, 85 n.5 (1992).</w:t>
      </w:r>
    </w:p>
  </w:footnote>
  <w:footnote w:id="713">
    <w:p w:rsidR="00D72450" w:rsidRPr="007A53AA" w:rsidRDefault="00D72450" w:rsidP="0078310B">
      <w:pPr>
        <w:pStyle w:val="FootnoteText"/>
        <w:widowControl w:val="0"/>
        <w:jc w:val="both"/>
      </w:pPr>
      <w:r>
        <w:rPr>
          <w:rStyle w:val="FootnoteReference"/>
        </w:rPr>
        <w:footnoteRef/>
      </w:r>
      <w:r>
        <w:t xml:space="preserve"> This basis of this new goodwill is not likely amortizable today under § 197, studied in Chapter 14, because it is self-created. </w:t>
      </w:r>
      <w:r>
        <w:rPr>
          <w:i/>
        </w:rPr>
        <w:t xml:space="preserve">See </w:t>
      </w:r>
      <w:r>
        <w:t>§ 197(c)(2).</w:t>
      </w:r>
    </w:p>
  </w:footnote>
  <w:footnote w:id="714">
    <w:p w:rsidR="00D72450" w:rsidRDefault="00D72450" w:rsidP="0078310B">
      <w:pPr>
        <w:pStyle w:val="FootnoteText"/>
      </w:pPr>
      <w:r>
        <w:rPr>
          <w:rStyle w:val="FootnoteReference"/>
        </w:rPr>
        <w:footnoteRef/>
      </w:r>
      <w:r>
        <w:t xml:space="preserve"> 290 U.S. at 113.</w:t>
      </w:r>
    </w:p>
  </w:footnote>
  <w:footnote w:id="715">
    <w:p w:rsidR="00D72450" w:rsidRDefault="00D72450" w:rsidP="0078310B">
      <w:pPr>
        <w:pStyle w:val="FootnoteText"/>
        <w:widowControl w:val="0"/>
        <w:jc w:val="both"/>
      </w:pPr>
      <w:r>
        <w:rPr>
          <w:rStyle w:val="FootnoteReference"/>
        </w:rPr>
        <w:footnoteRef/>
      </w:r>
      <w:r>
        <w:t xml:space="preserve"> 17 U.S. 316 (1819). </w:t>
      </w:r>
    </w:p>
  </w:footnote>
  <w:footnote w:id="716">
    <w:p w:rsidR="00D72450" w:rsidRPr="007168EE" w:rsidRDefault="00D72450" w:rsidP="0078310B">
      <w:pPr>
        <w:pStyle w:val="FootnoteText"/>
      </w:pPr>
      <w:r>
        <w:rPr>
          <w:rStyle w:val="FootnoteReference"/>
        </w:rPr>
        <w:footnoteRef/>
      </w:r>
      <w:r>
        <w:t xml:space="preserve"> 290 U.S. at 114-15. Does the last phrase supply a helpful benchmark for lawyers attempting to advise their clients?</w:t>
      </w:r>
    </w:p>
  </w:footnote>
  <w:footnote w:id="717">
    <w:p w:rsidR="00D72450" w:rsidRDefault="00D72450" w:rsidP="0078310B">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rsidR="00D72450" w:rsidRDefault="00D72450" w:rsidP="0078310B">
      <w:pPr>
        <w:pStyle w:val="FootnoteText"/>
        <w:widowControl w:val="0"/>
        <w:spacing w:after="120"/>
        <w:ind w:left="720" w:right="720"/>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rsidR="00D72450" w:rsidRPr="00F31DB6" w:rsidRDefault="00D72450" w:rsidP="0078310B">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718">
    <w:p w:rsidR="00D72450" w:rsidRPr="00AD19A6" w:rsidRDefault="00D72450" w:rsidP="0078310B">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719">
    <w:p w:rsidR="00D72450" w:rsidRPr="00D6320C" w:rsidRDefault="00D72450" w:rsidP="0078310B">
      <w:pPr>
        <w:pStyle w:val="FootnoteText"/>
        <w:widowControl w:val="0"/>
        <w:jc w:val="both"/>
      </w:pPr>
      <w:r>
        <w:rPr>
          <w:rStyle w:val="FootnoteReference"/>
        </w:rPr>
        <w:footnoteRef/>
      </w:r>
      <w:r>
        <w:t xml:space="preserve"> </w:t>
      </w:r>
      <w:r>
        <w:rPr>
          <w:i/>
        </w:rPr>
        <w:t>Id.</w:t>
      </w:r>
    </w:p>
  </w:footnote>
  <w:footnote w:id="720">
    <w:p w:rsidR="00D72450" w:rsidRPr="006B5777" w:rsidRDefault="00D72450" w:rsidP="0078310B">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721">
    <w:p w:rsidR="00D72450" w:rsidRPr="00947DE2" w:rsidRDefault="00D72450" w:rsidP="0078310B">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722">
    <w:p w:rsidR="00D72450" w:rsidRDefault="00D72450" w:rsidP="0078310B">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723">
    <w:p w:rsidR="00D72450" w:rsidRPr="00F01523" w:rsidRDefault="00D72450" w:rsidP="0078310B">
      <w:pPr>
        <w:pStyle w:val="FootnoteText"/>
        <w:widowControl w:val="0"/>
        <w:jc w:val="both"/>
      </w:pPr>
      <w:r>
        <w:rPr>
          <w:rStyle w:val="FootnoteReference"/>
        </w:rPr>
        <w:footnoteRef/>
      </w:r>
      <w:r>
        <w:t xml:space="preserve"> </w:t>
      </w:r>
      <w:r>
        <w:rPr>
          <w:i/>
        </w:rPr>
        <w:t>Id.</w:t>
      </w:r>
      <w:r>
        <w:t xml:space="preserve"> at 243-44. </w:t>
      </w:r>
    </w:p>
  </w:footnote>
  <w:footnote w:id="724">
    <w:p w:rsidR="00D72450" w:rsidRPr="005E1BA4" w:rsidRDefault="00D72450" w:rsidP="0078310B">
      <w:pPr>
        <w:pStyle w:val="FootnoteText"/>
        <w:widowControl w:val="0"/>
        <w:jc w:val="both"/>
      </w:pPr>
      <w:r w:rsidRPr="005E1BA4">
        <w:rPr>
          <w:rStyle w:val="FootnoteReference"/>
        </w:rPr>
        <w:footnoteRef/>
      </w:r>
      <w:r w:rsidRPr="005E1BA4">
        <w:t xml:space="preserve"> 1976-1 C.B. 45. </w:t>
      </w:r>
    </w:p>
  </w:footnote>
  <w:footnote w:id="725">
    <w:p w:rsidR="00D72450" w:rsidRPr="005E1BA4" w:rsidRDefault="00D72450" w:rsidP="0078310B">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726">
    <w:p w:rsidR="00D72450" w:rsidRDefault="00D72450" w:rsidP="0078310B">
      <w:pPr>
        <w:pStyle w:val="FootnoteText"/>
        <w:widowControl w:val="0"/>
        <w:jc w:val="both"/>
      </w:pPr>
      <w:r>
        <w:rPr>
          <w:rStyle w:val="FootnoteReference"/>
        </w:rPr>
        <w:footnoteRef/>
      </w:r>
      <w:r>
        <w:t xml:space="preserve"> 358 U.S. 498 (1959). </w:t>
      </w:r>
    </w:p>
  </w:footnote>
  <w:footnote w:id="727">
    <w:p w:rsidR="00D72450" w:rsidRDefault="00D72450" w:rsidP="0078310B">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162(e)(1)(B) &amp; (C)</w:t>
      </w:r>
      <w:r w:rsidRPr="00884748">
        <w:rPr>
          <w:sz w:val="20"/>
          <w:szCs w:val="20"/>
        </w:rPr>
        <w:t xml:space="preserve"> </w:t>
      </w:r>
      <w:r>
        <w:rPr>
          <w:sz w:val="20"/>
          <w:szCs w:val="20"/>
        </w:rPr>
        <w:t xml:space="preserve">and </w:t>
      </w:r>
      <w:r w:rsidRPr="00884748">
        <w:rPr>
          <w:sz w:val="20"/>
          <w:szCs w:val="20"/>
        </w:rPr>
        <w:t>(e)(2)A).</w:t>
      </w:r>
    </w:p>
  </w:footnote>
  <w:footnote w:id="728">
    <w:p w:rsidR="00D72450" w:rsidRDefault="00D72450" w:rsidP="0078310B">
      <w:pPr>
        <w:pStyle w:val="FootnoteText"/>
        <w:widowControl w:val="0"/>
        <w:jc w:val="both"/>
      </w:pPr>
      <w:r>
        <w:rPr>
          <w:rStyle w:val="FootnoteReference"/>
        </w:rPr>
        <w:footnoteRef/>
      </w:r>
      <w:r>
        <w:t xml:space="preserve"> 356 U.S. 27 (1958).</w:t>
      </w:r>
    </w:p>
  </w:footnote>
  <w:footnote w:id="729">
    <w:p w:rsidR="00D72450" w:rsidRPr="00F2002D" w:rsidRDefault="00D72450" w:rsidP="0078310B">
      <w:pPr>
        <w:pStyle w:val="FootnoteText"/>
        <w:widowControl w:val="0"/>
        <w:jc w:val="both"/>
      </w:pPr>
      <w:r>
        <w:rPr>
          <w:rStyle w:val="FootnoteReference"/>
        </w:rPr>
        <w:footnoteRef/>
      </w:r>
      <w:r>
        <w:t xml:space="preserve"> </w:t>
      </w:r>
      <w:r>
        <w:rPr>
          <w:i/>
        </w:rPr>
        <w:t>Id.</w:t>
      </w:r>
      <w:r>
        <w:t xml:space="preserve"> at 29. </w:t>
      </w:r>
    </w:p>
  </w:footnote>
  <w:footnote w:id="730">
    <w:p w:rsidR="00D72450" w:rsidRDefault="00D72450" w:rsidP="0078310B">
      <w:pPr>
        <w:pStyle w:val="FootnoteText"/>
        <w:widowControl w:val="0"/>
        <w:jc w:val="both"/>
      </w:pPr>
      <w:r>
        <w:rPr>
          <w:rStyle w:val="FootnoteReference"/>
        </w:rPr>
        <w:footnoteRef/>
      </w:r>
      <w:r>
        <w:t xml:space="preserve"> 383 U.S. 687 (1966). </w:t>
      </w:r>
    </w:p>
  </w:footnote>
  <w:footnote w:id="731">
    <w:p w:rsidR="00D72450" w:rsidRDefault="00D72450" w:rsidP="0078310B">
      <w:pPr>
        <w:pStyle w:val="FootnoteText"/>
        <w:widowControl w:val="0"/>
        <w:jc w:val="both"/>
      </w:pPr>
      <w:r>
        <w:rPr>
          <w:rStyle w:val="FootnoteReference"/>
        </w:rPr>
        <w:footnoteRef/>
      </w:r>
      <w:r>
        <w:t xml:space="preserve"> 356 U.S. 30 (1958).</w:t>
      </w:r>
    </w:p>
  </w:footnote>
  <w:footnote w:id="732">
    <w:p w:rsidR="00D72450" w:rsidRPr="006A6E9C" w:rsidRDefault="00D72450" w:rsidP="0078310B">
      <w:pPr>
        <w:pStyle w:val="FootnoteText"/>
        <w:widowControl w:val="0"/>
        <w:jc w:val="both"/>
      </w:pPr>
      <w:r>
        <w:rPr>
          <w:rStyle w:val="FootnoteReference"/>
        </w:rPr>
        <w:footnoteRef/>
      </w:r>
      <w:r>
        <w:t xml:space="preserve"> </w:t>
      </w:r>
      <w:r>
        <w:rPr>
          <w:i/>
        </w:rPr>
        <w:t>Id.</w:t>
      </w:r>
      <w:r>
        <w:t xml:space="preserve"> at 33-34. </w:t>
      </w:r>
    </w:p>
  </w:footnote>
  <w:footnote w:id="733">
    <w:p w:rsidR="00D72450" w:rsidRPr="006A6E9C" w:rsidRDefault="00D72450" w:rsidP="0078310B">
      <w:pPr>
        <w:pStyle w:val="FootnoteText"/>
        <w:widowControl w:val="0"/>
        <w:jc w:val="both"/>
      </w:pPr>
      <w:r>
        <w:rPr>
          <w:rStyle w:val="FootnoteReference"/>
        </w:rPr>
        <w:footnoteRef/>
      </w:r>
      <w:r>
        <w:t xml:space="preserve"> </w:t>
      </w:r>
      <w:r>
        <w:rPr>
          <w:i/>
        </w:rPr>
        <w:t>Id.</w:t>
      </w:r>
      <w:r>
        <w:t xml:space="preserve"> at 35-36.</w:t>
      </w:r>
    </w:p>
  </w:footnote>
  <w:footnote w:id="734">
    <w:p w:rsidR="00D72450" w:rsidRPr="00EF4AC7" w:rsidRDefault="00D72450" w:rsidP="0078310B">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35">
    <w:p w:rsidR="00D72450" w:rsidRPr="00E25E6D" w:rsidRDefault="00D72450" w:rsidP="0078310B">
      <w:pPr>
        <w:pStyle w:val="FootnoteText"/>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r w:rsidRPr="00E25E6D">
        <w:t>www.nytimes.com/2015/12/03/business/dealbook/tax-deductions-blunt-impact-of-large-corporate-settlements-report-says.html</w:t>
      </w:r>
      <w:r>
        <w:t>.</w:t>
      </w:r>
    </w:p>
  </w:footnote>
  <w:footnote w:id="736">
    <w:p w:rsidR="00D72450" w:rsidRPr="00FC3D2F" w:rsidRDefault="00D72450" w:rsidP="0078310B">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(exploring tax characterization language in settlement agreements entered into with the government </w:t>
      </w:r>
    </w:p>
  </w:footnote>
  <w:footnote w:id="737">
    <w:p w:rsidR="00D72450" w:rsidRPr="0025422D" w:rsidRDefault="00D72450" w:rsidP="0078310B">
      <w:pPr>
        <w:pStyle w:val="FootnoteText"/>
        <w:widowControl w:val="0"/>
        <w:jc w:val="both"/>
      </w:pPr>
      <w:r>
        <w:rPr>
          <w:rStyle w:val="FootnoteReference"/>
        </w:rPr>
        <w:footnoteRef/>
      </w:r>
      <w:r>
        <w:t xml:space="preserve"> </w:t>
      </w:r>
      <w:r>
        <w:rPr>
          <w:i/>
        </w:rPr>
        <w:t xml:space="preserve">See </w:t>
      </w:r>
      <w:r>
        <w:t xml:space="preserve">Robert W. Wood, </w:t>
      </w:r>
      <w:r>
        <w:rPr>
          <w:i/>
        </w:rPr>
        <w:t>BP, Oil, and Deducting Punitive Damages</w:t>
      </w:r>
      <w:r>
        <w:t xml:space="preserve">, 128 </w:t>
      </w:r>
      <w:r>
        <w:rPr>
          <w:smallCaps/>
        </w:rPr>
        <w:t>Tax Notes</w:t>
      </w:r>
      <w:r>
        <w:t xml:space="preserve"> 663, 663 (2010).</w:t>
      </w:r>
    </w:p>
  </w:footnote>
  <w:footnote w:id="738">
    <w:p w:rsidR="00D72450" w:rsidRDefault="00D72450" w:rsidP="0078310B">
      <w:pPr>
        <w:pStyle w:val="FootnoteText"/>
        <w:widowControl w:val="0"/>
        <w:jc w:val="both"/>
      </w:pPr>
      <w:r>
        <w:rPr>
          <w:rStyle w:val="FootnoteReference"/>
        </w:rPr>
        <w:footnoteRef/>
      </w:r>
      <w:r>
        <w:t xml:space="preserve"> 61 T.C. 497 (1974) (reviewed). </w:t>
      </w:r>
    </w:p>
  </w:footnote>
  <w:footnote w:id="739">
    <w:p w:rsidR="00D72450" w:rsidRPr="00B2705C" w:rsidRDefault="00D72450" w:rsidP="0078310B">
      <w:pPr>
        <w:pStyle w:val="FootnoteText"/>
        <w:widowControl w:val="0"/>
        <w:jc w:val="both"/>
      </w:pPr>
      <w:r>
        <w:rPr>
          <w:rStyle w:val="FootnoteReference"/>
        </w:rPr>
        <w:footnoteRef/>
      </w:r>
      <w:r>
        <w:t xml:space="preserve"> </w:t>
      </w:r>
      <w:r>
        <w:rPr>
          <w:i/>
        </w:rPr>
        <w:t>Id.</w:t>
      </w:r>
      <w:r>
        <w:t xml:space="preserve"> at 506.</w:t>
      </w:r>
    </w:p>
  </w:footnote>
  <w:footnote w:id="740">
    <w:p w:rsidR="00D72450" w:rsidRPr="00641D9A" w:rsidRDefault="00D72450" w:rsidP="0078310B">
      <w:pPr>
        <w:pStyle w:val="FootnoteText"/>
        <w:widowControl w:val="0"/>
        <w:jc w:val="both"/>
      </w:pPr>
      <w:r>
        <w:rPr>
          <w:rStyle w:val="FootnoteReference"/>
        </w:rPr>
        <w:footnoteRef/>
      </w:r>
      <w:r>
        <w:t xml:space="preserve"> </w:t>
      </w:r>
      <w:r>
        <w:rPr>
          <w:i/>
        </w:rPr>
        <w:t>Id.</w:t>
      </w:r>
      <w:r>
        <w:t xml:space="preserve"> at 504.</w:t>
      </w:r>
    </w:p>
  </w:footnote>
  <w:footnote w:id="741">
    <w:p w:rsidR="00D72450" w:rsidRPr="00641D9A" w:rsidRDefault="00D72450" w:rsidP="0078310B">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42">
    <w:p w:rsidR="00D72450" w:rsidRPr="006E5BC8" w:rsidRDefault="00D72450" w:rsidP="0078310B">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43">
    <w:p w:rsidR="00D72450" w:rsidRDefault="00D72450" w:rsidP="0078310B">
      <w:pPr>
        <w:pStyle w:val="FootnoteText"/>
      </w:pPr>
      <w:r>
        <w:rPr>
          <w:rStyle w:val="FootnoteReference"/>
        </w:rPr>
        <w:footnoteRef/>
      </w:r>
      <w:r>
        <w:t xml:space="preserve"> Prior to 2003, dividends were taxed at the same rate as other ordinary income, such as salary. Thus,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44">
    <w:p w:rsidR="00D72450" w:rsidRPr="00751A83" w:rsidRDefault="00D72450" w:rsidP="0078310B">
      <w:pPr>
        <w:pStyle w:val="FootnoteText"/>
        <w:widowControl w:val="0"/>
      </w:pPr>
      <w:r>
        <w:rPr>
          <w:rStyle w:val="FootnoteReference"/>
        </w:rPr>
        <w:footnoteRef/>
      </w:r>
      <w:r>
        <w:t xml:space="preserve"> James Surowiecki, </w:t>
      </w:r>
      <w:r>
        <w:rPr>
          <w:i/>
        </w:rPr>
        <w:t>Open Season</w:t>
      </w:r>
      <w:r>
        <w:t xml:space="preserve">, at </w:t>
      </w:r>
      <w:r w:rsidRPr="00751A83">
        <w:t>www.newyorker.com/talk/financial/2013/10/21/131021ta_talk_surowiecki?printable=true&amp;currentPage=all</w:t>
      </w:r>
      <w:r>
        <w:t xml:space="preserve">. </w:t>
      </w:r>
    </w:p>
  </w:footnote>
  <w:footnote w:id="745">
    <w:p w:rsidR="00D72450" w:rsidRPr="006A5595" w:rsidRDefault="00D72450" w:rsidP="0078310B">
      <w:pPr>
        <w:pStyle w:val="FootnoteText"/>
        <w:widowControl w:val="0"/>
        <w:jc w:val="both"/>
      </w:pPr>
      <w:r>
        <w:rPr>
          <w:rStyle w:val="FootnoteReference"/>
        </w:rPr>
        <w:footnoteRef/>
      </w:r>
      <w:r>
        <w:t xml:space="preserve"> </w:t>
      </w:r>
      <w:r>
        <w:rPr>
          <w:i/>
        </w:rPr>
        <w:t>See, e.g.</w:t>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746">
    <w:p w:rsidR="00D72450" w:rsidRDefault="00D72450" w:rsidP="0078310B">
      <w:pPr>
        <w:pStyle w:val="FootnoteText"/>
      </w:pPr>
      <w:r>
        <w:rPr>
          <w:rStyle w:val="FootnoteReference"/>
        </w:rPr>
        <w:footnoteRef/>
      </w:r>
      <w:r>
        <w:t xml:space="preserve"> </w:t>
      </w:r>
      <w:r>
        <w:rPr>
          <w:i/>
        </w:rPr>
        <w:t xml:space="preserve">See </w:t>
      </w:r>
      <w:r>
        <w:t>§ 162(m)(4)(C).</w:t>
      </w:r>
    </w:p>
  </w:footnote>
  <w:footnote w:id="747">
    <w:p w:rsidR="00D72450" w:rsidRPr="00987C7B" w:rsidRDefault="00D72450" w:rsidP="0078310B">
      <w:pPr>
        <w:widowControl w:val="0"/>
        <w:spacing w:after="120"/>
        <w:jc w:val="both"/>
        <w:rPr>
          <w:sz w:val="20"/>
        </w:rPr>
      </w:pPr>
      <w:r w:rsidRPr="00987C7B">
        <w:rPr>
          <w:rStyle w:val="FootnoteReference"/>
          <w:sz w:val="20"/>
        </w:rPr>
        <w:footnoteRef/>
      </w:r>
      <w:r w:rsidRPr="00987C7B">
        <w:rPr>
          <w:sz w:val="20"/>
        </w:rPr>
        <w:t xml:space="preserve"> For an article with many illuminating examples, see Elliott Blair Smith, </w:t>
      </w:r>
      <w:r w:rsidRPr="00987C7B">
        <w:rPr>
          <w:i/>
          <w:sz w:val="20"/>
        </w:rPr>
        <w:t>Companies Use IRS to Raise Bonuses with Earnings Goals</w:t>
      </w:r>
      <w:r w:rsidRPr="00987C7B">
        <w:rPr>
          <w:sz w:val="20"/>
        </w:rPr>
        <w:t xml:space="preserve">, at www.businessweek.com/news/2013-09-13/six-cents-help-net-bonus-millions-as-ceos-get-lower-goals.The latest rule designed to curb inflation in executive pay, announced by the Securities and Exchange Commission (SEC) in September 2013, is to require “companies to disclose the ratio of the C.E.O.’s pay to that of the median worker. The idea is that, once the disparity is made public, companies will be less likely to award outsized pay packages.” Surowiecki, </w:t>
      </w:r>
      <w:r w:rsidRPr="00987C7B">
        <w:rPr>
          <w:i/>
          <w:sz w:val="20"/>
        </w:rPr>
        <w:t xml:space="preserve">supra </w:t>
      </w:r>
      <w:r>
        <w:rPr>
          <w:sz w:val="20"/>
        </w:rPr>
        <w:t>note 34</w:t>
      </w:r>
      <w:r w:rsidRPr="00987C7B">
        <w:rPr>
          <w:sz w:val="20"/>
        </w:rPr>
        <w:t>. Ironically, this new rule may do just the opposite.</w:t>
      </w:r>
    </w:p>
    <w:p w:rsidR="00D72450" w:rsidRDefault="00D72450" w:rsidP="0078310B">
      <w:pPr>
        <w:pStyle w:val="NormalWeb"/>
        <w:widowControl w:val="0"/>
        <w:spacing w:before="0" w:beforeAutospacing="0" w:after="120" w:afterAutospacing="0"/>
        <w:ind w:left="720" w:right="720"/>
        <w:jc w:val="both"/>
        <w:rPr>
          <w:sz w:val="20"/>
          <w:szCs w:val="20"/>
        </w:rPr>
      </w:pPr>
      <w:r>
        <w:rPr>
          <w:sz w:val="20"/>
          <w:szCs w:val="20"/>
        </w:rPr>
        <w:t>[T]</w:t>
      </w:r>
      <w:r w:rsidRPr="00987C7B">
        <w:rPr>
          <w:sz w:val="20"/>
          <w:szCs w:val="20"/>
        </w:rPr>
        <w:t>he drive for transparency has actually helped fuel the spiralling salaries. For one thing, it gives executives a good idea of how much they can get away with asking for. A more crucial reason, though, has to do with the way boards of directors set salaries. As the corporate-governance experts Charles Elson and Craig Ferrere write in a recent paper, boards at most companies use what’s called “peer benchmarking.” They look at the C.E.O. salaries at peer-group firms, and then peg their C.E.O.’s pay to the fiftieth, seventy-fifth, or ninetieth percentile of the peer group—never lower. This leads to the so-called Lake Wobegon effect: every C.E.O. gets treated as above average. With all the other companies following the same process, salaries ratchet inexorably higher. “Relying on peer-group comparisons, the way boards do, mathematically guarantees that pay is going to go up,” Elson told me. “Higher pay becomes a kin</w:t>
      </w:r>
      <w:r>
        <w:rPr>
          <w:sz w:val="20"/>
          <w:szCs w:val="20"/>
        </w:rPr>
        <w:t>d of self-fulfilling prophecy.”</w:t>
      </w:r>
    </w:p>
    <w:p w:rsidR="00D72450" w:rsidRDefault="00D72450" w:rsidP="0078310B">
      <w:pPr>
        <w:pStyle w:val="NormalWeb"/>
        <w:widowControl w:val="0"/>
        <w:spacing w:before="0" w:beforeAutospacing="0" w:after="0" w:afterAutospacing="0"/>
        <w:jc w:val="both"/>
        <w:rPr>
          <w:sz w:val="20"/>
        </w:rPr>
      </w:pPr>
      <w:r>
        <w:rPr>
          <w:i/>
          <w:sz w:val="20"/>
        </w:rPr>
        <w:t xml:space="preserve">Id. See also </w:t>
      </w:r>
      <w:r>
        <w:rPr>
          <w:sz w:val="20"/>
        </w:rPr>
        <w:t xml:space="preserve">Andrew Ross Sorkin, </w:t>
      </w:r>
      <w:r>
        <w:rPr>
          <w:i/>
          <w:sz w:val="20"/>
        </w:rPr>
        <w:t>More Transparency, More Pay for CEOs</w:t>
      </w:r>
      <w:r>
        <w:rPr>
          <w:sz w:val="20"/>
        </w:rPr>
        <w:t xml:space="preserve">, </w:t>
      </w:r>
    </w:p>
    <w:p w:rsidR="00D72450" w:rsidRPr="003E2007" w:rsidRDefault="00D72450" w:rsidP="0078310B">
      <w:pPr>
        <w:pStyle w:val="NormalWeb"/>
        <w:widowControl w:val="0"/>
        <w:spacing w:before="0" w:beforeAutospacing="0" w:after="0" w:afterAutospacing="0"/>
        <w:jc w:val="both"/>
      </w:pPr>
      <w:r>
        <w:rPr>
          <w:sz w:val="20"/>
        </w:rPr>
        <w:t xml:space="preserve">at </w:t>
      </w:r>
      <w:r w:rsidRPr="003E2007">
        <w:rPr>
          <w:sz w:val="20"/>
        </w:rPr>
        <w:t>http://dealbook.nytimes.com/2014/11/10/more-transparency-more-pay-for-c-e-o-s/?_r=0</w:t>
      </w:r>
      <w:r>
        <w:rPr>
          <w:sz w:val="20"/>
        </w:rPr>
        <w:t xml:space="preserve">. </w:t>
      </w:r>
    </w:p>
  </w:footnote>
  <w:footnote w:id="748">
    <w:p w:rsidR="00D72450" w:rsidRPr="00E60126" w:rsidRDefault="00D72450" w:rsidP="0078310B">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49">
    <w:p w:rsidR="00D72450" w:rsidRDefault="00D72450" w:rsidP="0078310B">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50">
    <w:p w:rsidR="00D72450" w:rsidRDefault="00D72450" w:rsidP="0078310B">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4" w:history="1">
        <w:r w:rsidRPr="002E705D">
          <w:t>Barham v. Barham,</w:t>
        </w:r>
        <w:r w:rsidRPr="000657F2">
          <w:t xml:space="preserve"> 33 Cal. 2d 416, 202 P. 2d 289</w:t>
        </w:r>
      </w:hyperlink>
      <w:r w:rsidRPr="000657F2">
        <w:t xml:space="preserve">; </w:t>
      </w:r>
      <w:hyperlink r:id="rId55" w:history="1">
        <w:r w:rsidRPr="002E705D">
          <w:t>Wilson v. Wilson</w:t>
        </w:r>
        <w:r w:rsidRPr="000657F2">
          <w:t>, 159 Cal. App. 2d 330, 323 P. 2d 1017</w:t>
        </w:r>
      </w:hyperlink>
      <w:r w:rsidRPr="000657F2">
        <w:t>. Such grounds for divorce were alleged by each of these spouses against the other.</w:t>
      </w:r>
    </w:p>
  </w:footnote>
  <w:footnote w:id="751">
    <w:p w:rsidR="00D72450" w:rsidRPr="001049EC" w:rsidRDefault="00D72450" w:rsidP="0078310B">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52">
    <w:p w:rsidR="00D72450" w:rsidRDefault="00D72450" w:rsidP="0078310B">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53">
    <w:p w:rsidR="00D72450" w:rsidRDefault="00D72450" w:rsidP="0078310B">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54">
    <w:p w:rsidR="00D72450" w:rsidRDefault="00D72450" w:rsidP="0078310B">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55">
    <w:p w:rsidR="00D72450" w:rsidRDefault="00D72450" w:rsidP="0078310B">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56">
    <w:p w:rsidR="00D72450" w:rsidRDefault="00D72450" w:rsidP="0078310B">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w:t>
      </w:r>
      <w:r w:rsidRPr="002F78F1">
        <w:rPr>
          <w:sz w:val="20"/>
        </w:rPr>
        <w:t>. Review Problem 8 at the end of Chapter 1</w:t>
      </w:r>
      <w:r>
        <w:rPr>
          <w:sz w:val="20"/>
        </w:rPr>
        <w:t>, Part A</w:t>
      </w:r>
      <w:r w:rsidRPr="002F78F1">
        <w:rPr>
          <w:sz w:val="20"/>
        </w:rPr>
        <w:t>.</w:t>
      </w:r>
    </w:p>
  </w:footnote>
  <w:footnote w:id="757">
    <w:p w:rsidR="00D72450" w:rsidRDefault="00D72450" w:rsidP="0078310B">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58">
    <w:p w:rsidR="00D72450" w:rsidRPr="009F4757" w:rsidRDefault="00D72450" w:rsidP="0078310B">
      <w:pPr>
        <w:pStyle w:val="FootnoteText"/>
        <w:widowControl w:val="0"/>
        <w:jc w:val="both"/>
      </w:pPr>
      <w:r>
        <w:rPr>
          <w:rStyle w:val="FootnoteReference"/>
        </w:rPr>
        <w:footnoteRef/>
      </w:r>
      <w:r>
        <w:t xml:space="preserve"> </w:t>
      </w:r>
      <w:r w:rsidRPr="002E705D">
        <w:t>Vitale v. Comm’r,</w:t>
      </w:r>
      <w:r>
        <w:t xml:space="preserve"> T.C. Memo. 1999-131.</w:t>
      </w:r>
    </w:p>
  </w:footnote>
  <w:footnote w:id="759">
    <w:p w:rsidR="00D72450" w:rsidRDefault="00D72450" w:rsidP="0078310B">
      <w:pPr>
        <w:pStyle w:val="FootnoteText"/>
        <w:widowControl w:val="0"/>
        <w:jc w:val="both"/>
      </w:pPr>
      <w:r>
        <w:rPr>
          <w:rStyle w:val="FootnoteReference"/>
        </w:rPr>
        <w:footnoteRef/>
      </w:r>
      <w:r>
        <w:t xml:space="preserve"> T.C. Memo. 1991-454.</w:t>
      </w:r>
    </w:p>
  </w:footnote>
  <w:footnote w:id="760">
    <w:p w:rsidR="00D72450" w:rsidRDefault="00D72450" w:rsidP="0078310B">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61">
    <w:p w:rsidR="00D72450" w:rsidRPr="007F7E24" w:rsidRDefault="00D72450" w:rsidP="0078310B">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62">
    <w:p w:rsidR="00D72450" w:rsidRPr="00610E18" w:rsidRDefault="00D72450" w:rsidP="0078310B">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91.</w:t>
      </w:r>
    </w:p>
  </w:footnote>
  <w:footnote w:id="763">
    <w:p w:rsidR="00D72450" w:rsidRDefault="00D72450" w:rsidP="0078310B">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64">
    <w:p w:rsidR="00D72450" w:rsidRDefault="00D72450" w:rsidP="0078310B">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56" w:history="1">
        <w:r w:rsidRPr="002E705D">
          <w:t xml:space="preserve">Harsaghy v. Comm’r, </w:t>
        </w:r>
        <w:r w:rsidRPr="00577FCB">
          <w:t>2 T.C. 484 (1943)</w:t>
        </w:r>
      </w:hyperlink>
      <w:r w:rsidRPr="00577FCB">
        <w:t>. However, in the present case no such restriction was placed upon the taxpayer's use of the clothing.</w:t>
      </w:r>
    </w:p>
  </w:footnote>
  <w:footnote w:id="765">
    <w:p w:rsidR="00D72450" w:rsidRPr="00681390" w:rsidRDefault="00D72450" w:rsidP="0078310B">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66">
    <w:p w:rsidR="00D72450" w:rsidRPr="00ED245C" w:rsidRDefault="00D72450" w:rsidP="0078310B">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67">
    <w:p w:rsidR="00D72450" w:rsidRDefault="00D72450" w:rsidP="0078310B">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68">
    <w:p w:rsidR="00D72450" w:rsidRDefault="00D72450" w:rsidP="0078310B">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69">
    <w:p w:rsidR="00D72450" w:rsidRDefault="00D72450" w:rsidP="0078310B">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70">
    <w:p w:rsidR="00D72450" w:rsidRPr="008B6EEA" w:rsidRDefault="00D72450" w:rsidP="0078310B">
      <w:pPr>
        <w:pStyle w:val="FootnoteText"/>
        <w:widowControl w:val="0"/>
        <w:jc w:val="both"/>
      </w:pPr>
      <w:r>
        <w:rPr>
          <w:rStyle w:val="FootnoteReference"/>
        </w:rPr>
        <w:footnoteRef/>
      </w:r>
      <w:r>
        <w:t xml:space="preserve"> </w:t>
      </w:r>
      <w:r>
        <w:rPr>
          <w:i/>
        </w:rPr>
        <w:t>See, e.g.</w:t>
      </w:r>
      <w:r>
        <w:t>, Rev. Proc. 2011-47, 2011-2 C.B. 520; Notice 2015-63, 2015-4 I.R.B. 461.</w:t>
      </w:r>
    </w:p>
  </w:footnote>
  <w:footnote w:id="771">
    <w:p w:rsidR="00D72450" w:rsidRDefault="00D72450" w:rsidP="0078310B">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6C58BB">
        <w:t>www.gsa.gov</w:t>
      </w:r>
      <w:r>
        <w:t>.</w:t>
      </w:r>
    </w:p>
  </w:footnote>
  <w:footnote w:id="772">
    <w:p w:rsidR="00D72450" w:rsidRDefault="00D72450" w:rsidP="0078310B">
      <w:pPr>
        <w:pStyle w:val="FootnoteText"/>
        <w:widowControl w:val="0"/>
        <w:jc w:val="both"/>
      </w:pPr>
      <w:r>
        <w:rPr>
          <w:rStyle w:val="FootnoteReference"/>
        </w:rPr>
        <w:footnoteRef/>
      </w:r>
      <w:r>
        <w:t xml:space="preserve"> 389 U.S. 299 (1967).</w:t>
      </w:r>
    </w:p>
  </w:footnote>
  <w:footnote w:id="773">
    <w:p w:rsidR="00D72450" w:rsidRPr="007A0AA5" w:rsidRDefault="00D72450" w:rsidP="0078310B">
      <w:pPr>
        <w:pStyle w:val="FootnoteText"/>
        <w:widowControl w:val="0"/>
        <w:jc w:val="both"/>
      </w:pPr>
      <w:r>
        <w:rPr>
          <w:rStyle w:val="FootnoteReference"/>
        </w:rPr>
        <w:footnoteRef/>
      </w:r>
      <w:r>
        <w:t xml:space="preserve"> </w:t>
      </w:r>
      <w:r>
        <w:rPr>
          <w:i/>
        </w:rPr>
        <w:t>Id.</w:t>
      </w:r>
      <w:r>
        <w:t xml:space="preserve"> at 302-05.</w:t>
      </w:r>
    </w:p>
  </w:footnote>
  <w:footnote w:id="774">
    <w:p w:rsidR="00D72450" w:rsidRPr="00381472" w:rsidRDefault="00D72450" w:rsidP="0078310B">
      <w:pPr>
        <w:pStyle w:val="FootnoteText"/>
        <w:widowControl w:val="0"/>
        <w:jc w:val="both"/>
      </w:pPr>
      <w:r>
        <w:rPr>
          <w:rStyle w:val="FootnoteReference"/>
        </w:rPr>
        <w:footnoteRef/>
      </w:r>
      <w:r>
        <w:t xml:space="preserve"> </w:t>
      </w:r>
      <w:r w:rsidRPr="00B751E7">
        <w:t>Flowers v. Comm’r,</w:t>
      </w:r>
      <w:r>
        <w:t xml:space="preserve"> 326 U.S. 465, 486 (1946).</w:t>
      </w:r>
    </w:p>
  </w:footnote>
  <w:footnote w:id="775">
    <w:p w:rsidR="00D72450" w:rsidRDefault="00D72450" w:rsidP="0078310B">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76">
    <w:p w:rsidR="00D72450" w:rsidRPr="000C4A69" w:rsidRDefault="00D72450" w:rsidP="0078310B">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77">
    <w:p w:rsidR="00D72450" w:rsidRDefault="00D72450" w:rsidP="0078310B">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78">
    <w:p w:rsidR="00D72450" w:rsidRDefault="00D72450" w:rsidP="0078310B">
      <w:pPr>
        <w:pStyle w:val="FootnoteText"/>
        <w:widowControl w:val="0"/>
        <w:jc w:val="both"/>
      </w:pPr>
      <w:r>
        <w:rPr>
          <w:rStyle w:val="FootnoteReference"/>
        </w:rPr>
        <w:t>[2]</w:t>
      </w:r>
      <w:r>
        <w:t xml:space="preserve"> </w:t>
      </w:r>
      <w:hyperlink r:id="rId57"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58" w:history="1">
        <w:r w:rsidRPr="00B751E7">
          <w:t>Estate of McLendon v. Comm’r, 135 F.3d 1017, 1023-24 (5th Cir. 1998)</w:t>
        </w:r>
      </w:hyperlink>
      <w:r w:rsidRPr="00B751E7">
        <w:t xml:space="preserve">; </w:t>
      </w:r>
      <w:hyperlink r:id="rId59"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79">
    <w:p w:rsidR="00D72450" w:rsidRDefault="00D72450" w:rsidP="0078310B">
      <w:pPr>
        <w:pStyle w:val="FootnoteText"/>
      </w:pPr>
      <w:r>
        <w:rPr>
          <w:rStyle w:val="FootnoteReference"/>
        </w:rPr>
        <w:footnoteRef/>
      </w:r>
      <w:r>
        <w:t xml:space="preserve"> </w:t>
      </w:r>
      <w:r>
        <w:rPr>
          <w:i/>
        </w:rPr>
        <w:t xml:space="preserve">See </w:t>
      </w:r>
      <w:r>
        <w:t>§ 62(a)(2)(A).</w:t>
      </w:r>
    </w:p>
  </w:footnote>
  <w:footnote w:id="780">
    <w:p w:rsidR="00D72450" w:rsidRDefault="00D72450" w:rsidP="0078310B">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81">
    <w:p w:rsidR="00D72450" w:rsidRPr="0098400C" w:rsidRDefault="00D72450" w:rsidP="0078310B">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82">
    <w:p w:rsidR="00D72450" w:rsidRPr="00EA11F0" w:rsidRDefault="00D72450" w:rsidP="0078310B">
      <w:pPr>
        <w:pStyle w:val="FootnoteText"/>
        <w:widowControl w:val="0"/>
        <w:jc w:val="both"/>
      </w:pPr>
      <w:r>
        <w:rPr>
          <w:rStyle w:val="FootnoteReference"/>
        </w:rPr>
        <w:footnoteRef/>
      </w:r>
      <w:r>
        <w:t xml:space="preserve"> </w:t>
      </w:r>
      <w:r>
        <w:rPr>
          <w:i/>
        </w:rPr>
        <w:t>See, e.g.</w:t>
      </w:r>
      <w:r>
        <w:t xml:space="preserve">, Richard Schmalbeck &amp; Jay A. Soled, </w:t>
      </w:r>
      <w:r>
        <w:rPr>
          <w:i/>
        </w:rPr>
        <w:t>Elimination of the Deduction for Business Entertainment Expenses</w:t>
      </w:r>
      <w:r>
        <w:t xml:space="preserve">, 123 </w:t>
      </w:r>
      <w:r>
        <w:rPr>
          <w:smallCaps/>
        </w:rPr>
        <w:t>Tax Notes</w:t>
      </w:r>
      <w:r>
        <w:t xml:space="preserve"> 757 (2009); Richard Schmalbeck &amp; Jay A. Soled, </w:t>
      </w:r>
      <w:r>
        <w:rPr>
          <w:i/>
        </w:rPr>
        <w:t>The Cultural Symbolism of the Deductible Skybox</w:t>
      </w:r>
      <w:r>
        <w:t xml:space="preserve">, 126 </w:t>
      </w:r>
      <w:r>
        <w:rPr>
          <w:smallCaps/>
        </w:rPr>
        <w:t>Tax Notes</w:t>
      </w:r>
      <w:r>
        <w:t xml:space="preserve"> 1524 (2010). </w:t>
      </w:r>
    </w:p>
  </w:footnote>
  <w:footnote w:id="783">
    <w:p w:rsidR="00D72450" w:rsidRDefault="00D72450" w:rsidP="0078310B">
      <w:pPr>
        <w:pStyle w:val="FootnoteText"/>
        <w:widowControl w:val="0"/>
        <w:jc w:val="both"/>
      </w:pPr>
      <w:r>
        <w:rPr>
          <w:rStyle w:val="FootnoteReference"/>
        </w:rPr>
        <w:footnoteRef/>
      </w:r>
      <w:r>
        <w:t xml:space="preserve"> Treas. Reg. § 1.274-2(c)(3)(i).</w:t>
      </w:r>
    </w:p>
  </w:footnote>
  <w:footnote w:id="784">
    <w:p w:rsidR="00D72450" w:rsidRDefault="00D72450" w:rsidP="0078310B">
      <w:pPr>
        <w:pStyle w:val="FootnoteText"/>
        <w:widowControl w:val="0"/>
        <w:jc w:val="both"/>
      </w:pPr>
      <w:r>
        <w:rPr>
          <w:rStyle w:val="FootnoteReference"/>
        </w:rPr>
        <w:footnoteRef/>
      </w:r>
      <w:r>
        <w:t xml:space="preserve"> Treas. Reg. § 1.274-2(c)(3)(ii).</w:t>
      </w:r>
    </w:p>
  </w:footnote>
  <w:footnote w:id="785">
    <w:p w:rsidR="00D72450" w:rsidRDefault="00D72450" w:rsidP="0078310B">
      <w:pPr>
        <w:pStyle w:val="FootnoteText"/>
        <w:widowControl w:val="0"/>
        <w:jc w:val="both"/>
      </w:pPr>
      <w:r>
        <w:rPr>
          <w:rStyle w:val="FootnoteReference"/>
        </w:rPr>
        <w:footnoteRef/>
      </w:r>
      <w:r>
        <w:t xml:space="preserve"> Treas. Reg. § 1.274-2(c)(3)(iii).</w:t>
      </w:r>
    </w:p>
  </w:footnote>
  <w:footnote w:id="786">
    <w:p w:rsidR="00D72450" w:rsidRDefault="00D72450" w:rsidP="0078310B">
      <w:pPr>
        <w:pStyle w:val="FootnoteText"/>
        <w:widowControl w:val="0"/>
        <w:jc w:val="both"/>
      </w:pPr>
      <w:r>
        <w:rPr>
          <w:rStyle w:val="FootnoteReference"/>
        </w:rPr>
        <w:footnoteRef/>
      </w:r>
      <w:r>
        <w:t xml:space="preserve"> Treas. Reg. § 1.274-2(c)(3)(iv).</w:t>
      </w:r>
    </w:p>
  </w:footnote>
  <w:footnote w:id="787">
    <w:p w:rsidR="00D72450" w:rsidRDefault="00D72450" w:rsidP="0078310B">
      <w:pPr>
        <w:pStyle w:val="FootnoteText"/>
        <w:widowControl w:val="0"/>
        <w:jc w:val="both"/>
      </w:pPr>
      <w:r>
        <w:rPr>
          <w:rStyle w:val="FootnoteReference"/>
        </w:rPr>
        <w:footnoteRef/>
      </w:r>
      <w:r>
        <w:t xml:space="preserve"> Treas. Reg. § 1.274-2(c)(4).</w:t>
      </w:r>
    </w:p>
  </w:footnote>
  <w:footnote w:id="788">
    <w:p w:rsidR="00D72450" w:rsidRDefault="00D72450" w:rsidP="0078310B">
      <w:pPr>
        <w:pStyle w:val="FootnoteText"/>
        <w:widowControl w:val="0"/>
        <w:jc w:val="both"/>
      </w:pPr>
      <w:r>
        <w:rPr>
          <w:rStyle w:val="FootnoteReference"/>
        </w:rPr>
        <w:footnoteRef/>
      </w:r>
      <w:r>
        <w:t xml:space="preserve"> Treas. Reg. § 1.274-2(c)(5).</w:t>
      </w:r>
    </w:p>
  </w:footnote>
  <w:footnote w:id="789">
    <w:p w:rsidR="00D72450" w:rsidRDefault="00D72450" w:rsidP="0078310B">
      <w:pPr>
        <w:pStyle w:val="FootnoteText"/>
        <w:widowControl w:val="0"/>
        <w:jc w:val="both"/>
      </w:pPr>
      <w:r>
        <w:rPr>
          <w:rStyle w:val="FootnoteReference"/>
        </w:rPr>
        <w:footnoteRef/>
      </w:r>
      <w:r>
        <w:t xml:space="preserve"> Treas. Reg. § 1.274-2(c)(7).</w:t>
      </w:r>
    </w:p>
  </w:footnote>
  <w:footnote w:id="790">
    <w:p w:rsidR="00D72450" w:rsidRDefault="00D72450" w:rsidP="0078310B">
      <w:pPr>
        <w:pStyle w:val="FootnoteText"/>
        <w:widowControl w:val="0"/>
        <w:jc w:val="both"/>
      </w:pPr>
      <w:r>
        <w:rPr>
          <w:rStyle w:val="FootnoteReference"/>
        </w:rPr>
        <w:footnoteRef/>
      </w:r>
      <w:r>
        <w:t xml:space="preserve"> Treas. Reg. § 1.274-2(d)(1).</w:t>
      </w:r>
    </w:p>
  </w:footnote>
  <w:footnote w:id="791">
    <w:p w:rsidR="00D72450" w:rsidRDefault="00D72450" w:rsidP="0078310B">
      <w:pPr>
        <w:pStyle w:val="FootnoteText"/>
        <w:widowControl w:val="0"/>
        <w:jc w:val="both"/>
      </w:pPr>
      <w:r>
        <w:rPr>
          <w:rStyle w:val="FootnoteReference"/>
        </w:rPr>
        <w:footnoteRef/>
      </w:r>
      <w:r>
        <w:t xml:space="preserve"> Treas. Reg. § 1.274-2(d)(2).</w:t>
      </w:r>
    </w:p>
  </w:footnote>
  <w:footnote w:id="792">
    <w:p w:rsidR="00D72450" w:rsidRPr="005F5445" w:rsidRDefault="00D72450" w:rsidP="0078310B">
      <w:pPr>
        <w:pStyle w:val="FootnoteText"/>
        <w:widowControl w:val="0"/>
        <w:jc w:val="both"/>
      </w:pPr>
      <w:r>
        <w:rPr>
          <w:rStyle w:val="FootnoteReference"/>
        </w:rPr>
        <w:footnoteRef/>
      </w:r>
      <w:r>
        <w:t xml:space="preserve"> Treas. Reg. § 1.274-2(d)(3)(i)(</w:t>
      </w:r>
      <w:r>
        <w:rPr>
          <w:i/>
        </w:rPr>
        <w:t>a</w:t>
      </w:r>
      <w:r>
        <w:t>).</w:t>
      </w:r>
    </w:p>
  </w:footnote>
  <w:footnote w:id="793">
    <w:p w:rsidR="00D72450" w:rsidRPr="00CE3DCA" w:rsidRDefault="00D72450" w:rsidP="0078310B">
      <w:pPr>
        <w:pStyle w:val="FootnoteText"/>
        <w:widowControl w:val="0"/>
        <w:jc w:val="both"/>
      </w:pPr>
      <w:r>
        <w:rPr>
          <w:rStyle w:val="FootnoteReference"/>
        </w:rPr>
        <w:footnoteRef/>
      </w:r>
      <w:r>
        <w:t xml:space="preserve"> </w:t>
      </w:r>
      <w:r>
        <w:rPr>
          <w:i/>
        </w:rPr>
        <w:t>Id.</w:t>
      </w:r>
    </w:p>
  </w:footnote>
  <w:footnote w:id="794">
    <w:p w:rsidR="00D72450" w:rsidRPr="000D7A2E" w:rsidRDefault="00D72450" w:rsidP="0078310B">
      <w:pPr>
        <w:pStyle w:val="FootnoteText"/>
        <w:widowControl w:val="0"/>
        <w:jc w:val="both"/>
      </w:pPr>
      <w:r>
        <w:rPr>
          <w:rStyle w:val="FootnoteReference"/>
        </w:rPr>
        <w:footnoteRef/>
      </w:r>
      <w:r>
        <w:t xml:space="preserve"> Treas. Reg. § 1.274-2(d)(3)(ii). Note the assumption underlying use of the word “wives.” This regulation was promulgated in 1963. </w:t>
      </w:r>
    </w:p>
  </w:footnote>
  <w:footnote w:id="795">
    <w:p w:rsidR="00D72450" w:rsidRPr="000D7A2E" w:rsidRDefault="00D72450" w:rsidP="0078310B">
      <w:pPr>
        <w:pStyle w:val="FootnoteText"/>
        <w:widowControl w:val="0"/>
        <w:jc w:val="both"/>
      </w:pPr>
      <w:r w:rsidRPr="000D7A2E">
        <w:rPr>
          <w:rStyle w:val="FootnoteReference"/>
        </w:rPr>
        <w:footnoteRef/>
      </w:r>
      <w:r w:rsidRPr="000D7A2E">
        <w:t xml:space="preserve"> </w:t>
      </w:r>
      <w:r w:rsidRPr="000D7A2E">
        <w:rPr>
          <w:i/>
        </w:rPr>
        <w:t xml:space="preserve">See </w:t>
      </w:r>
      <w:r w:rsidRPr="000D7A2E">
        <w:t>§§ 274(e)(2) and (3); Treas. Reg. §</w:t>
      </w:r>
      <w:r>
        <w:t>§</w:t>
      </w:r>
      <w:r w:rsidRPr="000D7A2E">
        <w:t xml:space="preserve"> 1.274-2(f)(2)(iv)(</w:t>
      </w:r>
      <w:r w:rsidRPr="000D7A2E">
        <w:rPr>
          <w:i/>
        </w:rPr>
        <w:t>a</w:t>
      </w:r>
      <w:r w:rsidRPr="000D7A2E">
        <w:t>) and (</w:t>
      </w:r>
      <w:r w:rsidRPr="000D7A2E">
        <w:rPr>
          <w:i/>
        </w:rPr>
        <w:t>b</w:t>
      </w:r>
      <w:r w:rsidRPr="000D7A2E">
        <w:t>).</w:t>
      </w:r>
    </w:p>
  </w:footnote>
  <w:footnote w:id="796">
    <w:p w:rsidR="00D72450" w:rsidRPr="00BA351F" w:rsidRDefault="00D72450" w:rsidP="0078310B">
      <w:pPr>
        <w:pStyle w:val="FootnoteText"/>
        <w:widowControl w:val="0"/>
        <w:jc w:val="both"/>
      </w:pPr>
      <w:r>
        <w:rPr>
          <w:rStyle w:val="FootnoteReference"/>
        </w:rPr>
        <w:footnoteRef/>
      </w:r>
      <w:r>
        <w:t xml:space="preserve"> </w:t>
      </w:r>
      <w:r>
        <w:rPr>
          <w:i/>
        </w:rPr>
        <w:t xml:space="preserve">See </w:t>
      </w:r>
      <w:r>
        <w:rPr>
          <w:smallCaps/>
        </w:rPr>
        <w:t xml:space="preserve">Conf. No. </w:t>
      </w:r>
      <w:r>
        <w:t xml:space="preserve">99-841, 1986-3 C.B. Vol. 4 at 25. </w:t>
      </w:r>
    </w:p>
  </w:footnote>
  <w:footnote w:id="797">
    <w:p w:rsidR="00D72450" w:rsidRPr="00974999" w:rsidRDefault="00D72450" w:rsidP="0078310B">
      <w:pPr>
        <w:pStyle w:val="FootnoteText"/>
        <w:widowControl w:val="0"/>
        <w:jc w:val="both"/>
      </w:pPr>
      <w:r>
        <w:rPr>
          <w:rStyle w:val="FootnoteReference"/>
        </w:rPr>
        <w:footnoteRef/>
      </w:r>
      <w:r>
        <w:t xml:space="preserve"> </w:t>
      </w:r>
      <w:r>
        <w:rPr>
          <w:i/>
        </w:rPr>
        <w:t>Id</w:t>
      </w:r>
      <w:r>
        <w:t>.</w:t>
      </w:r>
    </w:p>
  </w:footnote>
  <w:footnote w:id="798">
    <w:p w:rsidR="00D72450" w:rsidRPr="009975B1" w:rsidRDefault="00D72450" w:rsidP="0078310B">
      <w:pPr>
        <w:pStyle w:val="FootnoteText"/>
        <w:widowControl w:val="0"/>
      </w:pPr>
      <w:r>
        <w:rPr>
          <w:rStyle w:val="FootnoteReference"/>
        </w:rPr>
        <w:footnoteRef/>
      </w:r>
      <w:r>
        <w:t xml:space="preserve"> </w:t>
      </w:r>
      <w:r>
        <w:rPr>
          <w:smallCaps/>
        </w:rPr>
        <w:t>Publication 468 (2012): Travel, Entertainment, Gift, and Car Expenses</w:t>
      </w:r>
      <w:r>
        <w:t xml:space="preserve"> at </w:t>
      </w:r>
      <w:r w:rsidRPr="009975B1">
        <w:t>www.irs.gov/publications/p463/index.html</w:t>
      </w:r>
      <w:r>
        <w:t>.</w:t>
      </w:r>
    </w:p>
  </w:footnote>
  <w:footnote w:id="799">
    <w:p w:rsidR="00D72450" w:rsidRPr="000D7A2E" w:rsidRDefault="00D72450" w:rsidP="0078310B">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800">
    <w:p w:rsidR="00D72450" w:rsidRPr="000D7A2E" w:rsidRDefault="00D72450" w:rsidP="0078310B">
      <w:pPr>
        <w:pStyle w:val="FootnoteText"/>
        <w:widowControl w:val="0"/>
        <w:spacing w:after="120"/>
        <w:jc w:val="both"/>
      </w:pPr>
      <w:r w:rsidRPr="000D7A2E">
        <w:rPr>
          <w:rStyle w:val="FootnoteReference"/>
        </w:rPr>
        <w:footnoteRef/>
      </w:r>
      <w:r w:rsidRPr="000D7A2E">
        <w:t xml:space="preserve"> Judge hand wrote: </w:t>
      </w:r>
    </w:p>
    <w:p w:rsidR="00D72450" w:rsidRDefault="00D72450" w:rsidP="0078310B">
      <w:pPr>
        <w:pStyle w:val="FootnoteText"/>
        <w:widowControl w:val="0"/>
        <w:spacing w:after="120"/>
        <w:ind w:left="720" w:right="720"/>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rsidR="00D72450" w:rsidRDefault="00D72450" w:rsidP="0078310B">
      <w:pPr>
        <w:pStyle w:val="FootnoteText"/>
        <w:widowControl w:val="0"/>
        <w:jc w:val="both"/>
      </w:pPr>
      <w:r>
        <w:t xml:space="preserve">39 F.2d at </w:t>
      </w:r>
      <w:r w:rsidRPr="00962A3C">
        <w:t>543-44.</w:t>
      </w:r>
    </w:p>
  </w:footnote>
  <w:footnote w:id="801">
    <w:p w:rsidR="00D72450" w:rsidRDefault="00D72450" w:rsidP="0078310B">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p>
  </w:footnote>
  <w:footnote w:id="802">
    <w:p w:rsidR="00D72450" w:rsidRPr="008D5E9C" w:rsidRDefault="00D72450" w:rsidP="0078310B">
      <w:pPr>
        <w:pStyle w:val="FootnoteText"/>
        <w:widowControl w:val="0"/>
        <w:jc w:val="both"/>
      </w:pPr>
      <w:r>
        <w:rPr>
          <w:rStyle w:val="FootnoteReference"/>
        </w:rPr>
        <w:footnoteRef/>
      </w:r>
      <w:r>
        <w:t xml:space="preserve"> </w:t>
      </w:r>
      <w:r>
        <w:rPr>
          <w:i/>
        </w:rPr>
        <w:t xml:space="preserve">See </w:t>
      </w:r>
      <w:r>
        <w:t>Treas. Reg. § 1.274-5T(b)(3) and (4) and -5T(c).</w:t>
      </w:r>
    </w:p>
  </w:footnote>
  <w:footnote w:id="803">
    <w:p w:rsidR="00D72450" w:rsidRPr="00FB4A65" w:rsidRDefault="00D72450" w:rsidP="0078310B">
      <w:pPr>
        <w:pStyle w:val="FootnoteText"/>
        <w:widowControl w:val="0"/>
        <w:jc w:val="both"/>
      </w:pPr>
      <w:r>
        <w:rPr>
          <w:rStyle w:val="FootnoteReference"/>
        </w:rPr>
        <w:footnoteRef/>
      </w:r>
      <w:r>
        <w:t xml:space="preserve"> If Joan sold for, say, $150,000, she would realize a § 1001 loss of $30,000 ($180,000 adjusted basis </w:t>
      </w:r>
      <w:r>
        <w:rPr>
          <w:i/>
        </w:rPr>
        <w:t>less</w:t>
      </w:r>
      <w:r>
        <w:t xml:space="preserve"> $150,000 amount realized). None of this loss would be allowable as a deduction under § 165(c)(2), however,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however,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804">
    <w:p w:rsidR="00D72450" w:rsidRDefault="00D72450" w:rsidP="0078310B">
      <w:pPr>
        <w:pStyle w:val="FootnoteText"/>
        <w:widowControl w:val="0"/>
        <w:jc w:val="both"/>
      </w:pPr>
      <w:r>
        <w:rPr>
          <w:rStyle w:val="FootnoteReference"/>
        </w:rPr>
        <w:footnoteRef/>
      </w:r>
      <w:r>
        <w:t xml:space="preserve"> Laura Saunders, </w:t>
      </w:r>
      <w:r>
        <w:rPr>
          <w:i/>
        </w:rPr>
        <w:t>High-Impact Tax Breaks</w:t>
      </w:r>
      <w:r>
        <w:t xml:space="preserve">, at </w:t>
      </w:r>
    </w:p>
    <w:p w:rsidR="00D72450" w:rsidRPr="00112036" w:rsidRDefault="00D72450" w:rsidP="0078310B">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however,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805">
    <w:p w:rsidR="00D72450" w:rsidRDefault="00D72450" w:rsidP="0078310B">
      <w:pPr>
        <w:pStyle w:val="FootnoteText"/>
        <w:widowControl w:val="0"/>
        <w:jc w:val="both"/>
      </w:pPr>
      <w:r>
        <w:rPr>
          <w:rStyle w:val="FootnoteReference"/>
        </w:rPr>
        <w:footnoteRef/>
      </w:r>
      <w:r>
        <w:t xml:space="preserve"> Rental use, described in §§ 280A(c)(3) and (e), was discussed in the prior subsection. Sections 280A(c)(2), pertaining to certain business storage use, and (c)(4), pertaining to use of the home in providing day care services, are not further described here. </w:t>
      </w:r>
    </w:p>
  </w:footnote>
  <w:footnote w:id="806">
    <w:p w:rsidR="00D72450" w:rsidRPr="00495F63" w:rsidRDefault="00D72450" w:rsidP="0078310B">
      <w:pPr>
        <w:pStyle w:val="FootnoteText"/>
        <w:widowControl w:val="0"/>
        <w:jc w:val="both"/>
      </w:pPr>
      <w:r>
        <w:rPr>
          <w:rStyle w:val="FootnoteReference"/>
        </w:rPr>
        <w:footnoteRef/>
      </w:r>
      <w:r>
        <w:t xml:space="preserve"> </w:t>
      </w:r>
      <w:r>
        <w:rPr>
          <w:i/>
        </w:rPr>
        <w:t xml:space="preserve">See </w:t>
      </w:r>
      <w:r w:rsidRPr="00FD11D8">
        <w:t>http://www.apartmenttherapy.com/famous-small-offthegrid-worksp-140587.</w:t>
      </w:r>
    </w:p>
  </w:footnote>
  <w:footnote w:id="807">
    <w:p w:rsidR="00D72450" w:rsidRDefault="00D72450" w:rsidP="0078310B">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808">
    <w:p w:rsidR="00D72450" w:rsidRDefault="00D72450" w:rsidP="0078310B">
      <w:pPr>
        <w:pStyle w:val="FootnoteText"/>
        <w:widowControl w:val="0"/>
        <w:jc w:val="both"/>
      </w:pPr>
      <w:r>
        <w:rPr>
          <w:rStyle w:val="FootnoteReference"/>
        </w:rPr>
        <w:footnoteRef/>
      </w:r>
      <w:r>
        <w:t xml:space="preserve"> 506 U.S. 168 (1993). </w:t>
      </w:r>
    </w:p>
  </w:footnote>
  <w:footnote w:id="809">
    <w:p w:rsidR="00D72450" w:rsidRPr="004730FE" w:rsidRDefault="00D72450" w:rsidP="0078310B">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810">
    <w:p w:rsidR="00D72450" w:rsidRPr="001747EC" w:rsidRDefault="00D72450" w:rsidP="0078310B">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approximately $1,259, while his car deductions totaled $3,758. A portion of the latter would, no doubt,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811">
    <w:p w:rsidR="00D72450" w:rsidRPr="00710B8E" w:rsidRDefault="00D72450" w:rsidP="0078310B">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812">
    <w:p w:rsidR="00D72450" w:rsidRPr="00390A2C" w:rsidRDefault="00D72450" w:rsidP="0078310B">
      <w:pPr>
        <w:pStyle w:val="FootnoteText"/>
        <w:widowControl w:val="0"/>
        <w:jc w:val="both"/>
      </w:pPr>
      <w:r>
        <w:rPr>
          <w:rStyle w:val="FootnoteReference"/>
        </w:rPr>
        <w:footnoteRef/>
      </w:r>
      <w:r>
        <w:t xml:space="preserve"> </w:t>
      </w:r>
      <w:r>
        <w:rPr>
          <w:i/>
        </w:rPr>
        <w:t>Id.</w:t>
      </w:r>
      <w:r>
        <w:t xml:space="preserve"> at 175.</w:t>
      </w:r>
    </w:p>
  </w:footnote>
  <w:footnote w:id="813">
    <w:p w:rsidR="00D72450" w:rsidRPr="00390A2C" w:rsidRDefault="00D72450" w:rsidP="0078310B">
      <w:pPr>
        <w:pStyle w:val="FootnoteText"/>
        <w:widowControl w:val="0"/>
        <w:jc w:val="both"/>
      </w:pPr>
      <w:r>
        <w:rPr>
          <w:rStyle w:val="FootnoteReference"/>
        </w:rPr>
        <w:footnoteRef/>
      </w:r>
      <w:r>
        <w:t xml:space="preserve"> </w:t>
      </w:r>
      <w:r>
        <w:rPr>
          <w:i/>
        </w:rPr>
        <w:t>Id.</w:t>
      </w:r>
      <w:r>
        <w:t xml:space="preserve"> at 178. </w:t>
      </w:r>
    </w:p>
  </w:footnote>
  <w:footnote w:id="814">
    <w:p w:rsidR="00D72450" w:rsidRDefault="00D72450" w:rsidP="0078310B">
      <w:pPr>
        <w:pStyle w:val="FootnoteText"/>
        <w:widowControl w:val="0"/>
        <w:jc w:val="both"/>
      </w:pPr>
      <w:r>
        <w:rPr>
          <w:rStyle w:val="FootnoteReference"/>
        </w:rPr>
        <w:footnoteRef/>
      </w:r>
      <w:r>
        <w:t xml:space="preserve"> </w:t>
      </w:r>
      <w:r>
        <w:rPr>
          <w:i/>
        </w:rPr>
        <w:t>See</w:t>
      </w:r>
      <w:r>
        <w:t xml:space="preserve"> § 280A(c)(5)(B)(i).</w:t>
      </w:r>
    </w:p>
  </w:footnote>
  <w:footnote w:id="815">
    <w:p w:rsidR="00D72450" w:rsidRDefault="00D72450" w:rsidP="0078310B">
      <w:pPr>
        <w:pStyle w:val="FootnoteText"/>
        <w:widowControl w:val="0"/>
        <w:jc w:val="both"/>
      </w:pPr>
      <w:r>
        <w:rPr>
          <w:rStyle w:val="FootnoteReference"/>
        </w:rPr>
        <w:footnoteRef/>
      </w:r>
      <w:r>
        <w:t xml:space="preserve"> </w:t>
      </w:r>
      <w:r>
        <w:rPr>
          <w:i/>
        </w:rPr>
        <w:t xml:space="preserve">See </w:t>
      </w:r>
      <w:r>
        <w:t xml:space="preserve">§ 280A(c)(5)(B)(ii). </w:t>
      </w:r>
    </w:p>
  </w:footnote>
  <w:footnote w:id="816">
    <w:p w:rsidR="00D72450" w:rsidRDefault="00D72450" w:rsidP="0078310B">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817">
    <w:p w:rsidR="00D72450" w:rsidRDefault="00D72450" w:rsidP="0078310B">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because it is not properly allocable to the home office. </w:t>
      </w:r>
    </w:p>
  </w:footnote>
  <w:footnote w:id="818">
    <w:p w:rsidR="00D72450" w:rsidRDefault="00D72450" w:rsidP="0078310B">
      <w:pPr>
        <w:pStyle w:val="FootnoteText"/>
        <w:widowControl w:val="0"/>
        <w:jc w:val="both"/>
      </w:pPr>
      <w:r>
        <w:rPr>
          <w:rStyle w:val="FootnoteReference"/>
        </w:rPr>
        <w:footnoteRef/>
      </w:r>
      <w:r>
        <w:t xml:space="preserve"> 2013-1 C.B. 478. </w:t>
      </w:r>
    </w:p>
  </w:footnote>
  <w:footnote w:id="819">
    <w:p w:rsidR="00D72450" w:rsidRDefault="00D72450" w:rsidP="0078310B">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820">
    <w:p w:rsidR="00D72450" w:rsidRPr="002D0D45" w:rsidRDefault="00D72450" w:rsidP="0078310B">
      <w:pPr>
        <w:pStyle w:val="FootnoteText"/>
        <w:jc w:val="both"/>
      </w:pPr>
      <w:r>
        <w:rPr>
          <w:rStyle w:val="FootnoteReference"/>
        </w:rPr>
        <w:footnoteRef/>
      </w:r>
      <w:r>
        <w:t xml:space="preserve"> </w:t>
      </w:r>
      <w:r>
        <w:rPr>
          <w:i/>
        </w:rPr>
        <w:t xml:space="preserve">See </w:t>
      </w:r>
      <w:r>
        <w:t>§§ 871(b) and 882.</w:t>
      </w:r>
    </w:p>
  </w:footnote>
  <w:footnote w:id="821">
    <w:p w:rsidR="00D72450" w:rsidRPr="002D0D45" w:rsidRDefault="00D72450" w:rsidP="0078310B">
      <w:pPr>
        <w:pStyle w:val="FootnoteText"/>
        <w:jc w:val="both"/>
      </w:pPr>
      <w:r>
        <w:rPr>
          <w:rStyle w:val="FootnoteReference"/>
        </w:rPr>
        <w:footnoteRef/>
      </w:r>
      <w:r>
        <w:t xml:space="preserve"> </w:t>
      </w:r>
      <w:r>
        <w:rPr>
          <w:i/>
        </w:rPr>
        <w:t xml:space="preserve">See </w:t>
      </w:r>
      <w:r>
        <w:t xml:space="preserve">§§ 871(a) and 881. </w:t>
      </w:r>
    </w:p>
  </w:footnote>
  <w:footnote w:id="822">
    <w:p w:rsidR="00D72450" w:rsidRDefault="00D72450" w:rsidP="0078310B">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823">
    <w:p w:rsidR="00D72450" w:rsidRDefault="00D72450" w:rsidP="0078310B">
      <w:pPr>
        <w:pStyle w:val="FootnoteText"/>
      </w:pPr>
      <w:r>
        <w:rPr>
          <w:rStyle w:val="FootnoteReference"/>
        </w:rPr>
        <w:footnoteRef/>
      </w:r>
      <w:r>
        <w:t xml:space="preserve"> </w:t>
      </w:r>
      <w:r>
        <w:rPr>
          <w:i/>
          <w:szCs w:val="24"/>
        </w:rPr>
        <w:t xml:space="preserve">See </w:t>
      </w:r>
      <w:r>
        <w:t>§ 62(a)(1).</w:t>
      </w:r>
    </w:p>
  </w:footnote>
  <w:footnote w:id="824">
    <w:p w:rsidR="00D72450" w:rsidRDefault="00D72450" w:rsidP="0078310B">
      <w:pPr>
        <w:pStyle w:val="FootnoteText"/>
      </w:pPr>
      <w:r>
        <w:rPr>
          <w:rStyle w:val="FootnoteReference"/>
        </w:rPr>
        <w:footnoteRef/>
      </w:r>
      <w:r>
        <w:t xml:space="preserve"> </w:t>
      </w:r>
      <w:r>
        <w:rPr>
          <w:i/>
        </w:rPr>
        <w:t xml:space="preserve">See </w:t>
      </w:r>
      <w:r>
        <w:t xml:space="preserve">§ 56(b)(1)(A)(i). </w:t>
      </w:r>
    </w:p>
  </w:footnote>
  <w:footnote w:id="825">
    <w:p w:rsidR="00D72450" w:rsidRDefault="00D72450" w:rsidP="0078310B">
      <w:pPr>
        <w:pStyle w:val="FootnoteText"/>
      </w:pPr>
      <w:r>
        <w:rPr>
          <w:rStyle w:val="FootnoteReference"/>
        </w:rPr>
        <w:footnoteRef/>
      </w:r>
      <w:r>
        <w:t xml:space="preserve"> </w:t>
      </w:r>
      <w:r>
        <w:rPr>
          <w:i/>
          <w:szCs w:val="24"/>
        </w:rPr>
        <w:t xml:space="preserve">See </w:t>
      </w:r>
      <w:r>
        <w:t>§ 67(b)(3).</w:t>
      </w:r>
    </w:p>
  </w:footnote>
  <w:footnote w:id="826">
    <w:p w:rsidR="00D72450" w:rsidRDefault="00D72450" w:rsidP="0078310B">
      <w:pPr>
        <w:pStyle w:val="FootnoteText"/>
      </w:pPr>
      <w:r>
        <w:rPr>
          <w:rStyle w:val="FootnoteReference"/>
        </w:rPr>
        <w:footnoteRef/>
      </w:r>
      <w:r>
        <w:t xml:space="preserve"> T.C. Memo. 2014-33.</w:t>
      </w:r>
    </w:p>
  </w:footnote>
  <w:footnote w:id="827">
    <w:p w:rsidR="00D72450" w:rsidRDefault="00D72450" w:rsidP="0078310B">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828">
    <w:p w:rsidR="00D72450" w:rsidRDefault="00D72450" w:rsidP="0078310B">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829">
    <w:p w:rsidR="00D72450" w:rsidRDefault="00D72450" w:rsidP="0078310B">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830">
    <w:p w:rsidR="00D72450" w:rsidRPr="00D56CF2" w:rsidRDefault="00D72450" w:rsidP="0078310B">
      <w:pPr>
        <w:pStyle w:val="FootnoteText"/>
        <w:jc w:val="both"/>
      </w:pPr>
      <w:r>
        <w:rPr>
          <w:rStyle w:val="FootnoteReference"/>
        </w:rPr>
        <w:footnoteRef/>
      </w:r>
      <w:r>
        <w:t xml:space="preserve"> </w:t>
      </w:r>
      <w:r>
        <w:rPr>
          <w:i/>
        </w:rPr>
        <w:t>See</w:t>
      </w:r>
      <w:r>
        <w:t xml:space="preserve"> §§ 441(a) through (c); Treas. Reg. § 1.441-1(c)(1). </w:t>
      </w:r>
    </w:p>
  </w:footnote>
  <w:footnote w:id="831">
    <w:p w:rsidR="00D72450" w:rsidRPr="00B11102" w:rsidRDefault="00D72450" w:rsidP="0078310B">
      <w:pPr>
        <w:pStyle w:val="FootnoteText"/>
      </w:pPr>
      <w:r>
        <w:rPr>
          <w:rStyle w:val="FootnoteReference"/>
        </w:rPr>
        <w:footnoteRef/>
      </w:r>
      <w:r>
        <w:t xml:space="preserve"> </w:t>
      </w:r>
      <w:r w:rsidRPr="00B751E7">
        <w:t>James v. U.S.,</w:t>
      </w:r>
      <w:r>
        <w:t xml:space="preserve"> 366 U.S. 213 (1961). </w:t>
      </w:r>
    </w:p>
  </w:footnote>
  <w:footnote w:id="832">
    <w:p w:rsidR="00D72450" w:rsidRPr="00B11102" w:rsidRDefault="00D72450" w:rsidP="0078310B">
      <w:pPr>
        <w:pStyle w:val="FootnoteText"/>
      </w:pPr>
      <w:r>
        <w:rPr>
          <w:rStyle w:val="FootnoteReference"/>
        </w:rPr>
        <w:footnoteRef/>
      </w:r>
      <w:r>
        <w:t xml:space="preserve"> </w:t>
      </w:r>
      <w:r w:rsidRPr="00B751E7">
        <w:t>North Am. Oil Consol. v. Burnet,</w:t>
      </w:r>
      <w:r>
        <w:t xml:space="preserve"> 286 U.S. 417 (1932).</w:t>
      </w:r>
    </w:p>
  </w:footnote>
  <w:footnote w:id="833">
    <w:p w:rsidR="00D72450" w:rsidRPr="00DB108F" w:rsidRDefault="00D72450" w:rsidP="0078310B">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15, Part E.</w:t>
      </w:r>
    </w:p>
  </w:footnote>
  <w:footnote w:id="834">
    <w:p w:rsidR="00D72450" w:rsidRPr="00D11CA7" w:rsidRDefault="00D72450" w:rsidP="0078310B">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835">
    <w:p w:rsidR="00D72450" w:rsidRDefault="00D72450" w:rsidP="0078310B">
      <w:pPr>
        <w:pStyle w:val="FootnoteText"/>
        <w:jc w:val="both"/>
      </w:pPr>
      <w:r>
        <w:rPr>
          <w:rStyle w:val="FootnoteReference"/>
        </w:rPr>
        <w:footnoteRef/>
      </w:r>
      <w:r>
        <w:t xml:space="preserve"> 320 U.S. 489 (1943). </w:t>
      </w:r>
    </w:p>
  </w:footnote>
  <w:footnote w:id="836">
    <w:p w:rsidR="00D72450" w:rsidRPr="00134948" w:rsidRDefault="00D72450" w:rsidP="0078310B">
      <w:pPr>
        <w:pStyle w:val="FootnoteText"/>
        <w:jc w:val="both"/>
      </w:pPr>
      <w:r>
        <w:rPr>
          <w:rStyle w:val="FootnoteReference"/>
        </w:rPr>
        <w:footnoteRef/>
      </w:r>
      <w:r>
        <w:t xml:space="preserve"> </w:t>
      </w:r>
      <w:r>
        <w:rPr>
          <w:i/>
        </w:rPr>
        <w:t>Id.</w:t>
      </w:r>
      <w:r>
        <w:t xml:space="preserve"> at 491.</w:t>
      </w:r>
    </w:p>
  </w:footnote>
  <w:footnote w:id="837">
    <w:p w:rsidR="00D72450" w:rsidRPr="005E7863" w:rsidRDefault="00D72450" w:rsidP="0078310B">
      <w:pPr>
        <w:pStyle w:val="FootnoteText"/>
        <w:jc w:val="both"/>
      </w:pPr>
      <w:r>
        <w:rPr>
          <w:rStyle w:val="FootnoteReference"/>
        </w:rPr>
        <w:footnoteRef/>
      </w:r>
      <w:r>
        <w:t xml:space="preserve"> </w:t>
      </w:r>
      <w:r>
        <w:rPr>
          <w:i/>
        </w:rPr>
        <w:t>Id.</w:t>
      </w:r>
    </w:p>
  </w:footnote>
  <w:footnote w:id="838">
    <w:p w:rsidR="00D72450" w:rsidRPr="005E7863" w:rsidRDefault="00D72450" w:rsidP="0078310B">
      <w:pPr>
        <w:pStyle w:val="FootnoteText"/>
        <w:jc w:val="both"/>
      </w:pPr>
      <w:r>
        <w:rPr>
          <w:rStyle w:val="FootnoteReference"/>
        </w:rPr>
        <w:footnoteRef/>
      </w:r>
      <w:r>
        <w:t xml:space="preserve"> </w:t>
      </w:r>
      <w:r>
        <w:rPr>
          <w:i/>
        </w:rPr>
        <w:t>Id.</w:t>
      </w:r>
      <w:r>
        <w:t xml:space="preserve"> at 492.</w:t>
      </w:r>
    </w:p>
  </w:footnote>
  <w:footnote w:id="839">
    <w:p w:rsidR="00D72450" w:rsidRPr="005E7863" w:rsidRDefault="00D72450" w:rsidP="0078310B">
      <w:pPr>
        <w:pStyle w:val="FootnoteText"/>
        <w:jc w:val="both"/>
      </w:pPr>
      <w:r>
        <w:rPr>
          <w:rStyle w:val="FootnoteReference"/>
        </w:rPr>
        <w:footnoteRef/>
      </w:r>
      <w:r>
        <w:t xml:space="preserve"> </w:t>
      </w:r>
      <w:r>
        <w:rPr>
          <w:i/>
        </w:rPr>
        <w:t xml:space="preserve">Id. </w:t>
      </w:r>
      <w:r>
        <w:t>at 493.</w:t>
      </w:r>
    </w:p>
  </w:footnote>
  <w:footnote w:id="840">
    <w:p w:rsidR="00D72450" w:rsidRDefault="00D72450" w:rsidP="0078310B">
      <w:pPr>
        <w:pStyle w:val="FootnoteText"/>
        <w:jc w:val="both"/>
      </w:pPr>
      <w:r>
        <w:rPr>
          <w:rStyle w:val="FootnoteReference"/>
        </w:rPr>
        <w:footnoteRef/>
      </w:r>
      <w:r>
        <w:t xml:space="preserve"> Recall from Chapter 4 that the cost of materials and supplies of low value are categorized as a current “expense” rather than as a nondeductible “capital expenditure.”</w:t>
      </w:r>
    </w:p>
  </w:footnote>
  <w:footnote w:id="841">
    <w:p w:rsidR="00D72450" w:rsidRDefault="00D72450" w:rsidP="0078310B">
      <w:pPr>
        <w:pStyle w:val="FootnoteText"/>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42">
    <w:p w:rsidR="00D72450" w:rsidRDefault="00D72450" w:rsidP="0078310B">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843">
    <w:p w:rsidR="00D72450" w:rsidRPr="00303839" w:rsidRDefault="00D72450" w:rsidP="0078310B">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are not taken into account and (2) the remaining nonbusiness deductions (</w:t>
      </w:r>
      <w:r>
        <w:rPr>
          <w:i/>
        </w:rPr>
        <w:t>e.g.</w:t>
      </w:r>
      <w:r>
        <w:t xml:space="preserve">, alimony, the Standard Deduction for those who do not itemize, the personal deductions, investment expenses deductible under § 212, </w:t>
      </w:r>
      <w:r>
        <w:rPr>
          <w:i/>
        </w:rPr>
        <w:t>etc.</w:t>
      </w:r>
      <w:r>
        <w:t xml:space="preserve">) are taken into account only to the extent of investment Gross Income, although a personal casualty or theft loss is treated as a business deduction for this purpose. Thus,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or carryback from another year is also not taken into account in determining a particular year’s NOL. </w:t>
      </w:r>
      <w:r>
        <w:rPr>
          <w:i/>
        </w:rPr>
        <w:t xml:space="preserve">See </w:t>
      </w:r>
      <w:r>
        <w:t xml:space="preserve">§ 172(d)(1). </w:t>
      </w:r>
    </w:p>
  </w:footnote>
  <w:footnote w:id="844">
    <w:p w:rsidR="00D72450" w:rsidRDefault="00D72450" w:rsidP="0078310B">
      <w:pPr>
        <w:pStyle w:val="FootnoteText"/>
      </w:pPr>
      <w:r>
        <w:rPr>
          <w:rStyle w:val="FootnoteReference"/>
        </w:rPr>
        <w:footnoteRef/>
      </w:r>
      <w:r>
        <w:t xml:space="preserve"> </w:t>
      </w:r>
      <w:r>
        <w:rPr>
          <w:i/>
        </w:rPr>
        <w:t xml:space="preserve">See </w:t>
      </w:r>
      <w:r>
        <w:t>Treas. Reg. § 1.446-1(c)(2).</w:t>
      </w:r>
    </w:p>
  </w:footnote>
  <w:footnote w:id="845">
    <w:p w:rsidR="00D72450" w:rsidRDefault="00D72450" w:rsidP="0078310B">
      <w:pPr>
        <w:pStyle w:val="FootnoteText"/>
        <w:jc w:val="both"/>
      </w:pPr>
      <w:r>
        <w:rPr>
          <w:rStyle w:val="FootnoteReference"/>
        </w:rPr>
        <w:footnoteRef/>
      </w:r>
      <w:r>
        <w:t xml:space="preserve"> Because tax returns need not be filed, generally speaking, until April 15 of the year following the taxable year (for a calendar year taxpayer), the recipient will know by the time the return is filed whether the check received on December 31 is not honored. In that case, no Year-1 inclusion is necessary. </w:t>
      </w:r>
    </w:p>
  </w:footnote>
  <w:footnote w:id="846">
    <w:p w:rsidR="00D72450" w:rsidRPr="00891343" w:rsidRDefault="00D72450" w:rsidP="0078310B">
      <w:pPr>
        <w:pStyle w:val="FootnoteText"/>
        <w:jc w:val="both"/>
      </w:pPr>
      <w:r>
        <w:rPr>
          <w:rStyle w:val="FootnoteReference"/>
        </w:rPr>
        <w:footnoteRef/>
      </w:r>
      <w:r>
        <w:t xml:space="preserve"> </w:t>
      </w:r>
      <w:r>
        <w:rPr>
          <w:i/>
        </w:rPr>
        <w:t>See</w:t>
      </w:r>
      <w:r>
        <w:t xml:space="preserve"> Rev. Rul. 78-38, 1978-1 C.B. 68. </w:t>
      </w:r>
    </w:p>
  </w:footnote>
  <w:footnote w:id="847">
    <w:p w:rsidR="00D72450" w:rsidRPr="004178D4" w:rsidRDefault="00D72450" w:rsidP="0078310B">
      <w:pPr>
        <w:pStyle w:val="FootnoteText"/>
        <w:jc w:val="both"/>
      </w:pPr>
      <w:r>
        <w:rPr>
          <w:rStyle w:val="FootnoteReference"/>
        </w:rPr>
        <w:footnoteRef/>
      </w:r>
      <w:r>
        <w:t xml:space="preserve"> </w:t>
      </w:r>
      <w:r>
        <w:rPr>
          <w:i/>
        </w:rPr>
        <w:t xml:space="preserve">See </w:t>
      </w:r>
      <w:r>
        <w:t>Rev. Rul. 76-135, 1976-1 C.B. 114.</w:t>
      </w:r>
    </w:p>
  </w:footnote>
  <w:footnote w:id="848">
    <w:p w:rsidR="00D72450" w:rsidRPr="00FF252D" w:rsidRDefault="00D72450" w:rsidP="0078310B">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12) pertaining to the use of debt (even two-party debt) in purchasing property. Under </w:t>
      </w:r>
      <w:r>
        <w:rPr>
          <w:i/>
        </w:rPr>
        <w:t>Crane</w:t>
      </w:r>
      <w:r>
        <w:t xml:space="preserve">, the purchase debt creates valuable </w:t>
      </w:r>
      <w:r w:rsidRPr="00E7122B">
        <w:rPr>
          <w:i/>
        </w:rPr>
        <w:t>basis</w:t>
      </w:r>
      <w:r>
        <w:t xml:space="preserve"> immediately, which can immediately begin to generate depreciation deductions, although the two-party debt must be </w:t>
      </w:r>
      <w:r>
        <w:rPr>
          <w:i/>
        </w:rPr>
        <w:t>bona fide</w:t>
      </w:r>
      <w:r>
        <w:t xml:space="preserve"> if it is to create </w:t>
      </w:r>
      <w:r>
        <w:rPr>
          <w:i/>
        </w:rPr>
        <w:t>Crane</w:t>
      </w:r>
      <w:r>
        <w:t xml:space="preserve"> basis. Review, for example, the </w:t>
      </w:r>
      <w:r>
        <w:rPr>
          <w:i/>
        </w:rPr>
        <w:t xml:space="preserve">Knetsch </w:t>
      </w:r>
      <w:r>
        <w:t xml:space="preserve">and </w:t>
      </w:r>
      <w:r>
        <w:rPr>
          <w:i/>
        </w:rPr>
        <w:t>Estate of Franklin</w:t>
      </w:r>
      <w:r>
        <w:t xml:space="preserve"> cases in Chapter 16, Part A. </w:t>
      </w:r>
    </w:p>
  </w:footnote>
  <w:footnote w:id="849">
    <w:p w:rsidR="00D72450" w:rsidRPr="009E7F65" w:rsidRDefault="00D72450" w:rsidP="0078310B">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13) that the payee’s receipt of a two-party note that is payable on demand or is readily tradable is considered a cash equivalent that denies the payee the ability to defer § 1001 gain under the installment sale reporting rules.</w:t>
      </w:r>
    </w:p>
  </w:footnote>
  <w:footnote w:id="850">
    <w:p w:rsidR="00D72450" w:rsidRPr="009E7F65" w:rsidRDefault="00D72450" w:rsidP="0078310B">
      <w:pPr>
        <w:pStyle w:val="FootnoteText"/>
        <w:jc w:val="both"/>
      </w:pPr>
      <w:r>
        <w:rPr>
          <w:rStyle w:val="FootnoteReference"/>
        </w:rPr>
        <w:footnoteRef/>
      </w:r>
      <w:r>
        <w:t xml:space="preserve"> Rev. Rul. 76-135, 1976-1 C.B. 114. </w:t>
      </w:r>
    </w:p>
  </w:footnote>
  <w:footnote w:id="851">
    <w:p w:rsidR="00D72450" w:rsidRDefault="00D72450" w:rsidP="0078310B">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52">
    <w:p w:rsidR="00D72450" w:rsidRPr="006D18E3" w:rsidRDefault="00D72450" w:rsidP="0078310B">
      <w:pPr>
        <w:pStyle w:val="FootnoteText"/>
        <w:jc w:val="both"/>
      </w:pPr>
      <w:r>
        <w:rPr>
          <w:rStyle w:val="FootnoteReference"/>
        </w:rPr>
        <w:footnoteRef/>
      </w:r>
      <w:r>
        <w:t xml:space="preserve"> </w:t>
      </w:r>
      <w:r w:rsidRPr="00B751E7">
        <w:t>Paul v. Comm’r,</w:t>
      </w:r>
      <w:r>
        <w:t xml:space="preserve"> T.C. Memo. 1992-582. </w:t>
      </w:r>
    </w:p>
  </w:footnote>
  <w:footnote w:id="853">
    <w:p w:rsidR="00D72450" w:rsidRDefault="00D72450" w:rsidP="0078310B">
      <w:pPr>
        <w:pStyle w:val="FootnoteText"/>
        <w:jc w:val="both"/>
      </w:pPr>
      <w:r>
        <w:rPr>
          <w:rStyle w:val="FootnoteReference"/>
        </w:rPr>
        <w:footnoteRef/>
      </w:r>
      <w:r>
        <w:t xml:space="preserve"> 47 T.C. 428 (1967). </w:t>
      </w:r>
    </w:p>
  </w:footnote>
  <w:footnote w:id="854">
    <w:p w:rsidR="00D72450" w:rsidRPr="007C3BDE" w:rsidRDefault="00D72450" w:rsidP="0078310B">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55">
    <w:p w:rsidR="00D72450" w:rsidRDefault="00D72450" w:rsidP="0078310B">
      <w:pPr>
        <w:pStyle w:val="FootnoteText"/>
        <w:jc w:val="both"/>
      </w:pPr>
      <w:r w:rsidRPr="007C3BDE">
        <w:rPr>
          <w:rStyle w:val="FootnoteReference"/>
        </w:rPr>
        <w:footnoteRef/>
      </w:r>
      <w:r w:rsidRPr="007C3BDE">
        <w:t xml:space="preserve"> You also learned in Chapter 2 that eligible workers can create Individual Retirement Accounts (or IRAs), which also enjoy cash-flow consumpt</w:t>
      </w:r>
      <w:r>
        <w:t>ion tax treatment but do</w:t>
      </w:r>
      <w:r w:rsidRPr="007C3BDE">
        <w:t xml:space="preserve"> not typically involve the</w:t>
      </w:r>
      <w:r>
        <w:t xml:space="preserve"> worker’s employer. </w:t>
      </w:r>
    </w:p>
  </w:footnote>
  <w:footnote w:id="856">
    <w:p w:rsidR="00D72450" w:rsidRPr="00FC7C7E" w:rsidRDefault="00D72450" w:rsidP="0078310B">
      <w:pPr>
        <w:pStyle w:val="FootnoteText"/>
        <w:jc w:val="both"/>
      </w:pPr>
      <w:r>
        <w:rPr>
          <w:rStyle w:val="FootnoteReference"/>
        </w:rPr>
        <w:footnoteRef/>
      </w:r>
      <w:r>
        <w:t xml:space="preserve"> </w:t>
      </w:r>
      <w:r>
        <w:rPr>
          <w:i/>
        </w:rPr>
        <w:t xml:space="preserve">See </w:t>
      </w:r>
      <w:r>
        <w:t xml:space="preserve">§§ 404(a)(1) through (3). </w:t>
      </w:r>
    </w:p>
  </w:footnote>
  <w:footnote w:id="857">
    <w:p w:rsidR="00D72450" w:rsidRPr="00B71C35" w:rsidRDefault="00D72450" w:rsidP="0078310B">
      <w:pPr>
        <w:pStyle w:val="FootnoteText"/>
        <w:jc w:val="both"/>
      </w:pPr>
      <w:r>
        <w:rPr>
          <w:rStyle w:val="FootnoteReference"/>
        </w:rPr>
        <w:footnoteRef/>
      </w:r>
      <w:r>
        <w:t xml:space="preserve"> </w:t>
      </w:r>
      <w:r>
        <w:rPr>
          <w:i/>
        </w:rPr>
        <w:t xml:space="preserve">See </w:t>
      </w:r>
      <w:r>
        <w:t xml:space="preserve">§ 404(a)(5). </w:t>
      </w:r>
    </w:p>
  </w:footnote>
  <w:footnote w:id="858">
    <w:p w:rsidR="00D72450" w:rsidRDefault="00D72450" w:rsidP="0078310B">
      <w:pPr>
        <w:pStyle w:val="FootnoteText"/>
        <w:jc w:val="both"/>
      </w:pPr>
      <w:r>
        <w:rPr>
          <w:rStyle w:val="FootnoteReference"/>
        </w:rPr>
        <w:footnoteRef/>
      </w:r>
      <w:r>
        <w:t xml:space="preserve"> 1992-2 C.B. 422.</w:t>
      </w:r>
    </w:p>
  </w:footnote>
  <w:footnote w:id="859">
    <w:p w:rsidR="00D72450" w:rsidRPr="003D7874" w:rsidRDefault="00D72450" w:rsidP="0078310B">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60">
    <w:p w:rsidR="00D72450" w:rsidRDefault="00D72450" w:rsidP="0078310B">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61">
    <w:p w:rsidR="00D72450" w:rsidRDefault="00D72450" w:rsidP="0078310B">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62">
    <w:p w:rsidR="00D72450" w:rsidRDefault="00D72450" w:rsidP="0078310B">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63">
    <w:p w:rsidR="00D72450" w:rsidRPr="00E64087" w:rsidRDefault="00D72450" w:rsidP="0078310B">
      <w:pPr>
        <w:pStyle w:val="FootnoteText"/>
        <w:rPr>
          <w:rFonts w:cs="Times New Roman"/>
        </w:rPr>
      </w:pPr>
      <w:r>
        <w:rPr>
          <w:rStyle w:val="FootnoteReference"/>
        </w:rPr>
        <w:footnoteRef/>
      </w:r>
      <w:r>
        <w:t xml:space="preserve"> Peter J. Wallison, </w:t>
      </w:r>
      <w:r>
        <w:rPr>
          <w:i/>
        </w:rPr>
        <w:t>The Error at the Heart of the Sa</w:t>
      </w:r>
      <w:r w:rsidRPr="00E64087">
        <w:rPr>
          <w:rFonts w:cs="Times New Roman"/>
          <w:i/>
        </w:rPr>
        <w:t>rbanes-Oxley Act</w:t>
      </w:r>
      <w:r w:rsidRPr="00E64087">
        <w:rPr>
          <w:rFonts w:cs="Times New Roman"/>
        </w:rPr>
        <w:t>, at http://www.aei.org/article/economics/financial-services/poor-diagnosis-poor-prescription/.</w:t>
      </w:r>
    </w:p>
  </w:footnote>
  <w:footnote w:id="864">
    <w:p w:rsidR="00D72450" w:rsidRDefault="00D72450" w:rsidP="0078310B">
      <w:pPr>
        <w:pStyle w:val="FootnoteText"/>
      </w:pPr>
      <w:r>
        <w:rPr>
          <w:rStyle w:val="FootnoteReference"/>
        </w:rPr>
        <w:footnoteRef/>
      </w:r>
      <w:r>
        <w:t xml:space="preserve"> </w:t>
      </w:r>
      <w:r w:rsidRPr="00E64087">
        <w:rPr>
          <w:rFonts w:cs="Times New Roman"/>
          <w:i/>
        </w:rPr>
        <w:t xml:space="preserve">See </w:t>
      </w:r>
      <w:r w:rsidRPr="00E64087">
        <w:rPr>
          <w:rFonts w:cs="Times New Roman"/>
        </w:rPr>
        <w:t xml:space="preserve">Arthur Acevedo, </w:t>
      </w:r>
      <w:r w:rsidRPr="00E64087">
        <w:rPr>
          <w:rFonts w:cs="Times New Roman"/>
          <w:i/>
        </w:rPr>
        <w:t>The Fox and the Ostrich: Is GAAP a Game of Winks and Nods?</w:t>
      </w:r>
      <w:r w:rsidRPr="00E64087">
        <w:rPr>
          <w:rFonts w:cs="Times New Roman"/>
        </w:rPr>
        <w:t xml:space="preserve">, 12 </w:t>
      </w:r>
      <w:r w:rsidRPr="004E6BA8">
        <w:rPr>
          <w:rFonts w:cs="Times New Roman"/>
          <w:smallCaps/>
        </w:rPr>
        <w:t>Transactions: Tenn. J. of Bus</w:t>
      </w:r>
      <w:r w:rsidRPr="00E64087">
        <w:rPr>
          <w:rFonts w:cs="Times New Roman"/>
          <w:smallCaps/>
        </w:rPr>
        <w:t>. Law</w:t>
      </w:r>
      <w:r w:rsidRPr="00E64087">
        <w:rPr>
          <w:rFonts w:cs="Times New Roman"/>
        </w:rPr>
        <w:t xml:space="preserve"> 63, 76 (2010).</w:t>
      </w:r>
    </w:p>
  </w:footnote>
  <w:footnote w:id="865">
    <w:p w:rsidR="00D72450" w:rsidRPr="003164F6" w:rsidRDefault="00D72450" w:rsidP="0078310B">
      <w:pPr>
        <w:pStyle w:val="FootnoteText"/>
      </w:pPr>
      <w:r>
        <w:rPr>
          <w:rStyle w:val="FootnoteReference"/>
        </w:rPr>
        <w:footnoteRef/>
      </w:r>
      <w:r>
        <w:t xml:space="preserve"> </w:t>
      </w:r>
      <w:r>
        <w:rPr>
          <w:i/>
        </w:rPr>
        <w:t>Id.</w:t>
      </w:r>
    </w:p>
  </w:footnote>
  <w:footnote w:id="866">
    <w:p w:rsidR="00D72450" w:rsidRDefault="00D72450" w:rsidP="0078310B">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67">
    <w:p w:rsidR="00D72450" w:rsidRDefault="00D72450" w:rsidP="0078310B">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68">
    <w:p w:rsidR="00D72450" w:rsidRPr="00622855" w:rsidRDefault="00D72450" w:rsidP="0078310B">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0" w:history="1">
        <w:r>
          <w:t>Treas. Reg. § 1.446-1</w:t>
        </w:r>
        <w:r w:rsidRPr="00622855">
          <w:t>(a)(1)</w:t>
        </w:r>
      </w:hyperlink>
      <w:r w:rsidRPr="00622855">
        <w:t>.</w:t>
      </w:r>
    </w:p>
  </w:footnote>
  <w:footnote w:id="869">
    <w:p w:rsidR="00D72450" w:rsidRDefault="00D72450" w:rsidP="0078310B">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70">
    <w:p w:rsidR="00D72450" w:rsidRDefault="00D72450" w:rsidP="0078310B">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71">
    <w:p w:rsidR="00D72450" w:rsidRDefault="00D72450" w:rsidP="0078310B">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72">
    <w:p w:rsidR="00D72450" w:rsidRDefault="00D72450" w:rsidP="0078310B">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73">
    <w:p w:rsidR="00D72450" w:rsidRDefault="00D72450" w:rsidP="0078310B">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74">
    <w:p w:rsidR="00D72450" w:rsidRDefault="00D72450" w:rsidP="0078310B">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75">
    <w:p w:rsidR="00D72450" w:rsidRDefault="00D72450" w:rsidP="0078310B">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76">
    <w:p w:rsidR="00D72450" w:rsidRPr="007D637C" w:rsidRDefault="00D72450" w:rsidP="0078310B">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77">
    <w:p w:rsidR="00D72450" w:rsidRDefault="00D72450" w:rsidP="0078310B">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78">
    <w:p w:rsidR="00D72450" w:rsidRDefault="00D72450" w:rsidP="0078310B">
      <w:pPr>
        <w:pStyle w:val="FootnoteText"/>
        <w:jc w:val="both"/>
      </w:pPr>
      <w:r>
        <w:rPr>
          <w:rStyle w:val="FootnoteReference"/>
        </w:rPr>
        <w:footnoteRef/>
      </w:r>
      <w:r>
        <w:t xml:space="preserve"> 269 U.S. 422 (1926). </w:t>
      </w:r>
    </w:p>
  </w:footnote>
  <w:footnote w:id="879">
    <w:p w:rsidR="00D72450" w:rsidRPr="00BE4FD3" w:rsidRDefault="00D72450" w:rsidP="0078310B">
      <w:pPr>
        <w:pStyle w:val="FootnoteText"/>
        <w:jc w:val="both"/>
      </w:pPr>
      <w:r>
        <w:rPr>
          <w:rStyle w:val="FootnoteReference"/>
        </w:rPr>
        <w:footnoteRef/>
      </w:r>
      <w:r>
        <w:t xml:space="preserve"> </w:t>
      </w:r>
      <w:r>
        <w:rPr>
          <w:i/>
        </w:rPr>
        <w:t>Id.</w:t>
      </w:r>
      <w:r>
        <w:t xml:space="preserve"> at 441. </w:t>
      </w:r>
    </w:p>
  </w:footnote>
  <w:footnote w:id="880">
    <w:p w:rsidR="00D72450" w:rsidRDefault="00D72450" w:rsidP="0078310B">
      <w:pPr>
        <w:pStyle w:val="FootnoteText"/>
        <w:jc w:val="both"/>
      </w:pPr>
      <w:r>
        <w:rPr>
          <w:rStyle w:val="FootnoteReference"/>
        </w:rPr>
        <w:footnoteRef/>
      </w:r>
      <w:r>
        <w:t xml:space="preserve"> 280 U.S. 445 (1930).</w:t>
      </w:r>
    </w:p>
  </w:footnote>
  <w:footnote w:id="881">
    <w:p w:rsidR="00D72450" w:rsidRPr="003018E6" w:rsidRDefault="00D72450" w:rsidP="0078310B">
      <w:pPr>
        <w:pStyle w:val="FootnoteText"/>
        <w:jc w:val="both"/>
      </w:pPr>
      <w:r>
        <w:rPr>
          <w:rStyle w:val="FootnoteReference"/>
        </w:rPr>
        <w:footnoteRef/>
      </w:r>
      <w:r>
        <w:t xml:space="preserve"> </w:t>
      </w:r>
      <w:r>
        <w:rPr>
          <w:i/>
        </w:rPr>
        <w:t>Id.</w:t>
      </w:r>
      <w:r>
        <w:t xml:space="preserve"> at 448. </w:t>
      </w:r>
    </w:p>
  </w:footnote>
  <w:footnote w:id="882">
    <w:p w:rsidR="00D72450" w:rsidRPr="00C57E10" w:rsidRDefault="00D72450" w:rsidP="0078310B">
      <w:pPr>
        <w:pStyle w:val="FootnoteText"/>
        <w:jc w:val="both"/>
      </w:pPr>
      <w:r>
        <w:rPr>
          <w:rStyle w:val="FootnoteReference"/>
        </w:rPr>
        <w:footnoteRef/>
      </w:r>
      <w:r>
        <w:t xml:space="preserve"> </w:t>
      </w:r>
      <w:r w:rsidRPr="001A626C">
        <w:t>Brown v. Helvering</w:t>
      </w:r>
      <w:r>
        <w:t>, 291 U.S. 193, 200 (1934).</w:t>
      </w:r>
    </w:p>
  </w:footnote>
  <w:footnote w:id="883">
    <w:p w:rsidR="00D72450" w:rsidRPr="001651F8" w:rsidRDefault="00D72450" w:rsidP="0078310B">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84">
    <w:p w:rsidR="00D72450" w:rsidRPr="001651F8" w:rsidRDefault="00D72450" w:rsidP="0078310B">
      <w:pPr>
        <w:pStyle w:val="FootnoteText"/>
        <w:jc w:val="both"/>
      </w:pPr>
      <w:r>
        <w:rPr>
          <w:rStyle w:val="FootnoteReference"/>
        </w:rPr>
        <w:footnoteRef/>
      </w:r>
      <w:r>
        <w:t xml:space="preserve"> </w:t>
      </w:r>
      <w:r>
        <w:rPr>
          <w:i/>
        </w:rPr>
        <w:t>Id.</w:t>
      </w:r>
      <w:r>
        <w:t xml:space="preserve"> at 406. </w:t>
      </w:r>
    </w:p>
  </w:footnote>
  <w:footnote w:id="885">
    <w:p w:rsidR="00D72450" w:rsidRPr="001651F8" w:rsidRDefault="00D72450" w:rsidP="0078310B">
      <w:pPr>
        <w:pStyle w:val="FootnoteText"/>
        <w:jc w:val="both"/>
      </w:pPr>
      <w:r>
        <w:rPr>
          <w:rStyle w:val="FootnoteReference"/>
        </w:rPr>
        <w:footnoteRef/>
      </w:r>
      <w:r>
        <w:t xml:space="preserve"> </w:t>
      </w:r>
      <w:r>
        <w:rPr>
          <w:i/>
        </w:rPr>
        <w:t>Id.</w:t>
      </w:r>
      <w:r>
        <w:t xml:space="preserve"> at 409-10. </w:t>
      </w:r>
    </w:p>
  </w:footnote>
  <w:footnote w:id="886">
    <w:p w:rsidR="00D72450" w:rsidRDefault="00D72450" w:rsidP="0078310B">
      <w:pPr>
        <w:pStyle w:val="FootnoteText"/>
        <w:jc w:val="both"/>
      </w:pPr>
      <w:r>
        <w:rPr>
          <w:rStyle w:val="FootnoteReference"/>
        </w:rPr>
        <w:footnoteRef/>
      </w:r>
      <w:r>
        <w:t xml:space="preserve"> </w:t>
      </w:r>
      <w:r>
        <w:rPr>
          <w:i/>
        </w:rPr>
        <w:t xml:space="preserve">See </w:t>
      </w:r>
      <w:r>
        <w:t xml:space="preserve">§ 461(h)(2)(C). In the case itself, the Commissioner, under its § 446(b) discretion, required the company to deduct the full cost of the annuity contract in Year 1 and exclude the annuity’s investment return, both of which are contrary to the rules in § 72 (studied in Chapter 10),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w:t>
      </w:r>
      <w:r w:rsidR="006D4FD3">
        <w:t>only in the years paid because economic performance is not satisfied until then with respect to a tort payment.</w:t>
      </w:r>
    </w:p>
  </w:footnote>
  <w:footnote w:id="887">
    <w:p w:rsidR="00D72450" w:rsidRDefault="00D72450" w:rsidP="0078310B">
      <w:pPr>
        <w:pStyle w:val="FootnoteText"/>
      </w:pPr>
      <w:r>
        <w:rPr>
          <w:rStyle w:val="FootnoteReference"/>
        </w:rPr>
        <w:footnoteRef/>
      </w:r>
      <w:r>
        <w:t xml:space="preserve"> </w:t>
      </w:r>
      <w:r>
        <w:rPr>
          <w:i/>
        </w:rPr>
        <w:t xml:space="preserve">See </w:t>
      </w:r>
      <w:r>
        <w:t>§ 461(h)(2)(B).</w:t>
      </w:r>
    </w:p>
  </w:footnote>
  <w:footnote w:id="888">
    <w:p w:rsidR="00D72450" w:rsidRDefault="00D72450" w:rsidP="0078310B">
      <w:pPr>
        <w:pStyle w:val="FootnoteText"/>
      </w:pPr>
      <w:r>
        <w:rPr>
          <w:rStyle w:val="FootnoteReference"/>
        </w:rPr>
        <w:footnoteRef/>
      </w:r>
      <w:r>
        <w:t xml:space="preserve"> </w:t>
      </w:r>
      <w:r>
        <w:rPr>
          <w:i/>
        </w:rPr>
        <w:t xml:space="preserve">See </w:t>
      </w:r>
      <w:r>
        <w:t>§ 461(h)(2)(A).</w:t>
      </w:r>
    </w:p>
  </w:footnote>
  <w:footnote w:id="889">
    <w:p w:rsidR="00D72450" w:rsidRDefault="00D72450" w:rsidP="0078310B">
      <w:pPr>
        <w:pStyle w:val="FootnoteText"/>
        <w:jc w:val="both"/>
      </w:pPr>
      <w:r>
        <w:rPr>
          <w:rStyle w:val="FootnoteReference"/>
        </w:rPr>
        <w:footnoteRef/>
      </w:r>
      <w:r>
        <w:t xml:space="preserve"> 353 U.S. 180 (1957). </w:t>
      </w:r>
    </w:p>
  </w:footnote>
  <w:footnote w:id="890">
    <w:p w:rsidR="00D72450" w:rsidRPr="00D07D5B" w:rsidRDefault="00D72450" w:rsidP="0078310B">
      <w:pPr>
        <w:pStyle w:val="FootnoteText"/>
        <w:jc w:val="both"/>
      </w:pPr>
      <w:r>
        <w:rPr>
          <w:rStyle w:val="FootnoteReference"/>
        </w:rPr>
        <w:footnoteRef/>
      </w:r>
      <w:r>
        <w:t xml:space="preserve"> </w:t>
      </w:r>
      <w:r>
        <w:rPr>
          <w:i/>
        </w:rPr>
        <w:t>Id.</w:t>
      </w:r>
      <w:r>
        <w:t xml:space="preserve"> at 189.</w:t>
      </w:r>
    </w:p>
  </w:footnote>
  <w:footnote w:id="891">
    <w:p w:rsidR="00D72450" w:rsidRDefault="00D72450" w:rsidP="0078310B">
      <w:pPr>
        <w:pStyle w:val="FootnoteText"/>
        <w:jc w:val="both"/>
      </w:pPr>
      <w:r>
        <w:rPr>
          <w:rStyle w:val="FootnoteReference"/>
        </w:rPr>
        <w:footnoteRef/>
      </w:r>
      <w:r>
        <w:t xml:space="preserve"> 367 U.S. 687 (1961).</w:t>
      </w:r>
    </w:p>
  </w:footnote>
  <w:footnote w:id="892">
    <w:p w:rsidR="00D72450" w:rsidRPr="006D4F1E" w:rsidRDefault="00D72450" w:rsidP="0078310B">
      <w:pPr>
        <w:pStyle w:val="FootnoteText"/>
        <w:jc w:val="both"/>
      </w:pPr>
      <w:r>
        <w:rPr>
          <w:rStyle w:val="FootnoteReference"/>
        </w:rPr>
        <w:footnoteRef/>
      </w:r>
      <w:r>
        <w:t xml:space="preserve"> </w:t>
      </w:r>
      <w:r>
        <w:rPr>
          <w:i/>
        </w:rPr>
        <w:t>Id.</w:t>
      </w:r>
      <w:r>
        <w:t xml:space="preserve"> at 691.</w:t>
      </w:r>
    </w:p>
  </w:footnote>
  <w:footnote w:id="893">
    <w:p w:rsidR="00D72450" w:rsidRPr="00D65621" w:rsidRDefault="00D72450" w:rsidP="0078310B">
      <w:pPr>
        <w:pStyle w:val="FootnoteText"/>
        <w:jc w:val="both"/>
      </w:pPr>
      <w:r>
        <w:rPr>
          <w:rStyle w:val="FootnoteReference"/>
        </w:rPr>
        <w:footnoteRef/>
      </w:r>
      <w:r>
        <w:t xml:space="preserve"> </w:t>
      </w:r>
      <w:r>
        <w:rPr>
          <w:i/>
        </w:rPr>
        <w:t>Id.</w:t>
      </w:r>
      <w:r>
        <w:t xml:space="preserve"> at 693. </w:t>
      </w:r>
    </w:p>
  </w:footnote>
  <w:footnote w:id="894">
    <w:p w:rsidR="00D72450" w:rsidRPr="00D65621" w:rsidRDefault="00D72450" w:rsidP="0078310B">
      <w:pPr>
        <w:pStyle w:val="FootnoteText"/>
        <w:jc w:val="both"/>
      </w:pPr>
      <w:r>
        <w:rPr>
          <w:rStyle w:val="FootnoteReference"/>
        </w:rPr>
        <w:footnoteRef/>
      </w:r>
      <w:r>
        <w:t xml:space="preserve"> </w:t>
      </w:r>
      <w:r>
        <w:rPr>
          <w:i/>
        </w:rPr>
        <w:t>Id.</w:t>
      </w:r>
      <w:r>
        <w:t xml:space="preserve"> at 698.</w:t>
      </w:r>
    </w:p>
  </w:footnote>
  <w:footnote w:id="895">
    <w:p w:rsidR="00D72450" w:rsidRDefault="00D72450" w:rsidP="0078310B">
      <w:pPr>
        <w:pStyle w:val="FootnoteText"/>
        <w:jc w:val="both"/>
      </w:pPr>
      <w:r>
        <w:rPr>
          <w:rStyle w:val="FootnoteReference"/>
        </w:rPr>
        <w:footnoteRef/>
      </w:r>
      <w:r>
        <w:t xml:space="preserve"> 372 U.S. 128 (1963). </w:t>
      </w:r>
    </w:p>
  </w:footnote>
  <w:footnote w:id="896">
    <w:p w:rsidR="00D72450" w:rsidRPr="00FE2A23" w:rsidRDefault="00D72450" w:rsidP="0078310B">
      <w:pPr>
        <w:pStyle w:val="FootnoteText"/>
        <w:jc w:val="both"/>
      </w:pPr>
      <w:r>
        <w:rPr>
          <w:rStyle w:val="FootnoteReference"/>
        </w:rPr>
        <w:footnoteRef/>
      </w:r>
      <w:r>
        <w:t xml:space="preserve"> </w:t>
      </w:r>
      <w:r>
        <w:rPr>
          <w:i/>
        </w:rPr>
        <w:t>Id.</w:t>
      </w:r>
      <w:r>
        <w:t xml:space="preserve"> at 132. </w:t>
      </w:r>
    </w:p>
  </w:footnote>
  <w:footnote w:id="897">
    <w:p w:rsidR="00D72450" w:rsidRPr="003E5F4B" w:rsidRDefault="00D72450" w:rsidP="0078310B">
      <w:pPr>
        <w:pStyle w:val="FootnoteText"/>
        <w:jc w:val="both"/>
      </w:pPr>
      <w:r>
        <w:rPr>
          <w:rStyle w:val="FootnoteReference"/>
        </w:rPr>
        <w:footnoteRef/>
      </w:r>
      <w:r>
        <w:t xml:space="preserve"> </w:t>
      </w:r>
      <w:r>
        <w:rPr>
          <w:i/>
        </w:rPr>
        <w:t>Id.</w:t>
      </w:r>
      <w:r>
        <w:t xml:space="preserve"> at 135-36. </w:t>
      </w:r>
    </w:p>
  </w:footnote>
  <w:footnote w:id="898">
    <w:p w:rsidR="00D72450" w:rsidRDefault="00D72450" w:rsidP="0078310B">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899">
    <w:p w:rsidR="00D72450" w:rsidRDefault="00D72450" w:rsidP="0078310B">
      <w:pPr>
        <w:pStyle w:val="FootnoteText"/>
        <w:jc w:val="both"/>
      </w:pPr>
      <w:r>
        <w:rPr>
          <w:rStyle w:val="FootnoteReference"/>
        </w:rPr>
        <w:footnoteRef/>
      </w:r>
      <w:r>
        <w:t xml:space="preserve"> T.C. Memo. 2002-248. </w:t>
      </w:r>
    </w:p>
  </w:footnote>
  <w:footnote w:id="900">
    <w:p w:rsidR="00D72450" w:rsidRPr="006E73E2" w:rsidRDefault="00D72450" w:rsidP="0078310B">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901">
    <w:p w:rsidR="00D72450" w:rsidRPr="00AD16F2" w:rsidRDefault="00D72450" w:rsidP="0078310B">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902">
    <w:p w:rsidR="00D72450" w:rsidRPr="00B65E29" w:rsidRDefault="00D72450" w:rsidP="0078310B">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10 through 12 and 16. Indeed, as discussed in Chapter 10,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903">
    <w:p w:rsidR="00D72450" w:rsidRPr="00EA6478" w:rsidRDefault="00D72450" w:rsidP="0078310B">
      <w:pPr>
        <w:pStyle w:val="FootnoteText"/>
        <w:jc w:val="both"/>
      </w:pPr>
      <w:r>
        <w:rPr>
          <w:rStyle w:val="FootnoteReference"/>
        </w:rPr>
        <w:footnoteRef/>
      </w:r>
      <w:r>
        <w:t xml:space="preserve"> A minor exception with respect to OID would be that cash method interest recipients may be able to avoid the OID rules with respect to loans of less than $10,000 made between individuals. </w:t>
      </w:r>
      <w:r>
        <w:rPr>
          <w:i/>
        </w:rPr>
        <w:t xml:space="preserve">See </w:t>
      </w:r>
      <w:r>
        <w:t xml:space="preserve">§ 1272(a)(2)(E). </w:t>
      </w:r>
    </w:p>
  </w:footnote>
  <w:footnote w:id="904">
    <w:p w:rsidR="00D72450" w:rsidRDefault="00D72450" w:rsidP="0078310B">
      <w:pPr>
        <w:pStyle w:val="FootnoteText"/>
        <w:jc w:val="both"/>
      </w:pPr>
      <w:r>
        <w:rPr>
          <w:rStyle w:val="FootnoteReference"/>
        </w:rPr>
        <w:footnoteRef/>
      </w:r>
      <w:r>
        <w:t xml:space="preserve"> As described in Chapter 15,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F94594" w:rsidRDefault="00D72450">
    <w:pPr>
      <w:pStyle w:val="Header"/>
      <w:rPr>
        <w:b/>
        <w:u w:val="single"/>
      </w:rPr>
    </w:pPr>
    <w:r w:rsidRPr="00F94594">
      <w:rPr>
        <w:b/>
        <w:u w:val="single"/>
      </w:rPr>
      <w:t>Chapter 2</w:t>
    </w:r>
    <w:r w:rsidRPr="00F94594">
      <w:rPr>
        <w:b/>
        <w:u w:val="single"/>
      </w:rPr>
      <w:ptab w:relativeTo="margin" w:alignment="center" w:leader="none"/>
    </w:r>
    <w:r w:rsidRPr="00F94594">
      <w:rPr>
        <w:b/>
        <w:u w:val="single"/>
      </w:rPr>
      <w:t>Consumption Taxation</w:t>
    </w:r>
    <w:r w:rsidRPr="00F94594">
      <w:rPr>
        <w:b/>
        <w:u w:val="single"/>
      </w:rPr>
      <w:ptab w:relativeTo="margin" w:alignment="right" w:leader="none"/>
    </w:r>
    <w:r w:rsidRPr="00F94594">
      <w:rPr>
        <w:b/>
        <w:u w:val="single"/>
      </w:rPr>
      <w:t>Chapter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296417" w:rsidRDefault="00D72450">
    <w:pPr>
      <w:pStyle w:val="Header"/>
      <w:rPr>
        <w:b/>
        <w:u w:val="single"/>
      </w:rPr>
    </w:pPr>
    <w:r>
      <w:rPr>
        <w:b/>
        <w:u w:val="single"/>
      </w:rPr>
      <w:t>Chapter 3</w:t>
    </w:r>
    <w:r w:rsidRPr="00296417">
      <w:rPr>
        <w:b/>
        <w:u w:val="single"/>
      </w:rPr>
      <w:ptab w:relativeTo="margin" w:alignment="center" w:leader="none"/>
    </w:r>
    <w:r>
      <w:rPr>
        <w:b/>
        <w:u w:val="single"/>
      </w:rPr>
      <w:t>Ethical Debates, Economic Theories, Real-World Impacts</w:t>
    </w:r>
    <w:r w:rsidRPr="00296417">
      <w:rPr>
        <w:b/>
        <w:u w:val="single"/>
      </w:rPr>
      <w:ptab w:relativeTo="margin" w:alignment="right" w:leader="none"/>
    </w:r>
    <w:r>
      <w:rPr>
        <w:b/>
        <w:u w:val="single"/>
      </w:rPr>
      <w:t>Chapter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296417" w:rsidRDefault="00D72450">
    <w:pPr>
      <w:pStyle w:val="Header"/>
      <w:rPr>
        <w:b/>
        <w:u w:val="single"/>
      </w:rPr>
    </w:pPr>
    <w:r>
      <w:rPr>
        <w:b/>
        <w:u w:val="single"/>
      </w:rPr>
      <w:t>Chapter 4</w:t>
    </w:r>
    <w:r w:rsidRPr="00296417">
      <w:rPr>
        <w:b/>
        <w:u w:val="single"/>
      </w:rPr>
      <w:ptab w:relativeTo="margin" w:alignment="center" w:leader="none"/>
    </w:r>
    <w:r>
      <w:rPr>
        <w:b/>
        <w:u w:val="single"/>
      </w:rPr>
      <w:t>Capital Expenditures</w:t>
    </w:r>
    <w:r w:rsidRPr="00296417">
      <w:rPr>
        <w:b/>
        <w:u w:val="single"/>
      </w:rPr>
      <w:ptab w:relativeTo="margin" w:alignment="right" w:leader="none"/>
    </w:r>
    <w:r>
      <w:rPr>
        <w:b/>
        <w:u w:val="single"/>
      </w:rPr>
      <w:t>Chapter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C2757" w:rsidRDefault="00D72450" w:rsidP="005337B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CA5A2A" w:rsidRDefault="00D72450">
    <w:pPr>
      <w:pStyle w:val="Header"/>
      <w:rPr>
        <w:b/>
        <w:u w:val="single"/>
      </w:rPr>
    </w:pPr>
    <w:r w:rsidRPr="00CA5A2A">
      <w:rPr>
        <w:b/>
        <w:u w:val="single"/>
      </w:rPr>
      <w:t>Chapter 5</w:t>
    </w:r>
    <w:r w:rsidRPr="00CA5A2A">
      <w:rPr>
        <w:b/>
        <w:u w:val="single"/>
      </w:rPr>
      <w:ptab w:relativeTo="margin" w:alignment="center" w:leader="none"/>
    </w:r>
    <w:r w:rsidRPr="00CA5A2A">
      <w:rPr>
        <w:b/>
        <w:u w:val="single"/>
      </w:rPr>
      <w:t>Compensation</w:t>
    </w:r>
    <w:r w:rsidRPr="00CA5A2A">
      <w:rPr>
        <w:b/>
        <w:u w:val="single"/>
      </w:rPr>
      <w:ptab w:relativeTo="margin" w:alignment="right" w:leader="none"/>
    </w:r>
    <w:r w:rsidRPr="00CA5A2A">
      <w:rPr>
        <w:b/>
        <w:u w:val="single"/>
      </w:rPr>
      <w:t>Chapter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r>
      <w:t>Chapter 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CA5A2A" w:rsidRDefault="00D72450">
    <w:pPr>
      <w:pStyle w:val="Header"/>
      <w:rPr>
        <w:b/>
        <w:u w:val="single"/>
      </w:rPr>
    </w:pPr>
    <w:r w:rsidRPr="00CA5A2A">
      <w:rPr>
        <w:b/>
        <w:u w:val="single"/>
      </w:rPr>
      <w:t>Ch</w:t>
    </w:r>
    <w:r>
      <w:rPr>
        <w:b/>
        <w:u w:val="single"/>
      </w:rPr>
      <w:t>apter 6</w:t>
    </w:r>
    <w:r w:rsidRPr="00CA5A2A">
      <w:rPr>
        <w:b/>
        <w:u w:val="single"/>
      </w:rPr>
      <w:ptab w:relativeTo="margin" w:alignment="center" w:leader="none"/>
    </w:r>
    <w:r>
      <w:rPr>
        <w:b/>
        <w:u w:val="single"/>
      </w:rPr>
      <w:t>Residual Income</w:t>
    </w:r>
    <w:r w:rsidRPr="00CA5A2A">
      <w:rPr>
        <w:b/>
        <w:u w:val="single"/>
      </w:rPr>
      <w:ptab w:relativeTo="margin" w:alignment="right" w:leader="none"/>
    </w:r>
    <w:r>
      <w:rPr>
        <w:b/>
        <w:u w:val="single"/>
      </w:rPr>
      <w:t>Chapter 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6F25E6" w:rsidRDefault="00D72450" w:rsidP="005337B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975E8" w:rsidRDefault="00D72450">
    <w:pPr>
      <w:pStyle w:val="Header"/>
      <w:rPr>
        <w:b/>
        <w:u w:val="single"/>
      </w:rPr>
    </w:pPr>
    <w:r w:rsidRPr="004975E8">
      <w:rPr>
        <w:b/>
        <w:u w:val="single"/>
      </w:rPr>
      <w:t>Chapter 7</w:t>
    </w:r>
    <w:r w:rsidRPr="004975E8">
      <w:rPr>
        <w:b/>
        <w:u w:val="single"/>
      </w:rPr>
      <w:ptab w:relativeTo="margin" w:alignment="center" w:leader="none"/>
    </w:r>
    <w:r w:rsidRPr="004975E8">
      <w:rPr>
        <w:b/>
        <w:u w:val="single"/>
      </w:rPr>
      <w:t>Gifts</w:t>
    </w:r>
    <w:r>
      <w:rPr>
        <w:b/>
        <w:u w:val="single"/>
      </w:rPr>
      <w:t xml:space="preserve"> and Bequests</w:t>
    </w:r>
    <w:r w:rsidRPr="004975E8">
      <w:rPr>
        <w:b/>
        <w:u w:val="single"/>
      </w:rPr>
      <w:ptab w:relativeTo="margin" w:alignment="right" w:leader="none"/>
    </w:r>
    <w:r w:rsidRPr="004975E8">
      <w:rPr>
        <w:b/>
        <w:u w:val="single"/>
      </w:rPr>
      <w:t>Chapter 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975E8" w:rsidRDefault="00D72450">
    <w:pPr>
      <w:pStyle w:val="Header"/>
      <w:rPr>
        <w:b/>
        <w:u w:val="single"/>
      </w:rPr>
    </w:pPr>
    <w:r>
      <w:rPr>
        <w:b/>
        <w:u w:val="single"/>
      </w:rPr>
      <w:t>Chapter 8</w:t>
    </w:r>
    <w:r w:rsidRPr="004975E8">
      <w:rPr>
        <w:b/>
        <w:u w:val="single"/>
      </w:rPr>
      <w:ptab w:relativeTo="margin" w:alignment="center" w:leader="none"/>
    </w:r>
    <w:r>
      <w:rPr>
        <w:b/>
        <w:u w:val="single"/>
      </w:rPr>
      <w:t>Income Shifting in the Happy Family</w:t>
    </w:r>
    <w:r w:rsidRPr="004975E8">
      <w:rPr>
        <w:b/>
        <w:u w:val="single"/>
      </w:rPr>
      <w:ptab w:relativeTo="margin" w:alignment="right" w:leader="none"/>
    </w:r>
    <w:r w:rsidRPr="004975E8">
      <w:rPr>
        <w:b/>
        <w:u w:val="single"/>
      </w:rPr>
      <w:t>C</w:t>
    </w:r>
    <w:r>
      <w:rPr>
        <w:b/>
        <w:u w:val="single"/>
      </w:rPr>
      <w:t>hapter 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975E8" w:rsidRDefault="00D72450">
    <w:pPr>
      <w:pStyle w:val="Header"/>
      <w:rPr>
        <w:b/>
        <w:u w:val="single"/>
      </w:rPr>
    </w:pPr>
    <w:r>
      <w:rPr>
        <w:b/>
        <w:u w:val="single"/>
      </w:rPr>
      <w:t>Chapter 9</w:t>
    </w:r>
    <w:r w:rsidRPr="004975E8">
      <w:rPr>
        <w:b/>
        <w:u w:val="single"/>
      </w:rPr>
      <w:ptab w:relativeTo="margin" w:alignment="center" w:leader="none"/>
    </w:r>
    <w:r>
      <w:rPr>
        <w:b/>
        <w:u w:val="single"/>
      </w:rPr>
      <w:t>Income Shifting in the Fractured Family</w:t>
    </w:r>
    <w:r w:rsidRPr="004975E8">
      <w:rPr>
        <w:b/>
        <w:u w:val="single"/>
      </w:rPr>
      <w:ptab w:relativeTo="margin" w:alignment="right" w:leader="none"/>
    </w:r>
    <w:r w:rsidRPr="004975E8">
      <w:rPr>
        <w:b/>
        <w:u w:val="single"/>
      </w:rPr>
      <w:t>C</w:t>
    </w:r>
    <w:r>
      <w:rPr>
        <w:b/>
        <w:u w:val="single"/>
      </w:rPr>
      <w:t>hapter 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904D15" w:rsidRDefault="00D72450" w:rsidP="005337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C2AD7" w:rsidRDefault="00D72450" w:rsidP="005337BA">
    <w:pPr>
      <w:pStyle w:val="Header"/>
      <w:tabs>
        <w:tab w:val="left" w:pos="8055"/>
      </w:tabs>
      <w:rPr>
        <w:b/>
        <w:u w:val="single"/>
      </w:rPr>
    </w:pPr>
    <w:r w:rsidRPr="004C2AD7">
      <w:rPr>
        <w:b/>
        <w:u w:val="single"/>
      </w:rPr>
      <w:ptab w:relativeTo="margin" w:alignment="center" w:leader="none"/>
    </w:r>
    <w:r>
      <w:rPr>
        <w:b/>
        <w:u w:val="single"/>
      </w:rPr>
      <w:t>Introduction</w:t>
    </w:r>
    <w:r w:rsidRPr="004C2AD7">
      <w:rPr>
        <w:b/>
        <w:u w:val="single"/>
      </w:rPr>
      <w:ptab w:relativeTo="margin" w:alignment="right" w:leader="none"/>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165C20" w:rsidRDefault="00D72450" w:rsidP="005337B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760783" w:rsidRDefault="00D72450" w:rsidP="005337BA">
    <w:pPr>
      <w:pStyle w:val="Header"/>
      <w:rPr>
        <w:u w:val="single"/>
      </w:rPr>
    </w:pPr>
    <w:r w:rsidRPr="00760783">
      <w:rPr>
        <w:b/>
        <w:u w:val="single"/>
      </w:rPr>
      <w:t>Chapter 10</w:t>
    </w:r>
    <w:r w:rsidRPr="00760783">
      <w:rPr>
        <w:b/>
        <w:u w:val="single"/>
      </w:rPr>
      <w:ptab w:relativeTo="margin" w:alignment="center" w:leader="none"/>
    </w:r>
    <w:r w:rsidRPr="00760783">
      <w:rPr>
        <w:b/>
        <w:u w:val="single"/>
      </w:rPr>
      <w:t>Borrowing and Lending</w:t>
    </w:r>
    <w:r w:rsidRPr="00760783">
      <w:rPr>
        <w:b/>
        <w:u w:val="single"/>
      </w:rPr>
      <w:ptab w:relativeTo="margin" w:alignment="right" w:leader="none"/>
    </w:r>
    <w:r w:rsidRPr="00760783">
      <w:rPr>
        <w:b/>
        <w:u w:val="single"/>
      </w:rPr>
      <w:t>Chapter 10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D71BEB" w:rsidRDefault="00D72450" w:rsidP="005337B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D1E31" w:rsidRDefault="00D72450">
    <w:pPr>
      <w:pStyle w:val="Header"/>
      <w:rPr>
        <w:b/>
        <w:u w:val="single"/>
      </w:rPr>
    </w:pPr>
    <w:r w:rsidRPr="004D1E31">
      <w:rPr>
        <w:b/>
        <w:u w:val="single"/>
      </w:rPr>
      <w:t>Chapter 11</w:t>
    </w:r>
    <w:r w:rsidRPr="004D1E31">
      <w:rPr>
        <w:b/>
        <w:u w:val="single"/>
      </w:rPr>
      <w:ptab w:relativeTo="margin" w:alignment="center" w:leader="none"/>
    </w:r>
    <w:r>
      <w:rPr>
        <w:b/>
        <w:u w:val="single"/>
      </w:rPr>
      <w:t>Bad-Debt Deductions and</w:t>
    </w:r>
    <w:r w:rsidRPr="004D1E31">
      <w:rPr>
        <w:b/>
        <w:u w:val="single"/>
      </w:rPr>
      <w:t xml:space="preserve"> Debt-Discharge Income</w:t>
    </w:r>
    <w:r w:rsidRPr="004D1E31">
      <w:rPr>
        <w:b/>
        <w:u w:val="single"/>
      </w:rPr>
      <w:ptab w:relativeTo="margin" w:alignment="right" w:leader="none"/>
    </w:r>
    <w:r w:rsidRPr="004D1E31">
      <w:rPr>
        <w:b/>
        <w:u w:val="single"/>
      </w:rPr>
      <w:t>Chapter 11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D1E31" w:rsidRDefault="00D72450">
    <w:pPr>
      <w:pStyle w:val="Header"/>
      <w:rPr>
        <w:b/>
        <w:u w:val="single"/>
      </w:rPr>
    </w:pPr>
    <w:r>
      <w:rPr>
        <w:b/>
        <w:u w:val="single"/>
      </w:rPr>
      <w:t>Chapter 12</w:t>
    </w:r>
    <w:r w:rsidRPr="004D1E31">
      <w:rPr>
        <w:b/>
        <w:u w:val="single"/>
      </w:rPr>
      <w:ptab w:relativeTo="margin" w:alignment="center" w:leader="none"/>
    </w:r>
    <w:r>
      <w:rPr>
        <w:b/>
        <w:u w:val="single"/>
      </w:rPr>
      <w:t>Debt and Property</w:t>
    </w:r>
    <w:r w:rsidRPr="004D1E31">
      <w:rPr>
        <w:b/>
        <w:u w:val="single"/>
      </w:rPr>
      <w:ptab w:relativeTo="margin" w:alignment="right" w:leader="none"/>
    </w:r>
    <w:r>
      <w:rPr>
        <w:b/>
        <w:u w:val="single"/>
      </w:rPr>
      <w:t>Chapter 12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B650A4" w:rsidRDefault="00D72450" w:rsidP="005337B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506AFD" w:rsidRDefault="00D72450" w:rsidP="005337BA">
    <w:pPr>
      <w:pStyle w:val="Header"/>
      <w:rPr>
        <w:b/>
        <w:u w:val="single"/>
      </w:rPr>
    </w:pPr>
    <w:r w:rsidRPr="00506AFD">
      <w:rPr>
        <w:b/>
        <w:u w:val="single"/>
      </w:rPr>
      <w:t>Chapter 13</w:t>
    </w:r>
    <w:r w:rsidRPr="00506AFD">
      <w:rPr>
        <w:b/>
        <w:u w:val="single"/>
      </w:rPr>
      <w:ptab w:relativeTo="margin" w:alignment="center" w:leader="none"/>
    </w:r>
    <w:r>
      <w:rPr>
        <w:b/>
        <w:u w:val="single"/>
      </w:rPr>
      <w:t>Realization and Recognition of § 1001 Gain and Loss</w:t>
    </w:r>
    <w:r w:rsidRPr="00506AFD">
      <w:rPr>
        <w:b/>
        <w:u w:val="single"/>
      </w:rPr>
      <w:ptab w:relativeTo="margin" w:alignment="right" w:leader="none"/>
    </w:r>
    <w:r w:rsidRPr="00506AFD">
      <w:rPr>
        <w:b/>
        <w:u w:val="single"/>
      </w:rPr>
      <w:t>Chapter 13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506AFD" w:rsidRDefault="00D72450" w:rsidP="005337BA">
    <w:pPr>
      <w:pStyle w:val="Header"/>
      <w:rPr>
        <w:b/>
        <w:u w:val="single"/>
      </w:rPr>
    </w:pPr>
    <w:r w:rsidRPr="00506AFD">
      <w:rPr>
        <w:b/>
        <w:u w:val="single"/>
      </w:rPr>
      <w:t xml:space="preserve">Chapter </w:t>
    </w:r>
    <w:r>
      <w:rPr>
        <w:b/>
        <w:u w:val="single"/>
      </w:rPr>
      <w:t>14</w:t>
    </w:r>
    <w:r w:rsidRPr="00506AFD">
      <w:rPr>
        <w:b/>
        <w:u w:val="single"/>
      </w:rPr>
      <w:ptab w:relativeTo="margin" w:alignment="center" w:leader="none"/>
    </w:r>
    <w:r>
      <w:rPr>
        <w:b/>
        <w:u w:val="single"/>
      </w:rPr>
      <w:t>Depreciation and Amortization</w:t>
    </w:r>
    <w:r w:rsidRPr="00506AFD">
      <w:rPr>
        <w:b/>
        <w:u w:val="single"/>
      </w:rPr>
      <w:ptab w:relativeTo="margin" w:alignment="right" w:leader="none"/>
    </w:r>
    <w:r>
      <w:rPr>
        <w:b/>
        <w:u w:val="single"/>
      </w:rPr>
      <w:t>Chapter 14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506AFD" w:rsidRDefault="00D72450" w:rsidP="005337BA">
    <w:pPr>
      <w:pStyle w:val="Header"/>
      <w:rPr>
        <w:b/>
        <w:u w:val="single"/>
      </w:rPr>
    </w:pPr>
    <w:r w:rsidRPr="00506AFD">
      <w:rPr>
        <w:b/>
        <w:u w:val="single"/>
      </w:rPr>
      <w:t xml:space="preserve">Chapter </w:t>
    </w:r>
    <w:r>
      <w:rPr>
        <w:b/>
        <w:u w:val="single"/>
      </w:rPr>
      <w:t>15</w:t>
    </w:r>
    <w:r w:rsidRPr="00506AFD">
      <w:rPr>
        <w:b/>
        <w:u w:val="single"/>
      </w:rPr>
      <w:ptab w:relativeTo="margin" w:alignment="center" w:leader="none"/>
    </w:r>
    <w:r>
      <w:rPr>
        <w:b/>
        <w:u w:val="single"/>
      </w:rPr>
      <w:t>Capital Gains and Losses</w:t>
    </w:r>
    <w:r w:rsidRPr="00506AFD">
      <w:rPr>
        <w:b/>
        <w:u w:val="single"/>
      </w:rPr>
      <w:ptab w:relativeTo="margin" w:alignment="right" w:leader="none"/>
    </w:r>
    <w:r>
      <w:rPr>
        <w:b/>
        <w:u w:val="single"/>
      </w:rPr>
      <w:t>Chapter 15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1F40B0" w:rsidRDefault="00D72450" w:rsidP="005337BA">
    <w:pPr>
      <w:pStyle w:val="Header"/>
      <w:rPr>
        <w:b/>
        <w:u w:val="single"/>
      </w:rPr>
    </w:pPr>
    <w:r w:rsidRPr="001F40B0">
      <w:rPr>
        <w:b/>
        <w:u w:val="single"/>
      </w:rPr>
      <w:t>Chapter 16</w:t>
    </w:r>
    <w:r w:rsidRPr="001F40B0">
      <w:rPr>
        <w:b/>
        <w:u w:val="single"/>
      </w:rPr>
      <w:ptab w:relativeTo="margin" w:alignment="center" w:leader="none"/>
    </w:r>
    <w:r w:rsidRPr="001F40B0">
      <w:rPr>
        <w:b/>
        <w:u w:val="single"/>
      </w:rPr>
      <w:t>Tax Shelters</w:t>
    </w:r>
    <w:r w:rsidRPr="001F40B0">
      <w:rPr>
        <w:b/>
        <w:u w:val="single"/>
      </w:rPr>
      <w:ptab w:relativeTo="margin" w:alignment="right" w:leader="none"/>
    </w:r>
    <w:r w:rsidRPr="001F40B0">
      <w:rPr>
        <w:b/>
        <w:u w:val="single"/>
      </w:rPr>
      <w:t>Chapter 16</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D8763D" w:rsidRDefault="00D72450">
    <w:pPr>
      <w:pStyle w:val="Header"/>
      <w:rPr>
        <w:b/>
        <w:u w:val="single"/>
      </w:rPr>
    </w:pPr>
    <w:r w:rsidRPr="00D8763D">
      <w:rPr>
        <w:b/>
        <w:u w:val="single"/>
      </w:rPr>
      <w:t>Chapter 17</w:t>
    </w:r>
    <w:r w:rsidRPr="00D8763D">
      <w:rPr>
        <w:b/>
        <w:u w:val="single"/>
      </w:rPr>
      <w:ptab w:relativeTo="margin" w:alignment="center" w:leader="none"/>
    </w:r>
    <w:r w:rsidRPr="00D8763D">
      <w:rPr>
        <w:b/>
        <w:u w:val="single"/>
      </w:rPr>
      <w:t>On Human Capital</w:t>
    </w:r>
    <w:r w:rsidRPr="00D8763D">
      <w:rPr>
        <w:b/>
        <w:u w:val="single"/>
      </w:rPr>
      <w:ptab w:relativeTo="margin" w:alignment="right" w:leader="none"/>
    </w:r>
    <w:r w:rsidRPr="00D8763D">
      <w:rPr>
        <w:b/>
        <w:u w:val="single"/>
      </w:rPr>
      <w:t>Chapter 17</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596D4B" w:rsidRDefault="00D72450" w:rsidP="005337BA">
    <w:pPr>
      <w:pStyle w:val="Header"/>
      <w:widowControl w:val="0"/>
      <w:rPr>
        <w:b/>
        <w:u w:val="single"/>
      </w:rPr>
    </w:pPr>
    <w:r>
      <w:rPr>
        <w:b/>
        <w:u w:val="single"/>
      </w:rPr>
      <w:t>Chapter 18</w:t>
    </w:r>
    <w:r w:rsidRPr="00596D4B">
      <w:rPr>
        <w:b/>
        <w:u w:val="single"/>
      </w:rPr>
      <w:ptab w:relativeTo="margin" w:alignment="center" w:leader="none"/>
    </w:r>
    <w:r>
      <w:rPr>
        <w:b/>
        <w:u w:val="single"/>
      </w:rPr>
      <w:t xml:space="preserve">Homes, Health, Charity, </w:t>
    </w:r>
    <w:r>
      <w:rPr>
        <w:b/>
        <w:i/>
        <w:u w:val="single"/>
      </w:rPr>
      <w:t>etc.</w:t>
    </w:r>
    <w:r w:rsidRPr="00596D4B">
      <w:rPr>
        <w:b/>
        <w:u w:val="single"/>
      </w:rPr>
      <w:ptab w:relativeTo="margin" w:alignment="right" w:leader="none"/>
    </w:r>
    <w:r>
      <w:rPr>
        <w:b/>
        <w:u w:val="single"/>
      </w:rPr>
      <w:t>Chapter 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596D4B" w:rsidRDefault="00D72450" w:rsidP="005337BA">
    <w:pPr>
      <w:pStyle w:val="Header"/>
      <w:widowControl w:val="0"/>
      <w:rPr>
        <w:b/>
        <w:u w:val="single"/>
      </w:rPr>
    </w:pPr>
    <w:r>
      <w:rPr>
        <w:b/>
        <w:u w:val="single"/>
      </w:rPr>
      <w:t>Chapter 19</w:t>
    </w:r>
    <w:r w:rsidRPr="00596D4B">
      <w:rPr>
        <w:b/>
        <w:u w:val="single"/>
      </w:rPr>
      <w:ptab w:relativeTo="margin" w:alignment="center" w:leader="none"/>
    </w:r>
    <w:r>
      <w:rPr>
        <w:b/>
        <w:u w:val="single"/>
      </w:rPr>
      <w:t>Gambling and Hobby Losses</w:t>
    </w:r>
    <w:r w:rsidRPr="00596D4B">
      <w:rPr>
        <w:b/>
        <w:u w:val="single"/>
      </w:rPr>
      <w:ptab w:relativeTo="margin" w:alignment="right" w:leader="none"/>
    </w:r>
    <w:r>
      <w:rPr>
        <w:b/>
        <w:u w:val="single"/>
      </w:rPr>
      <w:t>Chapter 19</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596D4B" w:rsidRDefault="00D72450" w:rsidP="005337BA">
    <w:pPr>
      <w:pStyle w:val="Header"/>
      <w:widowControl w:val="0"/>
      <w:rPr>
        <w:b/>
        <w:u w:val="single"/>
      </w:rPr>
    </w:pPr>
    <w:r>
      <w:rPr>
        <w:b/>
        <w:u w:val="single"/>
      </w:rPr>
      <w:t>Chapter 20</w:t>
    </w:r>
    <w:r w:rsidRPr="00596D4B">
      <w:rPr>
        <w:b/>
        <w:u w:val="single"/>
      </w:rPr>
      <w:ptab w:relativeTo="margin" w:alignment="center" w:leader="none"/>
    </w:r>
    <w:r>
      <w:rPr>
        <w:b/>
        <w:u w:val="single"/>
      </w:rPr>
      <w:t>Allocating Costs</w:t>
    </w:r>
    <w:r w:rsidRPr="00596D4B">
      <w:rPr>
        <w:b/>
        <w:u w:val="single"/>
      </w:rPr>
      <w:ptab w:relativeTo="margin" w:alignment="right" w:leader="none"/>
    </w:r>
    <w:r>
      <w:rPr>
        <w:b/>
        <w:u w:val="single"/>
      </w:rPr>
      <w:t>Chapter 20</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256617" w:rsidRDefault="00D72450" w:rsidP="005337BA">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0E7954" w:rsidRDefault="00D72450" w:rsidP="005337BA">
    <w:pPr>
      <w:pStyle w:val="Header"/>
      <w:rPr>
        <w:b/>
        <w:u w:val="single"/>
      </w:rPr>
    </w:pPr>
    <w:r w:rsidRPr="000E7954">
      <w:rPr>
        <w:b/>
        <w:u w:val="single"/>
      </w:rPr>
      <w:t>Chapter 21</w:t>
    </w:r>
    <w:r w:rsidRPr="000E7954">
      <w:rPr>
        <w:b/>
        <w:u w:val="single"/>
      </w:rPr>
      <w:ptab w:relativeTo="margin" w:alignment="center" w:leader="none"/>
    </w:r>
    <w:r w:rsidRPr="000E7954">
      <w:rPr>
        <w:b/>
        <w:u w:val="single"/>
      </w:rPr>
      <w:t>Taxable Year</w:t>
    </w:r>
    <w:r w:rsidRPr="000E7954">
      <w:rPr>
        <w:b/>
        <w:u w:val="single"/>
      </w:rPr>
      <w:ptab w:relativeTo="margin" w:alignment="right" w:leader="none"/>
    </w:r>
    <w:r w:rsidRPr="000E7954">
      <w:rPr>
        <w:b/>
        <w:u w:val="single"/>
      </w:rPr>
      <w:t>Chapter 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61762E" w:rsidRDefault="00D72450" w:rsidP="005337B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C4536C" w:rsidRDefault="00D72450">
    <w:pPr>
      <w:pStyle w:val="Header"/>
      <w:rPr>
        <w:b/>
        <w:u w:val="single"/>
      </w:rPr>
    </w:pPr>
    <w:r w:rsidRPr="00C4536C">
      <w:rPr>
        <w:b/>
        <w:u w:val="single"/>
      </w:rPr>
      <w:t>Chapter 22</w:t>
    </w:r>
    <w:r w:rsidRPr="00C4536C">
      <w:rPr>
        <w:b/>
        <w:u w:val="single"/>
      </w:rPr>
      <w:ptab w:relativeTo="margin" w:alignment="center" w:leader="none"/>
    </w:r>
    <w:r w:rsidRPr="00C4536C">
      <w:rPr>
        <w:b/>
        <w:u w:val="single"/>
      </w:rPr>
      <w:t>Methods of Accounting</w:t>
    </w:r>
    <w:r w:rsidRPr="00C4536C">
      <w:rPr>
        <w:b/>
        <w:u w:val="single"/>
      </w:rPr>
      <w:ptab w:relativeTo="margin" w:alignment="right" w:leader="none"/>
    </w:r>
    <w:r w:rsidRPr="00C4536C">
      <w:rPr>
        <w:b/>
        <w:u w:val="single"/>
      </w:rPr>
      <w:t>Chapter 22</w:t>
    </w:r>
  </w:p>
  <w:p w:rsidR="00D72450" w:rsidRDefault="00D7245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D30084" w:rsidRDefault="00D72450" w:rsidP="005337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r>
      <w:t>Chapter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Pr="004C2AD7" w:rsidRDefault="00D72450" w:rsidP="005337BA">
    <w:pPr>
      <w:pStyle w:val="Header"/>
      <w:tabs>
        <w:tab w:val="left" w:pos="8055"/>
      </w:tabs>
      <w:rPr>
        <w:b/>
        <w:u w:val="single"/>
      </w:rPr>
    </w:pPr>
    <w:r w:rsidRPr="004C2AD7">
      <w:rPr>
        <w:b/>
        <w:u w:val="single"/>
      </w:rPr>
      <w:t>Chapter 1</w:t>
    </w:r>
    <w:r w:rsidRPr="004C2AD7">
      <w:rPr>
        <w:b/>
        <w:u w:val="single"/>
      </w:rPr>
      <w:ptab w:relativeTo="margin" w:alignment="center" w:leader="none"/>
    </w:r>
    <w:r>
      <w:rPr>
        <w:b/>
        <w:u w:val="single"/>
      </w:rPr>
      <w:t>Essential Structure of the Income</w:t>
    </w:r>
    <w:r w:rsidRPr="004C2AD7">
      <w:rPr>
        <w:b/>
        <w:u w:val="single"/>
      </w:rPr>
      <w:t xml:space="preserve"> Tax</w:t>
    </w:r>
    <w:r w:rsidRPr="004C2AD7">
      <w:rPr>
        <w:b/>
        <w:u w:val="single"/>
      </w:rPr>
      <w:ptab w:relativeTo="margin" w:alignment="right" w:leader="none"/>
    </w:r>
    <w:r w:rsidRPr="004C2AD7">
      <w:rPr>
        <w:b/>
        <w:u w:val="single"/>
      </w:rPr>
      <w:t>Chapter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50" w:rsidRDefault="00D72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D4C5A"/>
    <w:multiLevelType w:val="hybridMultilevel"/>
    <w:tmpl w:val="504496FC"/>
    <w:lvl w:ilvl="0" w:tplc="9A62331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E18F6"/>
    <w:multiLevelType w:val="hybridMultilevel"/>
    <w:tmpl w:val="B9489A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F254BC"/>
    <w:multiLevelType w:val="hybridMultilevel"/>
    <w:tmpl w:val="F0D015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8BD3569"/>
    <w:multiLevelType w:val="hybridMultilevel"/>
    <w:tmpl w:val="6978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3912897"/>
    <w:multiLevelType w:val="hybridMultilevel"/>
    <w:tmpl w:val="AB1834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8D237BC"/>
    <w:multiLevelType w:val="hybridMultilevel"/>
    <w:tmpl w:val="84B6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E936B20"/>
    <w:multiLevelType w:val="hybridMultilevel"/>
    <w:tmpl w:val="E9B44F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354602B3"/>
    <w:multiLevelType w:val="hybridMultilevel"/>
    <w:tmpl w:val="91EC7E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35B06B4F"/>
    <w:multiLevelType w:val="hybridMultilevel"/>
    <w:tmpl w:val="E89C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E3F7D"/>
    <w:multiLevelType w:val="hybridMultilevel"/>
    <w:tmpl w:val="D03296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44FA6B7B"/>
    <w:multiLevelType w:val="multilevel"/>
    <w:tmpl w:val="5C9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7690A"/>
    <w:multiLevelType w:val="multilevel"/>
    <w:tmpl w:val="ED4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491436BB"/>
    <w:multiLevelType w:val="hybridMultilevel"/>
    <w:tmpl w:val="AF0E39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7" w15:restartNumberingAfterBreak="0">
    <w:nsid w:val="4BFE0A34"/>
    <w:multiLevelType w:val="hybridMultilevel"/>
    <w:tmpl w:val="1E8C4B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29"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63DA7E88"/>
    <w:multiLevelType w:val="hybridMultilevel"/>
    <w:tmpl w:val="9926DF6A"/>
    <w:lvl w:ilvl="0" w:tplc="6636B5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315DD"/>
    <w:multiLevelType w:val="hybridMultilevel"/>
    <w:tmpl w:val="0B5E65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65663E93"/>
    <w:multiLevelType w:val="hybridMultilevel"/>
    <w:tmpl w:val="788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6D290E1A"/>
    <w:multiLevelType w:val="hybridMultilevel"/>
    <w:tmpl w:val="D124EB84"/>
    <w:lvl w:ilvl="0" w:tplc="254C6168">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15:restartNumberingAfterBreak="0">
    <w:nsid w:val="71C449A9"/>
    <w:multiLevelType w:val="hybridMultilevel"/>
    <w:tmpl w:val="98F0C1C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9"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75A87C78"/>
    <w:multiLevelType w:val="multilevel"/>
    <w:tmpl w:val="BA88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22"/>
  </w:num>
  <w:num w:numId="3">
    <w:abstractNumId w:val="37"/>
  </w:num>
  <w:num w:numId="4">
    <w:abstractNumId w:val="6"/>
  </w:num>
  <w:num w:numId="5">
    <w:abstractNumId w:val="20"/>
  </w:num>
  <w:num w:numId="6">
    <w:abstractNumId w:val="19"/>
  </w:num>
  <w:num w:numId="7">
    <w:abstractNumId w:val="36"/>
  </w:num>
  <w:num w:numId="8">
    <w:abstractNumId w:val="25"/>
  </w:num>
  <w:num w:numId="9">
    <w:abstractNumId w:val="0"/>
  </w:num>
  <w:num w:numId="10">
    <w:abstractNumId w:val="28"/>
  </w:num>
  <w:num w:numId="11">
    <w:abstractNumId w:val="11"/>
  </w:num>
  <w:num w:numId="12">
    <w:abstractNumId w:val="16"/>
  </w:num>
  <w:num w:numId="13">
    <w:abstractNumId w:val="35"/>
  </w:num>
  <w:num w:numId="14">
    <w:abstractNumId w:val="31"/>
  </w:num>
  <w:num w:numId="15">
    <w:abstractNumId w:val="8"/>
  </w:num>
  <w:num w:numId="16">
    <w:abstractNumId w:val="27"/>
  </w:num>
  <w:num w:numId="17">
    <w:abstractNumId w:val="33"/>
  </w:num>
  <w:num w:numId="18">
    <w:abstractNumId w:val="41"/>
  </w:num>
  <w:num w:numId="19">
    <w:abstractNumId w:val="14"/>
  </w:num>
  <w:num w:numId="20">
    <w:abstractNumId w:val="12"/>
  </w:num>
  <w:num w:numId="21">
    <w:abstractNumId w:val="4"/>
  </w:num>
  <w:num w:numId="22">
    <w:abstractNumId w:val="9"/>
  </w:num>
  <w:num w:numId="23">
    <w:abstractNumId w:val="2"/>
  </w:num>
  <w:num w:numId="24">
    <w:abstractNumId w:val="29"/>
  </w:num>
  <w:num w:numId="25">
    <w:abstractNumId w:val="15"/>
  </w:num>
  <w:num w:numId="26">
    <w:abstractNumId w:val="40"/>
  </w:num>
  <w:num w:numId="27">
    <w:abstractNumId w:val="39"/>
  </w:num>
  <w:num w:numId="28">
    <w:abstractNumId w:val="38"/>
  </w:num>
  <w:num w:numId="29">
    <w:abstractNumId w:val="10"/>
  </w:num>
  <w:num w:numId="30">
    <w:abstractNumId w:val="30"/>
  </w:num>
  <w:num w:numId="31">
    <w:abstractNumId w:val="42"/>
  </w:num>
  <w:num w:numId="32">
    <w:abstractNumId w:val="24"/>
  </w:num>
  <w:num w:numId="33">
    <w:abstractNumId w:val="26"/>
  </w:num>
  <w:num w:numId="34">
    <w:abstractNumId w:val="13"/>
  </w:num>
  <w:num w:numId="35">
    <w:abstractNumId w:val="17"/>
  </w:num>
  <w:num w:numId="36">
    <w:abstractNumId w:val="7"/>
  </w:num>
  <w:num w:numId="37">
    <w:abstractNumId w:val="1"/>
  </w:num>
  <w:num w:numId="38">
    <w:abstractNumId w:val="32"/>
  </w:num>
  <w:num w:numId="39">
    <w:abstractNumId w:val="34"/>
  </w:num>
  <w:num w:numId="40">
    <w:abstractNumId w:val="23"/>
  </w:num>
  <w:num w:numId="41">
    <w:abstractNumId w:val="21"/>
  </w:num>
  <w:num w:numId="42">
    <w:abstractNumId w:val="5"/>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10B"/>
    <w:rsid w:val="0000124F"/>
    <w:rsid w:val="000053AC"/>
    <w:rsid w:val="00006A1B"/>
    <w:rsid w:val="00021457"/>
    <w:rsid w:val="000220EE"/>
    <w:rsid w:val="00024DC5"/>
    <w:rsid w:val="00025269"/>
    <w:rsid w:val="00026969"/>
    <w:rsid w:val="00027B16"/>
    <w:rsid w:val="00035012"/>
    <w:rsid w:val="00041790"/>
    <w:rsid w:val="00043A82"/>
    <w:rsid w:val="00044281"/>
    <w:rsid w:val="000450C5"/>
    <w:rsid w:val="00046A50"/>
    <w:rsid w:val="00052096"/>
    <w:rsid w:val="00056BCE"/>
    <w:rsid w:val="00056ED6"/>
    <w:rsid w:val="00063E1B"/>
    <w:rsid w:val="00063FD3"/>
    <w:rsid w:val="00065636"/>
    <w:rsid w:val="000656B3"/>
    <w:rsid w:val="00066B37"/>
    <w:rsid w:val="00067624"/>
    <w:rsid w:val="000742A2"/>
    <w:rsid w:val="00074C41"/>
    <w:rsid w:val="00077DAF"/>
    <w:rsid w:val="0008241D"/>
    <w:rsid w:val="00085FD2"/>
    <w:rsid w:val="00086977"/>
    <w:rsid w:val="00091D2C"/>
    <w:rsid w:val="000937FD"/>
    <w:rsid w:val="00095588"/>
    <w:rsid w:val="0009792B"/>
    <w:rsid w:val="000A5EEC"/>
    <w:rsid w:val="000A6E13"/>
    <w:rsid w:val="000B34BC"/>
    <w:rsid w:val="000B5238"/>
    <w:rsid w:val="000B666F"/>
    <w:rsid w:val="000B7B77"/>
    <w:rsid w:val="000C14A7"/>
    <w:rsid w:val="000C3604"/>
    <w:rsid w:val="000C4189"/>
    <w:rsid w:val="000C6A34"/>
    <w:rsid w:val="000D0938"/>
    <w:rsid w:val="000D238D"/>
    <w:rsid w:val="000D7BAA"/>
    <w:rsid w:val="000E326F"/>
    <w:rsid w:val="000E4699"/>
    <w:rsid w:val="000E7BF8"/>
    <w:rsid w:val="000F34EB"/>
    <w:rsid w:val="000F41E9"/>
    <w:rsid w:val="000F6CDA"/>
    <w:rsid w:val="00101BC5"/>
    <w:rsid w:val="00102096"/>
    <w:rsid w:val="0011139C"/>
    <w:rsid w:val="0011291B"/>
    <w:rsid w:val="00112981"/>
    <w:rsid w:val="00112AD3"/>
    <w:rsid w:val="00113BF5"/>
    <w:rsid w:val="00123F1E"/>
    <w:rsid w:val="00124332"/>
    <w:rsid w:val="001250B5"/>
    <w:rsid w:val="00130B5A"/>
    <w:rsid w:val="001354F0"/>
    <w:rsid w:val="00135DAD"/>
    <w:rsid w:val="0014408D"/>
    <w:rsid w:val="0014436B"/>
    <w:rsid w:val="001544A9"/>
    <w:rsid w:val="001552A8"/>
    <w:rsid w:val="00156DCC"/>
    <w:rsid w:val="00160093"/>
    <w:rsid w:val="00160D04"/>
    <w:rsid w:val="00165358"/>
    <w:rsid w:val="00167BA6"/>
    <w:rsid w:val="001708D2"/>
    <w:rsid w:val="001775A0"/>
    <w:rsid w:val="00183A4E"/>
    <w:rsid w:val="00187EF3"/>
    <w:rsid w:val="00191048"/>
    <w:rsid w:val="00193787"/>
    <w:rsid w:val="00193F43"/>
    <w:rsid w:val="00194003"/>
    <w:rsid w:val="001963A6"/>
    <w:rsid w:val="00197240"/>
    <w:rsid w:val="001A04BB"/>
    <w:rsid w:val="001A4FAA"/>
    <w:rsid w:val="001A7C6A"/>
    <w:rsid w:val="001B2869"/>
    <w:rsid w:val="001C1F30"/>
    <w:rsid w:val="001C2BF1"/>
    <w:rsid w:val="001C4FDE"/>
    <w:rsid w:val="001C5EC5"/>
    <w:rsid w:val="001D0F24"/>
    <w:rsid w:val="001D7EF1"/>
    <w:rsid w:val="001E098E"/>
    <w:rsid w:val="001E0BC3"/>
    <w:rsid w:val="001E3967"/>
    <w:rsid w:val="001E3C6C"/>
    <w:rsid w:val="001E5575"/>
    <w:rsid w:val="001E6CF4"/>
    <w:rsid w:val="001F7B0B"/>
    <w:rsid w:val="00203A5B"/>
    <w:rsid w:val="00203AE2"/>
    <w:rsid w:val="00204715"/>
    <w:rsid w:val="002051D5"/>
    <w:rsid w:val="00205A6A"/>
    <w:rsid w:val="002103B1"/>
    <w:rsid w:val="00217A29"/>
    <w:rsid w:val="00223515"/>
    <w:rsid w:val="002243F4"/>
    <w:rsid w:val="00225F21"/>
    <w:rsid w:val="00234E6F"/>
    <w:rsid w:val="002370D0"/>
    <w:rsid w:val="0024595C"/>
    <w:rsid w:val="0025132F"/>
    <w:rsid w:val="002623DC"/>
    <w:rsid w:val="00266E98"/>
    <w:rsid w:val="00271EEB"/>
    <w:rsid w:val="002760BC"/>
    <w:rsid w:val="00280B34"/>
    <w:rsid w:val="00280E9A"/>
    <w:rsid w:val="00284C93"/>
    <w:rsid w:val="00287B6F"/>
    <w:rsid w:val="00290A34"/>
    <w:rsid w:val="0029102A"/>
    <w:rsid w:val="002918B0"/>
    <w:rsid w:val="00291ADC"/>
    <w:rsid w:val="0029381E"/>
    <w:rsid w:val="00293E68"/>
    <w:rsid w:val="00295AB2"/>
    <w:rsid w:val="00296FD6"/>
    <w:rsid w:val="002A005C"/>
    <w:rsid w:val="002A6A73"/>
    <w:rsid w:val="002A7125"/>
    <w:rsid w:val="002A7ADA"/>
    <w:rsid w:val="002B1FC5"/>
    <w:rsid w:val="002B3596"/>
    <w:rsid w:val="002C0AFA"/>
    <w:rsid w:val="002C2AB0"/>
    <w:rsid w:val="002C30F9"/>
    <w:rsid w:val="002D2AF7"/>
    <w:rsid w:val="002D4230"/>
    <w:rsid w:val="002D583C"/>
    <w:rsid w:val="002E4764"/>
    <w:rsid w:val="002E6CCE"/>
    <w:rsid w:val="002E6D3D"/>
    <w:rsid w:val="002F3DEF"/>
    <w:rsid w:val="002F55C7"/>
    <w:rsid w:val="002F73F6"/>
    <w:rsid w:val="002F7F98"/>
    <w:rsid w:val="00300DD2"/>
    <w:rsid w:val="003044B4"/>
    <w:rsid w:val="0030452E"/>
    <w:rsid w:val="0030529C"/>
    <w:rsid w:val="00312014"/>
    <w:rsid w:val="0031365C"/>
    <w:rsid w:val="00313BEA"/>
    <w:rsid w:val="00317487"/>
    <w:rsid w:val="00320551"/>
    <w:rsid w:val="00320B2A"/>
    <w:rsid w:val="0032101A"/>
    <w:rsid w:val="00322191"/>
    <w:rsid w:val="0032254F"/>
    <w:rsid w:val="00323CCE"/>
    <w:rsid w:val="0032602D"/>
    <w:rsid w:val="00333A78"/>
    <w:rsid w:val="0033762C"/>
    <w:rsid w:val="00346A7A"/>
    <w:rsid w:val="00351EFF"/>
    <w:rsid w:val="00356871"/>
    <w:rsid w:val="00356B05"/>
    <w:rsid w:val="00365C36"/>
    <w:rsid w:val="00365D77"/>
    <w:rsid w:val="00370083"/>
    <w:rsid w:val="00370CAC"/>
    <w:rsid w:val="00372159"/>
    <w:rsid w:val="0037252D"/>
    <w:rsid w:val="003763AA"/>
    <w:rsid w:val="00380D82"/>
    <w:rsid w:val="00381103"/>
    <w:rsid w:val="00384275"/>
    <w:rsid w:val="00390D5B"/>
    <w:rsid w:val="00392A5B"/>
    <w:rsid w:val="00397201"/>
    <w:rsid w:val="003A49EC"/>
    <w:rsid w:val="003A6180"/>
    <w:rsid w:val="003A6551"/>
    <w:rsid w:val="003B3C8E"/>
    <w:rsid w:val="003B67DA"/>
    <w:rsid w:val="003C1554"/>
    <w:rsid w:val="003C353E"/>
    <w:rsid w:val="003C7614"/>
    <w:rsid w:val="003D03AC"/>
    <w:rsid w:val="003D2248"/>
    <w:rsid w:val="003D79E8"/>
    <w:rsid w:val="003E0883"/>
    <w:rsid w:val="003E4133"/>
    <w:rsid w:val="003E5F95"/>
    <w:rsid w:val="003F12AC"/>
    <w:rsid w:val="003F1F1E"/>
    <w:rsid w:val="003F38F2"/>
    <w:rsid w:val="003F5530"/>
    <w:rsid w:val="00404293"/>
    <w:rsid w:val="004042F5"/>
    <w:rsid w:val="00411F6A"/>
    <w:rsid w:val="00423A0F"/>
    <w:rsid w:val="004240B8"/>
    <w:rsid w:val="00424B32"/>
    <w:rsid w:val="004279F6"/>
    <w:rsid w:val="00433434"/>
    <w:rsid w:val="00434479"/>
    <w:rsid w:val="00436708"/>
    <w:rsid w:val="00437685"/>
    <w:rsid w:val="004455A1"/>
    <w:rsid w:val="004466A4"/>
    <w:rsid w:val="00446B0D"/>
    <w:rsid w:val="00447FC1"/>
    <w:rsid w:val="00450AFA"/>
    <w:rsid w:val="00450C6D"/>
    <w:rsid w:val="004576F8"/>
    <w:rsid w:val="004620BA"/>
    <w:rsid w:val="00463156"/>
    <w:rsid w:val="0046361A"/>
    <w:rsid w:val="00465314"/>
    <w:rsid w:val="00471116"/>
    <w:rsid w:val="0047378D"/>
    <w:rsid w:val="004765E4"/>
    <w:rsid w:val="004812E1"/>
    <w:rsid w:val="0048226D"/>
    <w:rsid w:val="004837E6"/>
    <w:rsid w:val="00487FB5"/>
    <w:rsid w:val="00494706"/>
    <w:rsid w:val="00495EFA"/>
    <w:rsid w:val="00496514"/>
    <w:rsid w:val="00496BEE"/>
    <w:rsid w:val="00496DEE"/>
    <w:rsid w:val="004974A4"/>
    <w:rsid w:val="004A2B19"/>
    <w:rsid w:val="004A6026"/>
    <w:rsid w:val="004B24B1"/>
    <w:rsid w:val="004B3B58"/>
    <w:rsid w:val="004B67C8"/>
    <w:rsid w:val="004B7662"/>
    <w:rsid w:val="004B784A"/>
    <w:rsid w:val="004C0E79"/>
    <w:rsid w:val="004C15DF"/>
    <w:rsid w:val="004C498F"/>
    <w:rsid w:val="004C4D78"/>
    <w:rsid w:val="004C7784"/>
    <w:rsid w:val="004D04D5"/>
    <w:rsid w:val="004D0DC5"/>
    <w:rsid w:val="004D1847"/>
    <w:rsid w:val="004D3525"/>
    <w:rsid w:val="004D4AC4"/>
    <w:rsid w:val="004D6581"/>
    <w:rsid w:val="004E0E53"/>
    <w:rsid w:val="004E1EF1"/>
    <w:rsid w:val="004E3199"/>
    <w:rsid w:val="004E5F9B"/>
    <w:rsid w:val="004E7127"/>
    <w:rsid w:val="004F0B6D"/>
    <w:rsid w:val="004F1051"/>
    <w:rsid w:val="004F2724"/>
    <w:rsid w:val="004F483C"/>
    <w:rsid w:val="004F5523"/>
    <w:rsid w:val="004F62D7"/>
    <w:rsid w:val="004F6467"/>
    <w:rsid w:val="00501171"/>
    <w:rsid w:val="0050187F"/>
    <w:rsid w:val="005147DB"/>
    <w:rsid w:val="00514E47"/>
    <w:rsid w:val="00514F9D"/>
    <w:rsid w:val="00520653"/>
    <w:rsid w:val="0053129C"/>
    <w:rsid w:val="005337BA"/>
    <w:rsid w:val="00535C8C"/>
    <w:rsid w:val="005366E6"/>
    <w:rsid w:val="00541DF7"/>
    <w:rsid w:val="005437B3"/>
    <w:rsid w:val="00545646"/>
    <w:rsid w:val="005475AE"/>
    <w:rsid w:val="00550061"/>
    <w:rsid w:val="00554B3C"/>
    <w:rsid w:val="005561D1"/>
    <w:rsid w:val="005564EF"/>
    <w:rsid w:val="00563B46"/>
    <w:rsid w:val="005646F6"/>
    <w:rsid w:val="00566253"/>
    <w:rsid w:val="00567134"/>
    <w:rsid w:val="00570D57"/>
    <w:rsid w:val="0057123E"/>
    <w:rsid w:val="00575561"/>
    <w:rsid w:val="00575F04"/>
    <w:rsid w:val="005760A0"/>
    <w:rsid w:val="005864A5"/>
    <w:rsid w:val="00590E7D"/>
    <w:rsid w:val="0059152F"/>
    <w:rsid w:val="00595A06"/>
    <w:rsid w:val="005A1221"/>
    <w:rsid w:val="005A3926"/>
    <w:rsid w:val="005A3C56"/>
    <w:rsid w:val="005A4EEE"/>
    <w:rsid w:val="005A50AB"/>
    <w:rsid w:val="005A64B6"/>
    <w:rsid w:val="005B3290"/>
    <w:rsid w:val="005B4E69"/>
    <w:rsid w:val="005B5CC2"/>
    <w:rsid w:val="005B5CEB"/>
    <w:rsid w:val="005C28D5"/>
    <w:rsid w:val="005C3044"/>
    <w:rsid w:val="005C316F"/>
    <w:rsid w:val="005C3D67"/>
    <w:rsid w:val="005C6FB2"/>
    <w:rsid w:val="005C7BFC"/>
    <w:rsid w:val="005D2FED"/>
    <w:rsid w:val="005D51F3"/>
    <w:rsid w:val="005E01CE"/>
    <w:rsid w:val="005E119F"/>
    <w:rsid w:val="005E4446"/>
    <w:rsid w:val="005E4841"/>
    <w:rsid w:val="005E7825"/>
    <w:rsid w:val="005F0310"/>
    <w:rsid w:val="005F2BA8"/>
    <w:rsid w:val="005F3673"/>
    <w:rsid w:val="005F3A2D"/>
    <w:rsid w:val="005F7216"/>
    <w:rsid w:val="005F7D7C"/>
    <w:rsid w:val="0060007D"/>
    <w:rsid w:val="00600DC5"/>
    <w:rsid w:val="006012CD"/>
    <w:rsid w:val="0060319A"/>
    <w:rsid w:val="006035CD"/>
    <w:rsid w:val="006042B0"/>
    <w:rsid w:val="00605596"/>
    <w:rsid w:val="00605965"/>
    <w:rsid w:val="00607465"/>
    <w:rsid w:val="00610564"/>
    <w:rsid w:val="00610579"/>
    <w:rsid w:val="00611B32"/>
    <w:rsid w:val="006133A9"/>
    <w:rsid w:val="006163CA"/>
    <w:rsid w:val="00621B3C"/>
    <w:rsid w:val="006231CD"/>
    <w:rsid w:val="00623311"/>
    <w:rsid w:val="00623C36"/>
    <w:rsid w:val="006241D7"/>
    <w:rsid w:val="00625334"/>
    <w:rsid w:val="00632D0D"/>
    <w:rsid w:val="006337D5"/>
    <w:rsid w:val="00636A94"/>
    <w:rsid w:val="00637A6B"/>
    <w:rsid w:val="006442FE"/>
    <w:rsid w:val="0065278B"/>
    <w:rsid w:val="006534D8"/>
    <w:rsid w:val="00654B42"/>
    <w:rsid w:val="00657A1B"/>
    <w:rsid w:val="00661360"/>
    <w:rsid w:val="00663CB5"/>
    <w:rsid w:val="0066402E"/>
    <w:rsid w:val="006643E0"/>
    <w:rsid w:val="00673D1C"/>
    <w:rsid w:val="00674C55"/>
    <w:rsid w:val="00676442"/>
    <w:rsid w:val="00677EBD"/>
    <w:rsid w:val="00681CE9"/>
    <w:rsid w:val="00683742"/>
    <w:rsid w:val="00686930"/>
    <w:rsid w:val="00686CE4"/>
    <w:rsid w:val="00687FC7"/>
    <w:rsid w:val="00693114"/>
    <w:rsid w:val="006974BB"/>
    <w:rsid w:val="006A0B36"/>
    <w:rsid w:val="006A1522"/>
    <w:rsid w:val="006A3BF6"/>
    <w:rsid w:val="006A7745"/>
    <w:rsid w:val="006B047B"/>
    <w:rsid w:val="006B51E9"/>
    <w:rsid w:val="006C204B"/>
    <w:rsid w:val="006C2904"/>
    <w:rsid w:val="006C4978"/>
    <w:rsid w:val="006D049A"/>
    <w:rsid w:val="006D0D19"/>
    <w:rsid w:val="006D3E27"/>
    <w:rsid w:val="006D4FD3"/>
    <w:rsid w:val="006D5547"/>
    <w:rsid w:val="006D6380"/>
    <w:rsid w:val="006D651A"/>
    <w:rsid w:val="006D6769"/>
    <w:rsid w:val="006D6FEA"/>
    <w:rsid w:val="006D77FA"/>
    <w:rsid w:val="006E11E7"/>
    <w:rsid w:val="006E674F"/>
    <w:rsid w:val="006E6A5D"/>
    <w:rsid w:val="006F2419"/>
    <w:rsid w:val="006F338D"/>
    <w:rsid w:val="006F6E18"/>
    <w:rsid w:val="007021A7"/>
    <w:rsid w:val="00706893"/>
    <w:rsid w:val="00710673"/>
    <w:rsid w:val="00714C88"/>
    <w:rsid w:val="0071530E"/>
    <w:rsid w:val="0071545D"/>
    <w:rsid w:val="00716998"/>
    <w:rsid w:val="00716FC5"/>
    <w:rsid w:val="00721F34"/>
    <w:rsid w:val="00722114"/>
    <w:rsid w:val="007248E8"/>
    <w:rsid w:val="00743EEE"/>
    <w:rsid w:val="00747B98"/>
    <w:rsid w:val="007518FB"/>
    <w:rsid w:val="00754977"/>
    <w:rsid w:val="00755C4C"/>
    <w:rsid w:val="00755C80"/>
    <w:rsid w:val="00761E4F"/>
    <w:rsid w:val="007653A2"/>
    <w:rsid w:val="00765F32"/>
    <w:rsid w:val="00770642"/>
    <w:rsid w:val="00770D8E"/>
    <w:rsid w:val="007722EB"/>
    <w:rsid w:val="00775755"/>
    <w:rsid w:val="007761FA"/>
    <w:rsid w:val="00777852"/>
    <w:rsid w:val="00780969"/>
    <w:rsid w:val="0078310B"/>
    <w:rsid w:val="00783146"/>
    <w:rsid w:val="007835B6"/>
    <w:rsid w:val="007837FC"/>
    <w:rsid w:val="0078717F"/>
    <w:rsid w:val="007872B4"/>
    <w:rsid w:val="00787A30"/>
    <w:rsid w:val="00790AFD"/>
    <w:rsid w:val="00792F22"/>
    <w:rsid w:val="00794967"/>
    <w:rsid w:val="00794ACE"/>
    <w:rsid w:val="0079783A"/>
    <w:rsid w:val="00797B9F"/>
    <w:rsid w:val="007A364B"/>
    <w:rsid w:val="007A53AA"/>
    <w:rsid w:val="007A57A1"/>
    <w:rsid w:val="007A67D7"/>
    <w:rsid w:val="007A781B"/>
    <w:rsid w:val="007B7E8B"/>
    <w:rsid w:val="007C0DDE"/>
    <w:rsid w:val="007C18AF"/>
    <w:rsid w:val="007C377F"/>
    <w:rsid w:val="007C4ED3"/>
    <w:rsid w:val="007C5FD9"/>
    <w:rsid w:val="007D11B1"/>
    <w:rsid w:val="007D3043"/>
    <w:rsid w:val="007D3D6B"/>
    <w:rsid w:val="007D630C"/>
    <w:rsid w:val="007D7431"/>
    <w:rsid w:val="007E19B0"/>
    <w:rsid w:val="007E20D6"/>
    <w:rsid w:val="007E3092"/>
    <w:rsid w:val="007E375D"/>
    <w:rsid w:val="007E3CF6"/>
    <w:rsid w:val="007E7117"/>
    <w:rsid w:val="007E7AB9"/>
    <w:rsid w:val="007F0858"/>
    <w:rsid w:val="007F19E9"/>
    <w:rsid w:val="007F1E3E"/>
    <w:rsid w:val="007F60CC"/>
    <w:rsid w:val="007F715E"/>
    <w:rsid w:val="00801091"/>
    <w:rsid w:val="008034FB"/>
    <w:rsid w:val="008053A6"/>
    <w:rsid w:val="00810292"/>
    <w:rsid w:val="00815F57"/>
    <w:rsid w:val="008233DE"/>
    <w:rsid w:val="0082571E"/>
    <w:rsid w:val="0083026C"/>
    <w:rsid w:val="008314EC"/>
    <w:rsid w:val="008376A7"/>
    <w:rsid w:val="00841180"/>
    <w:rsid w:val="008430BC"/>
    <w:rsid w:val="00851632"/>
    <w:rsid w:val="00857F58"/>
    <w:rsid w:val="00860A2C"/>
    <w:rsid w:val="00862FBA"/>
    <w:rsid w:val="00863540"/>
    <w:rsid w:val="00864C6A"/>
    <w:rsid w:val="0086588A"/>
    <w:rsid w:val="00866BE2"/>
    <w:rsid w:val="00867A02"/>
    <w:rsid w:val="00876E96"/>
    <w:rsid w:val="00877918"/>
    <w:rsid w:val="008814DA"/>
    <w:rsid w:val="00883355"/>
    <w:rsid w:val="00883584"/>
    <w:rsid w:val="00893426"/>
    <w:rsid w:val="00894CCE"/>
    <w:rsid w:val="0089516E"/>
    <w:rsid w:val="008A1C73"/>
    <w:rsid w:val="008A3ED7"/>
    <w:rsid w:val="008A4C40"/>
    <w:rsid w:val="008A7749"/>
    <w:rsid w:val="008A7C9A"/>
    <w:rsid w:val="008B2209"/>
    <w:rsid w:val="008B2A48"/>
    <w:rsid w:val="008B2A6F"/>
    <w:rsid w:val="008B2DCE"/>
    <w:rsid w:val="008B3DF9"/>
    <w:rsid w:val="008B4C49"/>
    <w:rsid w:val="008B62DD"/>
    <w:rsid w:val="008B638C"/>
    <w:rsid w:val="008C5989"/>
    <w:rsid w:val="008C7F53"/>
    <w:rsid w:val="008D1F0A"/>
    <w:rsid w:val="008D32A9"/>
    <w:rsid w:val="008D6404"/>
    <w:rsid w:val="008D7715"/>
    <w:rsid w:val="008E05EE"/>
    <w:rsid w:val="008E11E0"/>
    <w:rsid w:val="008E26D6"/>
    <w:rsid w:val="008E5C7D"/>
    <w:rsid w:val="008F092B"/>
    <w:rsid w:val="008F0B02"/>
    <w:rsid w:val="008F2466"/>
    <w:rsid w:val="008F4F1A"/>
    <w:rsid w:val="009003E7"/>
    <w:rsid w:val="0090354C"/>
    <w:rsid w:val="00907247"/>
    <w:rsid w:val="0091304C"/>
    <w:rsid w:val="009130E8"/>
    <w:rsid w:val="00913400"/>
    <w:rsid w:val="00913B44"/>
    <w:rsid w:val="00915202"/>
    <w:rsid w:val="009170B9"/>
    <w:rsid w:val="009247E7"/>
    <w:rsid w:val="0092482A"/>
    <w:rsid w:val="00925B75"/>
    <w:rsid w:val="009277D6"/>
    <w:rsid w:val="009324F1"/>
    <w:rsid w:val="009327F5"/>
    <w:rsid w:val="009336E4"/>
    <w:rsid w:val="00933948"/>
    <w:rsid w:val="00935947"/>
    <w:rsid w:val="00936642"/>
    <w:rsid w:val="00942A91"/>
    <w:rsid w:val="009435CD"/>
    <w:rsid w:val="00950571"/>
    <w:rsid w:val="00953D90"/>
    <w:rsid w:val="00955AFF"/>
    <w:rsid w:val="00955EDC"/>
    <w:rsid w:val="00957226"/>
    <w:rsid w:val="00960973"/>
    <w:rsid w:val="00966F3B"/>
    <w:rsid w:val="0097050B"/>
    <w:rsid w:val="0097071E"/>
    <w:rsid w:val="00972D4D"/>
    <w:rsid w:val="00976181"/>
    <w:rsid w:val="009814FE"/>
    <w:rsid w:val="00981E12"/>
    <w:rsid w:val="009821FD"/>
    <w:rsid w:val="00982E75"/>
    <w:rsid w:val="0098697D"/>
    <w:rsid w:val="009904F6"/>
    <w:rsid w:val="009905AE"/>
    <w:rsid w:val="00994812"/>
    <w:rsid w:val="00994FA9"/>
    <w:rsid w:val="009A0502"/>
    <w:rsid w:val="009A1F79"/>
    <w:rsid w:val="009A366D"/>
    <w:rsid w:val="009A4C32"/>
    <w:rsid w:val="009A51EB"/>
    <w:rsid w:val="009A7107"/>
    <w:rsid w:val="009A7FC2"/>
    <w:rsid w:val="009B6249"/>
    <w:rsid w:val="009B747C"/>
    <w:rsid w:val="009C2628"/>
    <w:rsid w:val="009C2F7A"/>
    <w:rsid w:val="009C6FCB"/>
    <w:rsid w:val="009D14AC"/>
    <w:rsid w:val="009D5591"/>
    <w:rsid w:val="009D6D7F"/>
    <w:rsid w:val="009E0B97"/>
    <w:rsid w:val="009E14D1"/>
    <w:rsid w:val="009E1644"/>
    <w:rsid w:val="009E1C42"/>
    <w:rsid w:val="009E7797"/>
    <w:rsid w:val="009F310A"/>
    <w:rsid w:val="009F454C"/>
    <w:rsid w:val="009F464F"/>
    <w:rsid w:val="009F6A0A"/>
    <w:rsid w:val="00A00B09"/>
    <w:rsid w:val="00A01B68"/>
    <w:rsid w:val="00A03A5A"/>
    <w:rsid w:val="00A0408B"/>
    <w:rsid w:val="00A0521F"/>
    <w:rsid w:val="00A06FF4"/>
    <w:rsid w:val="00A07187"/>
    <w:rsid w:val="00A07B62"/>
    <w:rsid w:val="00A15D45"/>
    <w:rsid w:val="00A211D5"/>
    <w:rsid w:val="00A26132"/>
    <w:rsid w:val="00A26484"/>
    <w:rsid w:val="00A32A97"/>
    <w:rsid w:val="00A40364"/>
    <w:rsid w:val="00A4267C"/>
    <w:rsid w:val="00A428BF"/>
    <w:rsid w:val="00A439A7"/>
    <w:rsid w:val="00A47819"/>
    <w:rsid w:val="00A50716"/>
    <w:rsid w:val="00A534E1"/>
    <w:rsid w:val="00A54EBD"/>
    <w:rsid w:val="00A564BE"/>
    <w:rsid w:val="00A578A6"/>
    <w:rsid w:val="00A61A6E"/>
    <w:rsid w:val="00A62E70"/>
    <w:rsid w:val="00A63B56"/>
    <w:rsid w:val="00A63DB0"/>
    <w:rsid w:val="00A63F1E"/>
    <w:rsid w:val="00A6405D"/>
    <w:rsid w:val="00A6670A"/>
    <w:rsid w:val="00A66AFD"/>
    <w:rsid w:val="00A66C23"/>
    <w:rsid w:val="00A70117"/>
    <w:rsid w:val="00A71552"/>
    <w:rsid w:val="00A71D90"/>
    <w:rsid w:val="00A731A9"/>
    <w:rsid w:val="00A74D47"/>
    <w:rsid w:val="00A77E77"/>
    <w:rsid w:val="00A8246C"/>
    <w:rsid w:val="00A8261C"/>
    <w:rsid w:val="00A82742"/>
    <w:rsid w:val="00A82DC8"/>
    <w:rsid w:val="00A85888"/>
    <w:rsid w:val="00A96128"/>
    <w:rsid w:val="00AA4CE6"/>
    <w:rsid w:val="00AA7048"/>
    <w:rsid w:val="00AB0079"/>
    <w:rsid w:val="00AB14F0"/>
    <w:rsid w:val="00AB59AD"/>
    <w:rsid w:val="00AB73D1"/>
    <w:rsid w:val="00AC36DA"/>
    <w:rsid w:val="00AC4E5A"/>
    <w:rsid w:val="00AC7A8D"/>
    <w:rsid w:val="00AD3C97"/>
    <w:rsid w:val="00AD3CFA"/>
    <w:rsid w:val="00AE07A4"/>
    <w:rsid w:val="00AE6FC3"/>
    <w:rsid w:val="00AF2C7E"/>
    <w:rsid w:val="00AF30AC"/>
    <w:rsid w:val="00AF57B8"/>
    <w:rsid w:val="00AF66B2"/>
    <w:rsid w:val="00B0083E"/>
    <w:rsid w:val="00B0279D"/>
    <w:rsid w:val="00B041B9"/>
    <w:rsid w:val="00B052C8"/>
    <w:rsid w:val="00B05613"/>
    <w:rsid w:val="00B06F57"/>
    <w:rsid w:val="00B12E47"/>
    <w:rsid w:val="00B15A2B"/>
    <w:rsid w:val="00B163E1"/>
    <w:rsid w:val="00B17256"/>
    <w:rsid w:val="00B22338"/>
    <w:rsid w:val="00B23853"/>
    <w:rsid w:val="00B25300"/>
    <w:rsid w:val="00B254C0"/>
    <w:rsid w:val="00B26C12"/>
    <w:rsid w:val="00B3540A"/>
    <w:rsid w:val="00B35F6F"/>
    <w:rsid w:val="00B41402"/>
    <w:rsid w:val="00B46C65"/>
    <w:rsid w:val="00B47421"/>
    <w:rsid w:val="00B501CA"/>
    <w:rsid w:val="00B538A5"/>
    <w:rsid w:val="00B543E8"/>
    <w:rsid w:val="00B55E9B"/>
    <w:rsid w:val="00B562E4"/>
    <w:rsid w:val="00B6127A"/>
    <w:rsid w:val="00B623D8"/>
    <w:rsid w:val="00B628D8"/>
    <w:rsid w:val="00B63FF7"/>
    <w:rsid w:val="00B665FE"/>
    <w:rsid w:val="00B71A6A"/>
    <w:rsid w:val="00B71C0C"/>
    <w:rsid w:val="00B74DDB"/>
    <w:rsid w:val="00B758C3"/>
    <w:rsid w:val="00B75C29"/>
    <w:rsid w:val="00B773C4"/>
    <w:rsid w:val="00B81176"/>
    <w:rsid w:val="00B83646"/>
    <w:rsid w:val="00B878E7"/>
    <w:rsid w:val="00B9612A"/>
    <w:rsid w:val="00BA37EE"/>
    <w:rsid w:val="00BA4DD0"/>
    <w:rsid w:val="00BA5DF8"/>
    <w:rsid w:val="00BB046A"/>
    <w:rsid w:val="00BB6C6B"/>
    <w:rsid w:val="00BC07FA"/>
    <w:rsid w:val="00BC3150"/>
    <w:rsid w:val="00BC6750"/>
    <w:rsid w:val="00BD0558"/>
    <w:rsid w:val="00BD1D10"/>
    <w:rsid w:val="00BD600C"/>
    <w:rsid w:val="00BD6404"/>
    <w:rsid w:val="00BE29D9"/>
    <w:rsid w:val="00BE3ABA"/>
    <w:rsid w:val="00BE55D6"/>
    <w:rsid w:val="00BE5B4A"/>
    <w:rsid w:val="00BE7323"/>
    <w:rsid w:val="00BF0B31"/>
    <w:rsid w:val="00BF306C"/>
    <w:rsid w:val="00BF3C4D"/>
    <w:rsid w:val="00BF48C6"/>
    <w:rsid w:val="00BF5E03"/>
    <w:rsid w:val="00BF757A"/>
    <w:rsid w:val="00C019B8"/>
    <w:rsid w:val="00C04C87"/>
    <w:rsid w:val="00C0639E"/>
    <w:rsid w:val="00C122CA"/>
    <w:rsid w:val="00C145CE"/>
    <w:rsid w:val="00C173B2"/>
    <w:rsid w:val="00C224D7"/>
    <w:rsid w:val="00C22F2E"/>
    <w:rsid w:val="00C24E92"/>
    <w:rsid w:val="00C42451"/>
    <w:rsid w:val="00C456C2"/>
    <w:rsid w:val="00C47AED"/>
    <w:rsid w:val="00C64BA3"/>
    <w:rsid w:val="00C65B23"/>
    <w:rsid w:val="00C660E2"/>
    <w:rsid w:val="00C67437"/>
    <w:rsid w:val="00C7063B"/>
    <w:rsid w:val="00C74A72"/>
    <w:rsid w:val="00C74C83"/>
    <w:rsid w:val="00C757A9"/>
    <w:rsid w:val="00C84FAA"/>
    <w:rsid w:val="00C85651"/>
    <w:rsid w:val="00C85B84"/>
    <w:rsid w:val="00C86865"/>
    <w:rsid w:val="00C87B4A"/>
    <w:rsid w:val="00C908F8"/>
    <w:rsid w:val="00C969E5"/>
    <w:rsid w:val="00CB1B15"/>
    <w:rsid w:val="00CB243F"/>
    <w:rsid w:val="00CB2CCF"/>
    <w:rsid w:val="00CB6669"/>
    <w:rsid w:val="00CB702F"/>
    <w:rsid w:val="00CC6559"/>
    <w:rsid w:val="00CD3E89"/>
    <w:rsid w:val="00CD5F47"/>
    <w:rsid w:val="00CE043D"/>
    <w:rsid w:val="00CE0B83"/>
    <w:rsid w:val="00CE10C7"/>
    <w:rsid w:val="00CE672B"/>
    <w:rsid w:val="00CE6F04"/>
    <w:rsid w:val="00CF1EA7"/>
    <w:rsid w:val="00D00AF5"/>
    <w:rsid w:val="00D011F6"/>
    <w:rsid w:val="00D01522"/>
    <w:rsid w:val="00D01931"/>
    <w:rsid w:val="00D02532"/>
    <w:rsid w:val="00D05338"/>
    <w:rsid w:val="00D06E50"/>
    <w:rsid w:val="00D1094F"/>
    <w:rsid w:val="00D15C75"/>
    <w:rsid w:val="00D176D7"/>
    <w:rsid w:val="00D22F43"/>
    <w:rsid w:val="00D26980"/>
    <w:rsid w:val="00D30336"/>
    <w:rsid w:val="00D305D9"/>
    <w:rsid w:val="00D3184C"/>
    <w:rsid w:val="00D34989"/>
    <w:rsid w:val="00D3584B"/>
    <w:rsid w:val="00D37CA0"/>
    <w:rsid w:val="00D42A73"/>
    <w:rsid w:val="00D449CA"/>
    <w:rsid w:val="00D46D8F"/>
    <w:rsid w:val="00D510E6"/>
    <w:rsid w:val="00D5339A"/>
    <w:rsid w:val="00D54CB9"/>
    <w:rsid w:val="00D56C37"/>
    <w:rsid w:val="00D57002"/>
    <w:rsid w:val="00D604BC"/>
    <w:rsid w:val="00D62B37"/>
    <w:rsid w:val="00D63349"/>
    <w:rsid w:val="00D63AAC"/>
    <w:rsid w:val="00D670CE"/>
    <w:rsid w:val="00D67EE8"/>
    <w:rsid w:val="00D7011F"/>
    <w:rsid w:val="00D70149"/>
    <w:rsid w:val="00D7186E"/>
    <w:rsid w:val="00D72450"/>
    <w:rsid w:val="00D76424"/>
    <w:rsid w:val="00D812F2"/>
    <w:rsid w:val="00D82FB8"/>
    <w:rsid w:val="00D856D6"/>
    <w:rsid w:val="00D85EAA"/>
    <w:rsid w:val="00D872AB"/>
    <w:rsid w:val="00D87F89"/>
    <w:rsid w:val="00D91946"/>
    <w:rsid w:val="00D95B33"/>
    <w:rsid w:val="00D9671E"/>
    <w:rsid w:val="00DA25ED"/>
    <w:rsid w:val="00DA2FD1"/>
    <w:rsid w:val="00DA3B04"/>
    <w:rsid w:val="00DB0641"/>
    <w:rsid w:val="00DB1025"/>
    <w:rsid w:val="00DB2153"/>
    <w:rsid w:val="00DB3EA6"/>
    <w:rsid w:val="00DB44C8"/>
    <w:rsid w:val="00DB4D6E"/>
    <w:rsid w:val="00DB587C"/>
    <w:rsid w:val="00DC0294"/>
    <w:rsid w:val="00DC209C"/>
    <w:rsid w:val="00DC573C"/>
    <w:rsid w:val="00DD3B0E"/>
    <w:rsid w:val="00DD51E2"/>
    <w:rsid w:val="00DE2B99"/>
    <w:rsid w:val="00DE2C0C"/>
    <w:rsid w:val="00DE3EF9"/>
    <w:rsid w:val="00E006AC"/>
    <w:rsid w:val="00E0343F"/>
    <w:rsid w:val="00E04122"/>
    <w:rsid w:val="00E04E25"/>
    <w:rsid w:val="00E0561C"/>
    <w:rsid w:val="00E1129E"/>
    <w:rsid w:val="00E133AA"/>
    <w:rsid w:val="00E15FA0"/>
    <w:rsid w:val="00E176DE"/>
    <w:rsid w:val="00E210A3"/>
    <w:rsid w:val="00E21DD5"/>
    <w:rsid w:val="00E22436"/>
    <w:rsid w:val="00E227F1"/>
    <w:rsid w:val="00E32525"/>
    <w:rsid w:val="00E32D10"/>
    <w:rsid w:val="00E34E09"/>
    <w:rsid w:val="00E35AF0"/>
    <w:rsid w:val="00E37710"/>
    <w:rsid w:val="00E40C65"/>
    <w:rsid w:val="00E443D0"/>
    <w:rsid w:val="00E47548"/>
    <w:rsid w:val="00E50271"/>
    <w:rsid w:val="00E50C6E"/>
    <w:rsid w:val="00E51927"/>
    <w:rsid w:val="00E52599"/>
    <w:rsid w:val="00E53141"/>
    <w:rsid w:val="00E541FC"/>
    <w:rsid w:val="00E57580"/>
    <w:rsid w:val="00E62DA3"/>
    <w:rsid w:val="00E7122B"/>
    <w:rsid w:val="00E80059"/>
    <w:rsid w:val="00E8136B"/>
    <w:rsid w:val="00E81C3B"/>
    <w:rsid w:val="00E8523C"/>
    <w:rsid w:val="00E8532B"/>
    <w:rsid w:val="00E855BD"/>
    <w:rsid w:val="00E86DA2"/>
    <w:rsid w:val="00E8787B"/>
    <w:rsid w:val="00E92426"/>
    <w:rsid w:val="00E94E28"/>
    <w:rsid w:val="00E976C4"/>
    <w:rsid w:val="00EA2AB1"/>
    <w:rsid w:val="00EA65A8"/>
    <w:rsid w:val="00EA68C2"/>
    <w:rsid w:val="00EA71D6"/>
    <w:rsid w:val="00EB017A"/>
    <w:rsid w:val="00EB18C3"/>
    <w:rsid w:val="00EB3E87"/>
    <w:rsid w:val="00EB4D41"/>
    <w:rsid w:val="00EC41A0"/>
    <w:rsid w:val="00EC561D"/>
    <w:rsid w:val="00EC733E"/>
    <w:rsid w:val="00EC7EB9"/>
    <w:rsid w:val="00ED057C"/>
    <w:rsid w:val="00ED0A61"/>
    <w:rsid w:val="00ED0D46"/>
    <w:rsid w:val="00ED27F0"/>
    <w:rsid w:val="00ED4024"/>
    <w:rsid w:val="00ED6A1B"/>
    <w:rsid w:val="00ED6C07"/>
    <w:rsid w:val="00EE461B"/>
    <w:rsid w:val="00EF7EDE"/>
    <w:rsid w:val="00F0029E"/>
    <w:rsid w:val="00F0191A"/>
    <w:rsid w:val="00F0342F"/>
    <w:rsid w:val="00F046AB"/>
    <w:rsid w:val="00F0486E"/>
    <w:rsid w:val="00F06877"/>
    <w:rsid w:val="00F2020B"/>
    <w:rsid w:val="00F21281"/>
    <w:rsid w:val="00F275DA"/>
    <w:rsid w:val="00F309BB"/>
    <w:rsid w:val="00F331F7"/>
    <w:rsid w:val="00F359DC"/>
    <w:rsid w:val="00F375E9"/>
    <w:rsid w:val="00F42C70"/>
    <w:rsid w:val="00F443B8"/>
    <w:rsid w:val="00F461FA"/>
    <w:rsid w:val="00F55496"/>
    <w:rsid w:val="00F56956"/>
    <w:rsid w:val="00F629F7"/>
    <w:rsid w:val="00F70C67"/>
    <w:rsid w:val="00F7618C"/>
    <w:rsid w:val="00F8118F"/>
    <w:rsid w:val="00F81981"/>
    <w:rsid w:val="00F82FDD"/>
    <w:rsid w:val="00F8435A"/>
    <w:rsid w:val="00F90E4F"/>
    <w:rsid w:val="00F928AF"/>
    <w:rsid w:val="00F942D4"/>
    <w:rsid w:val="00F9480C"/>
    <w:rsid w:val="00F966A8"/>
    <w:rsid w:val="00FA0F26"/>
    <w:rsid w:val="00FA1FF4"/>
    <w:rsid w:val="00FA2C16"/>
    <w:rsid w:val="00FA3AEF"/>
    <w:rsid w:val="00FA42CE"/>
    <w:rsid w:val="00FA5497"/>
    <w:rsid w:val="00FB2498"/>
    <w:rsid w:val="00FB5C5E"/>
    <w:rsid w:val="00FB73B6"/>
    <w:rsid w:val="00FC053E"/>
    <w:rsid w:val="00FC2E6E"/>
    <w:rsid w:val="00FC5629"/>
    <w:rsid w:val="00FC63F5"/>
    <w:rsid w:val="00FD4CA7"/>
    <w:rsid w:val="00FE5460"/>
    <w:rsid w:val="00FE5819"/>
    <w:rsid w:val="00FE7FE0"/>
    <w:rsid w:val="00FF06C1"/>
    <w:rsid w:val="00FF1DBA"/>
    <w:rsid w:val="00FF24F1"/>
    <w:rsid w:val="00FF54F4"/>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B605FD-6DC7-4F2B-9ED2-DA2D5C09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10B"/>
    <w:rPr>
      <w:rFonts w:eastAsiaTheme="minorHAnsi"/>
    </w:rPr>
  </w:style>
  <w:style w:type="paragraph" w:styleId="Heading1">
    <w:name w:val="heading 1"/>
    <w:basedOn w:val="Normal"/>
    <w:next w:val="Normal"/>
    <w:link w:val="Heading1Char"/>
    <w:uiPriority w:val="9"/>
    <w:qFormat/>
    <w:rsid w:val="0078310B"/>
    <w:pPr>
      <w:keepNext/>
      <w:keepLines/>
      <w:spacing w:before="480"/>
      <w:jc w:val="center"/>
      <w:outlineLvl w:val="0"/>
    </w:pPr>
    <w:rPr>
      <w:rFonts w:eastAsiaTheme="majorEastAsia" w:cstheme="majorBidi"/>
      <w:b/>
      <w:bCs/>
      <w:sz w:val="32"/>
      <w:szCs w:val="28"/>
      <w:u w:val="single"/>
    </w:rPr>
  </w:style>
  <w:style w:type="paragraph" w:styleId="Heading2">
    <w:name w:val="heading 2"/>
    <w:basedOn w:val="Normal"/>
    <w:next w:val="Normal"/>
    <w:link w:val="Heading2Char"/>
    <w:uiPriority w:val="9"/>
    <w:unhideWhenUsed/>
    <w:qFormat/>
    <w:rsid w:val="0078310B"/>
    <w:pPr>
      <w:keepNext/>
      <w:keepLines/>
      <w:spacing w:before="200"/>
      <w:outlineLvl w:val="1"/>
    </w:pPr>
    <w:rPr>
      <w:rFonts w:eastAsiaTheme="majorEastAsia" w:cstheme="majorBidi"/>
      <w:b/>
      <w:bCs/>
      <w:sz w:val="28"/>
      <w:szCs w:val="26"/>
    </w:rPr>
  </w:style>
  <w:style w:type="paragraph" w:styleId="Heading3">
    <w:name w:val="heading 3"/>
    <w:basedOn w:val="Normal"/>
    <w:link w:val="Heading3Char"/>
    <w:uiPriority w:val="9"/>
    <w:qFormat/>
    <w:rsid w:val="0078310B"/>
    <w:pPr>
      <w:spacing w:before="480" w:beforeAutospacing="1" w:after="480" w:afterAutospacing="1"/>
      <w:outlineLvl w:val="2"/>
    </w:pPr>
    <w:rPr>
      <w:rFonts w:eastAsia="Times New Roman" w:cs="Times New Roman"/>
      <w:b/>
      <w:bCs/>
      <w:szCs w:val="27"/>
    </w:rPr>
  </w:style>
  <w:style w:type="paragraph" w:styleId="Heading4">
    <w:name w:val="heading 4"/>
    <w:basedOn w:val="Normal"/>
    <w:next w:val="Normal"/>
    <w:link w:val="Heading4Char"/>
    <w:uiPriority w:val="9"/>
    <w:unhideWhenUsed/>
    <w:qFormat/>
    <w:rsid w:val="0078310B"/>
    <w:pPr>
      <w:keepNext/>
      <w:keepLines/>
      <w:spacing w:before="20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qFormat/>
    <w:rsid w:val="0078310B"/>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6F57"/>
    <w:pPr>
      <w:jc w:val="center"/>
    </w:pPr>
    <w:rPr>
      <w:u w:val="single"/>
    </w:rPr>
  </w:style>
  <w:style w:type="character" w:customStyle="1" w:styleId="TitleChar">
    <w:name w:val="Title Char"/>
    <w:basedOn w:val="DefaultParagraphFont"/>
    <w:link w:val="Title"/>
    <w:rsid w:val="00B06F57"/>
    <w:rPr>
      <w:rFonts w:eastAsia="Times New Roman" w:cs="Times New Roman"/>
      <w:u w:val="single"/>
    </w:rPr>
  </w:style>
  <w:style w:type="character" w:customStyle="1" w:styleId="Heading1Char">
    <w:name w:val="Heading 1 Char"/>
    <w:basedOn w:val="DefaultParagraphFont"/>
    <w:link w:val="Heading1"/>
    <w:uiPriority w:val="9"/>
    <w:rsid w:val="0078310B"/>
    <w:rPr>
      <w:rFonts w:eastAsiaTheme="majorEastAsia" w:cstheme="majorBidi"/>
      <w:b/>
      <w:bCs/>
      <w:sz w:val="32"/>
      <w:szCs w:val="28"/>
      <w:u w:val="single"/>
    </w:rPr>
  </w:style>
  <w:style w:type="character" w:customStyle="1" w:styleId="Heading2Char">
    <w:name w:val="Heading 2 Char"/>
    <w:basedOn w:val="DefaultParagraphFont"/>
    <w:link w:val="Heading2"/>
    <w:uiPriority w:val="9"/>
    <w:rsid w:val="0078310B"/>
    <w:rPr>
      <w:rFonts w:eastAsiaTheme="majorEastAsia" w:cstheme="majorBidi"/>
      <w:b/>
      <w:bCs/>
      <w:sz w:val="28"/>
      <w:szCs w:val="26"/>
    </w:rPr>
  </w:style>
  <w:style w:type="character" w:customStyle="1" w:styleId="Heading3Char">
    <w:name w:val="Heading 3 Char"/>
    <w:basedOn w:val="DefaultParagraphFont"/>
    <w:link w:val="Heading3"/>
    <w:uiPriority w:val="9"/>
    <w:rsid w:val="0078310B"/>
    <w:rPr>
      <w:rFonts w:cs="Times New Roman"/>
      <w:b/>
      <w:bCs/>
      <w:szCs w:val="27"/>
    </w:rPr>
  </w:style>
  <w:style w:type="character" w:customStyle="1" w:styleId="Heading4Char">
    <w:name w:val="Heading 4 Char"/>
    <w:basedOn w:val="DefaultParagraphFont"/>
    <w:link w:val="Heading4"/>
    <w:uiPriority w:val="9"/>
    <w:rsid w:val="0078310B"/>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rsid w:val="0078310B"/>
    <w:rPr>
      <w:rFonts w:cs="Times New Roman"/>
      <w:b/>
      <w:sz w:val="22"/>
      <w:szCs w:val="20"/>
    </w:rPr>
  </w:style>
  <w:style w:type="paragraph" w:styleId="FootnoteText">
    <w:name w:val="footnote text"/>
    <w:aliases w:val="Footnote Text Char1,Footnote Text Char Char"/>
    <w:basedOn w:val="Normal"/>
    <w:link w:val="FootnoteTextChar"/>
    <w:unhideWhenUsed/>
    <w:rsid w:val="0078310B"/>
    <w:rPr>
      <w:sz w:val="20"/>
      <w:szCs w:val="20"/>
    </w:rPr>
  </w:style>
  <w:style w:type="character" w:customStyle="1" w:styleId="FootnoteTextChar">
    <w:name w:val="Footnote Text Char"/>
    <w:aliases w:val="Footnote Text Char1 Char,Footnote Text Char Char Char"/>
    <w:basedOn w:val="DefaultParagraphFont"/>
    <w:link w:val="FootnoteText"/>
    <w:rsid w:val="0078310B"/>
    <w:rPr>
      <w:rFonts w:eastAsiaTheme="minorHAnsi"/>
      <w:sz w:val="20"/>
      <w:szCs w:val="20"/>
    </w:rPr>
  </w:style>
  <w:style w:type="character" w:styleId="FootnoteReference">
    <w:name w:val="footnote reference"/>
    <w:basedOn w:val="DefaultParagraphFont"/>
    <w:uiPriority w:val="99"/>
    <w:semiHidden/>
    <w:unhideWhenUsed/>
    <w:rsid w:val="0078310B"/>
    <w:rPr>
      <w:vertAlign w:val="superscript"/>
    </w:rPr>
  </w:style>
  <w:style w:type="paragraph" w:styleId="Footer">
    <w:name w:val="footer"/>
    <w:basedOn w:val="Normal"/>
    <w:link w:val="FooterChar"/>
    <w:uiPriority w:val="99"/>
    <w:unhideWhenUsed/>
    <w:rsid w:val="0078310B"/>
    <w:pPr>
      <w:tabs>
        <w:tab w:val="center" w:pos="4680"/>
        <w:tab w:val="right" w:pos="9360"/>
      </w:tabs>
    </w:pPr>
  </w:style>
  <w:style w:type="character" w:customStyle="1" w:styleId="FooterChar">
    <w:name w:val="Footer Char"/>
    <w:basedOn w:val="DefaultParagraphFont"/>
    <w:link w:val="Footer"/>
    <w:uiPriority w:val="99"/>
    <w:rsid w:val="0078310B"/>
    <w:rPr>
      <w:rFonts w:eastAsiaTheme="minorHAnsi"/>
    </w:rPr>
  </w:style>
  <w:style w:type="paragraph" w:styleId="Header">
    <w:name w:val="header"/>
    <w:basedOn w:val="Normal"/>
    <w:link w:val="HeaderChar"/>
    <w:uiPriority w:val="99"/>
    <w:unhideWhenUsed/>
    <w:rsid w:val="0078310B"/>
    <w:pPr>
      <w:tabs>
        <w:tab w:val="center" w:pos="4680"/>
        <w:tab w:val="right" w:pos="9360"/>
      </w:tabs>
    </w:pPr>
  </w:style>
  <w:style w:type="character" w:customStyle="1" w:styleId="HeaderChar">
    <w:name w:val="Header Char"/>
    <w:basedOn w:val="DefaultParagraphFont"/>
    <w:link w:val="Header"/>
    <w:uiPriority w:val="99"/>
    <w:rsid w:val="0078310B"/>
    <w:rPr>
      <w:rFonts w:eastAsiaTheme="minorHAnsi"/>
    </w:rPr>
  </w:style>
  <w:style w:type="paragraph" w:styleId="BalloonText">
    <w:name w:val="Balloon Text"/>
    <w:basedOn w:val="Normal"/>
    <w:link w:val="BalloonTextChar"/>
    <w:uiPriority w:val="99"/>
    <w:semiHidden/>
    <w:unhideWhenUsed/>
    <w:rsid w:val="0078310B"/>
    <w:rPr>
      <w:rFonts w:ascii="Tahoma" w:hAnsi="Tahoma" w:cs="Tahoma"/>
      <w:sz w:val="16"/>
      <w:szCs w:val="16"/>
    </w:rPr>
  </w:style>
  <w:style w:type="character" w:customStyle="1" w:styleId="BalloonTextChar">
    <w:name w:val="Balloon Text Char"/>
    <w:basedOn w:val="DefaultParagraphFont"/>
    <w:link w:val="BalloonText"/>
    <w:uiPriority w:val="99"/>
    <w:semiHidden/>
    <w:rsid w:val="0078310B"/>
    <w:rPr>
      <w:rFonts w:ascii="Tahoma" w:eastAsiaTheme="minorHAnsi" w:hAnsi="Tahoma" w:cs="Tahoma"/>
      <w:sz w:val="16"/>
      <w:szCs w:val="16"/>
    </w:rPr>
  </w:style>
  <w:style w:type="character" w:styleId="Hyperlink">
    <w:name w:val="Hyperlink"/>
    <w:basedOn w:val="DefaultParagraphFont"/>
    <w:uiPriority w:val="99"/>
    <w:unhideWhenUsed/>
    <w:rsid w:val="0078310B"/>
    <w:rPr>
      <w:color w:val="0563C1" w:themeColor="hyperlink"/>
      <w:u w:val="single"/>
    </w:rPr>
  </w:style>
  <w:style w:type="character" w:customStyle="1" w:styleId="term">
    <w:name w:val="term"/>
    <w:basedOn w:val="DefaultParagraphFont"/>
    <w:rsid w:val="0078310B"/>
  </w:style>
  <w:style w:type="paragraph" w:styleId="ListParagraph">
    <w:name w:val="List Paragraph"/>
    <w:basedOn w:val="Normal"/>
    <w:uiPriority w:val="34"/>
    <w:qFormat/>
    <w:rsid w:val="0078310B"/>
    <w:pPr>
      <w:ind w:left="720"/>
      <w:contextualSpacing/>
    </w:pPr>
  </w:style>
  <w:style w:type="paragraph" w:styleId="BodyText">
    <w:name w:val="Body Text"/>
    <w:basedOn w:val="Normal"/>
    <w:link w:val="BodyTextChar"/>
    <w:uiPriority w:val="99"/>
    <w:rsid w:val="0078310B"/>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cs="Times New Roman"/>
      <w:sz w:val="22"/>
      <w:szCs w:val="20"/>
    </w:rPr>
  </w:style>
  <w:style w:type="character" w:customStyle="1" w:styleId="BodyTextChar">
    <w:name w:val="Body Text Char"/>
    <w:basedOn w:val="DefaultParagraphFont"/>
    <w:link w:val="BodyText"/>
    <w:uiPriority w:val="99"/>
    <w:rsid w:val="0078310B"/>
    <w:rPr>
      <w:rFonts w:cs="Times New Roman"/>
      <w:sz w:val="22"/>
      <w:szCs w:val="20"/>
    </w:rPr>
  </w:style>
  <w:style w:type="paragraph" w:styleId="BodyTextIndent">
    <w:name w:val="Body Text Indent"/>
    <w:basedOn w:val="Normal"/>
    <w:link w:val="BodyTextIndentChar"/>
    <w:unhideWhenUsed/>
    <w:rsid w:val="0078310B"/>
    <w:pPr>
      <w:spacing w:after="120"/>
      <w:ind w:left="360"/>
    </w:pPr>
  </w:style>
  <w:style w:type="character" w:customStyle="1" w:styleId="BodyTextIndentChar">
    <w:name w:val="Body Text Indent Char"/>
    <w:basedOn w:val="DefaultParagraphFont"/>
    <w:link w:val="BodyTextIndent"/>
    <w:rsid w:val="0078310B"/>
    <w:rPr>
      <w:rFonts w:eastAsiaTheme="minorHAnsi"/>
    </w:rPr>
  </w:style>
  <w:style w:type="paragraph" w:styleId="NormalWeb">
    <w:name w:val="Normal (Web)"/>
    <w:basedOn w:val="Normal"/>
    <w:uiPriority w:val="99"/>
    <w:unhideWhenUsed/>
    <w:rsid w:val="0078310B"/>
    <w:pPr>
      <w:spacing w:before="100" w:beforeAutospacing="1" w:after="100" w:afterAutospacing="1"/>
    </w:pPr>
    <w:rPr>
      <w:rFonts w:eastAsia="Times New Roman" w:cs="Times New Roman"/>
    </w:rPr>
  </w:style>
  <w:style w:type="paragraph" w:styleId="BodyTextIndent2">
    <w:name w:val="Body Text Indent 2"/>
    <w:basedOn w:val="Normal"/>
    <w:link w:val="BodyTextIndent2Char"/>
    <w:unhideWhenUsed/>
    <w:rsid w:val="0078310B"/>
    <w:pPr>
      <w:spacing w:after="120" w:line="480" w:lineRule="auto"/>
      <w:ind w:left="360"/>
    </w:pPr>
  </w:style>
  <w:style w:type="character" w:customStyle="1" w:styleId="BodyTextIndent2Char">
    <w:name w:val="Body Text Indent 2 Char"/>
    <w:basedOn w:val="DefaultParagraphFont"/>
    <w:link w:val="BodyTextIndent2"/>
    <w:rsid w:val="0078310B"/>
    <w:rPr>
      <w:rFonts w:eastAsiaTheme="minorHAnsi"/>
    </w:rPr>
  </w:style>
  <w:style w:type="character" w:styleId="Strong">
    <w:name w:val="Strong"/>
    <w:basedOn w:val="DefaultParagraphFont"/>
    <w:uiPriority w:val="22"/>
    <w:qFormat/>
    <w:rsid w:val="0078310B"/>
    <w:rPr>
      <w:b/>
      <w:bCs/>
    </w:rPr>
  </w:style>
  <w:style w:type="character" w:styleId="HTMLCite">
    <w:name w:val="HTML Cite"/>
    <w:basedOn w:val="DefaultParagraphFont"/>
    <w:uiPriority w:val="99"/>
    <w:semiHidden/>
    <w:unhideWhenUsed/>
    <w:rsid w:val="0078310B"/>
    <w:rPr>
      <w:i/>
      <w:iCs/>
    </w:rPr>
  </w:style>
  <w:style w:type="paragraph" w:customStyle="1" w:styleId="articleversion">
    <w:name w:val="articleversion"/>
    <w:basedOn w:val="Normal"/>
    <w:rsid w:val="0078310B"/>
    <w:pPr>
      <w:spacing w:before="100" w:beforeAutospacing="1" w:after="100" w:afterAutospacing="1"/>
    </w:pPr>
    <w:rPr>
      <w:rFonts w:eastAsia="Times New Roman" w:cs="Times New Roman"/>
    </w:rPr>
  </w:style>
  <w:style w:type="paragraph" w:customStyle="1" w:styleId="emready">
    <w:name w:val="emready"/>
    <w:basedOn w:val="Normal"/>
    <w:rsid w:val="0078310B"/>
    <w:pPr>
      <w:spacing w:before="100" w:beforeAutospacing="1" w:after="100" w:afterAutospacing="1"/>
    </w:pPr>
    <w:rPr>
      <w:rFonts w:eastAsia="Times New Roman" w:cs="Times New Roman"/>
    </w:rPr>
  </w:style>
  <w:style w:type="character" w:customStyle="1" w:styleId="eminfo">
    <w:name w:val="eminfo"/>
    <w:basedOn w:val="DefaultParagraphFont"/>
    <w:rsid w:val="0078310B"/>
  </w:style>
  <w:style w:type="paragraph" w:customStyle="1" w:styleId="emactive">
    <w:name w:val="emactive"/>
    <w:basedOn w:val="Normal"/>
    <w:rsid w:val="0078310B"/>
    <w:pPr>
      <w:spacing w:before="100" w:beforeAutospacing="1" w:after="100" w:afterAutospacing="1"/>
    </w:pPr>
    <w:rPr>
      <w:rFonts w:eastAsia="Times New Roman" w:cs="Times New Roman"/>
    </w:rPr>
  </w:style>
  <w:style w:type="character" w:customStyle="1" w:styleId="emhighlight">
    <w:name w:val="emhighlight"/>
    <w:basedOn w:val="DefaultParagraphFont"/>
    <w:rsid w:val="0078310B"/>
  </w:style>
  <w:style w:type="character" w:styleId="Emphasis">
    <w:name w:val="Emphasis"/>
    <w:basedOn w:val="DefaultParagraphFont"/>
    <w:uiPriority w:val="20"/>
    <w:qFormat/>
    <w:rsid w:val="0078310B"/>
    <w:rPr>
      <w:i/>
      <w:iCs/>
    </w:rPr>
  </w:style>
  <w:style w:type="character" w:customStyle="1" w:styleId="c">
    <w:name w:val="c"/>
    <w:basedOn w:val="DefaultParagraphFont"/>
    <w:rsid w:val="0078310B"/>
  </w:style>
  <w:style w:type="character" w:customStyle="1" w:styleId="dd">
    <w:name w:val="dd"/>
    <w:basedOn w:val="DefaultParagraphFont"/>
    <w:rsid w:val="0078310B"/>
  </w:style>
  <w:style w:type="paragraph" w:customStyle="1" w:styleId="descender">
    <w:name w:val="descender"/>
    <w:basedOn w:val="Normal"/>
    <w:rsid w:val="0078310B"/>
    <w:pPr>
      <w:spacing w:before="100" w:beforeAutospacing="1" w:after="100" w:afterAutospacing="1"/>
    </w:pPr>
    <w:rPr>
      <w:rFonts w:eastAsia="Times New Roman" w:cs="Times New Roman"/>
    </w:rPr>
  </w:style>
  <w:style w:type="character" w:customStyle="1" w:styleId="dingbat">
    <w:name w:val="dingbat"/>
    <w:basedOn w:val="DefaultParagraphFont"/>
    <w:rsid w:val="0078310B"/>
  </w:style>
  <w:style w:type="character" w:customStyle="1" w:styleId="middlecopy">
    <w:name w:val="middlecopy"/>
    <w:basedOn w:val="DefaultParagraphFont"/>
    <w:rsid w:val="0078310B"/>
  </w:style>
  <w:style w:type="paragraph" w:customStyle="1" w:styleId="Caption1">
    <w:name w:val="Caption1"/>
    <w:basedOn w:val="Normal"/>
    <w:rsid w:val="0078310B"/>
    <w:pPr>
      <w:spacing w:before="100" w:beforeAutospacing="1" w:after="100" w:afterAutospacing="1"/>
    </w:pPr>
    <w:rPr>
      <w:rFonts w:eastAsia="Times New Roman" w:cs="Times New Roman"/>
    </w:rPr>
  </w:style>
  <w:style w:type="paragraph" w:customStyle="1" w:styleId="refer">
    <w:name w:val="refer"/>
    <w:basedOn w:val="Normal"/>
    <w:rsid w:val="0078310B"/>
    <w:pPr>
      <w:spacing w:before="100" w:beforeAutospacing="1" w:after="100" w:afterAutospacing="1"/>
    </w:pPr>
    <w:rPr>
      <w:rFonts w:eastAsia="Times New Roman" w:cs="Times New Roman"/>
    </w:rPr>
  </w:style>
  <w:style w:type="character" w:customStyle="1" w:styleId="italic">
    <w:name w:val="italic"/>
    <w:basedOn w:val="DefaultParagraphFont"/>
    <w:rsid w:val="0078310B"/>
  </w:style>
  <w:style w:type="paragraph" w:customStyle="1" w:styleId="SetOutCaseCitationbottom">
    <w:name w:val="SetOutCaseCitation(bottom)"/>
    <w:basedOn w:val="Normal"/>
    <w:rsid w:val="0078310B"/>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cs="Times New Roman"/>
      <w:sz w:val="18"/>
      <w:szCs w:val="20"/>
    </w:rPr>
  </w:style>
  <w:style w:type="character" w:customStyle="1" w:styleId="pmterms1">
    <w:name w:val="pmterms1"/>
    <w:basedOn w:val="DefaultParagraphFont"/>
    <w:rsid w:val="0078310B"/>
  </w:style>
  <w:style w:type="character" w:customStyle="1" w:styleId="pmterms2">
    <w:name w:val="pmterms2"/>
    <w:basedOn w:val="DefaultParagraphFont"/>
    <w:rsid w:val="0078310B"/>
  </w:style>
  <w:style w:type="character" w:customStyle="1" w:styleId="pmterms3">
    <w:name w:val="pmterms3"/>
    <w:basedOn w:val="DefaultParagraphFont"/>
    <w:rsid w:val="0078310B"/>
  </w:style>
  <w:style w:type="character" w:customStyle="1" w:styleId="tkrname">
    <w:name w:val="tkrname"/>
    <w:basedOn w:val="DefaultParagraphFont"/>
    <w:rsid w:val="0078310B"/>
  </w:style>
  <w:style w:type="character" w:customStyle="1" w:styleId="tkrchange">
    <w:name w:val="tkrchange"/>
    <w:basedOn w:val="DefaultParagraphFont"/>
    <w:rsid w:val="0078310B"/>
  </w:style>
  <w:style w:type="paragraph" w:customStyle="1" w:styleId="appara">
    <w:name w:val="ap_para"/>
    <w:basedOn w:val="Normal"/>
    <w:rsid w:val="0078310B"/>
    <w:pPr>
      <w:spacing w:before="100" w:beforeAutospacing="1" w:after="100" w:afterAutospacing="1"/>
    </w:pPr>
    <w:rPr>
      <w:rFonts w:eastAsia="Times New Roman" w:cs="Times New Roman"/>
    </w:rPr>
  </w:style>
  <w:style w:type="paragraph" w:styleId="z-TopofForm">
    <w:name w:val="HTML Top of Form"/>
    <w:basedOn w:val="Normal"/>
    <w:next w:val="Normal"/>
    <w:link w:val="z-TopofFormChar"/>
    <w:hidden/>
    <w:uiPriority w:val="99"/>
    <w:semiHidden/>
    <w:unhideWhenUsed/>
    <w:rsid w:val="0078310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831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310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8310B"/>
    <w:rPr>
      <w:rFonts w:ascii="Arial" w:hAnsi="Arial" w:cs="Arial"/>
      <w:vanish/>
      <w:sz w:val="16"/>
      <w:szCs w:val="16"/>
    </w:rPr>
  </w:style>
  <w:style w:type="paragraph" w:customStyle="1" w:styleId="ec-article-info">
    <w:name w:val="ec-article-info"/>
    <w:basedOn w:val="Normal"/>
    <w:rsid w:val="0078310B"/>
    <w:pPr>
      <w:spacing w:before="100" w:beforeAutospacing="1" w:after="100" w:afterAutospacing="1"/>
    </w:pPr>
    <w:rPr>
      <w:rFonts w:eastAsia="Times New Roman" w:cs="Times New Roman"/>
    </w:rPr>
  </w:style>
  <w:style w:type="character" w:customStyle="1" w:styleId="scaps">
    <w:name w:val="scaps"/>
    <w:basedOn w:val="DefaultParagraphFont"/>
    <w:rsid w:val="0078310B"/>
  </w:style>
  <w:style w:type="character" w:customStyle="1" w:styleId="credit">
    <w:name w:val="credit"/>
    <w:basedOn w:val="DefaultParagraphFont"/>
    <w:rsid w:val="0078310B"/>
  </w:style>
  <w:style w:type="character" w:customStyle="1" w:styleId="keyword">
    <w:name w:val="keyword"/>
    <w:basedOn w:val="DefaultParagraphFont"/>
    <w:rsid w:val="0078310B"/>
  </w:style>
  <w:style w:type="character" w:customStyle="1" w:styleId="pubdate">
    <w:name w:val="pubdate"/>
    <w:basedOn w:val="DefaultParagraphFont"/>
    <w:rsid w:val="0078310B"/>
  </w:style>
  <w:style w:type="character" w:customStyle="1" w:styleId="separator">
    <w:name w:val="separator"/>
    <w:basedOn w:val="DefaultParagraphFont"/>
    <w:rsid w:val="0078310B"/>
  </w:style>
  <w:style w:type="character" w:customStyle="1" w:styleId="headline">
    <w:name w:val="headline"/>
    <w:basedOn w:val="DefaultParagraphFont"/>
    <w:rsid w:val="0078310B"/>
  </w:style>
  <w:style w:type="character" w:customStyle="1" w:styleId="desc">
    <w:name w:val="desc"/>
    <w:basedOn w:val="DefaultParagraphFont"/>
    <w:rsid w:val="0078310B"/>
  </w:style>
  <w:style w:type="character" w:customStyle="1" w:styleId="dispurl">
    <w:name w:val="dispurl"/>
    <w:basedOn w:val="DefaultParagraphFont"/>
    <w:rsid w:val="0078310B"/>
  </w:style>
  <w:style w:type="character" w:customStyle="1" w:styleId="pmterms4">
    <w:name w:val="pmterms4"/>
    <w:basedOn w:val="DefaultParagraphFont"/>
    <w:rsid w:val="0078310B"/>
  </w:style>
  <w:style w:type="paragraph" w:styleId="ListBullet">
    <w:name w:val="List Bullet"/>
    <w:basedOn w:val="Normal"/>
    <w:uiPriority w:val="99"/>
    <w:unhideWhenUsed/>
    <w:rsid w:val="0078310B"/>
    <w:pPr>
      <w:numPr>
        <w:numId w:val="9"/>
      </w:numPr>
      <w:contextualSpacing/>
    </w:pPr>
  </w:style>
  <w:style w:type="character" w:customStyle="1" w:styleId="by">
    <w:name w:val="by"/>
    <w:basedOn w:val="DefaultParagraphFont"/>
    <w:rsid w:val="0078310B"/>
  </w:style>
  <w:style w:type="character" w:customStyle="1" w:styleId="ovtitle">
    <w:name w:val="ovtitle"/>
    <w:basedOn w:val="DefaultParagraphFont"/>
    <w:rsid w:val="0078310B"/>
  </w:style>
  <w:style w:type="character" w:customStyle="1" w:styleId="ovdescr">
    <w:name w:val="ovdescr"/>
    <w:basedOn w:val="DefaultParagraphFont"/>
    <w:rsid w:val="0078310B"/>
  </w:style>
  <w:style w:type="character" w:customStyle="1" w:styleId="ovurl">
    <w:name w:val="ovurl"/>
    <w:basedOn w:val="DefaultParagraphFont"/>
    <w:rsid w:val="0078310B"/>
  </w:style>
  <w:style w:type="paragraph" w:customStyle="1" w:styleId="brandcopy">
    <w:name w:val="brand_copy"/>
    <w:basedOn w:val="Normal"/>
    <w:rsid w:val="0078310B"/>
    <w:pPr>
      <w:spacing w:before="100" w:beforeAutospacing="1" w:after="100" w:afterAutospacing="1"/>
    </w:pPr>
    <w:rPr>
      <w:rFonts w:eastAsia="Times New Roman" w:cs="Times New Roman"/>
    </w:rPr>
  </w:style>
  <w:style w:type="character" w:customStyle="1" w:styleId="hw">
    <w:name w:val="hw"/>
    <w:basedOn w:val="DefaultParagraphFont"/>
    <w:rsid w:val="0078310B"/>
  </w:style>
  <w:style w:type="character" w:customStyle="1" w:styleId="calender">
    <w:name w:val="calender"/>
    <w:basedOn w:val="DefaultParagraphFont"/>
    <w:rsid w:val="0078310B"/>
  </w:style>
  <w:style w:type="character" w:customStyle="1" w:styleId="timestamp">
    <w:name w:val="timestamp"/>
    <w:basedOn w:val="DefaultParagraphFont"/>
    <w:rsid w:val="0078310B"/>
  </w:style>
  <w:style w:type="paragraph" w:styleId="HTMLAddress">
    <w:name w:val="HTML Address"/>
    <w:basedOn w:val="Normal"/>
    <w:link w:val="HTMLAddressChar"/>
    <w:uiPriority w:val="99"/>
    <w:semiHidden/>
    <w:unhideWhenUsed/>
    <w:rsid w:val="0078310B"/>
    <w:rPr>
      <w:rFonts w:eastAsia="Times New Roman" w:cs="Times New Roman"/>
      <w:i/>
      <w:iCs/>
    </w:rPr>
  </w:style>
  <w:style w:type="character" w:customStyle="1" w:styleId="HTMLAddressChar">
    <w:name w:val="HTML Address Char"/>
    <w:basedOn w:val="DefaultParagraphFont"/>
    <w:link w:val="HTMLAddress"/>
    <w:uiPriority w:val="99"/>
    <w:semiHidden/>
    <w:rsid w:val="0078310B"/>
    <w:rPr>
      <w:rFonts w:cs="Times New Roman"/>
      <w:i/>
      <w:iCs/>
    </w:rPr>
  </w:style>
  <w:style w:type="character" w:customStyle="1" w:styleId="bodycopy9">
    <w:name w:val="bodycopy9"/>
    <w:basedOn w:val="DefaultParagraphFont"/>
    <w:rsid w:val="0078310B"/>
  </w:style>
  <w:style w:type="character" w:customStyle="1" w:styleId="a">
    <w:name w:val="a"/>
    <w:basedOn w:val="DefaultParagraphFont"/>
    <w:rsid w:val="0078310B"/>
  </w:style>
  <w:style w:type="paragraph" w:styleId="HTMLPreformatted">
    <w:name w:val="HTML Preformatted"/>
    <w:basedOn w:val="Normal"/>
    <w:link w:val="HTMLPreformattedChar"/>
    <w:uiPriority w:val="99"/>
    <w:semiHidden/>
    <w:rsid w:val="0078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78310B"/>
    <w:rPr>
      <w:rFonts w:ascii="Arial Unicode MS" w:eastAsia="Arial Unicode MS" w:hAnsi="Arial Unicode MS" w:cs="Arial Unicode MS"/>
      <w:sz w:val="20"/>
      <w:szCs w:val="20"/>
    </w:rPr>
  </w:style>
  <w:style w:type="character" w:customStyle="1" w:styleId="pmtermsel">
    <w:name w:val="pmtermsel"/>
    <w:basedOn w:val="DefaultParagraphFont"/>
    <w:rsid w:val="0078310B"/>
  </w:style>
  <w:style w:type="character" w:customStyle="1" w:styleId="tickerwrap">
    <w:name w:val="ticker_wrap"/>
    <w:basedOn w:val="DefaultParagraphFont"/>
    <w:rsid w:val="0078310B"/>
  </w:style>
  <w:style w:type="character" w:styleId="FollowedHyperlink">
    <w:name w:val="FollowedHyperlink"/>
    <w:basedOn w:val="DefaultParagraphFont"/>
    <w:uiPriority w:val="99"/>
    <w:semiHidden/>
    <w:unhideWhenUsed/>
    <w:rsid w:val="0078310B"/>
    <w:rPr>
      <w:color w:val="954F72" w:themeColor="followedHyperlink"/>
      <w:u w:val="single"/>
    </w:rPr>
  </w:style>
  <w:style w:type="character" w:customStyle="1" w:styleId="article">
    <w:name w:val="article"/>
    <w:basedOn w:val="DefaultParagraphFont"/>
    <w:rsid w:val="0078310B"/>
  </w:style>
  <w:style w:type="paragraph" w:styleId="TOC3">
    <w:name w:val="toc 3"/>
    <w:basedOn w:val="Normal"/>
    <w:next w:val="Normal"/>
    <w:autoRedefine/>
    <w:uiPriority w:val="39"/>
    <w:unhideWhenUsed/>
    <w:rsid w:val="0078310B"/>
    <w:pPr>
      <w:tabs>
        <w:tab w:val="right" w:leader="dot" w:pos="9350"/>
      </w:tabs>
      <w:spacing w:after="100"/>
      <w:ind w:left="480"/>
    </w:pPr>
    <w:rPr>
      <w:noProof/>
    </w:rPr>
  </w:style>
  <w:style w:type="paragraph" w:styleId="TOC1">
    <w:name w:val="toc 1"/>
    <w:basedOn w:val="Normal"/>
    <w:next w:val="Normal"/>
    <w:autoRedefine/>
    <w:uiPriority w:val="39"/>
    <w:unhideWhenUsed/>
    <w:rsid w:val="0078310B"/>
    <w:pPr>
      <w:spacing w:after="100"/>
    </w:pPr>
    <w:rPr>
      <w:b/>
      <w:sz w:val="32"/>
    </w:rPr>
  </w:style>
  <w:style w:type="paragraph" w:styleId="TOC2">
    <w:name w:val="toc 2"/>
    <w:basedOn w:val="Normal"/>
    <w:next w:val="Normal"/>
    <w:autoRedefine/>
    <w:uiPriority w:val="39"/>
    <w:unhideWhenUsed/>
    <w:rsid w:val="0078310B"/>
    <w:pPr>
      <w:spacing w:after="100"/>
      <w:ind w:left="240"/>
    </w:pPr>
    <w:rPr>
      <w:sz w:val="28"/>
    </w:rPr>
  </w:style>
  <w:style w:type="character" w:customStyle="1" w:styleId="tgc">
    <w:name w:val="_tgc"/>
    <w:basedOn w:val="DefaultParagraphFont"/>
    <w:rsid w:val="00783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png"/><Relationship Id="rId671"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769" Type="http://schemas.openxmlformats.org/officeDocument/2006/relationships/hyperlink" Target="https://www.law.cornell.edu/uscode/text/26/1031" TargetMode="External"/><Relationship Id="rId976" Type="http://schemas.openxmlformats.org/officeDocument/2006/relationships/hyperlink" Target="https://www.law.cornell.edu/uscode/text/26/162" TargetMode="External"/><Relationship Id="rId21" Type="http://schemas.openxmlformats.org/officeDocument/2006/relationships/header" Target="header1.xml"/><Relationship Id="rId324" Type="http://schemas.openxmlformats.org/officeDocument/2006/relationships/hyperlink" Target="https://www.law.cornell.edu/uscode/text/26/102" TargetMode="External"/><Relationship Id="rId531"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1161"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170"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836" Type="http://schemas.openxmlformats.org/officeDocument/2006/relationships/hyperlink" Target="https://www.law.cornell.edu/uscode/text/26/6662" TargetMode="External"/><Relationship Id="rId1021" Type="http://schemas.openxmlformats.org/officeDocument/2006/relationships/hyperlink" Target="https://www.law.cornell.edu/uscode/text/26/67" TargetMode="External"/><Relationship Id="rId1119"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268"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475" Type="http://schemas.openxmlformats.org/officeDocument/2006/relationships/header" Target="header28.xml"/><Relationship Id="rId68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903"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32" Type="http://schemas.openxmlformats.org/officeDocument/2006/relationships/hyperlink" Target="https://www.law.cornell.edu/uscode/text/26/1" TargetMode="External"/><Relationship Id="rId128" Type="http://schemas.openxmlformats.org/officeDocument/2006/relationships/header" Target="header13.xml"/><Relationship Id="rId335"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542"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987" Type="http://schemas.openxmlformats.org/officeDocument/2006/relationships/hyperlink" Target="https://www.law.cornell.edu/uscode/text/26/162" TargetMode="External"/><Relationship Id="rId1172" Type="http://schemas.openxmlformats.org/officeDocument/2006/relationships/hyperlink" Target="https://www.law.cornell.edu/uscode/text/26/461" TargetMode="External"/><Relationship Id="rId181" Type="http://schemas.openxmlformats.org/officeDocument/2006/relationships/hyperlink" Target="https://www.law.cornell.edu/uscode/text/26/132" TargetMode="External"/><Relationship Id="rId402"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847" Type="http://schemas.openxmlformats.org/officeDocument/2006/relationships/hyperlink" Target="https://www.law.cornell.edu/uscode/text/26/469" TargetMode="External"/><Relationship Id="rId1032" Type="http://schemas.openxmlformats.org/officeDocument/2006/relationships/hyperlink" Target="https://www.law.cornell.edu/uscode/text/26/61" TargetMode="External"/><Relationship Id="rId279"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486" Type="http://schemas.openxmlformats.org/officeDocument/2006/relationships/hyperlink" Target="https://www.law.cornell.edu/cfr/text/26/1.446-1" TargetMode="External"/><Relationship Id="rId69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707"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914"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43" Type="http://schemas.openxmlformats.org/officeDocument/2006/relationships/hyperlink" Target="https://www.law.cornell.edu/uscode/text/26/262" TargetMode="External"/><Relationship Id="rId139" Type="http://schemas.openxmlformats.org/officeDocument/2006/relationships/hyperlink" Target="https://www.law.cornell.edu/cfr/text/26/1.263(a)-2" TargetMode="External"/><Relationship Id="rId346"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53" Type="http://schemas.openxmlformats.org/officeDocument/2006/relationships/hyperlink" Target="https://www.law.cornell.edu/uscode/text/26/1222" TargetMode="External"/><Relationship Id="rId760" Type="http://schemas.openxmlformats.org/officeDocument/2006/relationships/hyperlink" Target="https://www.law.cornell.edu/cfr/text/26/1.1031(a)-1" TargetMode="External"/><Relationship Id="rId998" Type="http://schemas.openxmlformats.org/officeDocument/2006/relationships/hyperlink" Target="https://www.law.cornell.edu/uscode/text/26/274" TargetMode="External"/><Relationship Id="rId192" Type="http://schemas.openxmlformats.org/officeDocument/2006/relationships/hyperlink" Target="https://www.law.cornell.edu/uscode/text/26/132" TargetMode="External"/><Relationship Id="rId206" Type="http://schemas.openxmlformats.org/officeDocument/2006/relationships/footer" Target="footer17.xml"/><Relationship Id="rId413"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858" Type="http://schemas.openxmlformats.org/officeDocument/2006/relationships/header" Target="header39.xml"/><Relationship Id="rId1043"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497"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718" Type="http://schemas.openxmlformats.org/officeDocument/2006/relationships/hyperlink" Target="https://www.law.cornell.edu/uscode/text/26/165" TargetMode="External"/><Relationship Id="rId925"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357"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1110"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54" Type="http://schemas.openxmlformats.org/officeDocument/2006/relationships/hyperlink" Target="https://www.law.cornell.edu/uscode/text/26/1221" TargetMode="External"/><Relationship Id="rId217"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564"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771" Type="http://schemas.openxmlformats.org/officeDocument/2006/relationships/hyperlink" Target="https://www.law.cornell.edu/uscode/text/26/1031" TargetMode="External"/><Relationship Id="rId869" Type="http://schemas.openxmlformats.org/officeDocument/2006/relationships/hyperlink" Target="https://www.law.cornell.edu/uscode/text/26/117" TargetMode="External"/><Relationship Id="rId424"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631"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729" Type="http://schemas.openxmlformats.org/officeDocument/2006/relationships/hyperlink" Target="https://www.law.cornell.edu/uscode/text/26/108" TargetMode="External"/><Relationship Id="rId1054" Type="http://schemas.openxmlformats.org/officeDocument/2006/relationships/hyperlink" Target="https://www.law.cornell.edu/uscode/text/26/401" TargetMode="External"/><Relationship Id="rId270"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936" Type="http://schemas.openxmlformats.org/officeDocument/2006/relationships/hyperlink" Target="https://www.law.cornell.edu/uscode/text/26/163" TargetMode="External"/><Relationship Id="rId112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65" Type="http://schemas.openxmlformats.org/officeDocument/2006/relationships/hyperlink" Target="https://www.law.cornell.edu/uscode/text/26/62" TargetMode="External"/><Relationship Id="rId130" Type="http://schemas.openxmlformats.org/officeDocument/2006/relationships/footer" Target="footer14.xml"/><Relationship Id="rId368"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575"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782" Type="http://schemas.openxmlformats.org/officeDocument/2006/relationships/hyperlink" Target="https://www.law.cornell.edu/uscode/text/26/168" TargetMode="External"/><Relationship Id="rId228"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435"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642"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1065"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281"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502"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947" Type="http://schemas.openxmlformats.org/officeDocument/2006/relationships/hyperlink" Target="https://www.law.cornell.edu/uscode/text/26/162" TargetMode="External"/><Relationship Id="rId1132"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76" Type="http://schemas.openxmlformats.org/officeDocument/2006/relationships/hyperlink" Target="https://www.law.cornell.edu/uscode/text/26/56" TargetMode="External"/><Relationship Id="rId141" Type="http://schemas.openxmlformats.org/officeDocument/2006/relationships/hyperlink" Target="https://www.law.cornell.edu/cfr/text/26/1.263(a)-1" TargetMode="External"/><Relationship Id="rId379" Type="http://schemas.openxmlformats.org/officeDocument/2006/relationships/header" Target="header26.xml"/><Relationship Id="rId586" Type="http://schemas.openxmlformats.org/officeDocument/2006/relationships/hyperlink" Target="https://www.law.cornell.edu/uscode/text/26/61" TargetMode="External"/><Relationship Id="rId793" Type="http://schemas.openxmlformats.org/officeDocument/2006/relationships/hyperlink" Target="https://www.law.cornell.edu/uscode/text/26/1221" TargetMode="External"/><Relationship Id="rId807" Type="http://schemas.openxmlformats.org/officeDocument/2006/relationships/hyperlink" Target="https://www.law.cornell.edu/uscode/text/26/1235" TargetMode="External"/><Relationship Id="rId7" Type="http://schemas.openxmlformats.org/officeDocument/2006/relationships/endnotes" Target="endnotes.xml"/><Relationship Id="rId239"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446" Type="http://schemas.openxmlformats.org/officeDocument/2006/relationships/hyperlink" Target="https://www.law.cornell.edu/uscode/text/26/673" TargetMode="External"/><Relationship Id="rId653"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107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292"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306" Type="http://schemas.openxmlformats.org/officeDocument/2006/relationships/header" Target="header22.xml"/><Relationship Id="rId860" Type="http://schemas.openxmlformats.org/officeDocument/2006/relationships/footer" Target="footer21.xml"/><Relationship Id="rId958" Type="http://schemas.openxmlformats.org/officeDocument/2006/relationships/hyperlink" Target="https://www.law.cornell.edu/cfr/text/26/1.170A-1" TargetMode="External"/><Relationship Id="rId114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87" Type="http://schemas.openxmlformats.org/officeDocument/2006/relationships/header" Target="header7.xml"/><Relationship Id="rId513"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597"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720" Type="http://schemas.openxmlformats.org/officeDocument/2006/relationships/hyperlink" Target="https://www.law.cornell.edu/uscode/text/26/61" TargetMode="External"/><Relationship Id="rId818" Type="http://schemas.openxmlformats.org/officeDocument/2006/relationships/hyperlink" Target="https://www.law.cornell.edu/uscode/text/26/1241" TargetMode="External"/><Relationship Id="rId152" Type="http://schemas.openxmlformats.org/officeDocument/2006/relationships/hyperlink" Target="http://www.nytimes.com/1999/06/30/opinion/the-gasoline-powered-raise.html" TargetMode="External"/><Relationship Id="rId457" Type="http://schemas.openxmlformats.org/officeDocument/2006/relationships/hyperlink" Target="https://www.law.cornell.edu/uscode/text/26/71" TargetMode="External"/><Relationship Id="rId1003" Type="http://schemas.openxmlformats.org/officeDocument/2006/relationships/hyperlink" Target="https://www.law.cornell.edu/cfr/text/26/1.62-2" TargetMode="External"/><Relationship Id="rId108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664"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871" Type="http://schemas.openxmlformats.org/officeDocument/2006/relationships/hyperlink" Target="https://www.law.cornell.edu/cfr/text/26/1.162-5" TargetMode="External"/><Relationship Id="rId969" Type="http://schemas.openxmlformats.org/officeDocument/2006/relationships/header" Target="header45.xml"/><Relationship Id="rId14" Type="http://schemas.openxmlformats.org/officeDocument/2006/relationships/hyperlink" Target="http://elangdell.cali.org/" TargetMode="External"/><Relationship Id="rId317" Type="http://schemas.openxmlformats.org/officeDocument/2006/relationships/hyperlink" Target="https://www.law.cornell.edu/cfr/text/26/1.1015-1" TargetMode="External"/><Relationship Id="rId524"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731" Type="http://schemas.openxmlformats.org/officeDocument/2006/relationships/hyperlink" Target="https://www.law.cornell.edu/uscode/text/26/108" TargetMode="External"/><Relationship Id="rId115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98" Type="http://schemas.openxmlformats.org/officeDocument/2006/relationships/hyperlink" Target="https://www.law.cornell.edu/uscode/text/26/265" TargetMode="External"/><Relationship Id="rId163"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370"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829"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1014" Type="http://schemas.openxmlformats.org/officeDocument/2006/relationships/hyperlink" Target="https://www.law.cornell.edu/uscode/text/26/280A" TargetMode="External"/><Relationship Id="rId230"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468" Type="http://schemas.openxmlformats.org/officeDocument/2006/relationships/hyperlink" Target="https://www.law.cornell.edu/uscode/text/26/414" TargetMode="External"/><Relationship Id="rId675"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882" Type="http://schemas.openxmlformats.org/officeDocument/2006/relationships/hyperlink" Target="https://www.law.cornell.edu/uscode/text/26/213" TargetMode="External"/><Relationship Id="rId109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25" Type="http://schemas.openxmlformats.org/officeDocument/2006/relationships/header" Target="header4.xm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535"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742" Type="http://schemas.openxmlformats.org/officeDocument/2006/relationships/hyperlink" Target="https://www.law.cornell.edu/uscode/text/26/165" TargetMode="External"/><Relationship Id="rId1165"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17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81" Type="http://schemas.openxmlformats.org/officeDocument/2006/relationships/hyperlink" Target="https://www.law.cornell.edu/uscode/text/26/102" TargetMode="External"/><Relationship Id="rId602"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1025" Type="http://schemas.openxmlformats.org/officeDocument/2006/relationships/hyperlink" Target="https://www.law.cornell.edu/uscode/text/26/1211" TargetMode="External"/><Relationship Id="rId241"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479" Type="http://schemas.openxmlformats.org/officeDocument/2006/relationships/hyperlink" Target="https://www.law.cornell.edu/uscode/text/26/61" TargetMode="External"/><Relationship Id="rId686"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893" Type="http://schemas.openxmlformats.org/officeDocument/2006/relationships/hyperlink" Target="https://www.law.cornell.edu/uscode/text/26/62" TargetMode="External"/><Relationship Id="rId907"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36" Type="http://schemas.openxmlformats.org/officeDocument/2006/relationships/hyperlink" Target="https://www.law.cornell.edu/cfr/text/26/1.263(a)-2" TargetMode="External"/><Relationship Id="rId339"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546" Type="http://schemas.openxmlformats.org/officeDocument/2006/relationships/hyperlink" Target="https://www.law.cornell.edu/uscode/text/26/61" TargetMode="External"/><Relationship Id="rId753" Type="http://schemas.openxmlformats.org/officeDocument/2006/relationships/hyperlink" Target="https://www.law.cornell.edu/uscode/text/26/1001" TargetMode="External"/><Relationship Id="rId101" Type="http://schemas.openxmlformats.org/officeDocument/2006/relationships/header" Target="header11.xml"/><Relationship Id="rId185" Type="http://schemas.openxmlformats.org/officeDocument/2006/relationships/hyperlink" Target="https://www.law.cornell.edu/cfr/text/26/1.132-2" TargetMode="External"/><Relationship Id="rId406"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960" Type="http://schemas.openxmlformats.org/officeDocument/2006/relationships/hyperlink" Target="https://www.law.cornell.edu/cfr/text/26/1.170A-1" TargetMode="External"/><Relationship Id="rId1036" Type="http://schemas.openxmlformats.org/officeDocument/2006/relationships/hyperlink" Target="https://www.law.cornell.edu/uscode/text/26/83" TargetMode="External"/><Relationship Id="rId392"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613"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697"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820" Type="http://schemas.openxmlformats.org/officeDocument/2006/relationships/hyperlink" Target="https://www.law.cornell.edu/uscode/text/26/1221" TargetMode="External"/><Relationship Id="rId918"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252" Type="http://schemas.openxmlformats.org/officeDocument/2006/relationships/hyperlink" Target="javascript:void%200" TargetMode="External"/><Relationship Id="rId110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47" Type="http://schemas.openxmlformats.org/officeDocument/2006/relationships/hyperlink" Target="https://www.law.cornell.edu/uscode/text/26/167" TargetMode="External"/><Relationship Id="rId112" Type="http://schemas.openxmlformats.org/officeDocument/2006/relationships/image" Target="media/image11.png"/><Relationship Id="rId557" Type="http://schemas.openxmlformats.org/officeDocument/2006/relationships/hyperlink" Target="https://www.law.cornell.edu/cfr/text/26/1.166-1" TargetMode="External"/><Relationship Id="rId764" Type="http://schemas.openxmlformats.org/officeDocument/2006/relationships/hyperlink" Target="https://www.law.cornell.edu/uscode/text/26/1223" TargetMode="External"/><Relationship Id="rId971" Type="http://schemas.openxmlformats.org/officeDocument/2006/relationships/hyperlink" Target="https://www.law.cornell.edu/uscode/text/26/165" TargetMode="External"/><Relationship Id="rId196" Type="http://schemas.openxmlformats.org/officeDocument/2006/relationships/hyperlink" Target="https://www.law.cornell.edu/uscode/text/26/83" TargetMode="Externa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831"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1047" Type="http://schemas.openxmlformats.org/officeDocument/2006/relationships/header" Target="header49.xml"/><Relationship Id="rId263"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470" Type="http://schemas.openxmlformats.org/officeDocument/2006/relationships/hyperlink" Target="https://www.law.cornell.edu/uscode/text/26/1041" TargetMode="External"/><Relationship Id="rId929" Type="http://schemas.openxmlformats.org/officeDocument/2006/relationships/hyperlink" Target="https://www.law.cornell.edu/uscode/text/26/62" TargetMode="External"/><Relationship Id="rId1114"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58" Type="http://schemas.openxmlformats.org/officeDocument/2006/relationships/hyperlink" Target="https://www.law.cornell.edu/uscode/text/26/1211" TargetMode="External"/><Relationship Id="rId123" Type="http://schemas.openxmlformats.org/officeDocument/2006/relationships/hyperlink" Target="http://pubs.aeaweb.org/doi/pdfplus/10.1257/jep.25.4.165" TargetMode="External"/><Relationship Id="rId330"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568"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775" Type="http://schemas.openxmlformats.org/officeDocument/2006/relationships/hyperlink" Target="https://www.law.cornell.edu/uscode/text/26/1091" TargetMode="External"/><Relationship Id="rId982" Type="http://schemas.openxmlformats.org/officeDocument/2006/relationships/hyperlink" Target="https://www.law.cornell.edu/cfr/text/26/1.183-1" TargetMode="External"/><Relationship Id="rId428"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842" Type="http://schemas.openxmlformats.org/officeDocument/2006/relationships/hyperlink" Target="https://www.law.cornell.edu/uscode/text/26/465" TargetMode="External"/><Relationship Id="rId1058"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274"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81" Type="http://schemas.openxmlformats.org/officeDocument/2006/relationships/hyperlink" Target="https://www.law.cornell.edu/uscode/text/26/163" TargetMode="External"/><Relationship Id="rId702"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1125"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69" Type="http://schemas.openxmlformats.org/officeDocument/2006/relationships/hyperlink" Target="https://www.law.cornell.edu/uscode/text/26/151" TargetMode="External"/><Relationship Id="rId134" Type="http://schemas.openxmlformats.org/officeDocument/2006/relationships/hyperlink" Target="https://www.law.cornell.edu/cfr/text/26/1.263(a)-5" TargetMode="External"/><Relationship Id="rId579"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786" Type="http://schemas.openxmlformats.org/officeDocument/2006/relationships/hyperlink" Target="https://www.law.cornell.edu/uscode/text/26/280F" TargetMode="External"/><Relationship Id="rId993" Type="http://schemas.openxmlformats.org/officeDocument/2006/relationships/hyperlink" Target="https://www.law.cornell.edu/uscode/text/26/162" TargetMode="External"/><Relationship Id="rId341"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439"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646"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1069"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201" Type="http://schemas.openxmlformats.org/officeDocument/2006/relationships/hyperlink" Target="https://www.law.cornell.edu/uscode/text/26/83" TargetMode="External"/><Relationship Id="rId285"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506"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853" Type="http://schemas.openxmlformats.org/officeDocument/2006/relationships/hyperlink" Target="https://www.law.cornell.edu/uscode/text/26/163" TargetMode="External"/><Relationship Id="rId1136"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492"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713" Type="http://schemas.openxmlformats.org/officeDocument/2006/relationships/hyperlink" Target="https://www.law.cornell.edu/uscode/text/26/108" TargetMode="External"/><Relationship Id="rId797" Type="http://schemas.openxmlformats.org/officeDocument/2006/relationships/image" Target="media/image21.png"/><Relationship Id="rId920"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145" Type="http://schemas.openxmlformats.org/officeDocument/2006/relationships/hyperlink" Target="https://www.law.cornell.edu/cfr/text/26/1.263(a)-3" TargetMode="External"/><Relationship Id="rId352" Type="http://schemas.openxmlformats.org/officeDocument/2006/relationships/hyperlink" Target="https://www.law.cornell.edu/uscode/text/26/274"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657"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864" Type="http://schemas.openxmlformats.org/officeDocument/2006/relationships/hyperlink" Target="https://www.law.cornell.edu/uscode/text/26/221" TargetMode="External"/><Relationship Id="rId296" Type="http://schemas.openxmlformats.org/officeDocument/2006/relationships/hyperlink" Target="https://www.law.cornell.edu/uscode/text/26/61" TargetMode="External"/><Relationship Id="rId517"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724" Type="http://schemas.openxmlformats.org/officeDocument/2006/relationships/hyperlink" Target="https://www.law.cornell.edu/uscode/text/26/167" TargetMode="External"/><Relationship Id="rId931" Type="http://schemas.openxmlformats.org/officeDocument/2006/relationships/hyperlink" Target="https://www.law.cornell.edu/uscode/text/26/56" TargetMode="External"/><Relationship Id="rId114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60" Type="http://schemas.openxmlformats.org/officeDocument/2006/relationships/hyperlink" Target="https://www.law.cornell.edu/cfr/text/26/1.263(a)-1" TargetMode="External"/><Relationship Id="rId156" Type="http://schemas.openxmlformats.org/officeDocument/2006/relationships/hyperlink" Target="https://www.law.cornell.edu/uscode/text/26/119" TargetMode="External"/><Relationship Id="rId363"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570"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1007" Type="http://schemas.openxmlformats.org/officeDocument/2006/relationships/hyperlink" Target="https://www.law.cornell.edu/cfr/text/26/1.274-2" TargetMode="External"/><Relationship Id="rId22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430"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668"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875" Type="http://schemas.openxmlformats.org/officeDocument/2006/relationships/hyperlink" Target="https://www.law.cornell.edu/uscode/text/26/67" TargetMode="External"/><Relationship Id="rId1060"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18" Type="http://schemas.openxmlformats.org/officeDocument/2006/relationships/hyperlink" Target="https://www.law.csuohio.edu/meetcmlaw/faculty/geier" TargetMode="External"/><Relationship Id="rId528"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735" Type="http://schemas.openxmlformats.org/officeDocument/2006/relationships/hyperlink" Target="https://www.law.cornell.edu/uscode/text/26/61" TargetMode="External"/><Relationship Id="rId942" Type="http://schemas.openxmlformats.org/officeDocument/2006/relationships/image" Target="media/image23.png"/><Relationship Id="rId1158"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167"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374" Type="http://schemas.openxmlformats.org/officeDocument/2006/relationships/hyperlink" Target="https://www.law.cornell.edu/uscode/text/26/162" TargetMode="External"/><Relationship Id="rId581"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1018" Type="http://schemas.openxmlformats.org/officeDocument/2006/relationships/hyperlink" Target="https://www.law.cornell.edu/uscode/text/26/172" TargetMode="External"/><Relationship Id="rId71" Type="http://schemas.openxmlformats.org/officeDocument/2006/relationships/hyperlink" Target="https://www.law.cornell.edu/uscode/text/26/170" TargetMode="External"/><Relationship Id="rId234" Type="http://schemas.openxmlformats.org/officeDocument/2006/relationships/hyperlink" Target="https://www.law.cornell.edu/uscode/text/26/61" TargetMode="External"/><Relationship Id="rId67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802" Type="http://schemas.openxmlformats.org/officeDocument/2006/relationships/hyperlink" Target="https://www.law.cornell.edu/uscode/text/26/1237" TargetMode="External"/><Relationship Id="rId886" Type="http://schemas.openxmlformats.org/officeDocument/2006/relationships/hyperlink" Target="https://www.law.cornell.edu/uscode/text/26/62" TargetMode="External"/><Relationship Id="rId2" Type="http://schemas.openxmlformats.org/officeDocument/2006/relationships/numbering" Target="numbering.xml"/><Relationship Id="rId29" Type="http://schemas.openxmlformats.org/officeDocument/2006/relationships/footer" Target="footer6.xml"/><Relationship Id="rId441" Type="http://schemas.openxmlformats.org/officeDocument/2006/relationships/hyperlink" Target="https://www.law.cornell.edu/uscode/text/26/262" TargetMode="External"/><Relationship Id="rId539"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746" Type="http://schemas.openxmlformats.org/officeDocument/2006/relationships/hyperlink" Target="https://www.law.cornell.edu/uscode/text/26/453" TargetMode="External"/><Relationship Id="rId1071" Type="http://schemas.openxmlformats.org/officeDocument/2006/relationships/hyperlink" Target="https://www.law.cornell.edu/uscode/text/26/409A" TargetMode="External"/><Relationship Id="rId1169"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178" Type="http://schemas.openxmlformats.org/officeDocument/2006/relationships/hyperlink" Target="https://www.law.cornell.edu/uscode/text/26/132" TargetMode="External"/><Relationship Id="rId301" Type="http://schemas.openxmlformats.org/officeDocument/2006/relationships/hyperlink" Target="https://www.law.cornell.edu/uscode/text/26/109" TargetMode="External"/><Relationship Id="rId953" Type="http://schemas.openxmlformats.org/officeDocument/2006/relationships/image" Target="media/image24.jpeg"/><Relationship Id="rId1029" Type="http://schemas.openxmlformats.org/officeDocument/2006/relationships/footer" Target="footer27.xml"/><Relationship Id="rId82" Type="http://schemas.openxmlformats.org/officeDocument/2006/relationships/image" Target="media/image4.jpeg"/><Relationship Id="rId385"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592" Type="http://schemas.openxmlformats.org/officeDocument/2006/relationships/hyperlink" Target="https://www.law.cornell.edu/uscode/text/26/1017" TargetMode="External"/><Relationship Id="rId606"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813" Type="http://schemas.openxmlformats.org/officeDocument/2006/relationships/hyperlink" Target="https://www.law.cornell.edu/uscode/text/26/1271" TargetMode="External"/><Relationship Id="rId245" Type="http://schemas.openxmlformats.org/officeDocument/2006/relationships/hyperlink" Target="https://www.law.cornell.edu/uscode/text/26/85" TargetMode="External"/><Relationship Id="rId452"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897"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1082"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105" Type="http://schemas.openxmlformats.org/officeDocument/2006/relationships/footer" Target="footer13.xml"/><Relationship Id="rId312" Type="http://schemas.openxmlformats.org/officeDocument/2006/relationships/footer" Target="footer20.xml"/><Relationship Id="rId757" Type="http://schemas.openxmlformats.org/officeDocument/2006/relationships/hyperlink" Target="https://www.law.cornell.edu/uscode/text/26/1001" TargetMode="External"/><Relationship Id="rId964" Type="http://schemas.openxmlformats.org/officeDocument/2006/relationships/hyperlink" Target="https://www.law.cornell.edu/uscode/text/26/212" TargetMode="External"/><Relationship Id="rId93" Type="http://schemas.openxmlformats.org/officeDocument/2006/relationships/hyperlink" Target="https://www.law.cornell.edu/uscode/text/26/275" TargetMode="External"/><Relationship Id="rId189" Type="http://schemas.openxmlformats.org/officeDocument/2006/relationships/hyperlink" Target="https://www.law.cornell.edu/cfr/text/26/1.132-4" TargetMode="External"/><Relationship Id="rId396"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617"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824" Type="http://schemas.openxmlformats.org/officeDocument/2006/relationships/header" Target="header38.xml"/><Relationship Id="rId25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63" Type="http://schemas.openxmlformats.org/officeDocument/2006/relationships/hyperlink" Target="https://www.law.cornell.edu/uscode/text/26/71" TargetMode="External"/><Relationship Id="rId670"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1093"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1107"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116" Type="http://schemas.openxmlformats.org/officeDocument/2006/relationships/hyperlink" Target="http://www.nytimes.com/2014/04/05/business/economy/corporate-profits-grow-ever-larger-as-slice-of-economy-as-wages-slide.html" TargetMode="External"/><Relationship Id="rId323" Type="http://schemas.openxmlformats.org/officeDocument/2006/relationships/hyperlink" Target="https://www.law.cornell.edu/uscode/text/26/1014" TargetMode="External"/><Relationship Id="rId530"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768" Type="http://schemas.openxmlformats.org/officeDocument/2006/relationships/hyperlink" Target="https://www.law.cornell.edu/uscode/text/26/1031" TargetMode="External"/><Relationship Id="rId975" Type="http://schemas.openxmlformats.org/officeDocument/2006/relationships/hyperlink" Target="https://www.law.cornell.edu/uscode/text/26/62" TargetMode="External"/><Relationship Id="rId1160"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0" Type="http://schemas.openxmlformats.org/officeDocument/2006/relationships/footer" Target="footer2.xm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835" Type="http://schemas.openxmlformats.org/officeDocument/2006/relationships/hyperlink" Target="https://www.law.cornell.edu/uscode/text/26/6662" TargetMode="External"/><Relationship Id="rId267"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474" Type="http://schemas.openxmlformats.org/officeDocument/2006/relationships/hyperlink" Target="https://www.law.cornell.edu/uscode/text/26/165" TargetMode="External"/><Relationship Id="rId1020" Type="http://schemas.openxmlformats.org/officeDocument/2006/relationships/hyperlink" Target="https://www.law.cornell.edu/uscode/text/26/62" TargetMode="External"/><Relationship Id="rId1118"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127" Type="http://schemas.openxmlformats.org/officeDocument/2006/relationships/hyperlink" Target="http://www.nytimes.com/2015/10/08/opinion/we-all-get-free-stuff-from-the-government.html?_r=0" TargetMode="External"/><Relationship Id="rId68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779" Type="http://schemas.openxmlformats.org/officeDocument/2006/relationships/hyperlink" Target="https://www.law.cornell.edu/uscode/text/26/179" TargetMode="External"/><Relationship Id="rId902"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986" Type="http://schemas.openxmlformats.org/officeDocument/2006/relationships/hyperlink" Target="https://www.law.cornell.edu/uscode/text/26/212" TargetMode="External"/><Relationship Id="rId31" Type="http://schemas.openxmlformats.org/officeDocument/2006/relationships/footer" Target="footer7.xml"/><Relationship Id="rId334"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541"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639"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1171"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180" Type="http://schemas.openxmlformats.org/officeDocument/2006/relationships/hyperlink" Target="https://www.law.cornell.edu/cfr/text/26/1.132-6" TargetMode="External"/><Relationship Id="rId278"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401"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846" Type="http://schemas.openxmlformats.org/officeDocument/2006/relationships/hyperlink" Target="https://www.law.cornell.edu/cfr/text/26/1.469-5T" TargetMode="External"/><Relationship Id="rId1031" Type="http://schemas.openxmlformats.org/officeDocument/2006/relationships/hyperlink" Target="https://www.law.cornell.edu/uscode/text/26/443" TargetMode="External"/><Relationship Id="rId112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485" Type="http://schemas.openxmlformats.org/officeDocument/2006/relationships/hyperlink" Target="https://www.law.cornell.edu/uscode/text/26/61" TargetMode="External"/><Relationship Id="rId692"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706"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913"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42" Type="http://schemas.openxmlformats.org/officeDocument/2006/relationships/hyperlink" Target="https://www.law.cornell.edu/cfr/text/26/1.61-2" TargetMode="External"/><Relationship Id="rId138" Type="http://schemas.openxmlformats.org/officeDocument/2006/relationships/hyperlink" Target="https://www.law.cornell.edu/cfr/text/26/1.263(a)-4" TargetMode="External"/><Relationship Id="rId345"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552" Type="http://schemas.openxmlformats.org/officeDocument/2006/relationships/hyperlink" Target="https://www.law.cornell.edu/uscode/text/26/1221" TargetMode="External"/><Relationship Id="rId997" Type="http://schemas.openxmlformats.org/officeDocument/2006/relationships/hyperlink" Target="https://www.law.cornell.edu/cfr/text/26/1.162-2" TargetMode="External"/><Relationship Id="rId191" Type="http://schemas.openxmlformats.org/officeDocument/2006/relationships/hyperlink" Target="https://www.law.cornell.edu/cfr/text/26/1.132-6" TargetMode="External"/><Relationship Id="rId205" Type="http://schemas.openxmlformats.org/officeDocument/2006/relationships/header" Target="header20.xml"/><Relationship Id="rId412"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857" Type="http://schemas.openxmlformats.org/officeDocument/2006/relationships/hyperlink" Target="https://www.law.cornell.edu/uscode/text/26/163" TargetMode="External"/><Relationship Id="rId1042"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289"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496"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717" Type="http://schemas.openxmlformats.org/officeDocument/2006/relationships/hyperlink" Target="https://www.law.cornell.edu/uscode/text/26/1012" TargetMode="External"/><Relationship Id="rId924"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11" Type="http://schemas.openxmlformats.org/officeDocument/2006/relationships/hyperlink" Target="http://elangdell.cali.org/" TargetMode="External"/><Relationship Id="rId53" Type="http://schemas.openxmlformats.org/officeDocument/2006/relationships/hyperlink" Target="https://www.law.cornell.edu/uscode/text/26/1222" TargetMode="External"/><Relationship Id="rId149" Type="http://schemas.openxmlformats.org/officeDocument/2006/relationships/hyperlink" Target="https://www.law.cornell.edu/uscode/text/26/61" TargetMode="External"/><Relationship Id="rId314" Type="http://schemas.openxmlformats.org/officeDocument/2006/relationships/hyperlink" Target="https://www.law.cornell.edu/uscode/text/26/1014" TargetMode="External"/><Relationship Id="rId356"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398"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521"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563" Type="http://schemas.openxmlformats.org/officeDocument/2006/relationships/hyperlink" Target="https://www.law.cornell.edu/uscode/text/26/166" TargetMode="External"/><Relationship Id="rId619"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770" Type="http://schemas.openxmlformats.org/officeDocument/2006/relationships/hyperlink" Target="https://www.law.cornell.edu/cfr/text/26/1.1031(d)-2" TargetMode="External"/><Relationship Id="rId115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95" Type="http://schemas.openxmlformats.org/officeDocument/2006/relationships/hyperlink" Target="https://www.law.cornell.edu/uscode/text/26/163" TargetMode="External"/><Relationship Id="rId160"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216"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423"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826"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868" Type="http://schemas.openxmlformats.org/officeDocument/2006/relationships/hyperlink" Target="https://www.law.cornell.edu/uscode/text/26/25A" TargetMode="External"/><Relationship Id="rId1011" Type="http://schemas.openxmlformats.org/officeDocument/2006/relationships/hyperlink" Target="https://www.law.cornell.edu/cfr/text/26/1.167(g)-1" TargetMode="External"/><Relationship Id="rId1053" Type="http://schemas.openxmlformats.org/officeDocument/2006/relationships/hyperlink" Target="https://www.law.cornell.edu/cfr/text/26/1.451-2" TargetMode="External"/><Relationship Id="rId1109"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465" Type="http://schemas.openxmlformats.org/officeDocument/2006/relationships/hyperlink" Target="https://www.law.cornell.edu/cfr/text/26/1.71-1T"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672"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728" Type="http://schemas.openxmlformats.org/officeDocument/2006/relationships/hyperlink" Target="https://www.law.cornell.edu/cfr/text/26/1.1001-2" TargetMode="External"/><Relationship Id="rId935" Type="http://schemas.openxmlformats.org/officeDocument/2006/relationships/hyperlink" Target="https://www.law.cornell.edu/uscode/text/26/265" TargetMode="External"/><Relationship Id="rId1095"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22" Type="http://schemas.openxmlformats.org/officeDocument/2006/relationships/header" Target="header2.xml"/><Relationship Id="rId64" Type="http://schemas.openxmlformats.org/officeDocument/2006/relationships/hyperlink" Target="https://www.law.cornell.edu/uscode/text/26/62" TargetMode="External"/><Relationship Id="rId118" Type="http://schemas.openxmlformats.org/officeDocument/2006/relationships/image" Target="media/image16.jpeg"/><Relationship Id="rId325" Type="http://schemas.openxmlformats.org/officeDocument/2006/relationships/hyperlink" Target="https://www.law.cornell.edu/uscode/text/26/102" TargetMode="External"/><Relationship Id="rId367"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532" Type="http://schemas.openxmlformats.org/officeDocument/2006/relationships/hyperlink" Target="https://www.law.cornell.edu/uscode/text/26/1341" TargetMode="External"/><Relationship Id="rId574"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977" Type="http://schemas.openxmlformats.org/officeDocument/2006/relationships/hyperlink" Target="https://www.law.cornell.edu/uscode/text/26/183" TargetMode="External"/><Relationship Id="rId1120" Type="http://schemas.openxmlformats.org/officeDocument/2006/relationships/hyperlink" Target="https://www.law.cornell.edu/cfr/text/26/1.446-1" TargetMode="External"/><Relationship Id="rId1162"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171" Type="http://schemas.openxmlformats.org/officeDocument/2006/relationships/hyperlink" Target="javascript:void%200" TargetMode="External"/><Relationship Id="rId227"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781" Type="http://schemas.openxmlformats.org/officeDocument/2006/relationships/hyperlink" Target="https://www.law.cornell.edu/uscode/text/26/179" TargetMode="External"/><Relationship Id="rId837" Type="http://schemas.openxmlformats.org/officeDocument/2006/relationships/hyperlink" Target="https://www.law.cornell.edu/uscode/text/26/6664" TargetMode="External"/><Relationship Id="rId879" Type="http://schemas.openxmlformats.org/officeDocument/2006/relationships/hyperlink" Target="https://www.law.cornell.edu/uscode/text/26/25A" TargetMode="External"/><Relationship Id="rId1022" Type="http://schemas.openxmlformats.org/officeDocument/2006/relationships/hyperlink" Target="https://www.law.cornell.edu/uscode/text/26/165" TargetMode="External"/><Relationship Id="rId26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434"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476" Type="http://schemas.openxmlformats.org/officeDocument/2006/relationships/header" Target="header29.xm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683"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739" Type="http://schemas.openxmlformats.org/officeDocument/2006/relationships/hyperlink" Target="https://www.law.cornell.edu/uscode/text/26/1015" TargetMode="External"/><Relationship Id="rId890" Type="http://schemas.openxmlformats.org/officeDocument/2006/relationships/hyperlink" Target="https://www.law.cornell.edu/cfr/text/26/1.263(a)-2" TargetMode="External"/><Relationship Id="rId904"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1064"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33" Type="http://schemas.openxmlformats.org/officeDocument/2006/relationships/hyperlink" Target="https://www.law.cornell.edu/uscode/text/26/61" TargetMode="External"/><Relationship Id="rId129" Type="http://schemas.openxmlformats.org/officeDocument/2006/relationships/header" Target="header14.xml"/><Relationship Id="rId280"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336"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501"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543" Type="http://schemas.openxmlformats.org/officeDocument/2006/relationships/hyperlink" Target="https://www.law.cornell.edu/uscode/text/26/7872" TargetMode="External"/><Relationship Id="rId946" Type="http://schemas.openxmlformats.org/officeDocument/2006/relationships/hyperlink" Target="https://www.law.cornell.edu/uscode/text/26/106" TargetMode="External"/><Relationship Id="rId988" Type="http://schemas.openxmlformats.org/officeDocument/2006/relationships/hyperlink" Target="https://www.law.cornell.edu/uscode/text/26/162" TargetMode="External"/><Relationship Id="rId1131"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1173" Type="http://schemas.openxmlformats.org/officeDocument/2006/relationships/header" Target="header50.xml"/><Relationship Id="rId75" Type="http://schemas.openxmlformats.org/officeDocument/2006/relationships/hyperlink" Target="https://www.law.cornell.edu/uscode/text/26/67" TargetMode="External"/><Relationship Id="rId140" Type="http://schemas.openxmlformats.org/officeDocument/2006/relationships/hyperlink" Target="https://www.law.cornell.edu/cfr/text/26/1.263(a)-2" TargetMode="External"/><Relationship Id="rId182" Type="http://schemas.openxmlformats.org/officeDocument/2006/relationships/hyperlink" Target="https://www.law.cornell.edu/cfr/text/26/1.132-2" TargetMode="External"/><Relationship Id="rId378" Type="http://schemas.openxmlformats.org/officeDocument/2006/relationships/hyperlink" Target="http://online.wsj.com/public/quotes/main.html?type=djn&amp;symbol=bsc" TargetMode="External"/><Relationship Id="rId403" Type="http://schemas.openxmlformats.org/officeDocument/2006/relationships/hyperlink" Target="https://www.law.cornell.edu/uscode/text/26/61" TargetMode="External"/><Relationship Id="rId585"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750" Type="http://schemas.openxmlformats.org/officeDocument/2006/relationships/hyperlink" Target="https://www.law.cornell.edu/uscode/text/26/1001" TargetMode="External"/><Relationship Id="rId792" Type="http://schemas.openxmlformats.org/officeDocument/2006/relationships/hyperlink" Target="https://www.law.cornell.edu/uscode/text/26/1222" TargetMode="External"/><Relationship Id="rId806" Type="http://schemas.openxmlformats.org/officeDocument/2006/relationships/hyperlink" Target="https://www.law.cornell.edu/uscode/text/26/1221" TargetMode="External"/><Relationship Id="rId848" Type="http://schemas.openxmlformats.org/officeDocument/2006/relationships/hyperlink" Target="https://www.law.cornell.edu/uscode/text/26/469" TargetMode="External"/><Relationship Id="rId1033" Type="http://schemas.openxmlformats.org/officeDocument/2006/relationships/hyperlink" Target="https://www.law.cornell.edu/uscode/text/26/108" TargetMode="External"/><Relationship Id="rId6" Type="http://schemas.openxmlformats.org/officeDocument/2006/relationships/footnotes" Target="footnotes.xml"/><Relationship Id="rId238"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445" Type="http://schemas.openxmlformats.org/officeDocument/2006/relationships/hyperlink" Target="https://www.law.cornell.edu/uscode/text/26/677" TargetMode="External"/><Relationship Id="rId487" Type="http://schemas.openxmlformats.org/officeDocument/2006/relationships/hyperlink" Target="https://www.law.cornell.edu/uscode/text/26/1272" TargetMode="External"/><Relationship Id="rId610"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652"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694"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708"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91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107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291"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305" Type="http://schemas.openxmlformats.org/officeDocument/2006/relationships/header" Target="header21.xml"/><Relationship Id="rId347"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512"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957" Type="http://schemas.openxmlformats.org/officeDocument/2006/relationships/hyperlink" Target="https://www.law.cornell.edu/uscode/text/26/170" TargetMode="External"/><Relationship Id="rId999" Type="http://schemas.openxmlformats.org/officeDocument/2006/relationships/hyperlink" Target="https://www.law.cornell.edu/uscode/text/26/162" TargetMode="External"/><Relationship Id="rId110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1142"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44" Type="http://schemas.openxmlformats.org/officeDocument/2006/relationships/hyperlink" Target="https://www.law.cornell.edu/uscode/text/26/162" TargetMode="External"/><Relationship Id="rId86" Type="http://schemas.openxmlformats.org/officeDocument/2006/relationships/hyperlink" Target="https://www.law.cornell.edu/uscode/text/26/24" TargetMode="External"/><Relationship Id="rId151" Type="http://schemas.openxmlformats.org/officeDocument/2006/relationships/hyperlink" Target="https://www.law.cornell.edu/uscode/text/26/262" TargetMode="External"/><Relationship Id="rId389"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554" Type="http://schemas.openxmlformats.org/officeDocument/2006/relationships/hyperlink" Target="https://www.law.cornell.edu/uscode/text/26/1211" TargetMode="External"/><Relationship Id="rId596"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761" Type="http://schemas.openxmlformats.org/officeDocument/2006/relationships/hyperlink" Target="https://www.law.cornell.edu/cfr/text/26/1.1031(a)-2" TargetMode="External"/><Relationship Id="rId817" Type="http://schemas.openxmlformats.org/officeDocument/2006/relationships/hyperlink" Target="https://www.law.cornell.edu/uscode/text/26/1234" TargetMode="External"/><Relationship Id="rId859" Type="http://schemas.openxmlformats.org/officeDocument/2006/relationships/header" Target="header40.xml"/><Relationship Id="rId1002" Type="http://schemas.openxmlformats.org/officeDocument/2006/relationships/hyperlink" Target="https://www.law.cornell.edu/uscode/text/26/162" TargetMode="External"/><Relationship Id="rId193" Type="http://schemas.openxmlformats.org/officeDocument/2006/relationships/hyperlink" Target="https://www.law.cornell.edu/cfr/text/26/1.61-2" TargetMode="External"/><Relationship Id="rId207" Type="http://schemas.openxmlformats.org/officeDocument/2006/relationships/hyperlink" Target="https://www.law.cornell.edu/uscode/text/26/61" TargetMode="External"/><Relationship Id="rId249" Type="http://schemas.openxmlformats.org/officeDocument/2006/relationships/hyperlink" Target="https://www.law.cornell.edu/uscode/text/26/165" TargetMode="External"/><Relationship Id="rId414"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456" Type="http://schemas.openxmlformats.org/officeDocument/2006/relationships/hyperlink" Target="https://www.law.cornell.edu/uscode/text/26/215" TargetMode="External"/><Relationship Id="rId498"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621"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663"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870" Type="http://schemas.openxmlformats.org/officeDocument/2006/relationships/hyperlink" Target="https://www.law.cornell.edu/uscode/text/26/25A" TargetMode="External"/><Relationship Id="rId1044"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108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13" Type="http://schemas.openxmlformats.org/officeDocument/2006/relationships/hyperlink" Target="https://twitter.com/caliorg" TargetMode="External"/><Relationship Id="rId109" Type="http://schemas.openxmlformats.org/officeDocument/2006/relationships/image" Target="media/image8.png"/><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316" Type="http://schemas.openxmlformats.org/officeDocument/2006/relationships/hyperlink" Target="https://www.law.cornell.edu/uscode/text/26/1223" TargetMode="External"/><Relationship Id="rId523"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719" Type="http://schemas.openxmlformats.org/officeDocument/2006/relationships/hyperlink" Target="https://www.law.cornell.edu/uscode/text/26/1211" TargetMode="External"/><Relationship Id="rId926"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968" Type="http://schemas.openxmlformats.org/officeDocument/2006/relationships/footer" Target="footer24.xml"/><Relationship Id="rId1111"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1153"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55" Type="http://schemas.openxmlformats.org/officeDocument/2006/relationships/hyperlink" Target="https://www.law.cornell.edu/uscode/text/26/165" TargetMode="External"/><Relationship Id="rId97" Type="http://schemas.openxmlformats.org/officeDocument/2006/relationships/hyperlink" Target="https://www.law.cornell.edu/uscode/text/26/103" TargetMode="External"/><Relationship Id="rId120" Type="http://schemas.openxmlformats.org/officeDocument/2006/relationships/hyperlink" Target="http://www.nytimes.com/2013/01/13/sunday-review/americas-productivity-climbs-but-wages-stagnate.html?_r=0" TargetMode="External"/><Relationship Id="rId358"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565"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730" Type="http://schemas.openxmlformats.org/officeDocument/2006/relationships/hyperlink" Target="https://www.law.cornell.edu/uscode/text/26/108" TargetMode="External"/><Relationship Id="rId772" Type="http://schemas.openxmlformats.org/officeDocument/2006/relationships/hyperlink" Target="https://www.law.cornell.edu/cfr/text/26/1.1031(k)-1" TargetMode="External"/><Relationship Id="rId828"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1013" Type="http://schemas.openxmlformats.org/officeDocument/2006/relationships/hyperlink" Target="https://www.law.cornell.edu/uscode/text/26/280A" TargetMode="External"/><Relationship Id="rId16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425"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467" Type="http://schemas.openxmlformats.org/officeDocument/2006/relationships/hyperlink" Target="https://www.law.cornell.edu/uscode/text/26/71" TargetMode="External"/><Relationship Id="rId632"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1055" Type="http://schemas.openxmlformats.org/officeDocument/2006/relationships/hyperlink" Target="https://www.law.cornell.edu/cfr/text/26/1.83-3" TargetMode="External"/><Relationship Id="rId1097"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271"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674"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881" Type="http://schemas.openxmlformats.org/officeDocument/2006/relationships/hyperlink" Target="https://www.law.cornell.edu/uscode/text/26/104" TargetMode="External"/><Relationship Id="rId937" Type="http://schemas.openxmlformats.org/officeDocument/2006/relationships/hyperlink" Target="https://www.law.cornell.edu/uscode/text/26/121" TargetMode="External"/><Relationship Id="rId979" Type="http://schemas.openxmlformats.org/officeDocument/2006/relationships/hyperlink" Target="https://www.law.cornell.edu/cfr/text/26/1.183-1" TargetMode="External"/><Relationship Id="rId1122"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24" Type="http://schemas.openxmlformats.org/officeDocument/2006/relationships/footer" Target="footer3.xml"/><Relationship Id="rId66" Type="http://schemas.openxmlformats.org/officeDocument/2006/relationships/hyperlink" Target="https://www.law.cornell.edu/cfr/text/26/1.62-2" TargetMode="External"/><Relationship Id="rId131" Type="http://schemas.openxmlformats.org/officeDocument/2006/relationships/header" Target="header15.xm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369"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534" Type="http://schemas.openxmlformats.org/officeDocument/2006/relationships/hyperlink" Target="https://www.law.cornell.edu/uscode/text/26/83" TargetMode="External"/><Relationship Id="rId576"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741" Type="http://schemas.openxmlformats.org/officeDocument/2006/relationships/hyperlink" Target="https://www.law.cornell.edu/uscode/text/26/1001" TargetMode="External"/><Relationship Id="rId783" Type="http://schemas.openxmlformats.org/officeDocument/2006/relationships/hyperlink" Target="https://www.law.cornell.edu/uscode/text/26/1016" TargetMode="External"/><Relationship Id="rId839" Type="http://schemas.openxmlformats.org/officeDocument/2006/relationships/hyperlink" Target="https://www.law.cornell.edu/uscode/text/26/461" TargetMode="External"/><Relationship Id="rId990" Type="http://schemas.openxmlformats.org/officeDocument/2006/relationships/hyperlink" Target="https://www.law.cornell.edu/uscode/text/26/280E" TargetMode="External"/><Relationship Id="rId1164"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17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229"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380" Type="http://schemas.openxmlformats.org/officeDocument/2006/relationships/hyperlink" Target="https://www.law.cornell.edu/uscode/text/26/262" TargetMode="External"/><Relationship Id="rId436"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601" Type="http://schemas.openxmlformats.org/officeDocument/2006/relationships/hyperlink" Target="javascript:void%200" TargetMode="External"/><Relationship Id="rId643"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1024" Type="http://schemas.openxmlformats.org/officeDocument/2006/relationships/hyperlink" Target="https://www.law.cornell.edu/uscode/text/26/475" TargetMode="External"/><Relationship Id="rId1066"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240"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478" Type="http://schemas.openxmlformats.org/officeDocument/2006/relationships/hyperlink" Target="https://www.law.cornell.edu/cfr/text/26/1.263(a)-4" TargetMode="External"/><Relationship Id="rId68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850" Type="http://schemas.openxmlformats.org/officeDocument/2006/relationships/hyperlink" Target="https://www.law.cornell.edu/uscode/text/26/103" TargetMode="External"/><Relationship Id="rId892" Type="http://schemas.openxmlformats.org/officeDocument/2006/relationships/hyperlink" Target="https://www.law.cornell.edu/uscode/text/26/165" TargetMode="External"/><Relationship Id="rId906"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948" Type="http://schemas.openxmlformats.org/officeDocument/2006/relationships/hyperlink" Target="https://www.law.cornell.edu/uscode/text/26/223" TargetMode="External"/><Relationship Id="rId1133"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35" Type="http://schemas.openxmlformats.org/officeDocument/2006/relationships/hyperlink" Target="https://www.law.cornell.edu/uscode/text/26/263" TargetMode="External"/><Relationship Id="rId77" Type="http://schemas.openxmlformats.org/officeDocument/2006/relationships/hyperlink" Target="https://www.law.cornell.edu/uscode/text/26/24" TargetMode="External"/><Relationship Id="rId100" Type="http://schemas.openxmlformats.org/officeDocument/2006/relationships/header" Target="header10.xml"/><Relationship Id="rId282"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338"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50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545" Type="http://schemas.openxmlformats.org/officeDocument/2006/relationships/header" Target="header32.xml"/><Relationship Id="rId587"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710" Type="http://schemas.openxmlformats.org/officeDocument/2006/relationships/hyperlink" Target="https://www.law.cornell.edu/uscode/text/26/167" TargetMode="External"/><Relationship Id="rId752" Type="http://schemas.openxmlformats.org/officeDocument/2006/relationships/hyperlink" Target="https://www.law.cornell.edu/uscode/text/26/1033" TargetMode="External"/><Relationship Id="rId808" Type="http://schemas.openxmlformats.org/officeDocument/2006/relationships/hyperlink" Target="https://www.law.cornell.edu/uscode/text/26/1221" TargetMode="External"/><Relationship Id="rId1175" Type="http://schemas.openxmlformats.org/officeDocument/2006/relationships/theme" Target="theme/theme1.xml"/><Relationship Id="rId8" Type="http://schemas.openxmlformats.org/officeDocument/2006/relationships/image" Target="media/image1.jpeg"/><Relationship Id="rId142" Type="http://schemas.openxmlformats.org/officeDocument/2006/relationships/hyperlink" Target="https://www.law.cornell.edu/cfr/text/26/1.162-3" TargetMode="External"/><Relationship Id="rId184" Type="http://schemas.openxmlformats.org/officeDocument/2006/relationships/hyperlink" Target="https://www.law.cornell.edu/cfr/text/26/1.132-8" TargetMode="External"/><Relationship Id="rId391"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405"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447" Type="http://schemas.openxmlformats.org/officeDocument/2006/relationships/hyperlink" Target="https://www.law.cornell.edu/uscode/text/26/674" TargetMode="External"/><Relationship Id="rId612"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794" Type="http://schemas.openxmlformats.org/officeDocument/2006/relationships/hyperlink" Target="https://www.law.cornell.edu/uscode/text/26/1211" TargetMode="External"/><Relationship Id="rId1035" Type="http://schemas.openxmlformats.org/officeDocument/2006/relationships/hyperlink" Target="https://www.law.cornell.edu/uscode/text/26/1341" TargetMode="External"/><Relationship Id="rId107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251" Type="http://schemas.openxmlformats.org/officeDocument/2006/relationships/hyperlink" Target="javascript:void%200" TargetMode="External"/><Relationship Id="rId489" Type="http://schemas.openxmlformats.org/officeDocument/2006/relationships/hyperlink" Target="https://www.law.cornell.edu/uscode/text/26/72" TargetMode="External"/><Relationship Id="rId654"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696"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861" Type="http://schemas.openxmlformats.org/officeDocument/2006/relationships/header" Target="header41.xml"/><Relationship Id="rId917"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959" Type="http://schemas.openxmlformats.org/officeDocument/2006/relationships/hyperlink" Target="https://www.law.cornell.edu/uscode/text/26/170" TargetMode="External"/><Relationship Id="rId1102"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46" Type="http://schemas.openxmlformats.org/officeDocument/2006/relationships/hyperlink" Target="https://www.law.cornell.edu/uscode/text/26/165" TargetMode="External"/><Relationship Id="rId293"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307" Type="http://schemas.openxmlformats.org/officeDocument/2006/relationships/header" Target="header23.xml"/><Relationship Id="rId349"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514"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556" Type="http://schemas.openxmlformats.org/officeDocument/2006/relationships/hyperlink" Target="https://www.law.cornell.edu/uscode/text/26/166" TargetMode="External"/><Relationship Id="rId721" Type="http://schemas.openxmlformats.org/officeDocument/2006/relationships/hyperlink" Target="https://www.law.cornell.edu/uscode/text/26/108" TargetMode="External"/><Relationship Id="rId763" Type="http://schemas.openxmlformats.org/officeDocument/2006/relationships/hyperlink" Target="https://www.law.cornell.edu/uscode/text/26/1031" TargetMode="External"/><Relationship Id="rId114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88" Type="http://schemas.openxmlformats.org/officeDocument/2006/relationships/header" Target="header8.xml"/><Relationship Id="rId111" Type="http://schemas.openxmlformats.org/officeDocument/2006/relationships/image" Target="media/image10.png"/><Relationship Id="rId153" Type="http://schemas.openxmlformats.org/officeDocument/2006/relationships/hyperlink" Target="https://www.law.cornell.edu/uscode/text/26/119" TargetMode="External"/><Relationship Id="rId195" Type="http://schemas.openxmlformats.org/officeDocument/2006/relationships/hyperlink" Target="https://www.law.cornell.edu/cfr/text/26/1.83-1" TargetMode="External"/><Relationship Id="rId209" Type="http://schemas.openxmlformats.org/officeDocument/2006/relationships/hyperlink" Target="javascript:void%200" TargetMode="External"/><Relationship Id="rId360"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598"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819" Type="http://schemas.openxmlformats.org/officeDocument/2006/relationships/hyperlink" Target="https://www.law.cornell.edu/uscode/text/26/331" TargetMode="External"/><Relationship Id="rId970" Type="http://schemas.openxmlformats.org/officeDocument/2006/relationships/footer" Target="footer25.xml"/><Relationship Id="rId1004" Type="http://schemas.openxmlformats.org/officeDocument/2006/relationships/hyperlink" Target="https://www.law.cornell.edu/uscode/text/26/274" TargetMode="External"/><Relationship Id="rId1046" Type="http://schemas.openxmlformats.org/officeDocument/2006/relationships/hyperlink" Target="https://www.law.cornell.edu/uscode/text/26/111" TargetMode="External"/><Relationship Id="rId220"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458" Type="http://schemas.openxmlformats.org/officeDocument/2006/relationships/hyperlink" Target="https://www.law.cornell.edu/uscode/text/26/71"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665"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830"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872" Type="http://schemas.openxmlformats.org/officeDocument/2006/relationships/hyperlink" Target="https://www.law.cornell.edu/uscode/text/26/162" TargetMode="External"/><Relationship Id="rId928" Type="http://schemas.openxmlformats.org/officeDocument/2006/relationships/hyperlink" Target="https://www.law.cornell.edu/uscode/text/26/212" TargetMode="External"/><Relationship Id="rId1088"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15" Type="http://schemas.openxmlformats.org/officeDocument/2006/relationships/image" Target="media/image2.jpeg"/><Relationship Id="rId57" Type="http://schemas.openxmlformats.org/officeDocument/2006/relationships/hyperlink" Target="https://www.law.cornell.edu/uscode/text/26/165" TargetMode="External"/><Relationship Id="rId262"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318" Type="http://schemas.openxmlformats.org/officeDocument/2006/relationships/hyperlink" Target="https://www.law.cornell.edu/uscode/text/26/102" TargetMode="External"/><Relationship Id="rId525"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567"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732" Type="http://schemas.openxmlformats.org/officeDocument/2006/relationships/header" Target="header34.xml"/><Relationship Id="rId1113"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1155"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99" Type="http://schemas.openxmlformats.org/officeDocument/2006/relationships/hyperlink" Target="https://www.law.cornell.edu/uscode/text/26/61" TargetMode="External"/><Relationship Id="rId122" Type="http://schemas.openxmlformats.org/officeDocument/2006/relationships/image" Target="media/image18.png"/><Relationship Id="rId16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371" Type="http://schemas.openxmlformats.org/officeDocument/2006/relationships/hyperlink" Target="http://www.nytimes.com/2013/02/10/business/yourtaxes/a-wealth-tax-would-look-beyond-income.html?_r=1" TargetMode="External"/><Relationship Id="rId774" Type="http://schemas.openxmlformats.org/officeDocument/2006/relationships/hyperlink" Target="https://www.law.cornell.edu/uscode/text/26/267" TargetMode="External"/><Relationship Id="rId981" Type="http://schemas.openxmlformats.org/officeDocument/2006/relationships/hyperlink" Target="https://www.law.cornell.edu/uscode/text/26/183" TargetMode="External"/><Relationship Id="rId1015" Type="http://schemas.openxmlformats.org/officeDocument/2006/relationships/hyperlink" Target="https://www.law.cornell.edu/uscode/text/26/280A" TargetMode="External"/><Relationship Id="rId1057"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427"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469" Type="http://schemas.openxmlformats.org/officeDocument/2006/relationships/hyperlink" Target="https://www.law.cornell.edu/uscode/text/26/408"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676"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841" Type="http://schemas.openxmlformats.org/officeDocument/2006/relationships/hyperlink" Target="https://www.law.cornell.edu/uscode/text/26/465" TargetMode="External"/><Relationship Id="rId883" Type="http://schemas.openxmlformats.org/officeDocument/2006/relationships/hyperlink" Target="https://www.law.cornell.edu/uscode/text/26/213" TargetMode="External"/><Relationship Id="rId1099"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26" Type="http://schemas.openxmlformats.org/officeDocument/2006/relationships/footer" Target="footer4.xml"/><Relationship Id="rId23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273"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329"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480" Type="http://schemas.openxmlformats.org/officeDocument/2006/relationships/hyperlink" Target="https://www.law.cornell.edu/uscode/text/26/61" TargetMode="External"/><Relationship Id="rId536"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701"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939" Type="http://schemas.openxmlformats.org/officeDocument/2006/relationships/hyperlink" Target="https://www.law.cornell.edu/cfr/text/26/1.165-7" TargetMode="External"/><Relationship Id="rId112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116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68" Type="http://schemas.openxmlformats.org/officeDocument/2006/relationships/hyperlink" Target="https://www.law.cornell.edu/uscode/text/26/152" TargetMode="External"/><Relationship Id="rId133" Type="http://schemas.openxmlformats.org/officeDocument/2006/relationships/hyperlink" Target="https://www.law.cornell.edu/cfr/text/26/1.263(a)-4" TargetMode="External"/><Relationship Id="rId175"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40"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578"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743" Type="http://schemas.openxmlformats.org/officeDocument/2006/relationships/hyperlink" Target="https://www.law.cornell.edu/uscode/text/26/1012" TargetMode="External"/><Relationship Id="rId785" Type="http://schemas.openxmlformats.org/officeDocument/2006/relationships/hyperlink" Target="https://www.law.cornell.edu/uscode/text/26/168" TargetMode="External"/><Relationship Id="rId950" Type="http://schemas.openxmlformats.org/officeDocument/2006/relationships/hyperlink" Target="https://www.law.cornell.edu/uscode/text/26/170" TargetMode="External"/><Relationship Id="rId992" Type="http://schemas.openxmlformats.org/officeDocument/2006/relationships/hyperlink" Target="https://www.law.cornell.edu/cfr/text/26/1.162-7" TargetMode="External"/><Relationship Id="rId1026" Type="http://schemas.openxmlformats.org/officeDocument/2006/relationships/header" Target="header47.xml"/><Relationship Id="rId200" Type="http://schemas.openxmlformats.org/officeDocument/2006/relationships/hyperlink" Target="https://www.law.cornell.edu/cfr/text/26/1.83-7" TargetMode="External"/><Relationship Id="rId382" Type="http://schemas.openxmlformats.org/officeDocument/2006/relationships/hyperlink" Target="https://www.law.cornell.edu/uscode/text/26/1015" TargetMode="External"/><Relationship Id="rId438"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603"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645"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68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810" Type="http://schemas.openxmlformats.org/officeDocument/2006/relationships/hyperlink" Target="https://www.law.cornell.edu/uscode/text/26/1221" TargetMode="External"/><Relationship Id="rId852" Type="http://schemas.openxmlformats.org/officeDocument/2006/relationships/hyperlink" Target="https://www.law.cornell.edu/uscode/text/26/265" TargetMode="External"/><Relationship Id="rId908"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1068"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242"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284"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91" Type="http://schemas.openxmlformats.org/officeDocument/2006/relationships/hyperlink" Target="https://www.law.cornell.edu/cfr/text/26/1.72-9" TargetMode="External"/><Relationship Id="rId505"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712" Type="http://schemas.openxmlformats.org/officeDocument/2006/relationships/hyperlink" Target="https://www.law.cornell.edu/uscode/text/26/108" TargetMode="External"/><Relationship Id="rId89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1135"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37" Type="http://schemas.openxmlformats.org/officeDocument/2006/relationships/hyperlink" Target="https://www.law.cornell.edu/cfr/text/26/1.263(a)-4" TargetMode="External"/><Relationship Id="rId79" Type="http://schemas.openxmlformats.org/officeDocument/2006/relationships/hyperlink" Target="https://www.law.cornell.edu/uscode/text/26/31" TargetMode="External"/><Relationship Id="rId102" Type="http://schemas.openxmlformats.org/officeDocument/2006/relationships/footer" Target="footer11.xml"/><Relationship Id="rId144" Type="http://schemas.openxmlformats.org/officeDocument/2006/relationships/hyperlink" Target="https://www.law.cornell.edu/cfr/text/26/1.263(a)-3" TargetMode="External"/><Relationship Id="rId547" Type="http://schemas.openxmlformats.org/officeDocument/2006/relationships/hyperlink" Target="https://www.law.cornell.edu/uscode/text/26/103" TargetMode="External"/><Relationship Id="rId589" Type="http://schemas.openxmlformats.org/officeDocument/2006/relationships/hyperlink" Target="https://www.law.cornell.edu/uscode/text/26/61" TargetMode="External"/><Relationship Id="rId754" Type="http://schemas.openxmlformats.org/officeDocument/2006/relationships/hyperlink" Target="https://www.law.cornell.edu/uscode/text/26/1033" TargetMode="External"/><Relationship Id="rId796" Type="http://schemas.openxmlformats.org/officeDocument/2006/relationships/hyperlink" Target="https://www.law.cornell.edu/uscode/text/26/1212" TargetMode="External"/><Relationship Id="rId961" Type="http://schemas.openxmlformats.org/officeDocument/2006/relationships/hyperlink" Target="https://www.law.cornell.edu/uscode/text/26/275" TargetMode="External"/><Relationship Id="rId90" Type="http://schemas.openxmlformats.org/officeDocument/2006/relationships/footer" Target="footer9.xml"/><Relationship Id="rId186" Type="http://schemas.openxmlformats.org/officeDocument/2006/relationships/hyperlink" Target="https://www.law.cornell.edu/cfr/text/26/1.132-3" TargetMode="External"/><Relationship Id="rId351" Type="http://schemas.openxmlformats.org/officeDocument/2006/relationships/hyperlink" Target="https://www.law.cornell.edu/uscode/text/26/162" TargetMode="External"/><Relationship Id="rId393"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407"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449" Type="http://schemas.openxmlformats.org/officeDocument/2006/relationships/header" Target="header27.xml"/><Relationship Id="rId614"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656"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821" Type="http://schemas.openxmlformats.org/officeDocument/2006/relationships/hyperlink" Target="https://www.law.cornell.edu/uscode/text/26/1231" TargetMode="External"/><Relationship Id="rId863" Type="http://schemas.openxmlformats.org/officeDocument/2006/relationships/footer" Target="footer23.xml"/><Relationship Id="rId1037" Type="http://schemas.openxmlformats.org/officeDocument/2006/relationships/hyperlink" Target="https://www.law.cornell.edu/uscode/text/26/1245" TargetMode="External"/><Relationship Id="rId1079"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21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253"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295"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309" Type="http://schemas.openxmlformats.org/officeDocument/2006/relationships/footer" Target="footer18.xml"/><Relationship Id="rId460" Type="http://schemas.openxmlformats.org/officeDocument/2006/relationships/hyperlink" Target="https://www.law.cornell.edu/uscode/text/26/71" TargetMode="External"/><Relationship Id="rId516"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698"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919"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1090"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1104"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114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48" Type="http://schemas.openxmlformats.org/officeDocument/2006/relationships/hyperlink" Target="https://www.law.cornell.edu/uscode/text/26/1016" TargetMode="External"/><Relationship Id="rId113" Type="http://schemas.openxmlformats.org/officeDocument/2006/relationships/image" Target="media/image12.jpeg"/><Relationship Id="rId320" Type="http://schemas.openxmlformats.org/officeDocument/2006/relationships/hyperlink" Target="https://www.law.cornell.edu/cfr/text/26/1.1001-1" TargetMode="External"/><Relationship Id="rId558" Type="http://schemas.openxmlformats.org/officeDocument/2006/relationships/hyperlink" Target="https://www.law.cornell.edu/uscode/text/26/7872" TargetMode="External"/><Relationship Id="rId723" Type="http://schemas.openxmlformats.org/officeDocument/2006/relationships/hyperlink" Target="https://www.law.cornell.edu/uscode/text/26/163" TargetMode="External"/><Relationship Id="rId765" Type="http://schemas.openxmlformats.org/officeDocument/2006/relationships/hyperlink" Target="https://www.law.cornell.edu/uscode/text/26/1031" TargetMode="External"/><Relationship Id="rId930" Type="http://schemas.openxmlformats.org/officeDocument/2006/relationships/hyperlink" Target="https://www.law.cornell.edu/uscode/text/26/67" TargetMode="External"/><Relationship Id="rId972" Type="http://schemas.openxmlformats.org/officeDocument/2006/relationships/hyperlink" Target="https://www.law.cornell.edu/uscode/text/26/469" TargetMode="External"/><Relationship Id="rId1006" Type="http://schemas.openxmlformats.org/officeDocument/2006/relationships/hyperlink" Target="https://www.law.cornell.edu/uscode/text/26/274" TargetMode="External"/><Relationship Id="rId155" Type="http://schemas.openxmlformats.org/officeDocument/2006/relationships/hyperlink" Target="https://www.law.cornell.edu/cfr/text/26/1.119-1" TargetMode="External"/><Relationship Id="rId197" Type="http://schemas.openxmlformats.org/officeDocument/2006/relationships/hyperlink" Target="https://www.law.cornell.edu/uscode/text/26/83" TargetMode="External"/><Relationship Id="rId362"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832"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1048" Type="http://schemas.openxmlformats.org/officeDocument/2006/relationships/hyperlink" Target="https://www.law.cornell.edu/uscode/text/26/448" TargetMode="External"/><Relationship Id="rId22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264"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71" Type="http://schemas.openxmlformats.org/officeDocument/2006/relationships/hyperlink" Target="https://www.law.cornell.edu/uscode/text/26/1001" TargetMode="External"/><Relationship Id="rId667"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874" Type="http://schemas.openxmlformats.org/officeDocument/2006/relationships/hyperlink" Target="https://www.law.cornell.edu/uscode/text/26/62" TargetMode="External"/><Relationship Id="rId1115"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17" Type="http://schemas.openxmlformats.org/officeDocument/2006/relationships/hyperlink" Target="mailto:feedback@cali.org" TargetMode="External"/><Relationship Id="rId59" Type="http://schemas.openxmlformats.org/officeDocument/2006/relationships/hyperlink" Target="https://www.law.cornell.edu/cfr/text/26/1.162-4" TargetMode="External"/><Relationship Id="rId124" Type="http://schemas.openxmlformats.org/officeDocument/2006/relationships/hyperlink" Target="http://www.nytimes.com/2014/12/18/upshot/nordic-nations-show-that-big-safety-net-can-allow-for-leap-in-employment-rate-.html?_r=0&amp;abt=0002&amp;abg=0" TargetMode="External"/><Relationship Id="rId527"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569"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734" Type="http://schemas.openxmlformats.org/officeDocument/2006/relationships/hyperlink" Target="https://www.law.cornell.edu/uscode/text/26/1001" TargetMode="External"/><Relationship Id="rId776" Type="http://schemas.openxmlformats.org/officeDocument/2006/relationships/header" Target="header36.xml"/><Relationship Id="rId941" Type="http://schemas.openxmlformats.org/officeDocument/2006/relationships/hyperlink" Target="https://www.law.cornell.edu/uscode/text/26/165" TargetMode="External"/><Relationship Id="rId983" Type="http://schemas.openxmlformats.org/officeDocument/2006/relationships/hyperlink" Target="https://www.law.cornell.edu/cfr/text/26/1.183-1" TargetMode="External"/><Relationship Id="rId115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70" Type="http://schemas.openxmlformats.org/officeDocument/2006/relationships/hyperlink" Target="https://www.law.cornell.edu/uscode/text/26/63" TargetMode="External"/><Relationship Id="rId166"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331"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373" Type="http://schemas.openxmlformats.org/officeDocument/2006/relationships/hyperlink" Target="https://www.law.cornell.edu/uscode/text/26/262" TargetMode="External"/><Relationship Id="rId429"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580"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636"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801" Type="http://schemas.openxmlformats.org/officeDocument/2006/relationships/hyperlink" Target="https://www.law.cornell.edu/uscode/text/26/1221" TargetMode="External"/><Relationship Id="rId1017" Type="http://schemas.openxmlformats.org/officeDocument/2006/relationships/hyperlink" Target="https://www.law.cornell.edu/uscode/text/26/166" TargetMode="External"/><Relationship Id="rId1059"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1" Type="http://schemas.openxmlformats.org/officeDocument/2006/relationships/customXml" Target="../customXml/item1.xml"/><Relationship Id="rId233"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440" Type="http://schemas.openxmlformats.org/officeDocument/2006/relationships/hyperlink" Target="https://www.law.cornell.edu/uscode/text/26/1" TargetMode="External"/><Relationship Id="rId678"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843" Type="http://schemas.openxmlformats.org/officeDocument/2006/relationships/hyperlink" Target="https://www.law.cornell.edu/cfr/text/26/1.469-2T" TargetMode="External"/><Relationship Id="rId885" Type="http://schemas.openxmlformats.org/officeDocument/2006/relationships/hyperlink" Target="https://www.law.cornell.edu/uscode/text/26/265" TargetMode="External"/><Relationship Id="rId1070"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112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28" Type="http://schemas.openxmlformats.org/officeDocument/2006/relationships/footer" Target="footer5.xml"/><Relationship Id="rId275"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300"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482" Type="http://schemas.openxmlformats.org/officeDocument/2006/relationships/hyperlink" Target="https://www.law.cornell.edu/uscode/text/26/7872" TargetMode="External"/><Relationship Id="rId538"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703"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745" Type="http://schemas.openxmlformats.org/officeDocument/2006/relationships/hyperlink" Target="https://www.law.cornell.edu/uscode/text/26/1016" TargetMode="External"/><Relationship Id="rId910"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952" Type="http://schemas.openxmlformats.org/officeDocument/2006/relationships/hyperlink" Target="https://www.law.cornell.edu/uscode/text/26/511" TargetMode="External"/><Relationship Id="rId1168"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81" Type="http://schemas.openxmlformats.org/officeDocument/2006/relationships/image" Target="media/image3.png"/><Relationship Id="rId135" Type="http://schemas.openxmlformats.org/officeDocument/2006/relationships/hyperlink" Target="https://www.law.cornell.edu/cfr/text/26/1.263(a)-4" TargetMode="External"/><Relationship Id="rId177" Type="http://schemas.openxmlformats.org/officeDocument/2006/relationships/hyperlink" Target="https://www.law.cornell.edu/uscode/text/26/274" TargetMode="External"/><Relationship Id="rId342"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384"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591" Type="http://schemas.openxmlformats.org/officeDocument/2006/relationships/hyperlink" Target="https://www.law.cornell.edu/uscode/text/26/108" TargetMode="External"/><Relationship Id="rId605"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787" Type="http://schemas.openxmlformats.org/officeDocument/2006/relationships/hyperlink" Target="https://www.law.cornell.edu/uscode/text/26/179" TargetMode="External"/><Relationship Id="rId812" Type="http://schemas.openxmlformats.org/officeDocument/2006/relationships/hyperlink" Target="https://www.law.cornell.edu/uscode/text/26/331" TargetMode="External"/><Relationship Id="rId994" Type="http://schemas.openxmlformats.org/officeDocument/2006/relationships/hyperlink" Target="https://www.law.cornell.edu/uscode/text/26/212" TargetMode="External"/><Relationship Id="rId1028" Type="http://schemas.openxmlformats.org/officeDocument/2006/relationships/header" Target="header48.xml"/><Relationship Id="rId202" Type="http://schemas.openxmlformats.org/officeDocument/2006/relationships/header" Target="header18.xml"/><Relationship Id="rId244"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647"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68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854" Type="http://schemas.openxmlformats.org/officeDocument/2006/relationships/hyperlink" Target="https://www.law.cornell.edu/uscode/text/26/469" TargetMode="External"/><Relationship Id="rId896"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108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39" Type="http://schemas.openxmlformats.org/officeDocument/2006/relationships/hyperlink" Target="https://www.law.cornell.edu/uscode/text/26/1001" TargetMode="External"/><Relationship Id="rId286"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451"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493"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507"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549" Type="http://schemas.openxmlformats.org/officeDocument/2006/relationships/hyperlink" Target="https://www.law.cornell.edu/uscode/text/26/165" TargetMode="External"/><Relationship Id="rId714" Type="http://schemas.openxmlformats.org/officeDocument/2006/relationships/header" Target="header33.xml"/><Relationship Id="rId756" Type="http://schemas.openxmlformats.org/officeDocument/2006/relationships/hyperlink" Target="https://www.law.cornell.edu/uscode/text/26/1031" TargetMode="External"/><Relationship Id="rId921"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113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50" Type="http://schemas.openxmlformats.org/officeDocument/2006/relationships/hyperlink" Target="https://www.law.cornell.edu/cfr/text/26/1.263(a)-1" TargetMode="External"/><Relationship Id="rId104" Type="http://schemas.openxmlformats.org/officeDocument/2006/relationships/header" Target="header12.xml"/><Relationship Id="rId146" Type="http://schemas.openxmlformats.org/officeDocument/2006/relationships/hyperlink" Target="https://www.law.cornell.edu/uscode/text/26/263A" TargetMode="External"/><Relationship Id="rId188" Type="http://schemas.openxmlformats.org/officeDocument/2006/relationships/hyperlink" Target="https://www.law.cornell.edu/cfr/text/26/1.132-3" TargetMode="External"/><Relationship Id="rId311" Type="http://schemas.openxmlformats.org/officeDocument/2006/relationships/header" Target="header25.xml"/><Relationship Id="rId353" Type="http://schemas.openxmlformats.org/officeDocument/2006/relationships/hyperlink" Target="https://www.law.cornell.edu/uscode/text/26/274" TargetMode="External"/><Relationship Id="rId395"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409"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560" Type="http://schemas.openxmlformats.org/officeDocument/2006/relationships/hyperlink" Target="https://www.law.cornell.edu/uscode/text/26/165" TargetMode="External"/><Relationship Id="rId798" Type="http://schemas.openxmlformats.org/officeDocument/2006/relationships/hyperlink" Target="https://www.law.cornell.edu/uscode/text/26/1202" TargetMode="External"/><Relationship Id="rId963" Type="http://schemas.openxmlformats.org/officeDocument/2006/relationships/hyperlink" Target="https://www.law.cornell.edu/uscode/text/26/262" TargetMode="External"/><Relationship Id="rId1039"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92" Type="http://schemas.openxmlformats.org/officeDocument/2006/relationships/footer" Target="footer10.xm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420"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616" Type="http://schemas.openxmlformats.org/officeDocument/2006/relationships/hyperlink" Target="https://www.law.cornell.edu/uscode/text/26/7872" TargetMode="External"/><Relationship Id="rId658"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823" Type="http://schemas.openxmlformats.org/officeDocument/2006/relationships/hyperlink" Target="https://www.law.cornell.edu/uscode/text/26/1245" TargetMode="External"/><Relationship Id="rId865" Type="http://schemas.openxmlformats.org/officeDocument/2006/relationships/hyperlink" Target="https://www.law.cornell.edu/uscode/text/26/62" TargetMode="External"/><Relationship Id="rId1050" Type="http://schemas.openxmlformats.org/officeDocument/2006/relationships/hyperlink" Target="https://www.law.cornell.edu/uscode/text/26/83" TargetMode="External"/><Relationship Id="rId255"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297" Type="http://schemas.openxmlformats.org/officeDocument/2006/relationships/hyperlink" Target="https://www.law.cornell.edu/cfr/text/26/1.61-8" TargetMode="External"/><Relationship Id="rId462" Type="http://schemas.openxmlformats.org/officeDocument/2006/relationships/hyperlink" Target="https://www.law.cornell.edu/uscode/text/26/71" TargetMode="External"/><Relationship Id="rId518"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725" Type="http://schemas.openxmlformats.org/officeDocument/2006/relationships/hyperlink" Target="https://www.law.cornell.edu/uscode/text/26/1001" TargetMode="External"/><Relationship Id="rId932" Type="http://schemas.openxmlformats.org/officeDocument/2006/relationships/hyperlink" Target="https://www.law.cornell.edu/uscode/text/26/265" TargetMode="External"/><Relationship Id="rId1092"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1106"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114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115" Type="http://schemas.openxmlformats.org/officeDocument/2006/relationships/image" Target="media/image14.png"/><Relationship Id="rId157" Type="http://schemas.openxmlformats.org/officeDocument/2006/relationships/hyperlink" Target="https://www.law.cornell.edu/cfr/text/26/1.119-1" TargetMode="External"/><Relationship Id="rId322" Type="http://schemas.openxmlformats.org/officeDocument/2006/relationships/hyperlink" Target="https://www.law.cornell.edu/uscode/text/26/1015" TargetMode="External"/><Relationship Id="rId36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767" Type="http://schemas.openxmlformats.org/officeDocument/2006/relationships/hyperlink" Target="https://www.law.cornell.edu/uscode/text/26/1031" TargetMode="External"/><Relationship Id="rId974" Type="http://schemas.openxmlformats.org/officeDocument/2006/relationships/hyperlink" Target="https://www.law.cornell.edu/uscode/text/26/67" TargetMode="External"/><Relationship Id="rId1008" Type="http://schemas.openxmlformats.org/officeDocument/2006/relationships/hyperlink" Target="https://www.law.cornell.edu/cfr/text/26/1.274-2" TargetMode="External"/><Relationship Id="rId61" Type="http://schemas.openxmlformats.org/officeDocument/2006/relationships/hyperlink" Target="https://www.law.cornell.edu/uscode/text/26/61" TargetMode="External"/><Relationship Id="rId199" Type="http://schemas.openxmlformats.org/officeDocument/2006/relationships/hyperlink" Target="https://www.law.cornell.edu/uscode/text/26/162" TargetMode="External"/><Relationship Id="rId571"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669"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834" Type="http://schemas.openxmlformats.org/officeDocument/2006/relationships/hyperlink" Target="https://www.law.cornell.edu/uscode/text/26/7701" TargetMode="External"/><Relationship Id="rId876" Type="http://schemas.openxmlformats.org/officeDocument/2006/relationships/hyperlink" Target="https://www.law.cornell.edu/cfr/text/26/1.162-5" TargetMode="External"/><Relationship Id="rId19" Type="http://schemas.openxmlformats.org/officeDocument/2006/relationships/footer" Target="footer1.xml"/><Relationship Id="rId224"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431"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473" Type="http://schemas.openxmlformats.org/officeDocument/2006/relationships/hyperlink" Target="https://www.law.cornell.edu/uscode/text/26/1015" TargetMode="External"/><Relationship Id="rId529"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680"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736" Type="http://schemas.openxmlformats.org/officeDocument/2006/relationships/hyperlink" Target="https://www.law.cornell.edu/uscode/text/26/1041" TargetMode="External"/><Relationship Id="rId901"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1061"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1117"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115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30" Type="http://schemas.openxmlformats.org/officeDocument/2006/relationships/header" Target="header6.xml"/><Relationship Id="rId126" Type="http://schemas.openxmlformats.org/officeDocument/2006/relationships/image" Target="media/image20.jpeg"/><Relationship Id="rId168"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333"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540"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778" Type="http://schemas.openxmlformats.org/officeDocument/2006/relationships/hyperlink" Target="https://www.law.cornell.edu/uscode/text/26/168" TargetMode="External"/><Relationship Id="rId943" Type="http://schemas.openxmlformats.org/officeDocument/2006/relationships/hyperlink" Target="https://www.law.cornell.edu/uscode/text/26/213" TargetMode="External"/><Relationship Id="rId985" Type="http://schemas.openxmlformats.org/officeDocument/2006/relationships/hyperlink" Target="https://www.law.cornell.edu/uscode/text/26/162" TargetMode="External"/><Relationship Id="rId1019" Type="http://schemas.openxmlformats.org/officeDocument/2006/relationships/hyperlink" Target="https://www.law.cornell.edu/uscode/text/26/163" TargetMode="External"/><Relationship Id="rId117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72" Type="http://schemas.openxmlformats.org/officeDocument/2006/relationships/hyperlink" Target="https://www.law.cornell.edu/uscode/text/26/164" TargetMode="External"/><Relationship Id="rId375" Type="http://schemas.openxmlformats.org/officeDocument/2006/relationships/hyperlink" Target="http://dealbook.nytimes.com/2014/06/22/an-employee-dies-and-the-company-collects-the-insurance/?_php=true&amp;_type=blogs&amp;_r=0" TargetMode="External"/><Relationship Id="rId582"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638"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803" Type="http://schemas.openxmlformats.org/officeDocument/2006/relationships/hyperlink" Target="https://www.law.cornell.edu/uscode/text/26/1221" TargetMode="External"/><Relationship Id="rId845" Type="http://schemas.openxmlformats.org/officeDocument/2006/relationships/hyperlink" Target="https://www.law.cornell.edu/uscode/text/26/469" TargetMode="External"/><Relationship Id="rId1030" Type="http://schemas.openxmlformats.org/officeDocument/2006/relationships/hyperlink" Target="https://www.law.cornell.edu/uscode/text/26/441" TargetMode="External"/><Relationship Id="rId3" Type="http://schemas.openxmlformats.org/officeDocument/2006/relationships/styles" Target="styles.xml"/><Relationship Id="rId235"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277"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400"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442" Type="http://schemas.openxmlformats.org/officeDocument/2006/relationships/hyperlink" Target="https://www.law.cornell.edu/uscode/text/26/102" TargetMode="External"/><Relationship Id="rId484" Type="http://schemas.openxmlformats.org/officeDocument/2006/relationships/hyperlink" Target="https://www.law.cornell.edu/uscode/text/26/7872" TargetMode="External"/><Relationship Id="rId705"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887" Type="http://schemas.openxmlformats.org/officeDocument/2006/relationships/hyperlink" Target="https://www.law.cornell.edu/uscode/text/26/67" TargetMode="External"/><Relationship Id="rId1072" Type="http://schemas.openxmlformats.org/officeDocument/2006/relationships/hyperlink" Target="https://www.law.cornell.edu/uscode/text/26/409A" TargetMode="External"/><Relationship Id="rId112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137" Type="http://schemas.openxmlformats.org/officeDocument/2006/relationships/hyperlink" Target="https://www.law.cornell.edu/cfr/text/26/1.263(a)-4" TargetMode="External"/><Relationship Id="rId302" Type="http://schemas.openxmlformats.org/officeDocument/2006/relationships/hyperlink" Target="https://www.law.cornell.edu/uscode/text/26/1019" TargetMode="External"/><Relationship Id="rId344"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691"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747" Type="http://schemas.openxmlformats.org/officeDocument/2006/relationships/hyperlink" Target="https://www.law.cornell.edu/cfr/text/26/15a.453-1" TargetMode="External"/><Relationship Id="rId789" Type="http://schemas.openxmlformats.org/officeDocument/2006/relationships/hyperlink" Target="https://www.law.cornell.edu/uscode/text/26/197" TargetMode="External"/><Relationship Id="rId912"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954" Type="http://schemas.openxmlformats.org/officeDocument/2006/relationships/hyperlink" Target="https://www.law.cornell.edu/cfr/text/26/1.170A-1" TargetMode="External"/><Relationship Id="rId996" Type="http://schemas.openxmlformats.org/officeDocument/2006/relationships/hyperlink" Target="https://www.law.cornell.edu/cfr/text/26/1.262-1" TargetMode="External"/><Relationship Id="rId41" Type="http://schemas.openxmlformats.org/officeDocument/2006/relationships/hyperlink" Target="https://www.law.cornell.edu/uscode/text/26/1012" TargetMode="External"/><Relationship Id="rId83" Type="http://schemas.openxmlformats.org/officeDocument/2006/relationships/image" Target="media/image5.jpeg"/><Relationship Id="rId179" Type="http://schemas.openxmlformats.org/officeDocument/2006/relationships/hyperlink" Target="https://www.law.cornell.edu/uscode/text/26/132" TargetMode="External"/><Relationship Id="rId386"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551" Type="http://schemas.openxmlformats.org/officeDocument/2006/relationships/hyperlink" Target="https://www.law.cornell.edu/uscode/text/26/165" TargetMode="External"/><Relationship Id="rId593" Type="http://schemas.openxmlformats.org/officeDocument/2006/relationships/hyperlink" Target="https://www.law.cornell.edu/uscode/text/26/108" TargetMode="External"/><Relationship Id="rId607" Type="http://schemas.openxmlformats.org/officeDocument/2006/relationships/hyperlink" Target="javascript:void%200" TargetMode="External"/><Relationship Id="rId649"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814" Type="http://schemas.openxmlformats.org/officeDocument/2006/relationships/hyperlink" Target="https://www.law.cornell.edu/uscode/text/26/165" TargetMode="External"/><Relationship Id="rId856" Type="http://schemas.openxmlformats.org/officeDocument/2006/relationships/hyperlink" Target="https://www.law.cornell.edu/uscode/text/26/103" TargetMode="External"/><Relationship Id="rId190" Type="http://schemas.openxmlformats.org/officeDocument/2006/relationships/hyperlink" Target="https://www.law.cornell.edu/cfr/text/26/1.132-6" TargetMode="External"/><Relationship Id="rId204" Type="http://schemas.openxmlformats.org/officeDocument/2006/relationships/footer" Target="footer16.xml"/><Relationship Id="rId246" Type="http://schemas.openxmlformats.org/officeDocument/2006/relationships/hyperlink" Target="https://www.law.cornell.edu/uscode/text/26/86" TargetMode="External"/><Relationship Id="rId288" Type="http://schemas.openxmlformats.org/officeDocument/2006/relationships/hyperlink" Target="https://www.law.cornell.edu/uscode/text/26/83" TargetMode="External"/><Relationship Id="rId411"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453" Type="http://schemas.openxmlformats.org/officeDocument/2006/relationships/hyperlink" Target="https://www.law.cornell.edu/uscode/text/26/71" TargetMode="External"/><Relationship Id="rId509"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660"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898"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1041"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108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1139"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106" Type="http://schemas.openxmlformats.org/officeDocument/2006/relationships/hyperlink" Target="http://www.nytimes.com/2013/10/12/business/media/when-our-news-is-gerrymandered-too.html?_r=0" TargetMode="External"/><Relationship Id="rId313" Type="http://schemas.openxmlformats.org/officeDocument/2006/relationships/hyperlink" Target="https://www.law.cornell.edu/uscode/text/26/102" TargetMode="External"/><Relationship Id="rId495"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716" Type="http://schemas.openxmlformats.org/officeDocument/2006/relationships/hyperlink" Target="https://www.law.cornell.edu/uscode/text/26/1222" TargetMode="External"/><Relationship Id="rId758" Type="http://schemas.openxmlformats.org/officeDocument/2006/relationships/hyperlink" Target="https://www.law.cornell.edu/uscode/text/26/1012" TargetMode="External"/><Relationship Id="rId923"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965" Type="http://schemas.openxmlformats.org/officeDocument/2006/relationships/hyperlink" Target="https://www.law.cornell.edu/cfr/text/26/1.212-1" TargetMode="External"/><Relationship Id="rId1150"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10" Type="http://schemas.openxmlformats.org/officeDocument/2006/relationships/hyperlink" Target="http://elangdell.cali.org/" TargetMode="External"/><Relationship Id="rId52" Type="http://schemas.openxmlformats.org/officeDocument/2006/relationships/hyperlink" Target="https://www.law.cornell.edu/uscode/text/26/1222" TargetMode="External"/><Relationship Id="rId94" Type="http://schemas.openxmlformats.org/officeDocument/2006/relationships/hyperlink" Target="https://www.law.cornell.edu/uscode/text/26/179" TargetMode="External"/><Relationship Id="rId148" Type="http://schemas.openxmlformats.org/officeDocument/2006/relationships/header" Target="header17.xml"/><Relationship Id="rId355" Type="http://schemas.openxmlformats.org/officeDocument/2006/relationships/hyperlink" Target="https://www.law.cornell.edu/uscode/text/26/7463" TargetMode="External"/><Relationship Id="rId397"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520"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562" Type="http://schemas.openxmlformats.org/officeDocument/2006/relationships/hyperlink" Target="https://www.law.cornell.edu/uscode/text/26/165" TargetMode="External"/><Relationship Id="rId618"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825"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215"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25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22"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464" Type="http://schemas.openxmlformats.org/officeDocument/2006/relationships/hyperlink" Target="https://www.law.cornell.edu/uscode/text/26/7463" TargetMode="External"/><Relationship Id="rId867" Type="http://schemas.openxmlformats.org/officeDocument/2006/relationships/hyperlink" Target="https://www.law.cornell.edu/uscode/text/26/1271" TargetMode="External"/><Relationship Id="rId1010" Type="http://schemas.openxmlformats.org/officeDocument/2006/relationships/hyperlink" Target="https://www.law.cornell.edu/uscode/text/26/274" TargetMode="External"/><Relationship Id="rId1052" Type="http://schemas.openxmlformats.org/officeDocument/2006/relationships/hyperlink" Target="https://www.law.cornell.edu/cfr/text/26/1.446-1" TargetMode="External"/><Relationship Id="rId1094"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110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299"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727" Type="http://schemas.openxmlformats.org/officeDocument/2006/relationships/hyperlink" Target="https://www.law.cornell.edu/uscode/text/26/262" TargetMode="External"/><Relationship Id="rId934" Type="http://schemas.openxmlformats.org/officeDocument/2006/relationships/image" Target="media/image22.jpeg"/><Relationship Id="rId63" Type="http://schemas.openxmlformats.org/officeDocument/2006/relationships/hyperlink" Target="https://www.law.cornell.edu/uscode/text/26/62" TargetMode="External"/><Relationship Id="rId159"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366"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573"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780" Type="http://schemas.openxmlformats.org/officeDocument/2006/relationships/hyperlink" Target="https://www.law.cornell.edu/uscode/text/26/168" TargetMode="External"/><Relationship Id="rId226"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33"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878" Type="http://schemas.openxmlformats.org/officeDocument/2006/relationships/hyperlink" Target="https://www.law.cornell.edu/cfr/text/26/1.62-2" TargetMode="External"/><Relationship Id="rId1063"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640"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738" Type="http://schemas.openxmlformats.org/officeDocument/2006/relationships/hyperlink" Target="https://www.law.cornell.edu/uscode/text/26/1041" TargetMode="External"/><Relationship Id="rId945" Type="http://schemas.openxmlformats.org/officeDocument/2006/relationships/hyperlink" Target="https://www.law.cornell.edu/uscode/text/26/105" TargetMode="External"/><Relationship Id="rId74" Type="http://schemas.openxmlformats.org/officeDocument/2006/relationships/hyperlink" Target="https://www.law.cornell.edu/uscode/text/26/68" TargetMode="External"/><Relationship Id="rId377" Type="http://schemas.openxmlformats.org/officeDocument/2006/relationships/hyperlink" Target="http://online.wsj.com/public/quotes/main.html?type=djn&amp;symbol=cs" TargetMode="External"/><Relationship Id="rId500"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584"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805" Type="http://schemas.openxmlformats.org/officeDocument/2006/relationships/hyperlink" Target="https://www.law.cornell.edu/uscode/text/26/1221" TargetMode="External"/><Relationship Id="rId1130"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5" Type="http://schemas.openxmlformats.org/officeDocument/2006/relationships/webSettings" Target="webSettings.xml"/><Relationship Id="rId237"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791" Type="http://schemas.openxmlformats.org/officeDocument/2006/relationships/header" Target="header37.xml"/><Relationship Id="rId889" Type="http://schemas.openxmlformats.org/officeDocument/2006/relationships/hyperlink" Target="https://www.law.cornell.edu/uscode/text/26/212" TargetMode="External"/><Relationship Id="rId1074"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444" Type="http://schemas.openxmlformats.org/officeDocument/2006/relationships/hyperlink" Target="https://www.law.cornell.edu/uscode/text/26/671" TargetMode="External"/><Relationship Id="rId651"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749" Type="http://schemas.openxmlformats.org/officeDocument/2006/relationships/hyperlink" Target="https://www.law.cornell.edu/uscode/text/26/1016" TargetMode="External"/><Relationship Id="rId290"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304" Type="http://schemas.openxmlformats.org/officeDocument/2006/relationships/hyperlink" Target="https://www.law.cornell.edu/uscode/text/26/61" TargetMode="External"/><Relationship Id="rId388"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511"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609"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956" Type="http://schemas.openxmlformats.org/officeDocument/2006/relationships/hyperlink" Target="https://www.law.cornell.edu/uscode/text/26/6115" TargetMode="External"/><Relationship Id="rId114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85" Type="http://schemas.openxmlformats.org/officeDocument/2006/relationships/hyperlink" Target="https://www.law.cornell.edu/uscode/text/26/103" TargetMode="External"/><Relationship Id="rId150" Type="http://schemas.openxmlformats.org/officeDocument/2006/relationships/hyperlink" Target="https://www.law.cornell.edu/uscode/text/26/102" TargetMode="External"/><Relationship Id="rId595" Type="http://schemas.openxmlformats.org/officeDocument/2006/relationships/hyperlink" Target="javascript:void%200" TargetMode="External"/><Relationship Id="rId816" Type="http://schemas.openxmlformats.org/officeDocument/2006/relationships/hyperlink" Target="https://www.law.cornell.edu/uscode/text/26/165" TargetMode="External"/><Relationship Id="rId1001" Type="http://schemas.openxmlformats.org/officeDocument/2006/relationships/hyperlink" Target="https://www.law.cornell.edu/cfr/text/26/1.274-5" TargetMode="External"/><Relationship Id="rId248" Type="http://schemas.openxmlformats.org/officeDocument/2006/relationships/hyperlink" Target="https://www.law.cornell.edu/uscode/text/26/167" TargetMode="External"/><Relationship Id="rId455" Type="http://schemas.openxmlformats.org/officeDocument/2006/relationships/hyperlink" Target="https://www.law.cornell.edu/uscode/text/26/71" TargetMode="External"/><Relationship Id="rId662"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1085"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12" Type="http://schemas.openxmlformats.org/officeDocument/2006/relationships/hyperlink" Target="https://www.facebook.com/cali.org" TargetMode="External"/><Relationship Id="rId108" Type="http://schemas.openxmlformats.org/officeDocument/2006/relationships/image" Target="media/image7.png"/><Relationship Id="rId315" Type="http://schemas.openxmlformats.org/officeDocument/2006/relationships/hyperlink" Target="https://www.law.cornell.edu/uscode/text/26/1015" TargetMode="External"/><Relationship Id="rId522"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967" Type="http://schemas.openxmlformats.org/officeDocument/2006/relationships/header" Target="header44.xml"/><Relationship Id="rId115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96" Type="http://schemas.openxmlformats.org/officeDocument/2006/relationships/hyperlink" Target="http://www.nytimes.com/2016/09/02/business/economy/if-trump-gets-his-way-real-estate-will-get-even-more-tax-breaks.html?_r=1" TargetMode="External"/><Relationship Id="rId161"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399"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827"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1012" Type="http://schemas.openxmlformats.org/officeDocument/2006/relationships/hyperlink" Target="https://www.law.cornell.edu/cfr/text/26/1.165-9"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466" Type="http://schemas.openxmlformats.org/officeDocument/2006/relationships/hyperlink" Target="https://www.law.cornell.edu/uscode/text/26/71" TargetMode="External"/><Relationship Id="rId673"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880" Type="http://schemas.openxmlformats.org/officeDocument/2006/relationships/hyperlink" Target="https://www.law.cornell.edu/uscode/text/26/104" TargetMode="External"/><Relationship Id="rId109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23" Type="http://schemas.openxmlformats.org/officeDocument/2006/relationships/header" Target="header3.xml"/><Relationship Id="rId119" Type="http://schemas.openxmlformats.org/officeDocument/2006/relationships/image" Target="media/image17.png"/><Relationship Id="rId326"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33" Type="http://schemas.openxmlformats.org/officeDocument/2006/relationships/hyperlink" Target="https://www.law.cornell.edu/uscode/text/26/1341" TargetMode="External"/><Relationship Id="rId978" Type="http://schemas.openxmlformats.org/officeDocument/2006/relationships/hyperlink" Target="https://www.law.cornell.edu/uscode/text/26/183" TargetMode="External"/><Relationship Id="rId116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740" Type="http://schemas.openxmlformats.org/officeDocument/2006/relationships/hyperlink" Target="https://www.law.cornell.edu/uscode/text/26/7701" TargetMode="External"/><Relationship Id="rId838" Type="http://schemas.openxmlformats.org/officeDocument/2006/relationships/hyperlink" Target="https://www.law.cornell.edu/uscode/text/26/264" TargetMode="External"/><Relationship Id="rId1023" Type="http://schemas.openxmlformats.org/officeDocument/2006/relationships/hyperlink" Target="https://www.law.cornell.edu/uscode/text/26/162" TargetMode="External"/><Relationship Id="rId17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477" Type="http://schemas.openxmlformats.org/officeDocument/2006/relationships/header" Target="header30.xml"/><Relationship Id="rId600"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684"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337"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891" Type="http://schemas.openxmlformats.org/officeDocument/2006/relationships/hyperlink" Target="https://www.law.cornell.edu/cfr/text/26/1.263(a)-4" TargetMode="External"/><Relationship Id="rId905"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989" Type="http://schemas.openxmlformats.org/officeDocument/2006/relationships/hyperlink" Target="https://www.law.cornell.edu/cfr/text/26/1.162-21" TargetMode="External"/><Relationship Id="rId34" Type="http://schemas.openxmlformats.org/officeDocument/2006/relationships/hyperlink" Target="https://www.law.cornell.edu/uscode/text/26/102" TargetMode="External"/><Relationship Id="rId544" Type="http://schemas.openxmlformats.org/officeDocument/2006/relationships/header" Target="header31.xml"/><Relationship Id="rId751" Type="http://schemas.openxmlformats.org/officeDocument/2006/relationships/hyperlink" Target="https://www.law.cornell.edu/uscode/text/26/61" TargetMode="External"/><Relationship Id="rId849" Type="http://schemas.openxmlformats.org/officeDocument/2006/relationships/hyperlink" Target="https://www.law.cornell.edu/uscode/text/26/62" TargetMode="External"/><Relationship Id="rId1174" Type="http://schemas.openxmlformats.org/officeDocument/2006/relationships/fontTable" Target="fontTable.xml"/><Relationship Id="rId183" Type="http://schemas.openxmlformats.org/officeDocument/2006/relationships/hyperlink" Target="https://www.law.cornell.edu/cfr/text/26/1.132-4" TargetMode="External"/><Relationship Id="rId390"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404" Type="http://schemas.openxmlformats.org/officeDocument/2006/relationships/hyperlink" Target="https://www.law.cornell.edu/uscode/text/26/102" TargetMode="External"/><Relationship Id="rId611"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1034" Type="http://schemas.openxmlformats.org/officeDocument/2006/relationships/hyperlink" Target="https://www.law.cornell.edu/uscode/text/26/108" TargetMode="External"/><Relationship Id="rId250" Type="http://schemas.openxmlformats.org/officeDocument/2006/relationships/hyperlink" Target="https://www.law.cornell.edu/uscode/text/26/61" TargetMode="External"/><Relationship Id="rId488" Type="http://schemas.openxmlformats.org/officeDocument/2006/relationships/hyperlink" Target="https://www.law.cornell.edu/uscode/text/26/163" TargetMode="External"/><Relationship Id="rId695"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709" Type="http://schemas.openxmlformats.org/officeDocument/2006/relationships/hyperlink" Target="https://www.law.cornell.edu/uscode/text/26/262" TargetMode="External"/><Relationship Id="rId916"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1101"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45" Type="http://schemas.openxmlformats.org/officeDocument/2006/relationships/hyperlink" Target="https://www.law.cornell.edu/uscode/text/26/212" TargetMode="External"/><Relationship Id="rId110" Type="http://schemas.openxmlformats.org/officeDocument/2006/relationships/image" Target="media/image9.png"/><Relationship Id="rId348"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555" Type="http://schemas.openxmlformats.org/officeDocument/2006/relationships/hyperlink" Target="https://www.law.cornell.edu/uscode/text/26/166" TargetMode="External"/><Relationship Id="rId762" Type="http://schemas.openxmlformats.org/officeDocument/2006/relationships/hyperlink" Target="https://www.law.cornell.edu/cfr/text/26/1.1031(a)-1" TargetMode="External"/><Relationship Id="rId194" Type="http://schemas.openxmlformats.org/officeDocument/2006/relationships/hyperlink" Target="https://www.law.cornell.edu/uscode/text/26/83" TargetMode="External"/><Relationship Id="rId208"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415"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1045"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261"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499"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927" Type="http://schemas.openxmlformats.org/officeDocument/2006/relationships/hyperlink" Target="https://www.law.cornell.edu/uscode/text/26/162" TargetMode="External"/><Relationship Id="rId1112"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56" Type="http://schemas.openxmlformats.org/officeDocument/2006/relationships/hyperlink" Target="https://www.law.cornell.edu/uscode/text/26/1222" TargetMode="External"/><Relationship Id="rId359"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566"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773" Type="http://schemas.openxmlformats.org/officeDocument/2006/relationships/hyperlink" Target="https://www.law.cornell.edu/uscode/text/26/1041" TargetMode="External"/><Relationship Id="rId121" Type="http://schemas.openxmlformats.org/officeDocument/2006/relationships/hyperlink" Target="http://www.nytimes.com/2012/07/05/opinion/a-carbon-tax-sensible-for-all.html" TargetMode="External"/><Relationship Id="rId219"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426"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633"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980" Type="http://schemas.openxmlformats.org/officeDocument/2006/relationships/hyperlink" Target="https://www.law.cornell.edu/cfr/text/26/1.183-2" TargetMode="External"/><Relationship Id="rId1056"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840" Type="http://schemas.openxmlformats.org/officeDocument/2006/relationships/hyperlink" Target="https://www.law.cornell.edu/uscode/text/26/465" TargetMode="External"/><Relationship Id="rId938" Type="http://schemas.openxmlformats.org/officeDocument/2006/relationships/hyperlink" Target="https://www.law.cornell.edu/uscode/text/26/165" TargetMode="External"/><Relationship Id="rId67" Type="http://schemas.openxmlformats.org/officeDocument/2006/relationships/hyperlink" Target="https://www.law.cornell.edu/uscode/text/26/151" TargetMode="External"/><Relationship Id="rId272"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577"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700"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1123"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132" Type="http://schemas.openxmlformats.org/officeDocument/2006/relationships/footer" Target="footer15.xml"/><Relationship Id="rId784" Type="http://schemas.openxmlformats.org/officeDocument/2006/relationships/hyperlink" Target="https://www.law.cornell.edu/uscode/text/26/168" TargetMode="External"/><Relationship Id="rId991" Type="http://schemas.openxmlformats.org/officeDocument/2006/relationships/hyperlink" Target="https://www.law.cornell.edu/uscode/text/26/162" TargetMode="External"/><Relationship Id="rId1067"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437"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44"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851" Type="http://schemas.openxmlformats.org/officeDocument/2006/relationships/hyperlink" Target="https://www.law.cornell.edu/uscode/text/26/163" TargetMode="External"/><Relationship Id="rId283"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490" Type="http://schemas.openxmlformats.org/officeDocument/2006/relationships/hyperlink" Target="https://www.law.cornell.edu/uscode/text/26/72" TargetMode="External"/><Relationship Id="rId504"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711" Type="http://schemas.openxmlformats.org/officeDocument/2006/relationships/hyperlink" Target="https://www.law.cornell.edu/uscode/text/26/165" TargetMode="External"/><Relationship Id="rId949" Type="http://schemas.openxmlformats.org/officeDocument/2006/relationships/hyperlink" Target="https://www.law.cornell.edu/uscode/text/26/36B" TargetMode="External"/><Relationship Id="rId1134"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78" Type="http://schemas.openxmlformats.org/officeDocument/2006/relationships/hyperlink" Target="https://www.law.cornell.edu/uscode/text/26/24" TargetMode="External"/><Relationship Id="rId143" Type="http://schemas.openxmlformats.org/officeDocument/2006/relationships/hyperlink" Target="https://www.law.cornell.edu/cfr/text/26/1.162-4" TargetMode="External"/><Relationship Id="rId350" Type="http://schemas.openxmlformats.org/officeDocument/2006/relationships/hyperlink" Target="https://www.law.cornell.edu/uscode/text/26/262" TargetMode="External"/><Relationship Id="rId588"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795" Type="http://schemas.openxmlformats.org/officeDocument/2006/relationships/hyperlink" Target="https://www.law.cornell.edu/uscode/text/26/1211" TargetMode="External"/><Relationship Id="rId809" Type="http://schemas.openxmlformats.org/officeDocument/2006/relationships/hyperlink" Target="https://www.law.cornell.edu/uscode/text/26/1256" TargetMode="External"/><Relationship Id="rId9" Type="http://schemas.openxmlformats.org/officeDocument/2006/relationships/hyperlink" Target="http://www.cali.org/" TargetMode="External"/><Relationship Id="rId210"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448" Type="http://schemas.openxmlformats.org/officeDocument/2006/relationships/hyperlink" Target="https://www.law.cornell.edu/uscode/text/26/676" TargetMode="External"/><Relationship Id="rId655"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862" Type="http://schemas.openxmlformats.org/officeDocument/2006/relationships/footer" Target="footer22.xml"/><Relationship Id="rId107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294"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308" Type="http://schemas.openxmlformats.org/officeDocument/2006/relationships/header" Target="header24.xml"/><Relationship Id="rId515"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722" Type="http://schemas.openxmlformats.org/officeDocument/2006/relationships/hyperlink" Target="https://www.law.cornell.edu/uscode/text/26/166" TargetMode="External"/><Relationship Id="rId114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89" Type="http://schemas.openxmlformats.org/officeDocument/2006/relationships/footer" Target="footer8.xml"/><Relationship Id="rId154" Type="http://schemas.openxmlformats.org/officeDocument/2006/relationships/hyperlink" Target="https://www.law.cornell.edu/uscode/text/26/119"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599"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1005" Type="http://schemas.openxmlformats.org/officeDocument/2006/relationships/hyperlink" Target="https://www.law.cornell.edu/cfr/text/26/1.162-2" TargetMode="External"/><Relationship Id="rId459" Type="http://schemas.openxmlformats.org/officeDocument/2006/relationships/hyperlink" Target="https://www.law.cornell.edu/uscode/text/26/71" TargetMode="External"/><Relationship Id="rId666"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873" Type="http://schemas.openxmlformats.org/officeDocument/2006/relationships/hyperlink" Target="https://www.law.cornell.edu/uscode/text/26/197" TargetMode="External"/><Relationship Id="rId1089"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16" Type="http://schemas.openxmlformats.org/officeDocument/2006/relationships/hyperlink" Target="http://creativecommons.org/licenses/by-nc-sa/3.0/" TargetMode="External"/><Relationship Id="rId221"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319" Type="http://schemas.openxmlformats.org/officeDocument/2006/relationships/hyperlink" Target="https://www.law.cornell.edu/uscode/text/26/102" TargetMode="External"/><Relationship Id="rId526"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1156"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733" Type="http://schemas.openxmlformats.org/officeDocument/2006/relationships/header" Target="header35.xml"/><Relationship Id="rId940" Type="http://schemas.openxmlformats.org/officeDocument/2006/relationships/hyperlink" Target="https://www.law.cornell.edu/cfr/text/26/1.263(a)-3" TargetMode="External"/><Relationship Id="rId1016" Type="http://schemas.openxmlformats.org/officeDocument/2006/relationships/hyperlink" Target="https://www.law.cornell.edu/uscode/text/26/280A" TargetMode="External"/><Relationship Id="rId165"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372" Type="http://schemas.openxmlformats.org/officeDocument/2006/relationships/hyperlink" Target="https://www.law.cornell.edu/uscode/text/26/1014" TargetMode="External"/><Relationship Id="rId67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800" Type="http://schemas.openxmlformats.org/officeDocument/2006/relationships/hyperlink" Target="https://www.law.cornell.edu/uscode/text/26/1222" TargetMode="External"/><Relationship Id="rId232"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884" Type="http://schemas.openxmlformats.org/officeDocument/2006/relationships/hyperlink" Target="https://www.law.cornell.edu/uscode/text/26/104" TargetMode="External"/><Relationship Id="rId27" Type="http://schemas.openxmlformats.org/officeDocument/2006/relationships/header" Target="header5.xml"/><Relationship Id="rId537"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744" Type="http://schemas.openxmlformats.org/officeDocument/2006/relationships/hyperlink" Target="https://www.law.cornell.edu/uscode/text/26/167" TargetMode="External"/><Relationship Id="rId951" Type="http://schemas.openxmlformats.org/officeDocument/2006/relationships/hyperlink" Target="https://www.law.cornell.edu/uscode/text/26/501" TargetMode="External"/><Relationship Id="rId116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80" Type="http://schemas.openxmlformats.org/officeDocument/2006/relationships/hyperlink" Target="https://www.law.cornell.edu/uscode/text/26/32" TargetMode="External"/><Relationship Id="rId176" Type="http://schemas.openxmlformats.org/officeDocument/2006/relationships/hyperlink" Target="https://www.law.cornell.edu/uscode/text/26/162" TargetMode="External"/><Relationship Id="rId383" Type="http://schemas.openxmlformats.org/officeDocument/2006/relationships/hyperlink" Target="https://www.law.cornell.edu/uscode/text/26/1014" TargetMode="External"/><Relationship Id="rId590" Type="http://schemas.openxmlformats.org/officeDocument/2006/relationships/hyperlink" Target="https://www.law.cornell.edu/uscode/text/26/108" TargetMode="External"/><Relationship Id="rId604"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811" Type="http://schemas.openxmlformats.org/officeDocument/2006/relationships/hyperlink" Target="https://www.law.cornell.edu/uscode/text/26/1222" TargetMode="External"/><Relationship Id="rId1027" Type="http://schemas.openxmlformats.org/officeDocument/2006/relationships/footer" Target="footer26.xml"/><Relationship Id="rId243"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450"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68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895"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909"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1080"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38" Type="http://schemas.openxmlformats.org/officeDocument/2006/relationships/hyperlink" Target="https://www.law.cornell.edu/uscode/text/26/61" TargetMode="External"/><Relationship Id="rId103" Type="http://schemas.openxmlformats.org/officeDocument/2006/relationships/footer" Target="footer12.xml"/><Relationship Id="rId310" Type="http://schemas.openxmlformats.org/officeDocument/2006/relationships/footer" Target="footer19.xml"/><Relationship Id="rId548" Type="http://schemas.openxmlformats.org/officeDocument/2006/relationships/hyperlink" Target="https://www.law.cornell.edu/uscode/text/26/1001" TargetMode="External"/><Relationship Id="rId755" Type="http://schemas.openxmlformats.org/officeDocument/2006/relationships/hyperlink" Target="https://www.law.cornell.edu/uscode/text/26/1033" TargetMode="External"/><Relationship Id="rId962" Type="http://schemas.openxmlformats.org/officeDocument/2006/relationships/hyperlink" Target="https://www.law.cornell.edu/uscode/text/26/164" TargetMode="External"/><Relationship Id="rId91" Type="http://schemas.openxmlformats.org/officeDocument/2006/relationships/header" Target="header9.xml"/><Relationship Id="rId187" Type="http://schemas.openxmlformats.org/officeDocument/2006/relationships/hyperlink" Target="https://www.law.cornell.edu/uscode/text/26/132" TargetMode="External"/><Relationship Id="rId394"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408"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615" Type="http://schemas.openxmlformats.org/officeDocument/2006/relationships/hyperlink" Target="https://www.law.cornell.edu/uscode/text/26/108" TargetMode="External"/><Relationship Id="rId822" Type="http://schemas.openxmlformats.org/officeDocument/2006/relationships/hyperlink" Target="https://www.law.cornell.edu/uscode/text/26/1231" TargetMode="External"/><Relationship Id="rId1038" Type="http://schemas.openxmlformats.org/officeDocument/2006/relationships/hyperlink" Target="https://www.law.cornell.edu/uscode/text/26/111" TargetMode="External"/><Relationship Id="rId254"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69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1091"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1105"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49" Type="http://schemas.openxmlformats.org/officeDocument/2006/relationships/hyperlink" Target="https://www.law.cornell.edu/cfr/text/26/1.162-4" TargetMode="External"/><Relationship Id="rId114" Type="http://schemas.openxmlformats.org/officeDocument/2006/relationships/image" Target="media/image13.png"/><Relationship Id="rId461" Type="http://schemas.openxmlformats.org/officeDocument/2006/relationships/hyperlink" Target="https://www.law.cornell.edu/uscode/text/26/71" TargetMode="External"/><Relationship Id="rId559" Type="http://schemas.openxmlformats.org/officeDocument/2006/relationships/hyperlink" Target="https://www.law.cornell.edu/uscode/text/26/262" TargetMode="External"/><Relationship Id="rId766" Type="http://schemas.openxmlformats.org/officeDocument/2006/relationships/hyperlink" Target="https://www.law.cornell.edu/uscode/text/26/1031" TargetMode="External"/><Relationship Id="rId198" Type="http://schemas.openxmlformats.org/officeDocument/2006/relationships/hyperlink" Target="https://www.law.cornell.edu/uscode/text/26/83" TargetMode="External"/><Relationship Id="rId321" Type="http://schemas.openxmlformats.org/officeDocument/2006/relationships/hyperlink" Target="https://www.law.cornell.edu/cfr/text/26/1.1015-4"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973" Type="http://schemas.openxmlformats.org/officeDocument/2006/relationships/hyperlink" Target="https://www.law.cornell.edu/uscode/text/26/163" TargetMode="External"/><Relationship Id="rId1049" Type="http://schemas.openxmlformats.org/officeDocument/2006/relationships/hyperlink" Target="https://www.law.cornell.edu/uscode/text/26/453" TargetMode="External"/><Relationship Id="rId833"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1116"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265"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72" Type="http://schemas.openxmlformats.org/officeDocument/2006/relationships/hyperlink" Target="https://www.law.cornell.edu/uscode/text/26/1221" TargetMode="External"/><Relationship Id="rId900"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125" Type="http://schemas.openxmlformats.org/officeDocument/2006/relationships/image" Target="media/image19.png"/><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777" Type="http://schemas.openxmlformats.org/officeDocument/2006/relationships/hyperlink" Target="https://www.law.cornell.edu/uscode/text/26/167" TargetMode="External"/><Relationship Id="rId984" Type="http://schemas.openxmlformats.org/officeDocument/2006/relationships/header" Target="header46.xml"/><Relationship Id="rId637"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844" Type="http://schemas.openxmlformats.org/officeDocument/2006/relationships/hyperlink" Target="https://www.law.cornell.edu/uscode/text/26/469" TargetMode="External"/><Relationship Id="rId276"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483" Type="http://schemas.openxmlformats.org/officeDocument/2006/relationships/hyperlink" Target="https://www.law.cornell.edu/uscode/text/26/162" TargetMode="External"/><Relationship Id="rId69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704"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911"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12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40" Type="http://schemas.openxmlformats.org/officeDocument/2006/relationships/hyperlink" Target="https://www.law.cornell.edu/uscode/text/26/1011" TargetMode="External"/><Relationship Id="rId136" Type="http://schemas.openxmlformats.org/officeDocument/2006/relationships/hyperlink" Target="https://www.law.cornell.edu/cfr/text/26/1.263(a)-4" TargetMode="External"/><Relationship Id="rId343"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550" Type="http://schemas.openxmlformats.org/officeDocument/2006/relationships/hyperlink" Target="https://www.law.cornell.edu/uscode/text/26/262" TargetMode="External"/><Relationship Id="rId788" Type="http://schemas.openxmlformats.org/officeDocument/2006/relationships/hyperlink" Target="https://www.law.cornell.edu/uscode/text/26/197" TargetMode="External"/><Relationship Id="rId995" Type="http://schemas.openxmlformats.org/officeDocument/2006/relationships/hyperlink" Target="https://www.law.cornell.edu/cfr/text/26/1.262-1" TargetMode="External"/><Relationship Id="rId203" Type="http://schemas.openxmlformats.org/officeDocument/2006/relationships/header" Target="header19.xml"/><Relationship Id="rId648"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855" Type="http://schemas.openxmlformats.org/officeDocument/2006/relationships/hyperlink" Target="https://www.law.cornell.edu/uscode/text/26/163" TargetMode="External"/><Relationship Id="rId1040"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287" Type="http://schemas.openxmlformats.org/officeDocument/2006/relationships/hyperlink" Target="https://www.law.cornell.edu/cfr/text/26/1.61-2" TargetMode="External"/><Relationship Id="rId410"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494"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508"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715" Type="http://schemas.openxmlformats.org/officeDocument/2006/relationships/hyperlink" Target="https://www.law.cornell.edu/uscode/text/26/1001" TargetMode="External"/><Relationship Id="rId922"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113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147" Type="http://schemas.openxmlformats.org/officeDocument/2006/relationships/header" Target="header16.xml"/><Relationship Id="rId354" Type="http://schemas.openxmlformats.org/officeDocument/2006/relationships/hyperlink" Target="https://www.law.cornell.edu/uscode/text/26/132" TargetMode="External"/><Relationship Id="rId799" Type="http://schemas.openxmlformats.org/officeDocument/2006/relationships/hyperlink" Target="https://www.law.cornell.edu/uscode/text/26/1244" TargetMode="External"/><Relationship Id="rId51" Type="http://schemas.openxmlformats.org/officeDocument/2006/relationships/hyperlink" Target="https://www.law.cornell.edu/uscode/text/26/1016" TargetMode="External"/><Relationship Id="rId561" Type="http://schemas.openxmlformats.org/officeDocument/2006/relationships/hyperlink" Target="https://www.law.cornell.edu/cfr/text/26/1.166-2" TargetMode="External"/><Relationship Id="rId659"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866" Type="http://schemas.openxmlformats.org/officeDocument/2006/relationships/hyperlink" Target="https://www.law.cornell.edu/uscode/text/26/117" TargetMode="External"/><Relationship Id="rId214"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298"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421"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519"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1051" Type="http://schemas.openxmlformats.org/officeDocument/2006/relationships/hyperlink" Target="https://www.law.cornell.edu/uscode/text/26/446" TargetMode="External"/><Relationship Id="rId114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158"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726" Type="http://schemas.openxmlformats.org/officeDocument/2006/relationships/hyperlink" Target="https://www.law.cornell.edu/uscode/text/26/162" TargetMode="External"/><Relationship Id="rId933" Type="http://schemas.openxmlformats.org/officeDocument/2006/relationships/header" Target="header42.xml"/><Relationship Id="rId1009" Type="http://schemas.openxmlformats.org/officeDocument/2006/relationships/hyperlink" Target="https://www.law.cornell.edu/uscode/text/26/274" TargetMode="External"/><Relationship Id="rId62" Type="http://schemas.openxmlformats.org/officeDocument/2006/relationships/hyperlink" Target="https://www.law.cornell.edu/uscode/text/26/102" TargetMode="External"/><Relationship Id="rId365"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572"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225"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432"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877" Type="http://schemas.openxmlformats.org/officeDocument/2006/relationships/hyperlink" Target="https://www.law.cornell.edu/uscode/text/26/132" TargetMode="External"/><Relationship Id="rId1062"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737" Type="http://schemas.openxmlformats.org/officeDocument/2006/relationships/hyperlink" Target="https://www.law.cornell.edu/uscode/text/26/165" TargetMode="External"/><Relationship Id="rId944" Type="http://schemas.openxmlformats.org/officeDocument/2006/relationships/hyperlink" Target="https://www.law.cornell.edu/cfr/text/26/1.213-1" TargetMode="External"/><Relationship Id="rId73" Type="http://schemas.openxmlformats.org/officeDocument/2006/relationships/hyperlink" Target="https://www.law.cornell.edu/uscode/text/26/62" TargetMode="External"/><Relationship Id="rId169"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376" Type="http://schemas.openxmlformats.org/officeDocument/2006/relationships/hyperlink" Target="http://online.wsj.com/public/quotes/main.html?type=djn&amp;symbol=GS" TargetMode="External"/><Relationship Id="rId583"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790" Type="http://schemas.openxmlformats.org/officeDocument/2006/relationships/hyperlink" Target="https://www.law.cornell.edu/uscode/text/26/195" TargetMode="External"/><Relationship Id="rId804" Type="http://schemas.openxmlformats.org/officeDocument/2006/relationships/hyperlink" Target="https://www.law.cornell.edu/uscode/text/26/1221" TargetMode="External"/><Relationship Id="rId4" Type="http://schemas.openxmlformats.org/officeDocument/2006/relationships/settings" Target="settings.xml"/><Relationship Id="rId236"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443"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650"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888" Type="http://schemas.openxmlformats.org/officeDocument/2006/relationships/hyperlink" Target="https://www.law.cornell.edu/uscode/text/26/56" TargetMode="External"/><Relationship Id="rId1073"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303" Type="http://schemas.openxmlformats.org/officeDocument/2006/relationships/hyperlink" Target="https://www.law.cornell.edu/uscode/text/26/109" TargetMode="External"/><Relationship Id="rId748" Type="http://schemas.openxmlformats.org/officeDocument/2006/relationships/hyperlink" Target="https://www.law.cornell.edu/uscode/text/26/167" TargetMode="External"/><Relationship Id="rId955" Type="http://schemas.openxmlformats.org/officeDocument/2006/relationships/hyperlink" Target="https://www.law.cornell.edu/uscode/text/26/170" TargetMode="External"/><Relationship Id="rId1140"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84" Type="http://schemas.openxmlformats.org/officeDocument/2006/relationships/hyperlink" Target="https://www.law.cornell.edu/uscode/text/26/102" TargetMode="External"/><Relationship Id="rId387"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510"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594" Type="http://schemas.openxmlformats.org/officeDocument/2006/relationships/hyperlink" Target="javascript:void%200" TargetMode="External"/><Relationship Id="rId608"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815" Type="http://schemas.openxmlformats.org/officeDocument/2006/relationships/hyperlink" Target="https://www.law.cornell.edu/uscode/text/26/166" TargetMode="External"/><Relationship Id="rId247" Type="http://schemas.openxmlformats.org/officeDocument/2006/relationships/hyperlink" Target="https://www.law.cornell.edu/uscode/text/26/262" TargetMode="External"/><Relationship Id="rId899"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1000" Type="http://schemas.openxmlformats.org/officeDocument/2006/relationships/hyperlink" Target="https://www.law.cornell.edu/uscode/text/26/274" TargetMode="External"/><Relationship Id="rId108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107" Type="http://schemas.openxmlformats.org/officeDocument/2006/relationships/image" Target="media/image6.gif"/><Relationship Id="rId454" Type="http://schemas.openxmlformats.org/officeDocument/2006/relationships/hyperlink" Target="https://www.law.cornell.edu/uscode/text/26/215" TargetMode="External"/><Relationship Id="rId661"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759" Type="http://schemas.openxmlformats.org/officeDocument/2006/relationships/hyperlink" Target="https://www.law.cornell.edu/uscode/text/26/1031" TargetMode="External"/><Relationship Id="rId966" Type="http://schemas.openxmlformats.org/officeDocument/2006/relationships/header" Target="header43.xm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18"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21"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34"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2"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47"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50"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55"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7"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12"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17"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9"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2" Type="http://schemas.openxmlformats.org/officeDocument/2006/relationships/hyperlink" Target="http://www.nytimes.com/2015/12/06/business/martin-shkreli-the-bad-boy-of-pharmaceuticals-hits-back.html?_r=0" TargetMode="External"/><Relationship Id="rId16"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20"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29"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41"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54"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11"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37"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40"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45"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3"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58"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5"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15"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28"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36"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9"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57"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10"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19"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44"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2"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0"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4"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9"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4"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27"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35"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43"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48"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56"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8"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3" Type="http://schemas.openxmlformats.org/officeDocument/2006/relationships/hyperlink" Target="https://publicpolicy.wharton.upenn.edu/issue-brief/v1n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C188-D7DC-49AB-82BC-7419DD132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15865FEB.dotm</Template>
  <TotalTime>4417</TotalTime>
  <Pages>770</Pages>
  <Words>421120</Words>
  <Characters>2400390</Characters>
  <Application>Microsoft Office Word</Application>
  <DocSecurity>0</DocSecurity>
  <Lines>20003</Lines>
  <Paragraphs>5631</Paragraphs>
  <ScaleCrop>false</ScaleCrop>
  <HeadingPairs>
    <vt:vector size="2" baseType="variant">
      <vt:variant>
        <vt:lpstr>Title</vt:lpstr>
      </vt:variant>
      <vt:variant>
        <vt:i4>1</vt:i4>
      </vt:variant>
    </vt:vector>
  </HeadingPairs>
  <TitlesOfParts>
    <vt:vector size="1" baseType="lpstr">
      <vt:lpstr/>
    </vt:vector>
  </TitlesOfParts>
  <Company>Cleveland-Marshall College of Law</Company>
  <LinksUpToDate>false</LinksUpToDate>
  <CharactersWithSpaces>2815879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Deborah A. Geier</cp:lastModifiedBy>
  <cp:revision>867</cp:revision>
  <cp:lastPrinted>2016-12-08T00:14:00Z</cp:lastPrinted>
  <dcterms:created xsi:type="dcterms:W3CDTF">2016-01-11T16:51:00Z</dcterms:created>
  <dcterms:modified xsi:type="dcterms:W3CDTF">2016-12-08T17:11:00Z</dcterms:modified>
</cp:coreProperties>
</file>