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25" w:rsidRPr="00423A02" w:rsidRDefault="00423A02" w:rsidP="006E01AE">
      <w:pPr>
        <w:pStyle w:val="Heading"/>
      </w:pPr>
      <w:r>
        <w:rPr>
          <w:noProof/>
        </w:rPr>
        <w:drawing>
          <wp:inline distT="0" distB="0" distL="0" distR="0" wp14:anchorId="769D4E60" wp14:editId="0BD4B9AE">
            <wp:extent cx="5470635" cy="729418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tzk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3340" cy="7297787"/>
                    </a:xfrm>
                    <a:prstGeom prst="rect">
                      <a:avLst/>
                    </a:prstGeom>
                  </pic:spPr>
                </pic:pic>
              </a:graphicData>
            </a:graphic>
          </wp:inline>
        </w:drawing>
      </w:r>
      <w:r w:rsidR="00FD4825" w:rsidRPr="006E01AE">
        <w:rPr>
          <w:sz w:val="72"/>
        </w:rPr>
        <w:lastRenderedPageBreak/>
        <w:t xml:space="preserve">Basic Income Tax </w:t>
      </w:r>
    </w:p>
    <w:p w:rsidR="004020EF" w:rsidRPr="006E01AE" w:rsidRDefault="004020EF" w:rsidP="006E01AE">
      <w:pPr>
        <w:pStyle w:val="Heading2"/>
        <w:rPr>
          <w:sz w:val="12"/>
          <w:szCs w:val="24"/>
        </w:rPr>
      </w:pPr>
      <w:r w:rsidRPr="006E01AE">
        <w:t>Second Edition</w:t>
      </w:r>
    </w:p>
    <w:p w:rsidR="00FD4825" w:rsidRPr="00576ED7" w:rsidRDefault="00FD4825" w:rsidP="00AB61A1">
      <w:pPr>
        <w:pStyle w:val="TitlePage-Author"/>
      </w:pPr>
      <w:bookmarkStart w:id="0" w:name="_GoBack"/>
      <w:bookmarkEnd w:id="0"/>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p>
    <w:p w:rsidR="00FD4825" w:rsidRPr="00AB61A1" w:rsidRDefault="00FD4825" w:rsidP="00AB61A1">
      <w:pPr>
        <w:pStyle w:val="TitlePage-Author"/>
      </w:pPr>
      <w:r w:rsidRPr="00AB61A1">
        <w:t>William Kratzke</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of Law</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The University of Memphis</w:t>
      </w:r>
    </w:p>
    <w:p w:rsidR="00FD4825" w:rsidRPr="00576ED7" w:rsidRDefault="00FD4825" w:rsidP="00AB61A1">
      <w:pPr>
        <w:pStyle w:val="TitlePage-Author"/>
      </w:pPr>
    </w:p>
    <w:p w:rsidR="00FD4825" w:rsidRPr="00576ED7" w:rsidRDefault="00FD4825" w:rsidP="00AB61A1">
      <w:pPr>
        <w:pStyle w:val="TitlePage-Author"/>
      </w:pPr>
    </w:p>
    <w:p w:rsidR="00FD4825" w:rsidRDefault="00423A02" w:rsidP="00AB61A1">
      <w:pPr>
        <w:pStyle w:val="TitlePage-Author"/>
      </w:pPr>
      <w:r>
        <w:br/>
      </w:r>
    </w:p>
    <w:p w:rsidR="00423A02" w:rsidRDefault="00423A02" w:rsidP="00AB61A1">
      <w:pPr>
        <w:pStyle w:val="TitlePage-Author"/>
      </w:pPr>
    </w:p>
    <w:p w:rsidR="00423A02" w:rsidRPr="00576ED7" w:rsidRDefault="00423A02" w:rsidP="00AB61A1">
      <w:pPr>
        <w:pStyle w:val="TitlePage-Author"/>
      </w:pPr>
    </w:p>
    <w:p w:rsidR="00FD4825" w:rsidRPr="00576ED7" w:rsidRDefault="00FD4825" w:rsidP="00AB61A1">
      <w:pPr>
        <w:pStyle w:val="TitlePage-Author"/>
      </w:pPr>
    </w:p>
    <w:p w:rsidR="00FD4825" w:rsidRPr="00576ED7" w:rsidRDefault="00FD4825" w:rsidP="00AB61A1">
      <w:pPr>
        <w:pStyle w:val="TitlePage-Author"/>
      </w:pPr>
      <w:r w:rsidRPr="00576ED7">
        <w:t>CALI eLangdell</w:t>
      </w:r>
      <w:r w:rsidR="00423A02" w:rsidRPr="00423A02">
        <w:rPr>
          <w:vertAlign w:val="superscript"/>
        </w:rPr>
        <w:t>®</w:t>
      </w:r>
      <w:r w:rsidRPr="00576ED7">
        <w:t xml:space="preserve"> Press 2013</w:t>
      </w:r>
    </w:p>
    <w:p w:rsidR="00423A02" w:rsidRDefault="00FD4825" w:rsidP="00AB61A1">
      <w:pPr>
        <w:pStyle w:val="Heading2"/>
        <w:rPr>
          <w:sz w:val="24"/>
          <w:szCs w:val="24"/>
        </w:rPr>
        <w:sectPr w:rsidR="00423A02" w:rsidSect="00423A02">
          <w:headerReference w:type="even" r:id="rId10"/>
          <w:footerReference w:type="even" r:id="rId11"/>
          <w:footerReference w:type="default" r:id="rId12"/>
          <w:type w:val="continuous"/>
          <w:pgSz w:w="12240" w:h="15840"/>
          <w:pgMar w:top="2160" w:right="2160" w:bottom="2160" w:left="2160" w:header="720" w:footer="2160" w:gutter="0"/>
          <w:pgNumType w:fmt="lowerRoman" w:start="1"/>
          <w:cols w:space="720"/>
          <w:titlePg/>
          <w:docGrid w:linePitch="326"/>
        </w:sectPr>
      </w:pPr>
      <w:bookmarkStart w:id="1" w:name="_Toc348954228"/>
      <w:bookmarkStart w:id="2" w:name="_Toc349741730"/>
      <w:bookmarkStart w:id="3" w:name="_Toc350342085"/>
      <w:bookmarkStart w:id="4" w:name="_Toc356564140"/>
      <w:r w:rsidRPr="00576ED7">
        <w:rPr>
          <w:sz w:val="24"/>
          <w:szCs w:val="24"/>
        </w:rPr>
        <w:br w:type="page"/>
      </w:r>
      <w:bookmarkStart w:id="5" w:name="_Toc361064342"/>
      <w:bookmarkStart w:id="6" w:name="_Toc375132904"/>
    </w:p>
    <w:p w:rsidR="00FD4825" w:rsidRPr="00AB61A1" w:rsidRDefault="00FD4825" w:rsidP="00AB61A1">
      <w:pPr>
        <w:pStyle w:val="Heading2"/>
      </w:pPr>
      <w:r w:rsidRPr="00AB61A1">
        <w:lastRenderedPageBreak/>
        <w:t>About the Author</w:t>
      </w:r>
      <w:bookmarkEnd w:id="1"/>
      <w:bookmarkEnd w:id="2"/>
      <w:bookmarkEnd w:id="3"/>
      <w:bookmarkEnd w:id="4"/>
      <w:bookmarkEnd w:id="5"/>
      <w:bookmarkEnd w:id="6"/>
      <w:r w:rsidRPr="00AB61A1">
        <w:t xml:space="preserve"> </w:t>
      </w:r>
    </w:p>
    <w:p w:rsidR="00567B84" w:rsidRPr="00576ED7" w:rsidRDefault="00567B84" w:rsidP="00FD4825">
      <w:pPr>
        <w:pStyle w:val="Body"/>
        <w:rPr>
          <w:rFonts w:ascii="Times New Roman" w:hAnsi="Times New Roman"/>
          <w:szCs w:val="24"/>
        </w:rPr>
        <w:sectPr w:rsidR="00567B84" w:rsidRPr="00576ED7" w:rsidSect="00423A02">
          <w:footerReference w:type="default" r:id="rId13"/>
          <w:type w:val="continuous"/>
          <w:pgSz w:w="12240" w:h="15840"/>
          <w:pgMar w:top="2160" w:right="2160" w:bottom="2160" w:left="2160" w:header="720" w:footer="2160" w:gutter="0"/>
          <w:pgNumType w:fmt="lowerRoman" w:start="1"/>
          <w:cols w:space="720"/>
          <w:docGrid w:linePitch="326"/>
        </w:sectPr>
      </w:pPr>
    </w:p>
    <w:p w:rsidR="00FD4825" w:rsidRPr="00576ED7" w:rsidRDefault="00FD4825" w:rsidP="00FD4825">
      <w:pPr>
        <w:pStyle w:val="Body"/>
        <w:rPr>
          <w:rFonts w:ascii="Times New Roman" w:hAnsi="Times New Roman"/>
          <w:szCs w:val="24"/>
        </w:rPr>
      </w:pPr>
      <w:r w:rsidRPr="00576ED7">
        <w:rPr>
          <w:rFonts w:ascii="Times New Roman" w:hAnsi="Times New Roman"/>
          <w:szCs w:val="24"/>
        </w:rPr>
        <w:lastRenderedPageBreak/>
        <w:t>Professor William Kratzke is a Cecil C. Humphreys Professor of Law at the Un</w:t>
      </w:r>
      <w:r w:rsidRPr="00576ED7">
        <w:rPr>
          <w:rFonts w:ascii="Times New Roman" w:hAnsi="Times New Roman"/>
          <w:szCs w:val="24"/>
        </w:rPr>
        <w:t>i</w:t>
      </w:r>
      <w:r w:rsidRPr="00576ED7">
        <w:rPr>
          <w:rFonts w:ascii="Times New Roman" w:hAnsi="Times New Roman"/>
          <w:szCs w:val="24"/>
        </w:rPr>
        <w:t>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w:t>
      </w:r>
      <w:r w:rsidRPr="00576ED7">
        <w:rPr>
          <w:rFonts w:ascii="Times New Roman" w:hAnsi="Times New Roman"/>
          <w:szCs w:val="24"/>
        </w:rPr>
        <w:t>r</w:t>
      </w:r>
      <w:r w:rsidRPr="00576ED7">
        <w:rPr>
          <w:rFonts w:ascii="Times New Roman" w:hAnsi="Times New Roman"/>
          <w:szCs w:val="24"/>
        </w:rPr>
        <w:t>sity in 1977.</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   He has been a faculty member there since 1979.  He has taught courses across the curriculum.  In addition to tax courses, he has taught trademarks, torts, civil pr</w:t>
      </w:r>
      <w:r w:rsidRPr="00576ED7">
        <w:rPr>
          <w:rFonts w:ascii="Times New Roman" w:hAnsi="Times New Roman"/>
          <w:szCs w:val="24"/>
        </w:rPr>
        <w:t>o</w:t>
      </w:r>
      <w:r w:rsidRPr="00576ED7">
        <w:rPr>
          <w:rFonts w:ascii="Times New Roman" w:hAnsi="Times New Roman"/>
          <w:szCs w:val="24"/>
        </w:rPr>
        <w:t>cedure, world trade law, economic analysis, and other courses.  He visited Santa Clara University and the University of Mississippi.  He received Fulbright Teac</w:t>
      </w:r>
      <w:r w:rsidRPr="00576ED7">
        <w:rPr>
          <w:rFonts w:ascii="Times New Roman" w:hAnsi="Times New Roman"/>
          <w:szCs w:val="24"/>
        </w:rPr>
        <w:t>h</w:t>
      </w:r>
      <w:r w:rsidRPr="00576ED7">
        <w:rPr>
          <w:rFonts w:ascii="Times New Roman" w:hAnsi="Times New Roman"/>
          <w:szCs w:val="24"/>
        </w:rPr>
        <w:t>ing Awards in 1997 (Moldova) and 2001-2002 (Russia).</w:t>
      </w:r>
    </w:p>
    <w:p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rsidR="00FD4825" w:rsidRPr="00AB61A1" w:rsidRDefault="00FD4825" w:rsidP="001B1B0A">
      <w:pPr>
        <w:pStyle w:val="Body"/>
        <w:rPr>
          <w:rFonts w:ascii="Times New Roman" w:hAnsi="Times New Roman"/>
          <w:sz w:val="40"/>
          <w:szCs w:val="40"/>
        </w:rPr>
      </w:pPr>
      <w:r w:rsidRPr="00576ED7">
        <w:rPr>
          <w:rFonts w:ascii="Times New Roman" w:hAnsi="Times New Roman"/>
          <w:szCs w:val="24"/>
        </w:rPr>
        <w:br w:type="page"/>
      </w:r>
      <w:bookmarkStart w:id="7" w:name="_Toc348954229"/>
      <w:bookmarkStart w:id="8" w:name="_Toc349741731"/>
      <w:bookmarkStart w:id="9" w:name="_Toc350342086"/>
      <w:bookmarkStart w:id="10" w:name="_Toc356564141"/>
      <w:bookmarkStart w:id="11" w:name="_Toc361064343"/>
      <w:bookmarkStart w:id="12" w:name="_Toc375132905"/>
      <w:r w:rsidRPr="00AB61A1">
        <w:rPr>
          <w:rStyle w:val="Heading2Char"/>
          <w:rFonts w:ascii="Times New Roman" w:hAnsi="Times New Roman"/>
        </w:rPr>
        <w:lastRenderedPageBreak/>
        <w:t>Notices</w:t>
      </w:r>
      <w:bookmarkEnd w:id="7"/>
      <w:bookmarkEnd w:id="8"/>
      <w:bookmarkEnd w:id="9"/>
      <w:bookmarkEnd w:id="10"/>
      <w:bookmarkEnd w:id="11"/>
      <w:bookmarkEnd w:id="12"/>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This is the first version of the </w:t>
      </w:r>
      <w:r w:rsidR="004020EF">
        <w:rPr>
          <w:rFonts w:ascii="Times New Roman" w:hAnsi="Times New Roman"/>
          <w:color w:val="auto"/>
          <w:szCs w:val="24"/>
        </w:rPr>
        <w:t>Second E</w:t>
      </w:r>
      <w:r w:rsidRPr="00576ED7">
        <w:rPr>
          <w:rFonts w:ascii="Times New Roman" w:hAnsi="Times New Roman"/>
          <w:color w:val="auto"/>
          <w:szCs w:val="24"/>
        </w:rPr>
        <w:t xml:space="preserve">dition of this </w:t>
      </w:r>
      <w:r w:rsidR="009F7D50" w:rsidRPr="00576ED7">
        <w:rPr>
          <w:rFonts w:ascii="Times New Roman" w:hAnsi="Times New Roman"/>
          <w:color w:val="auto"/>
          <w:szCs w:val="24"/>
        </w:rPr>
        <w:t>casebook</w:t>
      </w:r>
      <w:r w:rsidRPr="00576ED7">
        <w:rPr>
          <w:rFonts w:ascii="Times New Roman" w:hAnsi="Times New Roman"/>
          <w:color w:val="auto"/>
          <w:szCs w:val="24"/>
        </w:rPr>
        <w:t xml:space="preserve">, updated </w:t>
      </w:r>
      <w:r w:rsidR="004020EF">
        <w:rPr>
          <w:rFonts w:ascii="Times New Roman" w:hAnsi="Times New Roman"/>
          <w:color w:val="auto"/>
          <w:szCs w:val="24"/>
        </w:rPr>
        <w:t>December 23, 201</w:t>
      </w:r>
      <w:r w:rsidR="00FF5E72">
        <w:rPr>
          <w:rFonts w:ascii="Times New Roman" w:hAnsi="Times New Roman"/>
          <w:color w:val="auto"/>
          <w:szCs w:val="24"/>
        </w:rPr>
        <w:t>3</w:t>
      </w:r>
      <w:r w:rsidRPr="00576ED7">
        <w:rPr>
          <w:rFonts w:ascii="Times New Roman" w:hAnsi="Times New Roman"/>
          <w:color w:val="auto"/>
          <w:szCs w:val="24"/>
        </w:rPr>
        <w:t xml:space="preserve">. Visit </w:t>
      </w:r>
      <w:hyperlink r:id="rId14" w:history="1">
        <w:r w:rsidRPr="00576ED7">
          <w:rPr>
            <w:rStyle w:val="Hyperlink"/>
            <w:rFonts w:ascii="Times New Roman" w:hAnsi="Times New Roman"/>
            <w:color w:val="auto"/>
            <w:szCs w:val="24"/>
            <w:u w:val="single"/>
          </w:rPr>
          <w:t>http://elangdell.cali.org/</w:t>
        </w:r>
      </w:hyperlink>
      <w:r w:rsidRPr="00576ED7">
        <w:rPr>
          <w:rFonts w:ascii="Times New Roman" w:hAnsi="Times New Roman"/>
          <w:color w:val="auto"/>
          <w:szCs w:val="24"/>
        </w:rPr>
        <w:t xml:space="preserve"> for the latest version and for revision hi</w:t>
      </w:r>
      <w:r w:rsidRPr="00576ED7">
        <w:rPr>
          <w:rFonts w:ascii="Times New Roman" w:hAnsi="Times New Roman"/>
          <w:color w:val="auto"/>
          <w:szCs w:val="24"/>
        </w:rPr>
        <w:t>s</w:t>
      </w:r>
      <w:r w:rsidRPr="00576ED7">
        <w:rPr>
          <w:rFonts w:ascii="Times New Roman" w:hAnsi="Times New Roman"/>
          <w:color w:val="auto"/>
          <w:szCs w:val="24"/>
        </w:rPr>
        <w:t>tory.</w:t>
      </w:r>
    </w:p>
    <w:p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EDF4578" wp14:editId="7678D0C7">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6"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7" w:history="1">
        <w:r w:rsidRPr="00576ED7">
          <w:rPr>
            <w:rStyle w:val="Hyperlink"/>
            <w:rFonts w:ascii="Times New Roman" w:hAnsi="Times New Roman"/>
            <w:color w:val="auto"/>
            <w:szCs w:val="24"/>
            <w:u w:val="single"/>
          </w:rPr>
          <w:t>Creative Commons Attribution-NonCommercial-ShareAlike 3.0 Unpor</w:t>
        </w:r>
        <w:r w:rsidRPr="00576ED7">
          <w:rPr>
            <w:rStyle w:val="Hyperlink"/>
            <w:rFonts w:ascii="Times New Roman" w:hAnsi="Times New Roman"/>
            <w:color w:val="auto"/>
            <w:szCs w:val="24"/>
            <w:u w:val="single"/>
          </w:rPr>
          <w:t>t</w:t>
        </w:r>
        <w:r w:rsidRPr="00576ED7">
          <w:rPr>
            <w:rStyle w:val="Hyperlink"/>
            <w:rFonts w:ascii="Times New Roman" w:hAnsi="Times New Roman"/>
            <w:color w:val="auto"/>
            <w:szCs w:val="24"/>
            <w:u w:val="single"/>
          </w:rPr>
          <w: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CALI and CALI eLan</w:t>
      </w:r>
      <w:r w:rsidRPr="00576ED7">
        <w:rPr>
          <w:rFonts w:ascii="Times New Roman" w:hAnsi="Times New Roman"/>
          <w:color w:val="auto"/>
          <w:szCs w:val="24"/>
          <w:shd w:val="clear" w:color="auto" w:fill="FFFFFF"/>
        </w:rPr>
        <w:t>g</w:t>
      </w:r>
      <w:r w:rsidRPr="00576ED7">
        <w:rPr>
          <w:rFonts w:ascii="Times New Roman" w:hAnsi="Times New Roman"/>
          <w:color w:val="auto"/>
          <w:szCs w:val="24"/>
          <w:shd w:val="clear" w:color="auto" w:fill="FFFFFF"/>
        </w:rPr>
        <w:t>dell Press do not assert copyright in US Government works or other public d</w:t>
      </w:r>
      <w:r w:rsidRPr="00576ED7">
        <w:rPr>
          <w:rFonts w:ascii="Times New Roman" w:hAnsi="Times New Roman"/>
          <w:color w:val="auto"/>
          <w:szCs w:val="24"/>
          <w:shd w:val="clear" w:color="auto" w:fill="FFFFFF"/>
        </w:rPr>
        <w:t>o</w:t>
      </w:r>
      <w:r w:rsidRPr="00576ED7">
        <w:rPr>
          <w:rFonts w:ascii="Times New Roman" w:hAnsi="Times New Roman"/>
          <w:color w:val="auto"/>
          <w:szCs w:val="24"/>
          <w:shd w:val="clear" w:color="auto" w:fill="FFFFFF"/>
        </w:rPr>
        <w:t xml:space="preserve">main material included herein. </w:t>
      </w:r>
      <w:r w:rsidRPr="00576ED7">
        <w:rPr>
          <w:rFonts w:ascii="Times New Roman" w:hAnsi="Times New Roman"/>
          <w:color w:val="auto"/>
          <w:szCs w:val="24"/>
        </w:rPr>
        <w:t xml:space="preserve">Permissions beyond the scope of this license may be available through </w:t>
      </w:r>
      <w:hyperlink r:id="rId18"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William Kratzke, Basic Income Tax, </w:t>
      </w:r>
      <w:r w:rsidR="004020EF">
        <w:rPr>
          <w:rFonts w:ascii="Times New Roman" w:hAnsi="Times New Roman"/>
          <w:color w:val="auto"/>
          <w:szCs w:val="24"/>
        </w:rPr>
        <w:t xml:space="preserve">Second Edition, </w:t>
      </w:r>
      <w:r w:rsidRPr="00576ED7">
        <w:rPr>
          <w:rFonts w:ascii="Times New Roman" w:hAnsi="Times New Roman"/>
          <w:color w:val="auto"/>
          <w:szCs w:val="24"/>
        </w:rPr>
        <w:t>Published by CALI eLan</w:t>
      </w:r>
      <w:r w:rsidRPr="00576ED7">
        <w:rPr>
          <w:rFonts w:ascii="Times New Roman" w:hAnsi="Times New Roman"/>
          <w:color w:val="auto"/>
          <w:szCs w:val="24"/>
        </w:rPr>
        <w:t>g</w:t>
      </w:r>
      <w:r w:rsidRPr="00576ED7">
        <w:rPr>
          <w:rFonts w:ascii="Times New Roman" w:hAnsi="Times New Roman"/>
          <w:color w:val="auto"/>
          <w:szCs w:val="24"/>
        </w:rPr>
        <w:t>dell Press. Available under a Creative Commons BY-NC-SA 3.0 License.</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w:t>
      </w:r>
      <w:r w:rsidRPr="00576ED7">
        <w:rPr>
          <w:rFonts w:ascii="Times New Roman" w:hAnsi="Times New Roman"/>
          <w:color w:val="auto"/>
          <w:szCs w:val="24"/>
          <w:shd w:val="clear" w:color="auto" w:fill="FFFFFF"/>
        </w:rPr>
        <w:t>a</w:t>
      </w:r>
      <w:r w:rsidRPr="00576ED7">
        <w:rPr>
          <w:rFonts w:ascii="Times New Roman" w:hAnsi="Times New Roman"/>
          <w:color w:val="auto"/>
          <w:szCs w:val="24"/>
          <w:shd w:val="clear" w:color="auto" w:fill="FFFFFF"/>
        </w:rPr>
        <w:t xml:space="preserve">tive Commons materials therein, you may not use this book’s cover art and the </w:t>
      </w:r>
      <w:r w:rsidRPr="00576ED7">
        <w:rPr>
          <w:rFonts w:ascii="Times New Roman" w:hAnsi="Times New Roman"/>
          <w:color w:val="auto"/>
          <w:szCs w:val="24"/>
          <w:shd w:val="clear" w:color="auto" w:fill="FFFFFF"/>
        </w:rPr>
        <w:lastRenderedPageBreak/>
        <w:t>aforementioned logos, or any derivative thereof, to imply endorsement or othe</w:t>
      </w:r>
      <w:r w:rsidRPr="00576ED7">
        <w:rPr>
          <w:rFonts w:ascii="Times New Roman" w:hAnsi="Times New Roman"/>
          <w:color w:val="auto"/>
          <w:szCs w:val="24"/>
          <w:shd w:val="clear" w:color="auto" w:fill="FFFFFF"/>
        </w:rPr>
        <w:t>r</w:t>
      </w:r>
      <w:r w:rsidRPr="00576ED7">
        <w:rPr>
          <w:rFonts w:ascii="Times New Roman" w:hAnsi="Times New Roman"/>
          <w:color w:val="auto"/>
          <w:szCs w:val="24"/>
          <w:shd w:val="clear" w:color="auto" w:fill="FFFFFF"/>
        </w:rPr>
        <w:t>wise without written permission from CALI.</w:t>
      </w:r>
    </w:p>
    <w:p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w:t>
      </w:r>
      <w:r w:rsidRPr="00576ED7">
        <w:rPr>
          <w:rFonts w:ascii="Times New Roman" w:hAnsi="Times New Roman"/>
          <w:szCs w:val="24"/>
          <w:shd w:val="clear" w:color="auto" w:fill="FFFFFF"/>
        </w:rPr>
        <w:t>i</w:t>
      </w:r>
      <w:r w:rsidRPr="00576ED7">
        <w:rPr>
          <w:rFonts w:ascii="Times New Roman" w:hAnsi="Times New Roman"/>
          <w:szCs w:val="24"/>
          <w:shd w:val="clear" w:color="auto" w:fill="FFFFFF"/>
        </w:rPr>
        <w:t>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FD4825" w:rsidRPr="00576ED7" w:rsidRDefault="009F7D50" w:rsidP="00E4502D">
      <w:pPr>
        <w:pStyle w:val="Body"/>
        <w:jc w:val="left"/>
        <w:rPr>
          <w:rFonts w:ascii="Times New Roman" w:hAnsi="Times New Roman"/>
          <w:noProof/>
          <w:szCs w:val="24"/>
          <w:shd w:val="clear" w:color="auto" w:fill="FFFFFF"/>
        </w:rPr>
      </w:pPr>
      <w:r w:rsidRPr="00576ED7">
        <w:rPr>
          <w:rFonts w:ascii="Times New Roman" w:hAnsi="Times New Roman"/>
          <w:szCs w:val="24"/>
          <w:shd w:val="clear" w:color="auto" w:fill="FFFFFF"/>
        </w:rPr>
        <w:t xml:space="preserve">The author wishes to </w:t>
      </w:r>
      <w:r w:rsidRPr="00576ED7">
        <w:rPr>
          <w:rFonts w:ascii="Times New Roman" w:hAnsi="Times New Roman"/>
          <w:color w:val="222222"/>
          <w:szCs w:val="24"/>
          <w:shd w:val="clear" w:color="auto" w:fill="FFFFFF"/>
        </w:rPr>
        <w:t xml:space="preserve">express thanks to his research assistants, Magdalene Smith and Jay Clifton. </w:t>
      </w:r>
      <w:r w:rsidR="00FD4825" w:rsidRPr="00576ED7">
        <w:rPr>
          <w:rFonts w:ascii="Times New Roman" w:hAnsi="Times New Roman"/>
          <w:szCs w:val="24"/>
          <w:shd w:val="clear" w:color="auto" w:fill="FFFFFF"/>
        </w:rPr>
        <w:br w:type="page"/>
      </w:r>
    </w:p>
    <w:p w:rsidR="00FD4825" w:rsidRPr="00576ED7" w:rsidRDefault="00FD4825" w:rsidP="00AB61A1">
      <w:pPr>
        <w:pStyle w:val="Heading2"/>
      </w:pPr>
      <w:bookmarkStart w:id="13" w:name="_Toc319930287"/>
      <w:bookmarkStart w:id="14" w:name="_Toc348954230"/>
      <w:bookmarkStart w:id="15" w:name="_Toc349741732"/>
      <w:bookmarkStart w:id="16" w:name="_Toc350342087"/>
      <w:bookmarkStart w:id="17" w:name="_Toc356564142"/>
      <w:bookmarkStart w:id="18" w:name="_Toc361064344"/>
      <w:bookmarkStart w:id="19" w:name="_Toc375132906"/>
      <w:r w:rsidRPr="00576ED7">
        <w:lastRenderedPageBreak/>
        <w:t>About CALI eLangdell Press</w:t>
      </w:r>
      <w:bookmarkEnd w:id="13"/>
      <w:bookmarkEnd w:id="14"/>
      <w:bookmarkEnd w:id="15"/>
      <w:bookmarkEnd w:id="16"/>
      <w:bookmarkEnd w:id="17"/>
      <w:bookmarkEnd w:id="18"/>
      <w:bookmarkEnd w:id="19"/>
    </w:p>
    <w:p w:rsidR="00FD4825" w:rsidRPr="00576ED7" w:rsidRDefault="00E630F7" w:rsidP="00FD4825">
      <w:pPr>
        <w:pStyle w:val="Body"/>
        <w:rPr>
          <w:rFonts w:ascii="Times New Roman" w:hAnsi="Times New Roman"/>
          <w:color w:val="auto"/>
          <w:szCs w:val="24"/>
        </w:rPr>
      </w:pPr>
      <w:hyperlink r:id="rId19"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w:t>
      </w:r>
      <w:r w:rsidR="00FD4825" w:rsidRPr="00576ED7">
        <w:rPr>
          <w:rFonts w:ascii="Times New Roman" w:hAnsi="Times New Roman"/>
          <w:color w:val="auto"/>
          <w:szCs w:val="24"/>
        </w:rPr>
        <w:t>r</w:t>
      </w:r>
      <w:r w:rsidR="00FD4825" w:rsidRPr="00576ED7">
        <w:rPr>
          <w:rFonts w:ascii="Times New Roman" w:hAnsi="Times New Roman"/>
          <w:color w:val="auto"/>
          <w:szCs w:val="24"/>
        </w:rPr>
        <w:t xml:space="preserve">ganization with over 200 member US law schools, an innovative force pushing legal education toward change for the better. There are </w:t>
      </w:r>
      <w:hyperlink r:id="rId20"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w:t>
        </w:r>
        <w:r w:rsidR="00FD4825" w:rsidRPr="00576ED7">
          <w:rPr>
            <w:rStyle w:val="Hyperlink"/>
            <w:rFonts w:ascii="Times New Roman" w:hAnsi="Times New Roman"/>
            <w:color w:val="auto"/>
            <w:szCs w:val="24"/>
            <w:u w:val="single"/>
          </w:rPr>
          <w:t>r</w:t>
        </w:r>
        <w:r w:rsidR="00FD4825" w:rsidRPr="00576ED7">
          <w:rPr>
            <w:rStyle w:val="Hyperlink"/>
            <w:rFonts w:ascii="Times New Roman" w:hAnsi="Times New Roman"/>
            <w:color w:val="auto"/>
            <w:szCs w:val="24"/>
            <w:u w:val="single"/>
          </w:rPr>
          <w:t>ship</w:t>
        </w:r>
      </w:hyperlink>
      <w:r w:rsidR="00FD4825" w:rsidRPr="00576ED7">
        <w:rPr>
          <w:rFonts w:ascii="Times New Roman" w:hAnsi="Times New Roman"/>
          <w:color w:val="auto"/>
          <w:szCs w:val="24"/>
        </w:rPr>
        <w:t xml:space="preserve"> for your school, firm, or organization. </w:t>
      </w:r>
      <w:hyperlink r:id="rId21"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w:t>
      </w:r>
      <w:r w:rsidRPr="00576ED7">
        <w:rPr>
          <w:rFonts w:ascii="Times New Roman" w:hAnsi="Times New Roman"/>
          <w:color w:val="auto"/>
          <w:szCs w:val="24"/>
        </w:rPr>
        <w:t>y</w:t>
      </w:r>
      <w:r w:rsidRPr="00576ED7">
        <w:rPr>
          <w:rFonts w:ascii="Times New Roman" w:hAnsi="Times New Roman"/>
          <w:color w:val="auto"/>
          <w:szCs w:val="24"/>
        </w:rPr>
        <w:t>right policies.</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2"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3"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4"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rsidR="00A7309E" w:rsidRPr="00576ED7" w:rsidRDefault="00A7309E">
      <w:pPr>
        <w:rPr>
          <w:rFonts w:eastAsia="ヒラギノ角ゴ Pro W3"/>
          <w:szCs w:val="24"/>
        </w:rPr>
      </w:pPr>
      <w:r w:rsidRPr="00576ED7">
        <w:rPr>
          <w:szCs w:val="24"/>
        </w:rPr>
        <w:br w:type="page"/>
      </w:r>
    </w:p>
    <w:p w:rsidR="00A7309E" w:rsidRPr="00576ED7" w:rsidRDefault="00A7309E" w:rsidP="00AB61A1">
      <w:pPr>
        <w:pStyle w:val="Heading2"/>
      </w:pPr>
      <w:bookmarkStart w:id="20" w:name="_Toc375132907"/>
      <w:r w:rsidRPr="00576ED7">
        <w:lastRenderedPageBreak/>
        <w:t>Preface</w:t>
      </w:r>
      <w:bookmarkEnd w:id="20"/>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This book is a basic income tax text.  I intend this text to be suitable for a three-hour course for a class comprised of law students with widely different backgrounds.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Certain principles permeate all of tax law.  I have found that certain axioms or principles will carry us a long way.  For example, income is taxed once – or treated as if it has been taxed.  Once it has been taxed, its investment gives the taxpayer basis – which I define not as cost but as money that will not be subject to tax again.  Etc.  The text returns to these principles throughout.  I usually put these matters in text boxes.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At a minimum, I want students who have completed basic income tax to know these pri</w:t>
      </w:r>
      <w:r w:rsidRPr="00AB61A1">
        <w:rPr>
          <w:rFonts w:ascii="Times New Roman" w:hAnsi="Times New Roman"/>
          <w:sz w:val="22"/>
          <w:szCs w:val="22"/>
        </w:rPr>
        <w:t>n</w:t>
      </w:r>
      <w:r w:rsidRPr="00AB61A1">
        <w:rPr>
          <w:rFonts w:ascii="Times New Roman" w:hAnsi="Times New Roman"/>
          <w:sz w:val="22"/>
          <w:szCs w:val="22"/>
        </w:rPr>
        <w:t>ciples and to be able to apply them, i.e., to develop some “tax intuition.”  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is a “one and done” experience.  Like it or not, tax law affects most legal topics, and such intuition should at least give students working in other areas of the law an idea of when it is time to ask questions concerning lurking tax issues.</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In some areas, I have relied heavily on the CALI drills by Professor James Edward Maule (Villanova University).  These drills both review and, in some instances, teach a little substance.  Each zeroes in on a specific topic and should take a student about twenty minutes to complete if she has adequately prepared to do the drill.  Of course, students can work through such drills at their own speed.</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I have tried to make this text very readable – so that students can easily understand.  I have aimed at law students who “know” they have no interest in income tax – but who may find that they in fact have a considerable interest in tax law.  With my political sc</w:t>
      </w:r>
      <w:r w:rsidRPr="00AB61A1">
        <w:rPr>
          <w:rFonts w:ascii="Times New Roman" w:hAnsi="Times New Roman"/>
          <w:sz w:val="22"/>
          <w:szCs w:val="22"/>
        </w:rPr>
        <w:t>i</w:t>
      </w:r>
      <w:r w:rsidRPr="00AB61A1">
        <w:rPr>
          <w:rFonts w:ascii="Times New Roman" w:hAnsi="Times New Roman"/>
          <w:sz w:val="22"/>
          <w:szCs w:val="22"/>
        </w:rPr>
        <w:t>ence background, I was such a student.  I am proof that one does not have to have an a</w:t>
      </w:r>
      <w:r w:rsidRPr="00AB61A1">
        <w:rPr>
          <w:rFonts w:ascii="Times New Roman" w:hAnsi="Times New Roman"/>
          <w:sz w:val="22"/>
          <w:szCs w:val="22"/>
        </w:rPr>
        <w:t>c</w:t>
      </w:r>
      <w:r w:rsidRPr="00AB61A1">
        <w:rPr>
          <w:rFonts w:ascii="Times New Roman" w:hAnsi="Times New Roman"/>
          <w:sz w:val="22"/>
          <w:szCs w:val="22"/>
        </w:rPr>
        <w:t>counting background to find income tax law both important and interesting.  Additiona</w:t>
      </w:r>
      <w:r w:rsidRPr="00AB61A1">
        <w:rPr>
          <w:rFonts w:ascii="Times New Roman" w:hAnsi="Times New Roman"/>
          <w:sz w:val="22"/>
          <w:szCs w:val="22"/>
        </w:rPr>
        <w:t>l</w:t>
      </w:r>
      <w:r w:rsidRPr="00AB61A1">
        <w:rPr>
          <w:rFonts w:ascii="Times New Roman" w:hAnsi="Times New Roman"/>
          <w:sz w:val="22"/>
          <w:szCs w:val="22"/>
        </w:rPr>
        <w:t>ly, Magdalene Smith and Jay Clifton III were two such students; they assisted me greatly in making this text as accessible as possible to all law students.  I thank them now for their work.</w:t>
      </w:r>
    </w:p>
    <w:p w:rsidR="00A7309E" w:rsidRPr="00AB61A1" w:rsidRDefault="00A7309E" w:rsidP="00A7309E">
      <w:pPr>
        <w:pStyle w:val="Body"/>
        <w:rPr>
          <w:rFonts w:ascii="Times New Roman" w:hAnsi="Times New Roman"/>
          <w:sz w:val="22"/>
          <w:szCs w:val="22"/>
        </w:rPr>
      </w:pPr>
      <w:r w:rsidRPr="00AB61A1">
        <w:rPr>
          <w:rFonts w:ascii="Times New Roman" w:hAnsi="Times New Roman"/>
          <w:sz w:val="22"/>
          <w:szCs w:val="22"/>
        </w:rPr>
        <w:t xml:space="preserve"> WPK</w:t>
      </w:r>
    </w:p>
    <w:p w:rsidR="004020EF" w:rsidRPr="00AB61A1" w:rsidRDefault="00A7309E" w:rsidP="00A7309E">
      <w:pPr>
        <w:pStyle w:val="Body"/>
        <w:rPr>
          <w:rFonts w:ascii="Times New Roman" w:hAnsi="Times New Roman"/>
          <w:sz w:val="22"/>
          <w:szCs w:val="22"/>
        </w:rPr>
      </w:pPr>
      <w:r w:rsidRPr="00AB61A1">
        <w:rPr>
          <w:rFonts w:ascii="Times New Roman" w:hAnsi="Times New Roman"/>
          <w:sz w:val="22"/>
          <w:szCs w:val="22"/>
        </w:rPr>
        <w:t>Memphis, Tennessee, July 2013</w:t>
      </w:r>
    </w:p>
    <w:p w:rsidR="00FD4825" w:rsidRPr="00AB61A1" w:rsidRDefault="004020EF" w:rsidP="00A7309E">
      <w:pPr>
        <w:pStyle w:val="Body"/>
        <w:rPr>
          <w:rFonts w:ascii="Times New Roman" w:hAnsi="Times New Roman"/>
          <w:color w:val="auto"/>
          <w:sz w:val="22"/>
          <w:szCs w:val="22"/>
        </w:rPr>
      </w:pPr>
      <w:r w:rsidRPr="00AB61A1">
        <w:rPr>
          <w:rFonts w:ascii="Times New Roman" w:hAnsi="Times New Roman"/>
          <w:sz w:val="22"/>
          <w:szCs w:val="22"/>
        </w:rPr>
        <w:t>First Edition</w:t>
      </w:r>
      <w:r w:rsidR="00FD4825" w:rsidRPr="00AB61A1">
        <w:rPr>
          <w:rFonts w:ascii="Times New Roman" w:hAnsi="Times New Roman"/>
          <w:sz w:val="22"/>
          <w:szCs w:val="22"/>
        </w:rPr>
        <w:br w:type="page"/>
      </w:r>
    </w:p>
    <w:p w:rsidR="00D95638" w:rsidRPr="00AB61A1" w:rsidRDefault="00743A8B" w:rsidP="007755B9">
      <w:pPr>
        <w:widowControl w:val="0"/>
        <w:rPr>
          <w:sz w:val="40"/>
          <w:szCs w:val="40"/>
        </w:rPr>
      </w:pPr>
      <w:r w:rsidRPr="00AB61A1">
        <w:rPr>
          <w:sz w:val="40"/>
          <w:szCs w:val="40"/>
        </w:rPr>
        <w:lastRenderedPageBreak/>
        <w:t>Table of Contents</w:t>
      </w:r>
    </w:p>
    <w:p w:rsidR="00D62DD5" w:rsidRPr="00576ED7" w:rsidRDefault="00D62DD5" w:rsidP="007755B9">
      <w:pPr>
        <w:widowControl w:val="0"/>
        <w:rPr>
          <w:szCs w:val="24"/>
        </w:rPr>
      </w:pPr>
    </w:p>
    <w:p w:rsidR="00E07E1A"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375132904" w:history="1">
        <w:r w:rsidRPr="00B86B62">
          <w:rPr>
            <w:rStyle w:val="Hyperlink"/>
            <w:rFonts w:ascii="Times New Roman" w:hAnsi="Times New Roman"/>
            <w:noProof/>
          </w:rPr>
          <w:t>About the Author</w:t>
        </w:r>
        <w:r>
          <w:rPr>
            <w:noProof/>
            <w:webHidden/>
          </w:rPr>
          <w:tab/>
        </w:r>
        <w:r>
          <w:rPr>
            <w:noProof/>
            <w:webHidden/>
          </w:rPr>
          <w:fldChar w:fldCharType="begin"/>
        </w:r>
        <w:r>
          <w:rPr>
            <w:noProof/>
            <w:webHidden/>
          </w:rPr>
          <w:instrText xml:space="preserve"> PAGEREF _Toc375132904 \h </w:instrText>
        </w:r>
        <w:r>
          <w:rPr>
            <w:noProof/>
            <w:webHidden/>
          </w:rPr>
        </w:r>
        <w:r>
          <w:rPr>
            <w:noProof/>
            <w:webHidden/>
          </w:rPr>
          <w:fldChar w:fldCharType="separate"/>
        </w:r>
        <w:r w:rsidR="00E01F13">
          <w:rPr>
            <w:noProof/>
            <w:webHidden/>
          </w:rPr>
          <w:t>i</w:t>
        </w:r>
        <w:r>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05" w:history="1">
        <w:r w:rsidR="00E07E1A" w:rsidRPr="00B86B62">
          <w:rPr>
            <w:rStyle w:val="Hyperlink"/>
            <w:rFonts w:ascii="Times New Roman" w:hAnsi="Times New Roman"/>
            <w:noProof/>
          </w:rPr>
          <w:t>Notices</w:t>
        </w:r>
        <w:r w:rsidR="00E07E1A">
          <w:rPr>
            <w:noProof/>
            <w:webHidden/>
          </w:rPr>
          <w:tab/>
        </w:r>
        <w:r w:rsidR="00E07E1A">
          <w:rPr>
            <w:noProof/>
            <w:webHidden/>
          </w:rPr>
          <w:fldChar w:fldCharType="begin"/>
        </w:r>
        <w:r w:rsidR="00E07E1A">
          <w:rPr>
            <w:noProof/>
            <w:webHidden/>
          </w:rPr>
          <w:instrText xml:space="preserve"> PAGEREF _Toc375132905 \h </w:instrText>
        </w:r>
        <w:r w:rsidR="00E07E1A">
          <w:rPr>
            <w:noProof/>
            <w:webHidden/>
          </w:rPr>
        </w:r>
        <w:r w:rsidR="00E07E1A">
          <w:rPr>
            <w:noProof/>
            <w:webHidden/>
          </w:rPr>
          <w:fldChar w:fldCharType="separate"/>
        </w:r>
        <w:r w:rsidR="00E01F13">
          <w:rPr>
            <w:noProof/>
            <w:webHidden/>
          </w:rPr>
          <w:t>ii</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06" w:history="1">
        <w:r w:rsidR="00E07E1A" w:rsidRPr="00B86B62">
          <w:rPr>
            <w:rStyle w:val="Hyperlink"/>
            <w:rFonts w:ascii="Times New Roman" w:hAnsi="Times New Roman"/>
            <w:noProof/>
          </w:rPr>
          <w:t>About CALI eLangdell Press</w:t>
        </w:r>
        <w:r w:rsidR="00E07E1A">
          <w:rPr>
            <w:noProof/>
            <w:webHidden/>
          </w:rPr>
          <w:tab/>
        </w:r>
        <w:r w:rsidR="00E07E1A">
          <w:rPr>
            <w:noProof/>
            <w:webHidden/>
          </w:rPr>
          <w:fldChar w:fldCharType="begin"/>
        </w:r>
        <w:r w:rsidR="00E07E1A">
          <w:rPr>
            <w:noProof/>
            <w:webHidden/>
          </w:rPr>
          <w:instrText xml:space="preserve"> PAGEREF _Toc375132906 \h </w:instrText>
        </w:r>
        <w:r w:rsidR="00E07E1A">
          <w:rPr>
            <w:noProof/>
            <w:webHidden/>
          </w:rPr>
        </w:r>
        <w:r w:rsidR="00E07E1A">
          <w:rPr>
            <w:noProof/>
            <w:webHidden/>
          </w:rPr>
          <w:fldChar w:fldCharType="separate"/>
        </w:r>
        <w:r w:rsidR="00E01F13">
          <w:rPr>
            <w:noProof/>
            <w:webHidden/>
          </w:rPr>
          <w:t>iv</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07" w:history="1">
        <w:r w:rsidR="00E07E1A" w:rsidRPr="00B86B62">
          <w:rPr>
            <w:rStyle w:val="Hyperlink"/>
            <w:rFonts w:ascii="Times New Roman" w:hAnsi="Times New Roman"/>
            <w:noProof/>
          </w:rPr>
          <w:t>Preface</w:t>
        </w:r>
        <w:r w:rsidR="00E07E1A">
          <w:rPr>
            <w:noProof/>
            <w:webHidden/>
          </w:rPr>
          <w:tab/>
        </w:r>
        <w:r w:rsidR="00E07E1A">
          <w:rPr>
            <w:noProof/>
            <w:webHidden/>
          </w:rPr>
          <w:fldChar w:fldCharType="begin"/>
        </w:r>
        <w:r w:rsidR="00E07E1A">
          <w:rPr>
            <w:noProof/>
            <w:webHidden/>
          </w:rPr>
          <w:instrText xml:space="preserve"> PAGEREF _Toc375132907 \h </w:instrText>
        </w:r>
        <w:r w:rsidR="00E07E1A">
          <w:rPr>
            <w:noProof/>
            <w:webHidden/>
          </w:rPr>
        </w:r>
        <w:r w:rsidR="00E07E1A">
          <w:rPr>
            <w:noProof/>
            <w:webHidden/>
          </w:rPr>
          <w:fldChar w:fldCharType="separate"/>
        </w:r>
        <w:r w:rsidR="00E01F13">
          <w:rPr>
            <w:noProof/>
            <w:webHidden/>
          </w:rPr>
          <w:t>v</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08" w:history="1">
        <w:r w:rsidR="00E07E1A" w:rsidRPr="00B86B62">
          <w:rPr>
            <w:rStyle w:val="Hyperlink"/>
            <w:rFonts w:ascii="Times New Roman" w:hAnsi="Times New Roman"/>
            <w:noProof/>
          </w:rPr>
          <w:t>Chapter 1: The Government Raises Money:  Introduction to Some Basic Concepts of Taxes and Taxing Income</w:t>
        </w:r>
        <w:r w:rsidR="00E07E1A">
          <w:rPr>
            <w:noProof/>
            <w:webHidden/>
          </w:rPr>
          <w:tab/>
        </w:r>
        <w:r w:rsidR="00E07E1A">
          <w:rPr>
            <w:noProof/>
            <w:webHidden/>
          </w:rPr>
          <w:fldChar w:fldCharType="begin"/>
        </w:r>
        <w:r w:rsidR="00E07E1A">
          <w:rPr>
            <w:noProof/>
            <w:webHidden/>
          </w:rPr>
          <w:instrText xml:space="preserve"> PAGEREF _Toc375132908 \h </w:instrText>
        </w:r>
        <w:r w:rsidR="00E07E1A">
          <w:rPr>
            <w:noProof/>
            <w:webHidden/>
          </w:rPr>
        </w:r>
        <w:r w:rsidR="00E07E1A">
          <w:rPr>
            <w:noProof/>
            <w:webHidden/>
          </w:rPr>
          <w:fldChar w:fldCharType="separate"/>
        </w:r>
        <w:r w:rsidR="00E01F13">
          <w:rPr>
            <w:noProof/>
            <w:webHidden/>
          </w:rPr>
          <w:t>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09" w:history="1">
        <w:r w:rsidR="00E07E1A" w:rsidRPr="00B86B62">
          <w:rPr>
            <w:rStyle w:val="Hyperlink"/>
            <w:noProof/>
          </w:rPr>
          <w:t>I.  Introduction to Some Basic Concepts</w:t>
        </w:r>
        <w:r w:rsidR="00E07E1A">
          <w:rPr>
            <w:noProof/>
            <w:webHidden/>
          </w:rPr>
          <w:tab/>
        </w:r>
        <w:r w:rsidR="00E07E1A">
          <w:rPr>
            <w:noProof/>
            <w:webHidden/>
          </w:rPr>
          <w:fldChar w:fldCharType="begin"/>
        </w:r>
        <w:r w:rsidR="00E07E1A">
          <w:rPr>
            <w:noProof/>
            <w:webHidden/>
          </w:rPr>
          <w:instrText xml:space="preserve"> PAGEREF _Toc375132909 \h </w:instrText>
        </w:r>
        <w:r w:rsidR="00E07E1A">
          <w:rPr>
            <w:noProof/>
            <w:webHidden/>
          </w:rPr>
        </w:r>
        <w:r w:rsidR="00E07E1A">
          <w:rPr>
            <w:noProof/>
            <w:webHidden/>
          </w:rPr>
          <w:fldChar w:fldCharType="separate"/>
        </w:r>
        <w:r w:rsidR="00E01F13">
          <w:rPr>
            <w:noProof/>
            <w:webHidden/>
          </w:rPr>
          <w:t>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0" w:history="1">
        <w:r w:rsidR="00E07E1A" w:rsidRPr="00B86B62">
          <w:rPr>
            <w:rStyle w:val="Hyperlink"/>
            <w:noProof/>
          </w:rPr>
          <w:t>II.  Taxing Income</w:t>
        </w:r>
        <w:r w:rsidR="00E07E1A">
          <w:rPr>
            <w:noProof/>
            <w:webHidden/>
          </w:rPr>
          <w:tab/>
        </w:r>
        <w:r w:rsidR="00E07E1A">
          <w:rPr>
            <w:noProof/>
            <w:webHidden/>
          </w:rPr>
          <w:fldChar w:fldCharType="begin"/>
        </w:r>
        <w:r w:rsidR="00E07E1A">
          <w:rPr>
            <w:noProof/>
            <w:webHidden/>
          </w:rPr>
          <w:instrText xml:space="preserve"> PAGEREF _Toc375132910 \h </w:instrText>
        </w:r>
        <w:r w:rsidR="00E07E1A">
          <w:rPr>
            <w:noProof/>
            <w:webHidden/>
          </w:rPr>
        </w:r>
        <w:r w:rsidR="00E07E1A">
          <w:rPr>
            <w:noProof/>
            <w:webHidden/>
          </w:rPr>
          <w:fldChar w:fldCharType="separate"/>
        </w:r>
        <w:r w:rsidR="00E01F13">
          <w:rPr>
            <w:noProof/>
            <w:webHidden/>
          </w:rPr>
          <w:t>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1" w:history="1">
        <w:r w:rsidR="00E07E1A" w:rsidRPr="00B86B62">
          <w:rPr>
            <w:rStyle w:val="Hyperlink"/>
            <w:noProof/>
          </w:rPr>
          <w:t>III.  Some Definitions</w:t>
        </w:r>
        <w:r w:rsidR="00E07E1A">
          <w:rPr>
            <w:noProof/>
            <w:webHidden/>
          </w:rPr>
          <w:tab/>
        </w:r>
        <w:r w:rsidR="00E07E1A">
          <w:rPr>
            <w:noProof/>
            <w:webHidden/>
          </w:rPr>
          <w:fldChar w:fldCharType="begin"/>
        </w:r>
        <w:r w:rsidR="00E07E1A">
          <w:rPr>
            <w:noProof/>
            <w:webHidden/>
          </w:rPr>
          <w:instrText xml:space="preserve"> PAGEREF _Toc375132911 \h </w:instrText>
        </w:r>
        <w:r w:rsidR="00E07E1A">
          <w:rPr>
            <w:noProof/>
            <w:webHidden/>
          </w:rPr>
        </w:r>
        <w:r w:rsidR="00E07E1A">
          <w:rPr>
            <w:noProof/>
            <w:webHidden/>
          </w:rPr>
          <w:fldChar w:fldCharType="separate"/>
        </w:r>
        <w:r w:rsidR="00E01F13">
          <w:rPr>
            <w:noProof/>
            <w:webHidden/>
          </w:rPr>
          <w:t>10</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2" w:history="1">
        <w:r w:rsidR="00E07E1A" w:rsidRPr="00B86B62">
          <w:rPr>
            <w:rStyle w:val="Hyperlink"/>
            <w:noProof/>
          </w:rPr>
          <w:t>IV.  Not All Income Is Taxed Alike</w:t>
        </w:r>
        <w:r w:rsidR="00E07E1A">
          <w:rPr>
            <w:noProof/>
            <w:webHidden/>
          </w:rPr>
          <w:tab/>
        </w:r>
        <w:r w:rsidR="00E07E1A">
          <w:rPr>
            <w:noProof/>
            <w:webHidden/>
          </w:rPr>
          <w:fldChar w:fldCharType="begin"/>
        </w:r>
        <w:r w:rsidR="00E07E1A">
          <w:rPr>
            <w:noProof/>
            <w:webHidden/>
          </w:rPr>
          <w:instrText xml:space="preserve"> PAGEREF _Toc375132912 \h </w:instrText>
        </w:r>
        <w:r w:rsidR="00E07E1A">
          <w:rPr>
            <w:noProof/>
            <w:webHidden/>
          </w:rPr>
        </w:r>
        <w:r w:rsidR="00E07E1A">
          <w:rPr>
            <w:noProof/>
            <w:webHidden/>
          </w:rPr>
          <w:fldChar w:fldCharType="separate"/>
        </w:r>
        <w:r w:rsidR="00E01F13">
          <w:rPr>
            <w:noProof/>
            <w:webHidden/>
          </w:rPr>
          <w:t>16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3" w:history="1">
        <w:r w:rsidR="00E07E1A" w:rsidRPr="00B86B62">
          <w:rPr>
            <w:rStyle w:val="Hyperlink"/>
            <w:noProof/>
          </w:rPr>
          <w:t>V.  Layout of the Code</w:t>
        </w:r>
        <w:r w:rsidR="00E07E1A">
          <w:rPr>
            <w:noProof/>
            <w:webHidden/>
          </w:rPr>
          <w:tab/>
        </w:r>
        <w:r w:rsidR="00E07E1A">
          <w:rPr>
            <w:noProof/>
            <w:webHidden/>
          </w:rPr>
          <w:fldChar w:fldCharType="begin"/>
        </w:r>
        <w:r w:rsidR="00E07E1A">
          <w:rPr>
            <w:noProof/>
            <w:webHidden/>
          </w:rPr>
          <w:instrText xml:space="preserve"> PAGEREF _Toc375132913 \h </w:instrText>
        </w:r>
        <w:r w:rsidR="00E07E1A">
          <w:rPr>
            <w:noProof/>
            <w:webHidden/>
          </w:rPr>
        </w:r>
        <w:r w:rsidR="00E07E1A">
          <w:rPr>
            <w:noProof/>
            <w:webHidden/>
          </w:rPr>
          <w:fldChar w:fldCharType="separate"/>
        </w:r>
        <w:r w:rsidR="00E01F13">
          <w:rPr>
            <w:noProof/>
            <w:webHidden/>
          </w:rPr>
          <w:t>17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4" w:history="1">
        <w:r w:rsidR="00E07E1A" w:rsidRPr="00B86B62">
          <w:rPr>
            <w:rStyle w:val="Hyperlink"/>
            <w:noProof/>
          </w:rPr>
          <w:t>VI.  Illustration of the Tax Formula:</w:t>
        </w:r>
        <w:r w:rsidR="00E07E1A">
          <w:rPr>
            <w:noProof/>
            <w:webHidden/>
          </w:rPr>
          <w:tab/>
        </w:r>
        <w:r w:rsidR="00E07E1A">
          <w:rPr>
            <w:noProof/>
            <w:webHidden/>
          </w:rPr>
          <w:fldChar w:fldCharType="begin"/>
        </w:r>
        <w:r w:rsidR="00E07E1A">
          <w:rPr>
            <w:noProof/>
            <w:webHidden/>
          </w:rPr>
          <w:instrText xml:space="preserve"> PAGEREF _Toc375132914 \h </w:instrText>
        </w:r>
        <w:r w:rsidR="00E07E1A">
          <w:rPr>
            <w:noProof/>
            <w:webHidden/>
          </w:rPr>
        </w:r>
        <w:r w:rsidR="00E07E1A">
          <w:rPr>
            <w:noProof/>
            <w:webHidden/>
          </w:rPr>
          <w:fldChar w:fldCharType="separate"/>
        </w:r>
        <w:r w:rsidR="00E01F13">
          <w:rPr>
            <w:noProof/>
            <w:webHidden/>
          </w:rPr>
          <w:t>18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5" w:history="1">
        <w:r w:rsidR="00E07E1A" w:rsidRPr="00B86B62">
          <w:rPr>
            <w:rStyle w:val="Hyperlink"/>
            <w:noProof/>
          </w:rPr>
          <w:t>VII.  Sources of Tax Law and the Role of Courts</w:t>
        </w:r>
        <w:r w:rsidR="00E07E1A">
          <w:rPr>
            <w:noProof/>
            <w:webHidden/>
          </w:rPr>
          <w:tab/>
        </w:r>
        <w:r w:rsidR="00E07E1A">
          <w:rPr>
            <w:noProof/>
            <w:webHidden/>
          </w:rPr>
          <w:fldChar w:fldCharType="begin"/>
        </w:r>
        <w:r w:rsidR="00E07E1A">
          <w:rPr>
            <w:noProof/>
            <w:webHidden/>
          </w:rPr>
          <w:instrText xml:space="preserve"> PAGEREF _Toc375132915 \h </w:instrText>
        </w:r>
        <w:r w:rsidR="00E07E1A">
          <w:rPr>
            <w:noProof/>
            <w:webHidden/>
          </w:rPr>
        </w:r>
        <w:r w:rsidR="00E07E1A">
          <w:rPr>
            <w:noProof/>
            <w:webHidden/>
          </w:rPr>
          <w:fldChar w:fldCharType="separate"/>
        </w:r>
        <w:r w:rsidR="00E01F13">
          <w:rPr>
            <w:noProof/>
            <w:webHidden/>
          </w:rPr>
          <w:t>22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6" w:history="1">
        <w:r w:rsidR="00E07E1A" w:rsidRPr="00B86B62">
          <w:rPr>
            <w:rStyle w:val="Hyperlink"/>
            <w:noProof/>
          </w:rPr>
          <w:t>VIII.  Some Income Tax Policy and Some Income Tax Principles</w:t>
        </w:r>
        <w:r w:rsidR="00E07E1A">
          <w:rPr>
            <w:noProof/>
            <w:webHidden/>
          </w:rPr>
          <w:tab/>
        </w:r>
        <w:r w:rsidR="00E07E1A">
          <w:rPr>
            <w:noProof/>
            <w:webHidden/>
          </w:rPr>
          <w:fldChar w:fldCharType="begin"/>
        </w:r>
        <w:r w:rsidR="00E07E1A">
          <w:rPr>
            <w:noProof/>
            <w:webHidden/>
          </w:rPr>
          <w:instrText xml:space="preserve"> PAGEREF _Toc375132916 \h </w:instrText>
        </w:r>
        <w:r w:rsidR="00E07E1A">
          <w:rPr>
            <w:noProof/>
            <w:webHidden/>
          </w:rPr>
        </w:r>
        <w:r w:rsidR="00E07E1A">
          <w:rPr>
            <w:noProof/>
            <w:webHidden/>
          </w:rPr>
          <w:fldChar w:fldCharType="separate"/>
        </w:r>
        <w:r w:rsidR="00E01F13">
          <w:rPr>
            <w:noProof/>
            <w:webHidden/>
          </w:rPr>
          <w:t>24</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7" w:history="1">
        <w:r w:rsidR="00E07E1A" w:rsidRPr="00B86B62">
          <w:rPr>
            <w:rStyle w:val="Hyperlink"/>
            <w:noProof/>
          </w:rPr>
          <w:t>IX.  What Is Income?</w:t>
        </w:r>
        <w:r w:rsidR="00E07E1A">
          <w:rPr>
            <w:noProof/>
            <w:webHidden/>
          </w:rPr>
          <w:tab/>
        </w:r>
        <w:r w:rsidR="00E07E1A">
          <w:rPr>
            <w:noProof/>
            <w:webHidden/>
          </w:rPr>
          <w:fldChar w:fldCharType="begin"/>
        </w:r>
        <w:r w:rsidR="00E07E1A">
          <w:rPr>
            <w:noProof/>
            <w:webHidden/>
          </w:rPr>
          <w:instrText xml:space="preserve"> PAGEREF _Toc375132917 \h </w:instrText>
        </w:r>
        <w:r w:rsidR="00E07E1A">
          <w:rPr>
            <w:noProof/>
            <w:webHidden/>
          </w:rPr>
        </w:r>
        <w:r w:rsidR="00E07E1A">
          <w:rPr>
            <w:noProof/>
            <w:webHidden/>
          </w:rPr>
          <w:fldChar w:fldCharType="separate"/>
        </w:r>
        <w:r w:rsidR="00E01F13">
          <w:rPr>
            <w:noProof/>
            <w:webHidden/>
          </w:rPr>
          <w:t>25</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18" w:history="1">
        <w:r w:rsidR="00E07E1A" w:rsidRPr="00B86B62">
          <w:rPr>
            <w:rStyle w:val="Hyperlink"/>
            <w:noProof/>
          </w:rPr>
          <w:t>Wrap-up Questions for Chapter 1</w:t>
        </w:r>
        <w:r w:rsidR="00E07E1A">
          <w:rPr>
            <w:noProof/>
            <w:webHidden/>
          </w:rPr>
          <w:tab/>
        </w:r>
        <w:r w:rsidR="00E07E1A">
          <w:rPr>
            <w:noProof/>
            <w:webHidden/>
          </w:rPr>
          <w:fldChar w:fldCharType="begin"/>
        </w:r>
        <w:r w:rsidR="00E07E1A">
          <w:rPr>
            <w:noProof/>
            <w:webHidden/>
          </w:rPr>
          <w:instrText xml:space="preserve"> PAGEREF _Toc375132918 \h </w:instrText>
        </w:r>
        <w:r w:rsidR="00E07E1A">
          <w:rPr>
            <w:noProof/>
            <w:webHidden/>
          </w:rPr>
        </w:r>
        <w:r w:rsidR="00E07E1A">
          <w:rPr>
            <w:noProof/>
            <w:webHidden/>
          </w:rPr>
          <w:fldChar w:fldCharType="separate"/>
        </w:r>
        <w:r w:rsidR="00E01F13">
          <w:rPr>
            <w:noProof/>
            <w:webHidden/>
          </w:rPr>
          <w:t>36</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19" w:history="1">
        <w:r w:rsidR="00E07E1A" w:rsidRPr="00B86B62">
          <w:rPr>
            <w:rStyle w:val="Hyperlink"/>
            <w:rFonts w:ascii="Times New Roman" w:hAnsi="Times New Roman"/>
            <w:noProof/>
          </w:rPr>
          <w:t>Chapter 2: What Is Gross Income: Section 61 and the Sixteenth Amendment</w:t>
        </w:r>
        <w:r w:rsidR="00E07E1A">
          <w:rPr>
            <w:noProof/>
            <w:webHidden/>
          </w:rPr>
          <w:tab/>
        </w:r>
        <w:r w:rsidR="00E07E1A">
          <w:rPr>
            <w:noProof/>
            <w:webHidden/>
          </w:rPr>
          <w:fldChar w:fldCharType="begin"/>
        </w:r>
        <w:r w:rsidR="00E07E1A">
          <w:rPr>
            <w:noProof/>
            <w:webHidden/>
          </w:rPr>
          <w:instrText xml:space="preserve"> PAGEREF _Toc375132919 \h </w:instrText>
        </w:r>
        <w:r w:rsidR="00E07E1A">
          <w:rPr>
            <w:noProof/>
            <w:webHidden/>
          </w:rPr>
        </w:r>
        <w:r w:rsidR="00E07E1A">
          <w:rPr>
            <w:noProof/>
            <w:webHidden/>
          </w:rPr>
          <w:fldChar w:fldCharType="separate"/>
        </w:r>
        <w:r w:rsidR="00E01F13">
          <w:rPr>
            <w:noProof/>
            <w:webHidden/>
          </w:rPr>
          <w:t>38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0" w:history="1">
        <w:r w:rsidR="00E07E1A" w:rsidRPr="00B86B62">
          <w:rPr>
            <w:rStyle w:val="Hyperlink"/>
            <w:noProof/>
          </w:rPr>
          <w:t>I.  The Constitutional and Statutory Definitions of “Gross Income”</w:t>
        </w:r>
        <w:r w:rsidR="00E07E1A">
          <w:rPr>
            <w:noProof/>
            <w:webHidden/>
          </w:rPr>
          <w:tab/>
        </w:r>
        <w:r w:rsidR="00E07E1A">
          <w:rPr>
            <w:noProof/>
            <w:webHidden/>
          </w:rPr>
          <w:fldChar w:fldCharType="begin"/>
        </w:r>
        <w:r w:rsidR="00E07E1A">
          <w:rPr>
            <w:noProof/>
            <w:webHidden/>
          </w:rPr>
          <w:instrText xml:space="preserve"> PAGEREF _Toc375132920 \h </w:instrText>
        </w:r>
        <w:r w:rsidR="00E07E1A">
          <w:rPr>
            <w:noProof/>
            <w:webHidden/>
          </w:rPr>
        </w:r>
        <w:r w:rsidR="00E07E1A">
          <w:rPr>
            <w:noProof/>
            <w:webHidden/>
          </w:rPr>
          <w:fldChar w:fldCharType="separate"/>
        </w:r>
        <w:r w:rsidR="00E01F13">
          <w:rPr>
            <w:noProof/>
            <w:webHidden/>
          </w:rPr>
          <w:t>38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1" w:history="1">
        <w:r w:rsidR="00E07E1A" w:rsidRPr="00B86B62">
          <w:rPr>
            <w:rStyle w:val="Hyperlink"/>
            <w:noProof/>
          </w:rPr>
          <w:t>II.  The Constitutional and Statutory Definitions of “Gross Income:”  Accessions to Wealth</w:t>
        </w:r>
        <w:r w:rsidR="00E07E1A">
          <w:rPr>
            <w:noProof/>
            <w:webHidden/>
          </w:rPr>
          <w:tab/>
        </w:r>
        <w:r w:rsidR="00E07E1A">
          <w:rPr>
            <w:noProof/>
            <w:webHidden/>
          </w:rPr>
          <w:fldChar w:fldCharType="begin"/>
        </w:r>
        <w:r w:rsidR="00E07E1A">
          <w:rPr>
            <w:noProof/>
            <w:webHidden/>
          </w:rPr>
          <w:instrText xml:space="preserve"> PAGEREF _Toc375132921 \h </w:instrText>
        </w:r>
        <w:r w:rsidR="00E07E1A">
          <w:rPr>
            <w:noProof/>
            <w:webHidden/>
          </w:rPr>
        </w:r>
        <w:r w:rsidR="00E07E1A">
          <w:rPr>
            <w:noProof/>
            <w:webHidden/>
          </w:rPr>
          <w:fldChar w:fldCharType="separate"/>
        </w:r>
        <w:r w:rsidR="00E01F13">
          <w:rPr>
            <w:noProof/>
            <w:webHidden/>
          </w:rPr>
          <w:t>75</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2" w:history="1">
        <w:r w:rsidR="00E07E1A" w:rsidRPr="00B86B62">
          <w:rPr>
            <w:rStyle w:val="Hyperlink"/>
            <w:noProof/>
          </w:rPr>
          <w:t>III.  The Constitutional and Statutory Definitions of “Gross Income:” Realization</w:t>
        </w:r>
        <w:r w:rsidR="00E07E1A">
          <w:rPr>
            <w:noProof/>
            <w:webHidden/>
          </w:rPr>
          <w:tab/>
        </w:r>
        <w:r w:rsidR="00E07E1A">
          <w:rPr>
            <w:noProof/>
            <w:webHidden/>
          </w:rPr>
          <w:fldChar w:fldCharType="begin"/>
        </w:r>
        <w:r w:rsidR="00E07E1A">
          <w:rPr>
            <w:noProof/>
            <w:webHidden/>
          </w:rPr>
          <w:instrText xml:space="preserve"> PAGEREF _Toc375132922 \h </w:instrText>
        </w:r>
        <w:r w:rsidR="00E07E1A">
          <w:rPr>
            <w:noProof/>
            <w:webHidden/>
          </w:rPr>
        </w:r>
        <w:r w:rsidR="00E07E1A">
          <w:rPr>
            <w:noProof/>
            <w:webHidden/>
          </w:rPr>
          <w:fldChar w:fldCharType="separate"/>
        </w:r>
        <w:r w:rsidR="00E01F13">
          <w:rPr>
            <w:noProof/>
            <w:webHidden/>
          </w:rPr>
          <w:t>117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3" w:history="1">
        <w:r w:rsidR="00E07E1A" w:rsidRPr="00B86B62">
          <w:rPr>
            <w:rStyle w:val="Hyperlink"/>
            <w:noProof/>
          </w:rPr>
          <w:t>IV.  The Constitutional and Statutory Definitions of “Gross Income:” Dominion and Control</w:t>
        </w:r>
        <w:r w:rsidR="00E07E1A">
          <w:rPr>
            <w:noProof/>
            <w:webHidden/>
          </w:rPr>
          <w:tab/>
        </w:r>
        <w:r w:rsidR="00E07E1A">
          <w:rPr>
            <w:noProof/>
            <w:webHidden/>
          </w:rPr>
          <w:fldChar w:fldCharType="begin"/>
        </w:r>
        <w:r w:rsidR="00E07E1A">
          <w:rPr>
            <w:noProof/>
            <w:webHidden/>
          </w:rPr>
          <w:instrText xml:space="preserve"> PAGEREF _Toc375132923 \h </w:instrText>
        </w:r>
        <w:r w:rsidR="00E07E1A">
          <w:rPr>
            <w:noProof/>
            <w:webHidden/>
          </w:rPr>
        </w:r>
        <w:r w:rsidR="00E07E1A">
          <w:rPr>
            <w:noProof/>
            <w:webHidden/>
          </w:rPr>
          <w:fldChar w:fldCharType="separate"/>
        </w:r>
        <w:r w:rsidR="00E01F13">
          <w:rPr>
            <w:noProof/>
            <w:webHidden/>
          </w:rPr>
          <w:t>131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4" w:history="1">
        <w:r w:rsidR="00E07E1A" w:rsidRPr="00B86B62">
          <w:rPr>
            <w:rStyle w:val="Hyperlink"/>
            <w:noProof/>
          </w:rPr>
          <w:t>Wrap-up Questions for Chapter 2:</w:t>
        </w:r>
        <w:r w:rsidR="00E07E1A">
          <w:rPr>
            <w:noProof/>
            <w:webHidden/>
          </w:rPr>
          <w:tab/>
        </w:r>
        <w:r w:rsidR="00E07E1A">
          <w:rPr>
            <w:noProof/>
            <w:webHidden/>
          </w:rPr>
          <w:fldChar w:fldCharType="begin"/>
        </w:r>
        <w:r w:rsidR="00E07E1A">
          <w:rPr>
            <w:noProof/>
            <w:webHidden/>
          </w:rPr>
          <w:instrText xml:space="preserve"> PAGEREF _Toc375132924 \h </w:instrText>
        </w:r>
        <w:r w:rsidR="00E07E1A">
          <w:rPr>
            <w:noProof/>
            <w:webHidden/>
          </w:rPr>
        </w:r>
        <w:r w:rsidR="00E07E1A">
          <w:rPr>
            <w:noProof/>
            <w:webHidden/>
          </w:rPr>
          <w:fldChar w:fldCharType="separate"/>
        </w:r>
        <w:r w:rsidR="00E01F13">
          <w:rPr>
            <w:noProof/>
            <w:webHidden/>
          </w:rPr>
          <w:t>138</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25" w:history="1">
        <w:r w:rsidR="00E07E1A" w:rsidRPr="00B86B62">
          <w:rPr>
            <w:rStyle w:val="Hyperlink"/>
            <w:rFonts w:ascii="Times New Roman" w:hAnsi="Times New Roman"/>
            <w:noProof/>
          </w:rPr>
          <w:t>Chapter 3:  Exclusions from Gross Income</w:t>
        </w:r>
        <w:r w:rsidR="00E07E1A">
          <w:rPr>
            <w:noProof/>
            <w:webHidden/>
          </w:rPr>
          <w:tab/>
        </w:r>
        <w:r w:rsidR="00E07E1A">
          <w:rPr>
            <w:noProof/>
            <w:webHidden/>
          </w:rPr>
          <w:fldChar w:fldCharType="begin"/>
        </w:r>
        <w:r w:rsidR="00E07E1A">
          <w:rPr>
            <w:noProof/>
            <w:webHidden/>
          </w:rPr>
          <w:instrText xml:space="preserve"> PAGEREF _Toc375132925 \h </w:instrText>
        </w:r>
        <w:r w:rsidR="00E07E1A">
          <w:rPr>
            <w:noProof/>
            <w:webHidden/>
          </w:rPr>
        </w:r>
        <w:r w:rsidR="00E07E1A">
          <w:rPr>
            <w:noProof/>
            <w:webHidden/>
          </w:rPr>
          <w:fldChar w:fldCharType="separate"/>
        </w:r>
        <w:r w:rsidR="00E01F13">
          <w:rPr>
            <w:noProof/>
            <w:webHidden/>
          </w:rPr>
          <w:t>139</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6" w:history="1">
        <w:r w:rsidR="00E07E1A" w:rsidRPr="00B86B62">
          <w:rPr>
            <w:rStyle w:val="Hyperlink"/>
            <w:noProof/>
          </w:rPr>
          <w:t>I.  The Society and Government that We Want</w:t>
        </w:r>
        <w:r w:rsidR="00E07E1A">
          <w:rPr>
            <w:noProof/>
            <w:webHidden/>
          </w:rPr>
          <w:tab/>
        </w:r>
        <w:r w:rsidR="00E07E1A">
          <w:rPr>
            <w:noProof/>
            <w:webHidden/>
          </w:rPr>
          <w:fldChar w:fldCharType="begin"/>
        </w:r>
        <w:r w:rsidR="00E07E1A">
          <w:rPr>
            <w:noProof/>
            <w:webHidden/>
          </w:rPr>
          <w:instrText xml:space="preserve"> PAGEREF _Toc375132926 \h </w:instrText>
        </w:r>
        <w:r w:rsidR="00E07E1A">
          <w:rPr>
            <w:noProof/>
            <w:webHidden/>
          </w:rPr>
        </w:r>
        <w:r w:rsidR="00E07E1A">
          <w:rPr>
            <w:noProof/>
            <w:webHidden/>
          </w:rPr>
          <w:fldChar w:fldCharType="separate"/>
        </w:r>
        <w:r w:rsidR="00E01F13">
          <w:rPr>
            <w:noProof/>
            <w:webHidden/>
          </w:rPr>
          <w:t>140</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7" w:history="1">
        <w:r w:rsidR="00E07E1A" w:rsidRPr="00B86B62">
          <w:rPr>
            <w:rStyle w:val="Hyperlink"/>
            <w:noProof/>
          </w:rPr>
          <w:t>II.  Social Benefits</w:t>
        </w:r>
        <w:r w:rsidR="00E07E1A">
          <w:rPr>
            <w:noProof/>
            <w:webHidden/>
          </w:rPr>
          <w:tab/>
        </w:r>
        <w:r w:rsidR="00E07E1A">
          <w:rPr>
            <w:noProof/>
            <w:webHidden/>
          </w:rPr>
          <w:fldChar w:fldCharType="begin"/>
        </w:r>
        <w:r w:rsidR="00E07E1A">
          <w:rPr>
            <w:noProof/>
            <w:webHidden/>
          </w:rPr>
          <w:instrText xml:space="preserve"> PAGEREF _Toc375132927 \h </w:instrText>
        </w:r>
        <w:r w:rsidR="00E07E1A">
          <w:rPr>
            <w:noProof/>
            <w:webHidden/>
          </w:rPr>
        </w:r>
        <w:r w:rsidR="00E07E1A">
          <w:rPr>
            <w:noProof/>
            <w:webHidden/>
          </w:rPr>
          <w:fldChar w:fldCharType="separate"/>
        </w:r>
        <w:r w:rsidR="00E01F13">
          <w:rPr>
            <w:noProof/>
            <w:webHidden/>
          </w:rPr>
          <w:t>167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8" w:history="1">
        <w:r w:rsidR="00E07E1A" w:rsidRPr="00B86B62">
          <w:rPr>
            <w:rStyle w:val="Hyperlink"/>
            <w:noProof/>
          </w:rPr>
          <w:t>III.  Employment-Based Exclusions from Gross Income</w:t>
        </w:r>
        <w:r w:rsidR="00E07E1A">
          <w:rPr>
            <w:noProof/>
            <w:webHidden/>
          </w:rPr>
          <w:tab/>
        </w:r>
        <w:r w:rsidR="00E07E1A">
          <w:rPr>
            <w:noProof/>
            <w:webHidden/>
          </w:rPr>
          <w:fldChar w:fldCharType="begin"/>
        </w:r>
        <w:r w:rsidR="00E07E1A">
          <w:rPr>
            <w:noProof/>
            <w:webHidden/>
          </w:rPr>
          <w:instrText xml:space="preserve"> PAGEREF _Toc375132928 \h </w:instrText>
        </w:r>
        <w:r w:rsidR="00E07E1A">
          <w:rPr>
            <w:noProof/>
            <w:webHidden/>
          </w:rPr>
        </w:r>
        <w:r w:rsidR="00E07E1A">
          <w:rPr>
            <w:noProof/>
            <w:webHidden/>
          </w:rPr>
          <w:fldChar w:fldCharType="separate"/>
        </w:r>
        <w:r w:rsidR="00E01F13">
          <w:rPr>
            <w:noProof/>
            <w:webHidden/>
          </w:rPr>
          <w:t>181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29" w:history="1">
        <w:r w:rsidR="00E07E1A" w:rsidRPr="00B86B62">
          <w:rPr>
            <w:rStyle w:val="Hyperlink"/>
            <w:noProof/>
          </w:rPr>
          <w:t>Wrap-up Questions for Chapter 3:</w:t>
        </w:r>
        <w:r w:rsidR="00E07E1A">
          <w:rPr>
            <w:noProof/>
            <w:webHidden/>
          </w:rPr>
          <w:tab/>
        </w:r>
        <w:r w:rsidR="00E07E1A">
          <w:rPr>
            <w:noProof/>
            <w:webHidden/>
          </w:rPr>
          <w:fldChar w:fldCharType="begin"/>
        </w:r>
        <w:r w:rsidR="00E07E1A">
          <w:rPr>
            <w:noProof/>
            <w:webHidden/>
          </w:rPr>
          <w:instrText xml:space="preserve"> PAGEREF _Toc375132929 \h </w:instrText>
        </w:r>
        <w:r w:rsidR="00E07E1A">
          <w:rPr>
            <w:noProof/>
            <w:webHidden/>
          </w:rPr>
        </w:r>
        <w:r w:rsidR="00E07E1A">
          <w:rPr>
            <w:noProof/>
            <w:webHidden/>
          </w:rPr>
          <w:fldChar w:fldCharType="separate"/>
        </w:r>
        <w:r w:rsidR="00E01F13">
          <w:rPr>
            <w:noProof/>
            <w:webHidden/>
          </w:rPr>
          <w:t>205</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30" w:history="1">
        <w:r w:rsidR="00E07E1A" w:rsidRPr="00B86B62">
          <w:rPr>
            <w:rStyle w:val="Hyperlink"/>
            <w:rFonts w:ascii="Times New Roman" w:hAnsi="Times New Roman"/>
            <w:noProof/>
          </w:rPr>
          <w:t>Chapter 4: Loans and Cancellation of Indebtedness</w:t>
        </w:r>
        <w:r w:rsidR="00E07E1A">
          <w:rPr>
            <w:noProof/>
            <w:webHidden/>
          </w:rPr>
          <w:tab/>
        </w:r>
        <w:r w:rsidR="00E07E1A">
          <w:rPr>
            <w:noProof/>
            <w:webHidden/>
          </w:rPr>
          <w:fldChar w:fldCharType="begin"/>
        </w:r>
        <w:r w:rsidR="00E07E1A">
          <w:rPr>
            <w:noProof/>
            <w:webHidden/>
          </w:rPr>
          <w:instrText xml:space="preserve"> PAGEREF _Toc375132930 \h </w:instrText>
        </w:r>
        <w:r w:rsidR="00E07E1A">
          <w:rPr>
            <w:noProof/>
            <w:webHidden/>
          </w:rPr>
        </w:r>
        <w:r w:rsidR="00E07E1A">
          <w:rPr>
            <w:noProof/>
            <w:webHidden/>
          </w:rPr>
          <w:fldChar w:fldCharType="separate"/>
        </w:r>
        <w:r w:rsidR="00E01F13">
          <w:rPr>
            <w:noProof/>
            <w:webHidden/>
          </w:rPr>
          <w:t>206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1" w:history="1">
        <w:r w:rsidR="00E07E1A" w:rsidRPr="00B86B62">
          <w:rPr>
            <w:rStyle w:val="Hyperlink"/>
            <w:noProof/>
          </w:rPr>
          <w:t>I.  Tax Consequences of Borrowing Money</w:t>
        </w:r>
        <w:r w:rsidR="00E07E1A">
          <w:rPr>
            <w:noProof/>
            <w:webHidden/>
          </w:rPr>
          <w:tab/>
        </w:r>
        <w:r w:rsidR="00E07E1A">
          <w:rPr>
            <w:noProof/>
            <w:webHidden/>
          </w:rPr>
          <w:fldChar w:fldCharType="begin"/>
        </w:r>
        <w:r w:rsidR="00E07E1A">
          <w:rPr>
            <w:noProof/>
            <w:webHidden/>
          </w:rPr>
          <w:instrText xml:space="preserve"> PAGEREF _Toc375132931 \h </w:instrText>
        </w:r>
        <w:r w:rsidR="00E07E1A">
          <w:rPr>
            <w:noProof/>
            <w:webHidden/>
          </w:rPr>
        </w:r>
        <w:r w:rsidR="00E07E1A">
          <w:rPr>
            <w:noProof/>
            <w:webHidden/>
          </w:rPr>
          <w:fldChar w:fldCharType="separate"/>
        </w:r>
        <w:r w:rsidR="00E01F13">
          <w:rPr>
            <w:noProof/>
            <w:webHidden/>
          </w:rPr>
          <w:t>206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2" w:history="1">
        <w:r w:rsidR="00E07E1A" w:rsidRPr="00B86B62">
          <w:rPr>
            <w:rStyle w:val="Hyperlink"/>
            <w:noProof/>
          </w:rPr>
          <w:t>II.  Cancellation of Indebtedness</w:t>
        </w:r>
        <w:r w:rsidR="00E07E1A">
          <w:rPr>
            <w:noProof/>
            <w:webHidden/>
          </w:rPr>
          <w:tab/>
        </w:r>
        <w:r w:rsidR="00E07E1A">
          <w:rPr>
            <w:noProof/>
            <w:webHidden/>
          </w:rPr>
          <w:fldChar w:fldCharType="begin"/>
        </w:r>
        <w:r w:rsidR="00E07E1A">
          <w:rPr>
            <w:noProof/>
            <w:webHidden/>
          </w:rPr>
          <w:instrText xml:space="preserve"> PAGEREF _Toc375132932 \h </w:instrText>
        </w:r>
        <w:r w:rsidR="00E07E1A">
          <w:rPr>
            <w:noProof/>
            <w:webHidden/>
          </w:rPr>
        </w:r>
        <w:r w:rsidR="00E07E1A">
          <w:rPr>
            <w:noProof/>
            <w:webHidden/>
          </w:rPr>
          <w:fldChar w:fldCharType="separate"/>
        </w:r>
        <w:r w:rsidR="00E01F13">
          <w:rPr>
            <w:noProof/>
            <w:webHidden/>
          </w:rPr>
          <w:t>207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3" w:history="1">
        <w:r w:rsidR="00E07E1A" w:rsidRPr="00B86B62">
          <w:rPr>
            <w:rStyle w:val="Hyperlink"/>
            <w:noProof/>
          </w:rPr>
          <w:t>III.  Is It a Loan? Is There an Accession to Wealth?</w:t>
        </w:r>
        <w:r w:rsidR="00E07E1A">
          <w:rPr>
            <w:noProof/>
            <w:webHidden/>
          </w:rPr>
          <w:tab/>
        </w:r>
        <w:r w:rsidR="00E07E1A">
          <w:rPr>
            <w:noProof/>
            <w:webHidden/>
          </w:rPr>
          <w:fldChar w:fldCharType="begin"/>
        </w:r>
        <w:r w:rsidR="00E07E1A">
          <w:rPr>
            <w:noProof/>
            <w:webHidden/>
          </w:rPr>
          <w:instrText xml:space="preserve"> PAGEREF _Toc375132933 \h </w:instrText>
        </w:r>
        <w:r w:rsidR="00E07E1A">
          <w:rPr>
            <w:noProof/>
            <w:webHidden/>
          </w:rPr>
        </w:r>
        <w:r w:rsidR="00E07E1A">
          <w:rPr>
            <w:noProof/>
            <w:webHidden/>
          </w:rPr>
          <w:fldChar w:fldCharType="separate"/>
        </w:r>
        <w:r w:rsidR="00E01F13">
          <w:rPr>
            <w:noProof/>
            <w:webHidden/>
          </w:rPr>
          <w:t>213</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4" w:history="1">
        <w:r w:rsidR="00E07E1A" w:rsidRPr="00B86B62">
          <w:rPr>
            <w:rStyle w:val="Hyperlink"/>
            <w:noProof/>
          </w:rPr>
          <w:t>IV.  Section 108(a)'s Other Provisions</w:t>
        </w:r>
        <w:r w:rsidR="00E07E1A">
          <w:rPr>
            <w:noProof/>
            <w:webHidden/>
          </w:rPr>
          <w:tab/>
        </w:r>
        <w:r w:rsidR="00E07E1A">
          <w:rPr>
            <w:noProof/>
            <w:webHidden/>
          </w:rPr>
          <w:fldChar w:fldCharType="begin"/>
        </w:r>
        <w:r w:rsidR="00E07E1A">
          <w:rPr>
            <w:noProof/>
            <w:webHidden/>
          </w:rPr>
          <w:instrText xml:space="preserve"> PAGEREF _Toc375132934 \h </w:instrText>
        </w:r>
        <w:r w:rsidR="00E07E1A">
          <w:rPr>
            <w:noProof/>
            <w:webHidden/>
          </w:rPr>
        </w:r>
        <w:r w:rsidR="00E07E1A">
          <w:rPr>
            <w:noProof/>
            <w:webHidden/>
          </w:rPr>
          <w:fldChar w:fldCharType="separate"/>
        </w:r>
        <w:r w:rsidR="00E01F13">
          <w:rPr>
            <w:noProof/>
            <w:webHidden/>
          </w:rPr>
          <w:t>238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5" w:history="1">
        <w:r w:rsidR="00E07E1A" w:rsidRPr="00B86B62">
          <w:rPr>
            <w:rStyle w:val="Hyperlink"/>
            <w:noProof/>
          </w:rPr>
          <w:t>V.  Transactions Involving Property Subject to a Loan</w:t>
        </w:r>
        <w:r w:rsidR="00E07E1A">
          <w:rPr>
            <w:noProof/>
            <w:webHidden/>
          </w:rPr>
          <w:tab/>
        </w:r>
        <w:r w:rsidR="00E07E1A">
          <w:rPr>
            <w:noProof/>
            <w:webHidden/>
          </w:rPr>
          <w:fldChar w:fldCharType="begin"/>
        </w:r>
        <w:r w:rsidR="00E07E1A">
          <w:rPr>
            <w:noProof/>
            <w:webHidden/>
          </w:rPr>
          <w:instrText xml:space="preserve"> PAGEREF _Toc375132935 \h </w:instrText>
        </w:r>
        <w:r w:rsidR="00E07E1A">
          <w:rPr>
            <w:noProof/>
            <w:webHidden/>
          </w:rPr>
        </w:r>
        <w:r w:rsidR="00E07E1A">
          <w:rPr>
            <w:noProof/>
            <w:webHidden/>
          </w:rPr>
          <w:fldChar w:fldCharType="separate"/>
        </w:r>
        <w:r w:rsidR="00E01F13">
          <w:rPr>
            <w:noProof/>
            <w:webHidden/>
          </w:rPr>
          <w:t>240</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6" w:history="1">
        <w:r w:rsidR="00E07E1A" w:rsidRPr="00B86B62">
          <w:rPr>
            <w:rStyle w:val="Hyperlink"/>
            <w:noProof/>
          </w:rPr>
          <w:t>VI.  Transactions Treated as Loans</w:t>
        </w:r>
        <w:r w:rsidR="00E07E1A">
          <w:rPr>
            <w:noProof/>
            <w:webHidden/>
          </w:rPr>
          <w:tab/>
        </w:r>
        <w:r w:rsidR="00E07E1A">
          <w:rPr>
            <w:noProof/>
            <w:webHidden/>
          </w:rPr>
          <w:fldChar w:fldCharType="begin"/>
        </w:r>
        <w:r w:rsidR="00E07E1A">
          <w:rPr>
            <w:noProof/>
            <w:webHidden/>
          </w:rPr>
          <w:instrText xml:space="preserve"> PAGEREF _Toc375132936 \h </w:instrText>
        </w:r>
        <w:r w:rsidR="00E07E1A">
          <w:rPr>
            <w:noProof/>
            <w:webHidden/>
          </w:rPr>
        </w:r>
        <w:r w:rsidR="00E07E1A">
          <w:rPr>
            <w:noProof/>
            <w:webHidden/>
          </w:rPr>
          <w:fldChar w:fldCharType="separate"/>
        </w:r>
        <w:r w:rsidR="00E01F13">
          <w:rPr>
            <w:noProof/>
            <w:webHidden/>
          </w:rPr>
          <w:t>261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7" w:history="1">
        <w:r w:rsidR="00E07E1A" w:rsidRPr="00B86B62">
          <w:rPr>
            <w:rStyle w:val="Hyperlink"/>
            <w:noProof/>
          </w:rPr>
          <w:t>Wrap-up Questions for Chapter 4</w:t>
        </w:r>
        <w:r w:rsidR="00E07E1A">
          <w:rPr>
            <w:noProof/>
            <w:webHidden/>
          </w:rPr>
          <w:tab/>
        </w:r>
        <w:r w:rsidR="00E07E1A">
          <w:rPr>
            <w:noProof/>
            <w:webHidden/>
          </w:rPr>
          <w:fldChar w:fldCharType="begin"/>
        </w:r>
        <w:r w:rsidR="00E07E1A">
          <w:rPr>
            <w:noProof/>
            <w:webHidden/>
          </w:rPr>
          <w:instrText xml:space="preserve"> PAGEREF _Toc375132937 \h </w:instrText>
        </w:r>
        <w:r w:rsidR="00E07E1A">
          <w:rPr>
            <w:noProof/>
            <w:webHidden/>
          </w:rPr>
        </w:r>
        <w:r w:rsidR="00E07E1A">
          <w:rPr>
            <w:noProof/>
            <w:webHidden/>
          </w:rPr>
          <w:fldChar w:fldCharType="separate"/>
        </w:r>
        <w:r w:rsidR="00E01F13">
          <w:rPr>
            <w:noProof/>
            <w:webHidden/>
          </w:rPr>
          <w:t>265</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38" w:history="1">
        <w:r w:rsidR="00E07E1A" w:rsidRPr="00B86B62">
          <w:rPr>
            <w:rStyle w:val="Hyperlink"/>
            <w:rFonts w:ascii="Times New Roman" w:hAnsi="Times New Roman"/>
            <w:noProof/>
          </w:rPr>
          <w:t>Chapter 5: Assignment of Income</w:t>
        </w:r>
        <w:r w:rsidR="00E07E1A">
          <w:rPr>
            <w:noProof/>
            <w:webHidden/>
          </w:rPr>
          <w:tab/>
        </w:r>
        <w:r w:rsidR="00E07E1A">
          <w:rPr>
            <w:noProof/>
            <w:webHidden/>
          </w:rPr>
          <w:fldChar w:fldCharType="begin"/>
        </w:r>
        <w:r w:rsidR="00E07E1A">
          <w:rPr>
            <w:noProof/>
            <w:webHidden/>
          </w:rPr>
          <w:instrText xml:space="preserve"> PAGEREF _Toc375132938 \h </w:instrText>
        </w:r>
        <w:r w:rsidR="00E07E1A">
          <w:rPr>
            <w:noProof/>
            <w:webHidden/>
          </w:rPr>
        </w:r>
        <w:r w:rsidR="00E07E1A">
          <w:rPr>
            <w:noProof/>
            <w:webHidden/>
          </w:rPr>
          <w:fldChar w:fldCharType="separate"/>
        </w:r>
        <w:r w:rsidR="00E01F13">
          <w:rPr>
            <w:noProof/>
            <w:webHidden/>
          </w:rPr>
          <w:t>266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39" w:history="1">
        <w:r w:rsidR="00E07E1A" w:rsidRPr="00B86B62">
          <w:rPr>
            <w:rStyle w:val="Hyperlink"/>
            <w:noProof/>
          </w:rPr>
          <w:t>I.  Compensation for Services</w:t>
        </w:r>
        <w:r w:rsidR="00E07E1A">
          <w:rPr>
            <w:noProof/>
            <w:webHidden/>
          </w:rPr>
          <w:tab/>
        </w:r>
        <w:r w:rsidR="00E07E1A">
          <w:rPr>
            <w:noProof/>
            <w:webHidden/>
          </w:rPr>
          <w:fldChar w:fldCharType="begin"/>
        </w:r>
        <w:r w:rsidR="00E07E1A">
          <w:rPr>
            <w:noProof/>
            <w:webHidden/>
          </w:rPr>
          <w:instrText xml:space="preserve"> PAGEREF _Toc375132939 \h </w:instrText>
        </w:r>
        <w:r w:rsidR="00E07E1A">
          <w:rPr>
            <w:noProof/>
            <w:webHidden/>
          </w:rPr>
        </w:r>
        <w:r w:rsidR="00E07E1A">
          <w:rPr>
            <w:noProof/>
            <w:webHidden/>
          </w:rPr>
          <w:fldChar w:fldCharType="separate"/>
        </w:r>
        <w:r w:rsidR="00E01F13">
          <w:rPr>
            <w:noProof/>
            <w:webHidden/>
          </w:rPr>
          <w:t>267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0" w:history="1">
        <w:r w:rsidR="00E07E1A" w:rsidRPr="00B86B62">
          <w:rPr>
            <w:rStyle w:val="Hyperlink"/>
            <w:noProof/>
          </w:rPr>
          <w:t>II.  Income Splitting and the Joint Return</w:t>
        </w:r>
        <w:r w:rsidR="00E07E1A">
          <w:rPr>
            <w:noProof/>
            <w:webHidden/>
          </w:rPr>
          <w:tab/>
        </w:r>
        <w:r w:rsidR="00E07E1A">
          <w:rPr>
            <w:noProof/>
            <w:webHidden/>
          </w:rPr>
          <w:fldChar w:fldCharType="begin"/>
        </w:r>
        <w:r w:rsidR="00E07E1A">
          <w:rPr>
            <w:noProof/>
            <w:webHidden/>
          </w:rPr>
          <w:instrText xml:space="preserve"> PAGEREF _Toc375132940 \h </w:instrText>
        </w:r>
        <w:r w:rsidR="00E07E1A">
          <w:rPr>
            <w:noProof/>
            <w:webHidden/>
          </w:rPr>
        </w:r>
        <w:r w:rsidR="00E07E1A">
          <w:rPr>
            <w:noProof/>
            <w:webHidden/>
          </w:rPr>
          <w:fldChar w:fldCharType="separate"/>
        </w:r>
        <w:r w:rsidR="00E01F13">
          <w:rPr>
            <w:noProof/>
            <w:webHidden/>
          </w:rPr>
          <w:t>277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1" w:history="1">
        <w:r w:rsidR="00E07E1A" w:rsidRPr="00B86B62">
          <w:rPr>
            <w:rStyle w:val="Hyperlink"/>
            <w:noProof/>
          </w:rPr>
          <w:t>III.  Income Derived from Property</w:t>
        </w:r>
        <w:r w:rsidR="00E07E1A">
          <w:rPr>
            <w:noProof/>
            <w:webHidden/>
          </w:rPr>
          <w:tab/>
        </w:r>
        <w:r w:rsidR="00E07E1A">
          <w:rPr>
            <w:noProof/>
            <w:webHidden/>
          </w:rPr>
          <w:fldChar w:fldCharType="begin"/>
        </w:r>
        <w:r w:rsidR="00E07E1A">
          <w:rPr>
            <w:noProof/>
            <w:webHidden/>
          </w:rPr>
          <w:instrText xml:space="preserve"> PAGEREF _Toc375132941 \h </w:instrText>
        </w:r>
        <w:r w:rsidR="00E07E1A">
          <w:rPr>
            <w:noProof/>
            <w:webHidden/>
          </w:rPr>
        </w:r>
        <w:r w:rsidR="00E07E1A">
          <w:rPr>
            <w:noProof/>
            <w:webHidden/>
          </w:rPr>
          <w:fldChar w:fldCharType="separate"/>
        </w:r>
        <w:r w:rsidR="00E01F13">
          <w:rPr>
            <w:noProof/>
            <w:webHidden/>
          </w:rPr>
          <w:t>282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2" w:history="1">
        <w:r w:rsidR="00E07E1A" w:rsidRPr="00B86B62">
          <w:rPr>
            <w:rStyle w:val="Hyperlink"/>
            <w:noProof/>
          </w:rPr>
          <w:t>IV.  Interest Free Loans and Unstated Interest</w:t>
        </w:r>
        <w:r w:rsidR="00E07E1A">
          <w:rPr>
            <w:noProof/>
            <w:webHidden/>
          </w:rPr>
          <w:tab/>
        </w:r>
        <w:r w:rsidR="00E07E1A">
          <w:rPr>
            <w:noProof/>
            <w:webHidden/>
          </w:rPr>
          <w:fldChar w:fldCharType="begin"/>
        </w:r>
        <w:r w:rsidR="00E07E1A">
          <w:rPr>
            <w:noProof/>
            <w:webHidden/>
          </w:rPr>
          <w:instrText xml:space="preserve"> PAGEREF _Toc375132942 \h </w:instrText>
        </w:r>
        <w:r w:rsidR="00E07E1A">
          <w:rPr>
            <w:noProof/>
            <w:webHidden/>
          </w:rPr>
        </w:r>
        <w:r w:rsidR="00E07E1A">
          <w:rPr>
            <w:noProof/>
            <w:webHidden/>
          </w:rPr>
          <w:fldChar w:fldCharType="separate"/>
        </w:r>
        <w:r w:rsidR="00E01F13">
          <w:rPr>
            <w:noProof/>
            <w:webHidden/>
          </w:rPr>
          <w:t>296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3" w:history="1">
        <w:r w:rsidR="00E07E1A" w:rsidRPr="00B86B62">
          <w:rPr>
            <w:rStyle w:val="Hyperlink"/>
            <w:noProof/>
          </w:rPr>
          <w:t>Wrap-Up Questions for Chapter 5</w:t>
        </w:r>
        <w:r w:rsidR="00E07E1A">
          <w:rPr>
            <w:noProof/>
            <w:webHidden/>
          </w:rPr>
          <w:tab/>
        </w:r>
        <w:r w:rsidR="00E07E1A">
          <w:rPr>
            <w:noProof/>
            <w:webHidden/>
          </w:rPr>
          <w:fldChar w:fldCharType="begin"/>
        </w:r>
        <w:r w:rsidR="00E07E1A">
          <w:rPr>
            <w:noProof/>
            <w:webHidden/>
          </w:rPr>
          <w:instrText xml:space="preserve"> PAGEREF _Toc375132943 \h </w:instrText>
        </w:r>
        <w:r w:rsidR="00E07E1A">
          <w:rPr>
            <w:noProof/>
            <w:webHidden/>
          </w:rPr>
        </w:r>
        <w:r w:rsidR="00E07E1A">
          <w:rPr>
            <w:noProof/>
            <w:webHidden/>
          </w:rPr>
          <w:fldChar w:fldCharType="separate"/>
        </w:r>
        <w:r w:rsidR="00E01F13">
          <w:rPr>
            <w:noProof/>
            <w:webHidden/>
          </w:rPr>
          <w:t>298</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44" w:history="1">
        <w:r w:rsidR="00E07E1A" w:rsidRPr="00B86B62">
          <w:rPr>
            <w:rStyle w:val="Hyperlink"/>
            <w:rFonts w:ascii="Times New Roman" w:hAnsi="Times New Roman"/>
            <w:noProof/>
          </w:rPr>
          <w:t>Chapter 6:  Deductions: Business Expenses</w:t>
        </w:r>
        <w:r w:rsidR="00E07E1A">
          <w:rPr>
            <w:noProof/>
            <w:webHidden/>
          </w:rPr>
          <w:tab/>
        </w:r>
        <w:r w:rsidR="00E07E1A">
          <w:rPr>
            <w:noProof/>
            <w:webHidden/>
          </w:rPr>
          <w:fldChar w:fldCharType="begin"/>
        </w:r>
        <w:r w:rsidR="00E07E1A">
          <w:rPr>
            <w:noProof/>
            <w:webHidden/>
          </w:rPr>
          <w:instrText xml:space="preserve"> PAGEREF _Toc375132944 \h </w:instrText>
        </w:r>
        <w:r w:rsidR="00E07E1A">
          <w:rPr>
            <w:noProof/>
            <w:webHidden/>
          </w:rPr>
        </w:r>
        <w:r w:rsidR="00E07E1A">
          <w:rPr>
            <w:noProof/>
            <w:webHidden/>
          </w:rPr>
          <w:fldChar w:fldCharType="separate"/>
        </w:r>
        <w:r w:rsidR="00E01F13">
          <w:rPr>
            <w:noProof/>
            <w:webHidden/>
          </w:rPr>
          <w:t>299</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5" w:history="1">
        <w:r w:rsidR="00E07E1A" w:rsidRPr="00B86B62">
          <w:rPr>
            <w:rStyle w:val="Hyperlink"/>
            <w:noProof/>
          </w:rPr>
          <w:t>I.  Expense or Capital</w:t>
        </w:r>
        <w:r w:rsidR="00E07E1A">
          <w:rPr>
            <w:noProof/>
            <w:webHidden/>
          </w:rPr>
          <w:tab/>
        </w:r>
        <w:r w:rsidR="00E07E1A">
          <w:rPr>
            <w:noProof/>
            <w:webHidden/>
          </w:rPr>
          <w:fldChar w:fldCharType="begin"/>
        </w:r>
        <w:r w:rsidR="00E07E1A">
          <w:rPr>
            <w:noProof/>
            <w:webHidden/>
          </w:rPr>
          <w:instrText xml:space="preserve"> PAGEREF _Toc375132945 \h </w:instrText>
        </w:r>
        <w:r w:rsidR="00E07E1A">
          <w:rPr>
            <w:noProof/>
            <w:webHidden/>
          </w:rPr>
        </w:r>
        <w:r w:rsidR="00E07E1A">
          <w:rPr>
            <w:noProof/>
            <w:webHidden/>
          </w:rPr>
          <w:fldChar w:fldCharType="separate"/>
        </w:r>
        <w:r w:rsidR="00E01F13">
          <w:rPr>
            <w:noProof/>
            <w:webHidden/>
          </w:rPr>
          <w:t>302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6" w:history="1">
        <w:r w:rsidR="00E07E1A" w:rsidRPr="00B86B62">
          <w:rPr>
            <w:rStyle w:val="Hyperlink"/>
            <w:noProof/>
          </w:rPr>
          <w:t>II.  Deductibility Under §§ 162 or 212</w:t>
        </w:r>
        <w:r w:rsidR="00E07E1A">
          <w:rPr>
            <w:noProof/>
            <w:webHidden/>
          </w:rPr>
          <w:tab/>
        </w:r>
        <w:r w:rsidR="00E07E1A">
          <w:rPr>
            <w:noProof/>
            <w:webHidden/>
          </w:rPr>
          <w:fldChar w:fldCharType="begin"/>
        </w:r>
        <w:r w:rsidR="00E07E1A">
          <w:rPr>
            <w:noProof/>
            <w:webHidden/>
          </w:rPr>
          <w:instrText xml:space="preserve"> PAGEREF _Toc375132946 \h </w:instrText>
        </w:r>
        <w:r w:rsidR="00E07E1A">
          <w:rPr>
            <w:noProof/>
            <w:webHidden/>
          </w:rPr>
        </w:r>
        <w:r w:rsidR="00E07E1A">
          <w:rPr>
            <w:noProof/>
            <w:webHidden/>
          </w:rPr>
          <w:fldChar w:fldCharType="separate"/>
        </w:r>
        <w:r w:rsidR="00E01F13">
          <w:rPr>
            <w:noProof/>
            <w:webHidden/>
          </w:rPr>
          <w:t>364</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7" w:history="1">
        <w:r w:rsidR="00E07E1A" w:rsidRPr="00B86B62">
          <w:rPr>
            <w:rStyle w:val="Hyperlink"/>
            <w:noProof/>
          </w:rPr>
          <w:t>III.  Depreciation, Amortization, and Cost Recovery</w:t>
        </w:r>
        <w:r w:rsidR="00E07E1A">
          <w:rPr>
            <w:noProof/>
            <w:webHidden/>
          </w:rPr>
          <w:tab/>
        </w:r>
        <w:r w:rsidR="00E07E1A">
          <w:rPr>
            <w:noProof/>
            <w:webHidden/>
          </w:rPr>
          <w:fldChar w:fldCharType="begin"/>
        </w:r>
        <w:r w:rsidR="00E07E1A">
          <w:rPr>
            <w:noProof/>
            <w:webHidden/>
          </w:rPr>
          <w:instrText xml:space="preserve"> PAGEREF _Toc375132947 \h </w:instrText>
        </w:r>
        <w:r w:rsidR="00E07E1A">
          <w:rPr>
            <w:noProof/>
            <w:webHidden/>
          </w:rPr>
        </w:r>
        <w:r w:rsidR="00E07E1A">
          <w:rPr>
            <w:noProof/>
            <w:webHidden/>
          </w:rPr>
          <w:fldChar w:fldCharType="separate"/>
        </w:r>
        <w:r w:rsidR="00E01F13">
          <w:rPr>
            <w:noProof/>
            <w:webHidden/>
          </w:rPr>
          <w:t>438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48" w:history="1">
        <w:r w:rsidR="00E07E1A" w:rsidRPr="00B86B62">
          <w:rPr>
            <w:rStyle w:val="Hyperlink"/>
            <w:noProof/>
          </w:rPr>
          <w:t>Wrap-Up Questions for Chapter 6</w:t>
        </w:r>
        <w:r w:rsidR="00E07E1A">
          <w:rPr>
            <w:noProof/>
            <w:webHidden/>
          </w:rPr>
          <w:tab/>
        </w:r>
        <w:r w:rsidR="00E07E1A">
          <w:rPr>
            <w:noProof/>
            <w:webHidden/>
          </w:rPr>
          <w:fldChar w:fldCharType="begin"/>
        </w:r>
        <w:r w:rsidR="00E07E1A">
          <w:rPr>
            <w:noProof/>
            <w:webHidden/>
          </w:rPr>
          <w:instrText xml:space="preserve"> PAGEREF _Toc375132948 \h </w:instrText>
        </w:r>
        <w:r w:rsidR="00E07E1A">
          <w:rPr>
            <w:noProof/>
            <w:webHidden/>
          </w:rPr>
        </w:r>
        <w:r w:rsidR="00E07E1A">
          <w:rPr>
            <w:noProof/>
            <w:webHidden/>
          </w:rPr>
          <w:fldChar w:fldCharType="separate"/>
        </w:r>
        <w:r w:rsidR="00E01F13">
          <w:rPr>
            <w:noProof/>
            <w:webHidden/>
          </w:rPr>
          <w:t>454</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49" w:history="1">
        <w:r w:rsidR="00E07E1A" w:rsidRPr="00B86B62">
          <w:rPr>
            <w:rStyle w:val="Hyperlink"/>
            <w:rFonts w:ascii="Times New Roman" w:hAnsi="Times New Roman"/>
            <w:noProof/>
          </w:rPr>
          <w:t>Chapter 7: Personal Deductions</w:t>
        </w:r>
        <w:r w:rsidR="00E07E1A">
          <w:rPr>
            <w:noProof/>
            <w:webHidden/>
          </w:rPr>
          <w:tab/>
        </w:r>
        <w:r w:rsidR="00E07E1A">
          <w:rPr>
            <w:noProof/>
            <w:webHidden/>
          </w:rPr>
          <w:fldChar w:fldCharType="begin"/>
        </w:r>
        <w:r w:rsidR="00E07E1A">
          <w:rPr>
            <w:noProof/>
            <w:webHidden/>
          </w:rPr>
          <w:instrText xml:space="preserve"> PAGEREF _Toc375132949 \h </w:instrText>
        </w:r>
        <w:r w:rsidR="00E07E1A">
          <w:rPr>
            <w:noProof/>
            <w:webHidden/>
          </w:rPr>
        </w:r>
        <w:r w:rsidR="00E07E1A">
          <w:rPr>
            <w:noProof/>
            <w:webHidden/>
          </w:rPr>
          <w:fldChar w:fldCharType="separate"/>
        </w:r>
        <w:r w:rsidR="00E01F13">
          <w:rPr>
            <w:noProof/>
            <w:webHidden/>
          </w:rPr>
          <w:t>455</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0" w:history="1">
        <w:r w:rsidR="00E07E1A" w:rsidRPr="00B86B62">
          <w:rPr>
            <w:rStyle w:val="Hyperlink"/>
            <w:noProof/>
          </w:rPr>
          <w:t>I.  “Tax Expenditures”</w:t>
        </w:r>
        <w:r w:rsidR="00E07E1A">
          <w:rPr>
            <w:noProof/>
            <w:webHidden/>
          </w:rPr>
          <w:tab/>
        </w:r>
        <w:r w:rsidR="00E07E1A">
          <w:rPr>
            <w:noProof/>
            <w:webHidden/>
          </w:rPr>
          <w:fldChar w:fldCharType="begin"/>
        </w:r>
        <w:r w:rsidR="00E07E1A">
          <w:rPr>
            <w:noProof/>
            <w:webHidden/>
          </w:rPr>
          <w:instrText xml:space="preserve"> PAGEREF _Toc375132950 \h </w:instrText>
        </w:r>
        <w:r w:rsidR="00E07E1A">
          <w:rPr>
            <w:noProof/>
            <w:webHidden/>
          </w:rPr>
        </w:r>
        <w:r w:rsidR="00E07E1A">
          <w:rPr>
            <w:noProof/>
            <w:webHidden/>
          </w:rPr>
          <w:fldChar w:fldCharType="separate"/>
        </w:r>
        <w:r w:rsidR="00E01F13">
          <w:rPr>
            <w:noProof/>
            <w:webHidden/>
          </w:rPr>
          <w:t>456</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1" w:history="1">
        <w:r w:rsidR="00E07E1A" w:rsidRPr="00B86B62">
          <w:rPr>
            <w:rStyle w:val="Hyperlink"/>
            <w:noProof/>
          </w:rPr>
          <w:t>II.  Denial of Discretion in Choosing How or What to Consume</w:t>
        </w:r>
        <w:r w:rsidR="00E07E1A">
          <w:rPr>
            <w:noProof/>
            <w:webHidden/>
          </w:rPr>
          <w:tab/>
        </w:r>
        <w:r w:rsidR="00E07E1A">
          <w:rPr>
            <w:noProof/>
            <w:webHidden/>
          </w:rPr>
          <w:fldChar w:fldCharType="begin"/>
        </w:r>
        <w:r w:rsidR="00E07E1A">
          <w:rPr>
            <w:noProof/>
            <w:webHidden/>
          </w:rPr>
          <w:instrText xml:space="preserve"> PAGEREF _Toc375132951 \h </w:instrText>
        </w:r>
        <w:r w:rsidR="00E07E1A">
          <w:rPr>
            <w:noProof/>
            <w:webHidden/>
          </w:rPr>
        </w:r>
        <w:r w:rsidR="00E07E1A">
          <w:rPr>
            <w:noProof/>
            <w:webHidden/>
          </w:rPr>
          <w:fldChar w:fldCharType="separate"/>
        </w:r>
        <w:r w:rsidR="00E01F13">
          <w:rPr>
            <w:noProof/>
            <w:webHidden/>
          </w:rPr>
          <w:t>471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2" w:history="1">
        <w:r w:rsidR="00E07E1A" w:rsidRPr="00B86B62">
          <w:rPr>
            <w:rStyle w:val="Hyperlink"/>
            <w:noProof/>
          </w:rPr>
          <w:t>III.  Creating a More Efficient and Productive Economy</w:t>
        </w:r>
        <w:r w:rsidR="00E07E1A">
          <w:rPr>
            <w:noProof/>
            <w:webHidden/>
          </w:rPr>
          <w:tab/>
        </w:r>
        <w:r w:rsidR="00E07E1A">
          <w:rPr>
            <w:noProof/>
            <w:webHidden/>
          </w:rPr>
          <w:fldChar w:fldCharType="begin"/>
        </w:r>
        <w:r w:rsidR="00E07E1A">
          <w:rPr>
            <w:noProof/>
            <w:webHidden/>
          </w:rPr>
          <w:instrText xml:space="preserve"> PAGEREF _Toc375132952 \h </w:instrText>
        </w:r>
        <w:r w:rsidR="00E07E1A">
          <w:rPr>
            <w:noProof/>
            <w:webHidden/>
          </w:rPr>
        </w:r>
        <w:r w:rsidR="00E07E1A">
          <w:rPr>
            <w:noProof/>
            <w:webHidden/>
          </w:rPr>
          <w:fldChar w:fldCharType="separate"/>
        </w:r>
        <w:r w:rsidR="00E01F13">
          <w:rPr>
            <w:noProof/>
            <w:webHidden/>
          </w:rPr>
          <w:t>481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3" w:history="1">
        <w:r w:rsidR="00E07E1A" w:rsidRPr="00B86B62">
          <w:rPr>
            <w:rStyle w:val="Hyperlink"/>
            <w:noProof/>
          </w:rPr>
          <w:t>Wrap-Up Questions for Chapter 7</w:t>
        </w:r>
        <w:r w:rsidR="00E07E1A">
          <w:rPr>
            <w:noProof/>
            <w:webHidden/>
          </w:rPr>
          <w:tab/>
        </w:r>
        <w:r w:rsidR="00E07E1A">
          <w:rPr>
            <w:noProof/>
            <w:webHidden/>
          </w:rPr>
          <w:fldChar w:fldCharType="begin"/>
        </w:r>
        <w:r w:rsidR="00E07E1A">
          <w:rPr>
            <w:noProof/>
            <w:webHidden/>
          </w:rPr>
          <w:instrText xml:space="preserve"> PAGEREF _Toc375132953 \h </w:instrText>
        </w:r>
        <w:r w:rsidR="00E07E1A">
          <w:rPr>
            <w:noProof/>
            <w:webHidden/>
          </w:rPr>
        </w:r>
        <w:r w:rsidR="00E07E1A">
          <w:rPr>
            <w:noProof/>
            <w:webHidden/>
          </w:rPr>
          <w:fldChar w:fldCharType="separate"/>
        </w:r>
        <w:r w:rsidR="00E01F13">
          <w:rPr>
            <w:noProof/>
            <w:webHidden/>
          </w:rPr>
          <w:t>486</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54" w:history="1">
        <w:r w:rsidR="00E07E1A" w:rsidRPr="00B86B62">
          <w:rPr>
            <w:rStyle w:val="Hyperlink"/>
            <w:rFonts w:ascii="Times New Roman" w:hAnsi="Times New Roman"/>
            <w:noProof/>
          </w:rPr>
          <w:t>Chapter 8: Tax Consequences of Divorce and Intra-Family Transactions</w:t>
        </w:r>
        <w:r w:rsidR="00E07E1A">
          <w:rPr>
            <w:noProof/>
            <w:webHidden/>
          </w:rPr>
          <w:tab/>
        </w:r>
        <w:r w:rsidR="00E07E1A">
          <w:rPr>
            <w:noProof/>
            <w:webHidden/>
          </w:rPr>
          <w:fldChar w:fldCharType="begin"/>
        </w:r>
        <w:r w:rsidR="00E07E1A">
          <w:rPr>
            <w:noProof/>
            <w:webHidden/>
          </w:rPr>
          <w:instrText xml:space="preserve"> PAGEREF _Toc375132954 \h </w:instrText>
        </w:r>
        <w:r w:rsidR="00E07E1A">
          <w:rPr>
            <w:noProof/>
            <w:webHidden/>
          </w:rPr>
        </w:r>
        <w:r w:rsidR="00E07E1A">
          <w:rPr>
            <w:noProof/>
            <w:webHidden/>
          </w:rPr>
          <w:fldChar w:fldCharType="separate"/>
        </w:r>
        <w:r w:rsidR="00E01F13">
          <w:rPr>
            <w:noProof/>
            <w:webHidden/>
          </w:rPr>
          <w:t>487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5" w:history="1">
        <w:r w:rsidR="00E07E1A" w:rsidRPr="00B86B62">
          <w:rPr>
            <w:rStyle w:val="Hyperlink"/>
            <w:noProof/>
          </w:rPr>
          <w:t>I.  Introduction</w:t>
        </w:r>
        <w:r w:rsidR="00E07E1A">
          <w:rPr>
            <w:noProof/>
            <w:webHidden/>
          </w:rPr>
          <w:tab/>
        </w:r>
        <w:r w:rsidR="00E07E1A">
          <w:rPr>
            <w:noProof/>
            <w:webHidden/>
          </w:rPr>
          <w:fldChar w:fldCharType="begin"/>
        </w:r>
        <w:r w:rsidR="00E07E1A">
          <w:rPr>
            <w:noProof/>
            <w:webHidden/>
          </w:rPr>
          <w:instrText xml:space="preserve"> PAGEREF _Toc375132955 \h </w:instrText>
        </w:r>
        <w:r w:rsidR="00E07E1A">
          <w:rPr>
            <w:noProof/>
            <w:webHidden/>
          </w:rPr>
        </w:r>
        <w:r w:rsidR="00E07E1A">
          <w:rPr>
            <w:noProof/>
            <w:webHidden/>
          </w:rPr>
          <w:fldChar w:fldCharType="separate"/>
        </w:r>
        <w:r w:rsidR="00E01F13">
          <w:rPr>
            <w:noProof/>
            <w:webHidden/>
          </w:rPr>
          <w:t>487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6" w:history="1">
        <w:r w:rsidR="00E07E1A" w:rsidRPr="00B86B62">
          <w:rPr>
            <w:rStyle w:val="Hyperlink"/>
            <w:noProof/>
          </w:rPr>
          <w:t>II.  Before Marriage</w:t>
        </w:r>
        <w:r w:rsidR="00E07E1A">
          <w:rPr>
            <w:noProof/>
            <w:webHidden/>
          </w:rPr>
          <w:tab/>
        </w:r>
        <w:r w:rsidR="00E07E1A">
          <w:rPr>
            <w:noProof/>
            <w:webHidden/>
          </w:rPr>
          <w:fldChar w:fldCharType="begin"/>
        </w:r>
        <w:r w:rsidR="00E07E1A">
          <w:rPr>
            <w:noProof/>
            <w:webHidden/>
          </w:rPr>
          <w:instrText xml:space="preserve"> PAGEREF _Toc375132956 \h </w:instrText>
        </w:r>
        <w:r w:rsidR="00E07E1A">
          <w:rPr>
            <w:noProof/>
            <w:webHidden/>
          </w:rPr>
        </w:r>
        <w:r w:rsidR="00E07E1A">
          <w:rPr>
            <w:noProof/>
            <w:webHidden/>
          </w:rPr>
          <w:fldChar w:fldCharType="separate"/>
        </w:r>
        <w:r w:rsidR="00E01F13">
          <w:rPr>
            <w:noProof/>
            <w:webHidden/>
          </w:rPr>
          <w:t>488</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7" w:history="1">
        <w:r w:rsidR="00E07E1A" w:rsidRPr="00B86B62">
          <w:rPr>
            <w:rStyle w:val="Hyperlink"/>
            <w:noProof/>
          </w:rPr>
          <w:t>III.  During Marriage</w:t>
        </w:r>
        <w:r w:rsidR="00E07E1A">
          <w:rPr>
            <w:noProof/>
            <w:webHidden/>
          </w:rPr>
          <w:tab/>
        </w:r>
        <w:r w:rsidR="00E07E1A">
          <w:rPr>
            <w:noProof/>
            <w:webHidden/>
          </w:rPr>
          <w:fldChar w:fldCharType="begin"/>
        </w:r>
        <w:r w:rsidR="00E07E1A">
          <w:rPr>
            <w:noProof/>
            <w:webHidden/>
          </w:rPr>
          <w:instrText xml:space="preserve"> PAGEREF _Toc375132957 \h </w:instrText>
        </w:r>
        <w:r w:rsidR="00E07E1A">
          <w:rPr>
            <w:noProof/>
            <w:webHidden/>
          </w:rPr>
        </w:r>
        <w:r w:rsidR="00E07E1A">
          <w:rPr>
            <w:noProof/>
            <w:webHidden/>
          </w:rPr>
          <w:fldChar w:fldCharType="separate"/>
        </w:r>
        <w:r w:rsidR="00E01F13">
          <w:rPr>
            <w:noProof/>
            <w:webHidden/>
          </w:rPr>
          <w:t>493</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8" w:history="1">
        <w:r w:rsidR="00E07E1A" w:rsidRPr="00B86B62">
          <w:rPr>
            <w:rStyle w:val="Hyperlink"/>
            <w:noProof/>
          </w:rPr>
          <w:t>IV.  After Marriage: Tax Consequences of Divorce</w:t>
        </w:r>
        <w:r w:rsidR="00E07E1A">
          <w:rPr>
            <w:noProof/>
            <w:webHidden/>
          </w:rPr>
          <w:tab/>
        </w:r>
        <w:r w:rsidR="00E07E1A">
          <w:rPr>
            <w:noProof/>
            <w:webHidden/>
          </w:rPr>
          <w:fldChar w:fldCharType="begin"/>
        </w:r>
        <w:r w:rsidR="00E07E1A">
          <w:rPr>
            <w:noProof/>
            <w:webHidden/>
          </w:rPr>
          <w:instrText xml:space="preserve"> PAGEREF _Toc375132958 \h </w:instrText>
        </w:r>
        <w:r w:rsidR="00E07E1A">
          <w:rPr>
            <w:noProof/>
            <w:webHidden/>
          </w:rPr>
        </w:r>
        <w:r w:rsidR="00E07E1A">
          <w:rPr>
            <w:noProof/>
            <w:webHidden/>
          </w:rPr>
          <w:fldChar w:fldCharType="separate"/>
        </w:r>
        <w:r w:rsidR="00E01F13">
          <w:rPr>
            <w:noProof/>
            <w:webHidden/>
          </w:rPr>
          <w:t>501</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59" w:history="1">
        <w:r w:rsidR="00E07E1A" w:rsidRPr="00B86B62">
          <w:rPr>
            <w:rStyle w:val="Hyperlink"/>
            <w:noProof/>
          </w:rPr>
          <w:t>Wrap-Up Questions for Chapter 8</w:t>
        </w:r>
        <w:r w:rsidR="00E07E1A">
          <w:rPr>
            <w:noProof/>
            <w:webHidden/>
          </w:rPr>
          <w:tab/>
        </w:r>
        <w:r w:rsidR="00E07E1A">
          <w:rPr>
            <w:noProof/>
            <w:webHidden/>
          </w:rPr>
          <w:fldChar w:fldCharType="begin"/>
        </w:r>
        <w:r w:rsidR="00E07E1A">
          <w:rPr>
            <w:noProof/>
            <w:webHidden/>
          </w:rPr>
          <w:instrText xml:space="preserve"> PAGEREF _Toc375132959 \h </w:instrText>
        </w:r>
        <w:r w:rsidR="00E07E1A">
          <w:rPr>
            <w:noProof/>
            <w:webHidden/>
          </w:rPr>
        </w:r>
        <w:r w:rsidR="00E07E1A">
          <w:rPr>
            <w:noProof/>
            <w:webHidden/>
          </w:rPr>
          <w:fldChar w:fldCharType="separate"/>
        </w:r>
        <w:r w:rsidR="00E01F13">
          <w:rPr>
            <w:noProof/>
            <w:webHidden/>
          </w:rPr>
          <w:t>520</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60" w:history="1">
        <w:r w:rsidR="00E07E1A" w:rsidRPr="00B86B62">
          <w:rPr>
            <w:rStyle w:val="Hyperlink"/>
            <w:rFonts w:ascii="Times New Roman" w:hAnsi="Times New Roman"/>
            <w:noProof/>
          </w:rPr>
          <w:t>Chapter 9: Timing of Income and Deductions: Annual Accounting and Accounting Principles</w:t>
        </w:r>
        <w:r w:rsidR="00E07E1A">
          <w:rPr>
            <w:noProof/>
            <w:webHidden/>
          </w:rPr>
          <w:tab/>
        </w:r>
        <w:r w:rsidR="00E07E1A">
          <w:rPr>
            <w:noProof/>
            <w:webHidden/>
          </w:rPr>
          <w:fldChar w:fldCharType="begin"/>
        </w:r>
        <w:r w:rsidR="00E07E1A">
          <w:rPr>
            <w:noProof/>
            <w:webHidden/>
          </w:rPr>
          <w:instrText xml:space="preserve"> PAGEREF _Toc375132960 \h </w:instrText>
        </w:r>
        <w:r w:rsidR="00E07E1A">
          <w:rPr>
            <w:noProof/>
            <w:webHidden/>
          </w:rPr>
        </w:r>
        <w:r w:rsidR="00E07E1A">
          <w:rPr>
            <w:noProof/>
            <w:webHidden/>
          </w:rPr>
          <w:fldChar w:fldCharType="separate"/>
        </w:r>
        <w:r w:rsidR="00E01F13">
          <w:rPr>
            <w:noProof/>
            <w:webHidden/>
          </w:rPr>
          <w:t>522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1" w:history="1">
        <w:r w:rsidR="00E07E1A" w:rsidRPr="00B86B62">
          <w:rPr>
            <w:rStyle w:val="Hyperlink"/>
            <w:noProof/>
          </w:rPr>
          <w:t>I.  Annual Accounting</w:t>
        </w:r>
        <w:r w:rsidR="00E07E1A">
          <w:rPr>
            <w:noProof/>
            <w:webHidden/>
          </w:rPr>
          <w:tab/>
        </w:r>
        <w:r w:rsidR="00E07E1A">
          <w:rPr>
            <w:noProof/>
            <w:webHidden/>
          </w:rPr>
          <w:fldChar w:fldCharType="begin"/>
        </w:r>
        <w:r w:rsidR="00E07E1A">
          <w:rPr>
            <w:noProof/>
            <w:webHidden/>
          </w:rPr>
          <w:instrText xml:space="preserve"> PAGEREF _Toc375132961 \h </w:instrText>
        </w:r>
        <w:r w:rsidR="00E07E1A">
          <w:rPr>
            <w:noProof/>
            <w:webHidden/>
          </w:rPr>
        </w:r>
        <w:r w:rsidR="00E07E1A">
          <w:rPr>
            <w:noProof/>
            <w:webHidden/>
          </w:rPr>
          <w:fldChar w:fldCharType="separate"/>
        </w:r>
        <w:r w:rsidR="00E01F13">
          <w:rPr>
            <w:noProof/>
            <w:webHidden/>
          </w:rPr>
          <w:t>522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2" w:history="1">
        <w:r w:rsidR="00E07E1A" w:rsidRPr="00B86B62">
          <w:rPr>
            <w:rStyle w:val="Hyperlink"/>
            <w:noProof/>
          </w:rPr>
          <w:t>II.  Deferral Mechanisms</w:t>
        </w:r>
        <w:r w:rsidR="00E07E1A">
          <w:rPr>
            <w:noProof/>
            <w:webHidden/>
          </w:rPr>
          <w:tab/>
        </w:r>
        <w:r w:rsidR="00E07E1A">
          <w:rPr>
            <w:noProof/>
            <w:webHidden/>
          </w:rPr>
          <w:fldChar w:fldCharType="begin"/>
        </w:r>
        <w:r w:rsidR="00E07E1A">
          <w:rPr>
            <w:noProof/>
            <w:webHidden/>
          </w:rPr>
          <w:instrText xml:space="preserve"> PAGEREF _Toc375132962 \h </w:instrText>
        </w:r>
        <w:r w:rsidR="00E07E1A">
          <w:rPr>
            <w:noProof/>
            <w:webHidden/>
          </w:rPr>
        </w:r>
        <w:r w:rsidR="00E07E1A">
          <w:rPr>
            <w:noProof/>
            <w:webHidden/>
          </w:rPr>
          <w:fldChar w:fldCharType="separate"/>
        </w:r>
        <w:r w:rsidR="00E01F13">
          <w:rPr>
            <w:noProof/>
            <w:webHidden/>
          </w:rPr>
          <w:t>534</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3" w:history="1">
        <w:r w:rsidR="00E07E1A" w:rsidRPr="00B86B62">
          <w:rPr>
            <w:rStyle w:val="Hyperlink"/>
            <w:noProof/>
          </w:rPr>
          <w:t>III.  Basic Accounting Rules</w:t>
        </w:r>
        <w:r w:rsidR="00E07E1A">
          <w:rPr>
            <w:noProof/>
            <w:webHidden/>
          </w:rPr>
          <w:tab/>
        </w:r>
        <w:r w:rsidR="00E07E1A">
          <w:rPr>
            <w:noProof/>
            <w:webHidden/>
          </w:rPr>
          <w:fldChar w:fldCharType="begin"/>
        </w:r>
        <w:r w:rsidR="00E07E1A">
          <w:rPr>
            <w:noProof/>
            <w:webHidden/>
          </w:rPr>
          <w:instrText xml:space="preserve"> PAGEREF _Toc375132963 \h </w:instrText>
        </w:r>
        <w:r w:rsidR="00E07E1A">
          <w:rPr>
            <w:noProof/>
            <w:webHidden/>
          </w:rPr>
        </w:r>
        <w:r w:rsidR="00E07E1A">
          <w:rPr>
            <w:noProof/>
            <w:webHidden/>
          </w:rPr>
          <w:fldChar w:fldCharType="separate"/>
        </w:r>
        <w:r w:rsidR="00E01F13">
          <w:rPr>
            <w:noProof/>
            <w:webHidden/>
          </w:rPr>
          <w:t>539</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4" w:history="1">
        <w:r w:rsidR="00E07E1A" w:rsidRPr="00B86B62">
          <w:rPr>
            <w:rStyle w:val="Hyperlink"/>
            <w:noProof/>
          </w:rPr>
          <w:t>Wrap-Up Questions for Chapter 9:</w:t>
        </w:r>
        <w:r w:rsidR="00E07E1A">
          <w:rPr>
            <w:noProof/>
            <w:webHidden/>
          </w:rPr>
          <w:tab/>
        </w:r>
        <w:r w:rsidR="00E07E1A">
          <w:rPr>
            <w:noProof/>
            <w:webHidden/>
          </w:rPr>
          <w:fldChar w:fldCharType="begin"/>
        </w:r>
        <w:r w:rsidR="00E07E1A">
          <w:rPr>
            <w:noProof/>
            <w:webHidden/>
          </w:rPr>
          <w:instrText xml:space="preserve"> PAGEREF _Toc375132964 \h </w:instrText>
        </w:r>
        <w:r w:rsidR="00E07E1A">
          <w:rPr>
            <w:noProof/>
            <w:webHidden/>
          </w:rPr>
        </w:r>
        <w:r w:rsidR="00E07E1A">
          <w:rPr>
            <w:noProof/>
            <w:webHidden/>
          </w:rPr>
          <w:fldChar w:fldCharType="separate"/>
        </w:r>
        <w:r w:rsidR="00E01F13">
          <w:rPr>
            <w:noProof/>
            <w:webHidden/>
          </w:rPr>
          <w:t>560</w:t>
        </w:r>
        <w:r w:rsidR="00E07E1A">
          <w:rPr>
            <w:noProof/>
            <w:webHidden/>
          </w:rPr>
          <w:fldChar w:fldCharType="end"/>
        </w:r>
      </w:hyperlink>
    </w:p>
    <w:p w:rsidR="00E07E1A" w:rsidRDefault="00E630F7">
      <w:pPr>
        <w:pStyle w:val="TOC2"/>
        <w:tabs>
          <w:tab w:val="right" w:leader="dot" w:pos="7910"/>
        </w:tabs>
        <w:rPr>
          <w:rFonts w:asciiTheme="minorHAnsi" w:eastAsiaTheme="minorEastAsia" w:hAnsiTheme="minorHAnsi" w:cstheme="minorBidi"/>
          <w:b w:val="0"/>
          <w:noProof/>
          <w:sz w:val="22"/>
          <w:szCs w:val="22"/>
        </w:rPr>
      </w:pPr>
      <w:hyperlink w:anchor="_Toc375132965" w:history="1">
        <w:r w:rsidR="00E07E1A" w:rsidRPr="00B86B62">
          <w:rPr>
            <w:rStyle w:val="Hyperlink"/>
            <w:rFonts w:ascii="Times New Roman" w:hAnsi="Times New Roman"/>
            <w:noProof/>
          </w:rPr>
          <w:t>Chapter 10: Character of Income and Computation of Tax</w:t>
        </w:r>
        <w:r w:rsidR="00E07E1A">
          <w:rPr>
            <w:noProof/>
            <w:webHidden/>
          </w:rPr>
          <w:tab/>
        </w:r>
        <w:r w:rsidR="00E07E1A">
          <w:rPr>
            <w:noProof/>
            <w:webHidden/>
          </w:rPr>
          <w:fldChar w:fldCharType="begin"/>
        </w:r>
        <w:r w:rsidR="00E07E1A">
          <w:rPr>
            <w:noProof/>
            <w:webHidden/>
          </w:rPr>
          <w:instrText xml:space="preserve"> PAGEREF _Toc375132965 \h </w:instrText>
        </w:r>
        <w:r w:rsidR="00E07E1A">
          <w:rPr>
            <w:noProof/>
            <w:webHidden/>
          </w:rPr>
        </w:r>
        <w:r w:rsidR="00E07E1A">
          <w:rPr>
            <w:noProof/>
            <w:webHidden/>
          </w:rPr>
          <w:fldChar w:fldCharType="separate"/>
        </w:r>
        <w:r w:rsidR="00E01F13">
          <w:rPr>
            <w:noProof/>
            <w:webHidden/>
          </w:rPr>
          <w:t>562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6" w:history="1">
        <w:r w:rsidR="00E07E1A" w:rsidRPr="00B86B62">
          <w:rPr>
            <w:rStyle w:val="Hyperlink"/>
            <w:noProof/>
          </w:rPr>
          <w:t>I.  Capital Gain</w:t>
        </w:r>
        <w:r w:rsidR="00E07E1A">
          <w:rPr>
            <w:noProof/>
            <w:webHidden/>
          </w:rPr>
          <w:tab/>
        </w:r>
        <w:r w:rsidR="00E07E1A">
          <w:rPr>
            <w:noProof/>
            <w:webHidden/>
          </w:rPr>
          <w:fldChar w:fldCharType="begin"/>
        </w:r>
        <w:r w:rsidR="00E07E1A">
          <w:rPr>
            <w:noProof/>
            <w:webHidden/>
          </w:rPr>
          <w:instrText xml:space="preserve"> PAGEREF _Toc375132966 \h </w:instrText>
        </w:r>
        <w:r w:rsidR="00E07E1A">
          <w:rPr>
            <w:noProof/>
            <w:webHidden/>
          </w:rPr>
        </w:r>
        <w:r w:rsidR="00E07E1A">
          <w:rPr>
            <w:noProof/>
            <w:webHidden/>
          </w:rPr>
          <w:fldChar w:fldCharType="separate"/>
        </w:r>
        <w:r w:rsidR="00E01F13">
          <w:rPr>
            <w:noProof/>
            <w:webHidden/>
          </w:rPr>
          <w:t>563</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7" w:history="1">
        <w:r w:rsidR="00E07E1A" w:rsidRPr="00B86B62">
          <w:rPr>
            <w:rStyle w:val="Hyperlink"/>
            <w:noProof/>
          </w:rPr>
          <w:t>II.  Sections 1245 and 1250: Depreciation Recapture</w:t>
        </w:r>
        <w:r w:rsidR="00E07E1A">
          <w:rPr>
            <w:noProof/>
            <w:webHidden/>
          </w:rPr>
          <w:tab/>
        </w:r>
        <w:r w:rsidR="00E07E1A">
          <w:rPr>
            <w:noProof/>
            <w:webHidden/>
          </w:rPr>
          <w:fldChar w:fldCharType="begin"/>
        </w:r>
        <w:r w:rsidR="00E07E1A">
          <w:rPr>
            <w:noProof/>
            <w:webHidden/>
          </w:rPr>
          <w:instrText xml:space="preserve"> PAGEREF _Toc375132967 \h </w:instrText>
        </w:r>
        <w:r w:rsidR="00E07E1A">
          <w:rPr>
            <w:noProof/>
            <w:webHidden/>
          </w:rPr>
        </w:r>
        <w:r w:rsidR="00E07E1A">
          <w:rPr>
            <w:noProof/>
            <w:webHidden/>
          </w:rPr>
          <w:fldChar w:fldCharType="separate"/>
        </w:r>
        <w:r w:rsidR="00E01F13">
          <w:rPr>
            <w:noProof/>
            <w:webHidden/>
          </w:rPr>
          <w:t>572</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8" w:history="1">
        <w:r w:rsidR="00E07E1A" w:rsidRPr="00B86B62">
          <w:rPr>
            <w:rStyle w:val="Hyperlink"/>
            <w:noProof/>
          </w:rPr>
          <w:t>III.  Section 1231: Some Limited Mismatching</w:t>
        </w:r>
        <w:r w:rsidR="00E07E1A">
          <w:rPr>
            <w:noProof/>
            <w:webHidden/>
          </w:rPr>
          <w:tab/>
        </w:r>
        <w:r w:rsidR="00E07E1A">
          <w:rPr>
            <w:noProof/>
            <w:webHidden/>
          </w:rPr>
          <w:fldChar w:fldCharType="begin"/>
        </w:r>
        <w:r w:rsidR="00E07E1A">
          <w:rPr>
            <w:noProof/>
            <w:webHidden/>
          </w:rPr>
          <w:instrText xml:space="preserve"> PAGEREF _Toc375132968 \h </w:instrText>
        </w:r>
        <w:r w:rsidR="00E07E1A">
          <w:rPr>
            <w:noProof/>
            <w:webHidden/>
          </w:rPr>
        </w:r>
        <w:r w:rsidR="00E07E1A">
          <w:rPr>
            <w:noProof/>
            <w:webHidden/>
          </w:rPr>
          <w:fldChar w:fldCharType="separate"/>
        </w:r>
        <w:r w:rsidR="00E01F13">
          <w:rPr>
            <w:noProof/>
            <w:webHidden/>
          </w:rPr>
          <w:t>577</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69" w:history="1">
        <w:r w:rsidR="00E07E1A" w:rsidRPr="00B86B62">
          <w:rPr>
            <w:rStyle w:val="Hyperlink"/>
            <w:noProof/>
          </w:rPr>
          <w:t>IV.  Some Basis Transfer Transactions:  §§ 1031, 1033</w:t>
        </w:r>
        <w:r w:rsidR="00E07E1A">
          <w:rPr>
            <w:noProof/>
            <w:webHidden/>
          </w:rPr>
          <w:tab/>
        </w:r>
        <w:r w:rsidR="00E07E1A">
          <w:rPr>
            <w:noProof/>
            <w:webHidden/>
          </w:rPr>
          <w:fldChar w:fldCharType="begin"/>
        </w:r>
        <w:r w:rsidR="00E07E1A">
          <w:rPr>
            <w:noProof/>
            <w:webHidden/>
          </w:rPr>
          <w:instrText xml:space="preserve"> PAGEREF _Toc375132969 \h </w:instrText>
        </w:r>
        <w:r w:rsidR="00E07E1A">
          <w:rPr>
            <w:noProof/>
            <w:webHidden/>
          </w:rPr>
        </w:r>
        <w:r w:rsidR="00E07E1A">
          <w:rPr>
            <w:noProof/>
            <w:webHidden/>
          </w:rPr>
          <w:fldChar w:fldCharType="separate"/>
        </w:r>
        <w:r w:rsidR="00E01F13">
          <w:rPr>
            <w:noProof/>
            <w:webHidden/>
          </w:rPr>
          <w:t>579</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70" w:history="1">
        <w:r w:rsidR="00E07E1A" w:rsidRPr="00B86B62">
          <w:rPr>
            <w:rStyle w:val="Hyperlink"/>
            <w:noProof/>
          </w:rPr>
          <w:t>V.  More Matching</w:t>
        </w:r>
        <w:r w:rsidR="00E07E1A">
          <w:rPr>
            <w:noProof/>
            <w:webHidden/>
          </w:rPr>
          <w:tab/>
        </w:r>
        <w:r w:rsidR="00E07E1A">
          <w:rPr>
            <w:noProof/>
            <w:webHidden/>
          </w:rPr>
          <w:fldChar w:fldCharType="begin"/>
        </w:r>
        <w:r w:rsidR="00E07E1A">
          <w:rPr>
            <w:noProof/>
            <w:webHidden/>
          </w:rPr>
          <w:instrText xml:space="preserve"> PAGEREF _Toc375132970 \h </w:instrText>
        </w:r>
        <w:r w:rsidR="00E07E1A">
          <w:rPr>
            <w:noProof/>
            <w:webHidden/>
          </w:rPr>
        </w:r>
        <w:r w:rsidR="00E07E1A">
          <w:rPr>
            <w:noProof/>
            <w:webHidden/>
          </w:rPr>
          <w:fldChar w:fldCharType="separate"/>
        </w:r>
        <w:r w:rsidR="00E01F13">
          <w:rPr>
            <w:noProof/>
            <w:webHidden/>
          </w:rPr>
          <w:t>580</w:t>
        </w:r>
        <w:r w:rsidR="00E07E1A">
          <w:rPr>
            <w:noProof/>
            <w:webHidden/>
          </w:rPr>
          <w:fldChar w:fldCharType="end"/>
        </w:r>
      </w:hyperlink>
    </w:p>
    <w:p w:rsidR="00E07E1A" w:rsidRDefault="00E630F7">
      <w:pPr>
        <w:pStyle w:val="TOC3"/>
        <w:tabs>
          <w:tab w:val="right" w:leader="dot" w:pos="7910"/>
        </w:tabs>
        <w:rPr>
          <w:rFonts w:asciiTheme="minorHAnsi" w:eastAsiaTheme="minorEastAsia" w:hAnsiTheme="minorHAnsi" w:cstheme="minorBidi"/>
          <w:noProof/>
          <w:sz w:val="22"/>
          <w:szCs w:val="22"/>
        </w:rPr>
      </w:pPr>
      <w:hyperlink w:anchor="_Toc375132971" w:history="1">
        <w:r w:rsidR="00E07E1A" w:rsidRPr="00B86B62">
          <w:rPr>
            <w:rStyle w:val="Hyperlink"/>
            <w:noProof/>
          </w:rPr>
          <w:t>Wrap-Up Questions for Chapter 10</w:t>
        </w:r>
        <w:r w:rsidR="00E07E1A">
          <w:rPr>
            <w:noProof/>
            <w:webHidden/>
          </w:rPr>
          <w:tab/>
        </w:r>
        <w:r w:rsidR="00E07E1A">
          <w:rPr>
            <w:noProof/>
            <w:webHidden/>
          </w:rPr>
          <w:fldChar w:fldCharType="begin"/>
        </w:r>
        <w:r w:rsidR="00E07E1A">
          <w:rPr>
            <w:noProof/>
            <w:webHidden/>
          </w:rPr>
          <w:instrText xml:space="preserve"> PAGEREF _Toc375132971 \h </w:instrText>
        </w:r>
        <w:r w:rsidR="00E07E1A">
          <w:rPr>
            <w:noProof/>
            <w:webHidden/>
          </w:rPr>
        </w:r>
        <w:r w:rsidR="00E07E1A">
          <w:rPr>
            <w:noProof/>
            <w:webHidden/>
          </w:rPr>
          <w:fldChar w:fldCharType="separate"/>
        </w:r>
        <w:r w:rsidR="00E01F13">
          <w:rPr>
            <w:noProof/>
            <w:webHidden/>
          </w:rPr>
          <w:t>584</w:t>
        </w:r>
        <w:r w:rsidR="00E07E1A">
          <w:rPr>
            <w:noProof/>
            <w:webHidden/>
          </w:rPr>
          <w:fldChar w:fldCharType="end"/>
        </w:r>
      </w:hyperlink>
    </w:p>
    <w:p w:rsidR="00A33ECD" w:rsidRPr="00576ED7" w:rsidRDefault="00E07E1A" w:rsidP="00A33ECD">
      <w:pPr>
        <w:pStyle w:val="Body"/>
        <w:rPr>
          <w:rFonts w:ascii="Times New Roman" w:hAnsi="Times New Roman"/>
          <w:szCs w:val="24"/>
        </w:rPr>
      </w:pPr>
      <w:r>
        <w:rPr>
          <w:rFonts w:ascii="Times New Roman" w:eastAsia="Times New Roman" w:hAnsi="Times New Roman"/>
          <w:b/>
          <w:color w:val="auto"/>
          <w:szCs w:val="24"/>
        </w:rPr>
        <w:fldChar w:fldCharType="end"/>
      </w:r>
      <w:r w:rsidR="00FD4825" w:rsidRPr="00576ED7">
        <w:rPr>
          <w:rFonts w:ascii="Times New Roman" w:hAnsi="Times New Roman"/>
          <w:szCs w:val="24"/>
        </w:rPr>
        <w:br w:type="page"/>
      </w:r>
    </w:p>
    <w:p w:rsidR="00423A02" w:rsidRDefault="00423A02" w:rsidP="00AB61A1">
      <w:pPr>
        <w:pStyle w:val="Heading2"/>
        <w:sectPr w:rsidR="00423A02" w:rsidSect="00423A02">
          <w:type w:val="continuous"/>
          <w:pgSz w:w="12240" w:h="15840"/>
          <w:pgMar w:top="2160" w:right="2160" w:bottom="2160" w:left="2160" w:header="720" w:footer="2160" w:gutter="0"/>
          <w:pgNumType w:fmt="lowerRoman"/>
          <w:cols w:space="720"/>
          <w:titlePg/>
          <w:docGrid w:linePitch="326"/>
        </w:sectPr>
      </w:pPr>
    </w:p>
    <w:p w:rsidR="0049128E" w:rsidRPr="00576ED7" w:rsidRDefault="00C64157" w:rsidP="00AB61A1">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1" w:name="_Toc375132908"/>
      <w:r w:rsidR="0049128E" w:rsidRPr="00576ED7">
        <w:t>Chapter 1: The Government Raises Money:  I</w:t>
      </w:r>
      <w:r w:rsidR="0049128E" w:rsidRPr="00576ED7">
        <w:t>n</w:t>
      </w:r>
      <w:r w:rsidR="0049128E" w:rsidRPr="00576ED7">
        <w:t>troduction to Some Basic Concepts of Taxes and Taxing Income</w:t>
      </w:r>
      <w:bookmarkEnd w:id="21"/>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rsidR="0049128E" w:rsidRPr="00576ED7" w:rsidRDefault="0049128E">
      <w:pPr>
        <w:widowControl w:val="0"/>
        <w:jc w:val="both"/>
        <w:rPr>
          <w:szCs w:val="24"/>
        </w:rPr>
      </w:pPr>
    </w:p>
    <w:p w:rsidR="0049128E" w:rsidRPr="00576ED7" w:rsidRDefault="0049128E" w:rsidP="00910345">
      <w:pPr>
        <w:pStyle w:val="Heading3"/>
      </w:pPr>
      <w:bookmarkStart w:id="22" w:name="_Toc375132909"/>
      <w:r w:rsidRPr="00576ED7">
        <w:t>I.  Introduction to Some Basic Concepts</w:t>
      </w:r>
      <w:bookmarkEnd w:id="22"/>
      <w:r w:rsidRPr="00576ED7">
        <w:fldChar w:fldCharType="begin"/>
      </w:r>
      <w:r w:rsidRPr="00576ED7">
        <w:instrText xml:space="preserve"> TC \l1 "I.  Introduction to Some Basic Concepts</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word is out: the United States Government needs money in order to operate.  The vast majority of us do want the government to operate and to continue to pr</w:t>
      </w:r>
      <w:r w:rsidRPr="00576ED7">
        <w:rPr>
          <w:szCs w:val="24"/>
        </w:rPr>
        <w:t>o</w:t>
      </w:r>
      <w:r w:rsidRPr="00576ED7">
        <w:rPr>
          <w:szCs w:val="24"/>
        </w:rPr>
        <w:t>vide benefits to us.  There are many ways in which the Government may endeavor to raise money, only one of which is to tax its own citizens on their income.  A few examples follow:</w:t>
      </w:r>
    </w:p>
    <w:p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rsidR="0049128E" w:rsidRPr="00576ED7" w:rsidRDefault="0049128E">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The Government might impose tariffs (i.e., taxes) on imports or exports.  In order to sell their wares in the United States, foreign merchants at one time had to pay very high tariffs.  Tariffs would of course protect domestic producers of the same wares who did not have to pay such tariffs.  However, this hardly helps d</w:t>
      </w:r>
      <w:r w:rsidRPr="00576ED7">
        <w:rPr>
          <w:szCs w:val="24"/>
        </w:rPr>
        <w:t>o</w:t>
      </w:r>
      <w:r w:rsidRPr="00576ED7">
        <w:rPr>
          <w:szCs w:val="24"/>
        </w:rPr>
        <w:t xml:space="preserve">mestic </w:t>
      </w:r>
      <w:r w:rsidRPr="00576ED7">
        <w:rPr>
          <w:i/>
          <w:szCs w:val="24"/>
        </w:rPr>
        <w:t>consumers</w:t>
      </w:r>
      <w:r w:rsidRPr="00576ED7">
        <w:rPr>
          <w:szCs w:val="24"/>
        </w:rPr>
        <w:t xml:space="preserve"> of products subject to a tariff because they must either pay an artificially inflated price for an import or a higher price for a (lower-quality?) d</w:t>
      </w:r>
      <w:r w:rsidRPr="00576ED7">
        <w:rPr>
          <w:szCs w:val="24"/>
        </w:rPr>
        <w:t>o</w:t>
      </w:r>
      <w:r w:rsidRPr="00576ED7">
        <w:rPr>
          <w:szCs w:val="24"/>
        </w:rPr>
        <w:t>mestic product.  Export duties could also have a pernicious effect.  They encou</w:t>
      </w:r>
      <w:r w:rsidRPr="00576ED7">
        <w:rPr>
          <w:szCs w:val="24"/>
        </w:rPr>
        <w:t>r</w:t>
      </w:r>
      <w:r w:rsidRPr="00576ED7">
        <w:rPr>
          <w:szCs w:val="24"/>
        </w:rPr>
        <w:t>age domestic producers to endeavor to sell their goods at home, rather than in fo</w:t>
      </w:r>
      <w:r w:rsidRPr="00576ED7">
        <w:rPr>
          <w:szCs w:val="24"/>
        </w:rPr>
        <w:t>r</w:t>
      </w:r>
      <w:r w:rsidRPr="00576ED7">
        <w:rPr>
          <w:szCs w:val="24"/>
        </w:rPr>
        <w:t>eign markets where they might have made more profits.  Export tariffs also di</w:t>
      </w:r>
      <w:r w:rsidRPr="00576ED7">
        <w:rPr>
          <w:szCs w:val="24"/>
        </w:rPr>
        <w:t>s</w:t>
      </w:r>
      <w:r w:rsidRPr="00576ED7">
        <w:rPr>
          <w:szCs w:val="24"/>
        </w:rPr>
        <w:t>courage imports of perhaps more efficiently produced (and therefore more ine</w:t>
      </w:r>
      <w:r w:rsidRPr="00576ED7">
        <w:rPr>
          <w:szCs w:val="24"/>
        </w:rPr>
        <w:t>x</w:t>
      </w:r>
      <w:r w:rsidRPr="00576ED7">
        <w:rPr>
          <w:szCs w:val="24"/>
        </w:rPr>
        <w:t>pensive) foreign imports.  And notice: the use of tariffs as a means of raising re</w:t>
      </w:r>
      <w:r w:rsidRPr="00576ED7">
        <w:rPr>
          <w:szCs w:val="24"/>
        </w:rPr>
        <w:t>v</w:t>
      </w:r>
      <w:r w:rsidRPr="00576ED7">
        <w:rPr>
          <w:szCs w:val="24"/>
        </w:rPr>
        <w:t>enue creates a cost that mostly the buyers and sellers of those products alone pay.  The burden of paying for Government is not spread very evenly if tariffs are the means of raising revenue to support the Government.  Nevertheless, tariffs were one very important source of revenue for our country in its early days.  This is not nearly so true any longer.</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Pr="00576ED7">
        <w:rPr>
          <w:szCs w:val="24"/>
        </w:rPr>
        <w:t>:  The Government might choose to enter a business and perhaps make competition in that business unlawful.  Lotteries were illegal in most places until some wag discovered that the state could make a lot of money by engaging in the business of running lotteries and giving itself a monopoly over the business.  Nowadays, most states have lotteries that they run with no compet</w:t>
      </w:r>
      <w:r w:rsidRPr="00576ED7">
        <w:rPr>
          <w:szCs w:val="24"/>
        </w:rPr>
        <w:t>i</w:t>
      </w:r>
      <w:r w:rsidRPr="00576ED7">
        <w:rPr>
          <w:szCs w:val="24"/>
        </w:rPr>
        <w:t xml:space="preserve">tion other than what they are willing to tolerate, e.g., low-stakes bingo games that </w:t>
      </w:r>
      <w:r w:rsidRPr="00576ED7">
        <w:rPr>
          <w:szCs w:val="24"/>
        </w:rPr>
        <w:lastRenderedPageBreak/>
        <w:t>charities operate.  One argument favoring this means of financing government is that there is no compulsion to buy lottery tickets, i.e., willing buyers contribute to the Government coffers.  States may also become quite adept at making custo</w:t>
      </w:r>
      <w:r w:rsidRPr="00576ED7">
        <w:rPr>
          <w:szCs w:val="24"/>
        </w:rPr>
        <w:t>m</w:t>
      </w:r>
      <w:r w:rsidRPr="00576ED7">
        <w:rPr>
          <w:szCs w:val="24"/>
        </w:rPr>
        <w:t>ers feel good about buying lottery tickets because the state is able to do so much good with the money it raises.  Again, the burden of paying for what lottery pr</w:t>
      </w:r>
      <w:r w:rsidRPr="00576ED7">
        <w:rPr>
          <w:szCs w:val="24"/>
        </w:rPr>
        <w:t>o</w:t>
      </w:r>
      <w:r w:rsidRPr="00576ED7">
        <w:rPr>
          <w:szCs w:val="24"/>
        </w:rPr>
        <w:t>ceeds purchase falls only on the consumers of lottery tickets.  Many non-purchasers derive benefits from lottery proceeds at the expense of those willing to give up some of their wealth in the forlorn hope of hitting it big.  Also, gover</w:t>
      </w:r>
      <w:r w:rsidRPr="00576ED7">
        <w:rPr>
          <w:szCs w:val="24"/>
        </w:rPr>
        <w:t>n</w:t>
      </w:r>
      <w:r w:rsidRPr="00576ED7">
        <w:rPr>
          <w:szCs w:val="24"/>
        </w:rPr>
        <w:t>ments may engage in businesses other than lotteries.  For example, many states own the liquor stores that operate within its borders.  Governments may charge for services that they provide with a view to making profits that are spent in pu</w:t>
      </w:r>
      <w:r w:rsidRPr="00576ED7">
        <w:rPr>
          <w:szCs w:val="24"/>
        </w:rPr>
        <w:t>r</w:t>
      </w:r>
      <w:r w:rsidRPr="00576ED7">
        <w:rPr>
          <w:szCs w:val="24"/>
        </w:rPr>
        <w:t>suit of other government objectives.  There is always the risk that the Government might not be very good at running a particular business.  Government-operated airlines are notorious money-losers.   And again, why should consumers of certain products or services be saddled with the burden of paying for a government that (should) benefit(s) all of us?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Pr="00576ED7">
        <w:rPr>
          <w:szCs w:val="24"/>
        </w:rPr>
        <w:t>:  Instead of trying to raise money from those willing to give it to the Government, Government may tax its citizens or residents – and perhaps try to tax non-citizens or non-residents.  This raises the question of what it is gover</w:t>
      </w:r>
      <w:r w:rsidRPr="00576ED7">
        <w:rPr>
          <w:szCs w:val="24"/>
        </w:rPr>
        <w:t>n</w:t>
      </w:r>
      <w:r w:rsidRPr="00576ED7">
        <w:rPr>
          <w:szCs w:val="24"/>
        </w:rPr>
        <w:t>ment should tax – or more formally, what should be the “tax base.”  There are various possibilities.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A head tax is a tax imposed on everyone who is subject to it, e.g., every citizen or resident, every voter.  The tax is equal in amount for all who must pay it.  A head tax has the advantage that it is only avoidable at a cost unaccept</w:t>
      </w:r>
      <w:r w:rsidRPr="00576ED7">
        <w:rPr>
          <w:szCs w:val="24"/>
        </w:rPr>
        <w:t>a</w:t>
      </w:r>
      <w:r w:rsidRPr="00576ED7">
        <w:rPr>
          <w:szCs w:val="24"/>
        </w:rPr>
        <w:t>ble to most (but not all) of us: leave the country, renounce one’s U.S. citizenship, surrender the right to vote.  Its relative inescapability assures that all who derive some benefit from the existence of a government bear its cost burden.  A head tax of course has many drawbacks.  Obviously, its burden falls unequally on those subject to it.  Some persons might hardly notice a head tax of $1000 per year while others might find it to be a nearly insurmountable hardship.  Surely we as a society have a better sense of fairness than that.  With one notable exception, we hear very little of involuntary head taxes in the United States.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notable exception was the poll tax whereby some southern states in the post-Civil War era imposed a uniform tax, payment of which was necessary in order to vote.  The very purpose of imposing such a tax was to discourage recently ema</w:t>
      </w:r>
      <w:r w:rsidRPr="00576ED7">
        <w:rPr>
          <w:szCs w:val="24"/>
        </w:rPr>
        <w:t>n</w:t>
      </w:r>
      <w:r w:rsidRPr="00576ED7">
        <w:rPr>
          <w:szCs w:val="24"/>
        </w:rPr>
        <w:t>cipated and almost uniformly poor Black persons from asserting their constit</w:t>
      </w:r>
      <w:r w:rsidRPr="00576ED7">
        <w:rPr>
          <w:szCs w:val="24"/>
        </w:rPr>
        <w:t>u</w:t>
      </w:r>
      <w:r w:rsidRPr="00576ED7">
        <w:rPr>
          <w:szCs w:val="24"/>
        </w:rPr>
        <w:lastRenderedPageBreak/>
        <w:t>tional right to vote.  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Pr="00576ED7">
        <w:rPr>
          <w:szCs w:val="24"/>
        </w:rPr>
        <w:t>:  As the name implies, consumption taxes tax consumption.  There are different variants of consumption taxes.  Three important consumption taxes are the sales tax, the excise tax, and the value added tax (VAT).</w:t>
      </w:r>
    </w:p>
    <w:p w:rsidR="0049128E" w:rsidRPr="00576ED7" w:rsidRDefault="0049128E">
      <w:pPr>
        <w:widowControl w:val="0"/>
        <w:jc w:val="both"/>
        <w:rPr>
          <w:szCs w:val="24"/>
        </w:rPr>
      </w:pPr>
    </w:p>
    <w:p w:rsidR="0049128E" w:rsidRPr="00576ED7" w:rsidRDefault="00BF345C">
      <w:pPr>
        <w:widowControl w:val="0"/>
        <w:ind w:left="720"/>
        <w:jc w:val="both"/>
        <w:rPr>
          <w:szCs w:val="24"/>
        </w:rPr>
      </w:pPr>
      <w:r w:rsidRPr="00576ED7">
        <w:rPr>
          <w:noProof/>
          <w:szCs w:val="24"/>
        </w:rPr>
        <mc:AlternateContent>
          <mc:Choice Requires="wps">
            <w:drawing>
              <wp:anchor distT="152400" distB="152400" distL="152400" distR="152400" simplePos="0" relativeHeight="251617280" behindDoc="0" locked="0" layoutInCell="0" allowOverlap="1" wp14:anchorId="1194749F" wp14:editId="074ABA60">
                <wp:simplePos x="0" y="0"/>
                <wp:positionH relativeFrom="margin">
                  <wp:posOffset>2443480</wp:posOffset>
                </wp:positionH>
                <wp:positionV relativeFrom="paragraph">
                  <wp:posOffset>763270</wp:posOffset>
                </wp:positionV>
                <wp:extent cx="3003550" cy="2669540"/>
                <wp:effectExtent l="0" t="0" r="25400" b="1651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66954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4pt;margin-top:60.1pt;width:236.5pt;height:210.2pt;z-index:2516172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aGJwIAAFQEAAAOAAAAZHJzL2Uyb0RvYy54bWysVNtu2zAMfR+wfxD0vthxl6w14hRdugwD&#10;ugvQ7gNkWY6FyaJGKbG7rx8lp1nQbS/D/CCIEnVInkN6dT32hh0Ueg224vNZzpmyEhptdxX/+rB9&#10;dcmZD8I2woBVFX9Unl+vX75YDa5UBXRgGoWMQKwvB1fxLgRXZpmXneqFn4FTli5bwF4EMnGXNSgG&#10;Qu9NVuT5MhsAG4cglfd0ejtd8nXCb1slw+e29SowU3HKLaQV01rHNVuvRLlD4Totj2mIf8iiF9pS&#10;0BPUrQiC7VH/BtVrieChDTMJfQZtq6VKNVA18/xZNfedcCrVQuR4d6LJ/z9Y+enwBZluSLv5kjMr&#10;ehLpQY2BvYWRFZGfwfmS3O4dOYaRjsk31erdHchvnlnYdMLu1A0iDJ0SDeU3jy+zs6cTjo8g9fAR&#10;Ggoj9gES0NhiH8kjOhihk06PJ21iKpIOL/L8YrGgK0l3xXJ5tXid1MtE+fTcoQ/vFfQsbiqOJH6C&#10;F4c7H2I6onxyidE8GN1stTHJwF29McgOghplm75UwTM3Y9lAxRXzq2Ki4K8Yefr+hNHrQC1vdF/x&#10;y5OTKCNx72yTGjIIbaY95WzskclI3kRjGOvxqEwNzSNxijC1No0ibTrAH5wN1NYV99/3AhVn5oMl&#10;Xd4saWpoDs4NPDfqc0NYSVAVD5xN202YZmfvUO86ijR1goUb0rLVieUo+pTVMW9q3UT+cczibJzb&#10;yevXz2D9EwAA//8DAFBLAwQUAAYACAAAACEAr3OUG94AAAALAQAADwAAAGRycy9kb3ducmV2Lnht&#10;bEyPzU7DMBCE70i8g7VI3KhD6E8U4lQoEvcmgODoxts4Il6H2G3C27Oc4Dg7o5lvi/3iBnHBKfSe&#10;FNyvEhBIrTc9dQpeX57vMhAhajJ68IQKvjHAvry+KnRu/Ew1XprYCS6hkGsFNsYxlzK0Fp0OKz8i&#10;sXfyk9OR5dRJM+mZy90g0yTZSqd74gWrR6wstp/N2SnwdV29pc3X4b2aTdXNhyWOH1ap25vl6RFE&#10;xCX+heEXn9GhZKajP5MJYlDwkK0ZPbKRJikITmSbHV+OCjbrZAuyLOT/H8ofAAAA//8DAFBLAQIt&#10;ABQABgAIAAAAIQC2gziS/gAAAOEBAAATAAAAAAAAAAAAAAAAAAAAAABbQ29udGVudF9UeXBlc10u&#10;eG1sUEsBAi0AFAAGAAgAAAAhADj9If/WAAAAlAEAAAsAAAAAAAAAAAAAAAAALwEAAF9yZWxzLy5y&#10;ZWxzUEsBAi0AFAAGAAgAAAAhACASVoYnAgAAVAQAAA4AAAAAAAAAAAAAAAAALgIAAGRycy9lMm9E&#10;b2MueG1sUEsBAi0AFAAGAAgAAAAhAK9zlBveAAAACwEAAA8AAAAAAAAAAAAAAAAAgQQAAGRycy9k&#10;b3ducmV2LnhtbFBLBQYAAAAABAAEAPMAAACMBQAAAAA=&#10;" o:allowincell="f" strokeweight=".96pt">
                <v:textbox inset="6pt,6pt,6pt,6pt">
                  <w:txbxContent>
                    <w:p w:rsidR="00FF5E72" w:rsidRDefault="00FF5E72">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w:t>
                      </w:r>
                      <w:r>
                        <w:rPr>
                          <w:rFonts w:ascii="Tw Cen MT" w:hAnsi="Tw Cen MT"/>
                        </w:rPr>
                        <w:t>n</w:t>
                      </w:r>
                      <w:r>
                        <w:rPr>
                          <w:rFonts w:ascii="Tw Cen MT" w:hAnsi="Tw Cen MT"/>
                        </w:rPr>
                        <w:t>fortunately, the things for which demand is in</w:t>
                      </w:r>
                      <w:r>
                        <w:rPr>
                          <w:rFonts w:ascii="Tw Cen MT" w:hAnsi="Tw Cen MT"/>
                        </w:rPr>
                        <w:t>e</w:t>
                      </w:r>
                      <w:r>
                        <w:rPr>
                          <w:rFonts w:ascii="Tw Cen MT" w:hAnsi="Tw Cen MT"/>
                        </w:rPr>
                        <w:t>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r w:rsidR="0049128E" w:rsidRPr="00576ED7">
        <w:rPr>
          <w:i/>
          <w:szCs w:val="24"/>
        </w:rPr>
        <w:t>Sales Tax</w:t>
      </w:r>
      <w:r w:rsidR="0049128E" w:rsidRPr="00576ED7">
        <w:rPr>
          <w:szCs w:val="24"/>
        </w:rPr>
        <w:fldChar w:fldCharType="begin"/>
      </w:r>
      <w:r w:rsidR="0049128E" w:rsidRPr="00576ED7">
        <w:rPr>
          <w:i/>
          <w:szCs w:val="24"/>
        </w:rPr>
        <w:instrText xml:space="preserve"> TC \l3 "Sales Tax</w:instrText>
      </w:r>
      <w:r w:rsidR="0049128E" w:rsidRPr="00576ED7">
        <w:rPr>
          <w:szCs w:val="24"/>
        </w:rPr>
        <w:fldChar w:fldCharType="end"/>
      </w:r>
      <w:r w:rsidR="0049128E" w:rsidRPr="00576ED7">
        <w:rPr>
          <w:szCs w:val="24"/>
        </w:rPr>
        <w:t>:  A sales tax is a tax on sales and are usually a flat percentage of the amount of the purchase.  Sellers usually collect sales taxes at the point of sale from the ultimate consumer.  Many states and localities rely on a sales tax for a substantial po</w:t>
      </w:r>
      <w:r w:rsidR="0049128E" w:rsidRPr="00576ED7">
        <w:rPr>
          <w:szCs w:val="24"/>
        </w:rPr>
        <w:t>r</w:t>
      </w:r>
      <w:r w:rsidR="0049128E" w:rsidRPr="00576ED7">
        <w:rPr>
          <w:szCs w:val="24"/>
        </w:rPr>
        <w:t>tion of their revenue needs.  Sales taxes are relatively easy to collect.  By their very n</w:t>
      </w:r>
      <w:r w:rsidR="0049128E" w:rsidRPr="00576ED7">
        <w:rPr>
          <w:szCs w:val="24"/>
        </w:rPr>
        <w:t>a</w:t>
      </w:r>
      <w:r w:rsidR="0049128E" w:rsidRPr="00576ED7">
        <w:rPr>
          <w:szCs w:val="24"/>
        </w:rPr>
        <w:t>ture, sales taxes are not co</w:t>
      </w:r>
      <w:r w:rsidR="0049128E" w:rsidRPr="00576ED7">
        <w:rPr>
          <w:szCs w:val="24"/>
        </w:rPr>
        <w:t>l</w:t>
      </w:r>
      <w:r w:rsidR="0049128E" w:rsidRPr="00576ED7">
        <w:rPr>
          <w:szCs w:val="24"/>
        </w:rPr>
        <w:t>lected on amounts that cit</w:t>
      </w:r>
      <w:r w:rsidR="0049128E" w:rsidRPr="00576ED7">
        <w:rPr>
          <w:szCs w:val="24"/>
        </w:rPr>
        <w:t>i</w:t>
      </w:r>
      <w:r w:rsidR="0049128E" w:rsidRPr="00576ED7">
        <w:rPr>
          <w:szCs w:val="24"/>
        </w:rPr>
        <w:t>zens or residents save.  Hence, their effect is more burdensome to those persons who must spend more (even all) of their income to pu</w:t>
      </w:r>
      <w:r w:rsidR="0049128E" w:rsidRPr="00576ED7">
        <w:rPr>
          <w:szCs w:val="24"/>
        </w:rPr>
        <w:t>r</w:t>
      </w:r>
      <w:r w:rsidR="0049128E" w:rsidRPr="00576ED7">
        <w:rPr>
          <w:szCs w:val="24"/>
        </w:rPr>
        <w:t>chase items subject to a sales tax.  While such taxes are nominally an equal percen</w:t>
      </w:r>
      <w:r w:rsidR="0049128E" w:rsidRPr="00576ED7">
        <w:rPr>
          <w:szCs w:val="24"/>
        </w:rPr>
        <w:t>t</w:t>
      </w:r>
      <w:r w:rsidR="0049128E" w:rsidRPr="00576ED7">
        <w:rPr>
          <w:szCs w:val="24"/>
        </w:rPr>
        <w:t xml:space="preserve">age of all purchases, their </w:t>
      </w:r>
      <w:r w:rsidR="0049128E" w:rsidRPr="00576ED7">
        <w:rPr>
          <w:i/>
          <w:szCs w:val="24"/>
        </w:rPr>
        <w:t>e</w:t>
      </w:r>
      <w:r w:rsidR="0049128E" w:rsidRPr="00576ED7">
        <w:rPr>
          <w:i/>
          <w:szCs w:val="24"/>
        </w:rPr>
        <w:t>f</w:t>
      </w:r>
      <w:r w:rsidR="0049128E" w:rsidRPr="00576ED7">
        <w:rPr>
          <w:i/>
          <w:szCs w:val="24"/>
        </w:rPr>
        <w:t>fect</w:t>
      </w:r>
      <w:r w:rsidR="0049128E" w:rsidRPr="00576ED7">
        <w:rPr>
          <w:szCs w:val="24"/>
        </w:rPr>
        <w:t xml:space="preserve"> is </w:t>
      </w:r>
      <w:r w:rsidR="0049128E" w:rsidRPr="00576ED7">
        <w:rPr>
          <w:i/>
          <w:szCs w:val="24"/>
        </w:rPr>
        <w:t>regressive</w:t>
      </w:r>
      <w:r w:rsidR="0049128E" w:rsidRPr="00576ED7">
        <w:rPr>
          <w:szCs w:val="24"/>
        </w:rPr>
        <w:t xml:space="preserve"> (</w:t>
      </w:r>
      <w:r w:rsidR="0049128E" w:rsidRPr="00576ED7">
        <w:rPr>
          <w:i/>
          <w:szCs w:val="24"/>
        </w:rPr>
        <w:t>infra</w:t>
      </w:r>
      <w:r w:rsidR="0049128E" w:rsidRPr="00576ED7">
        <w:rPr>
          <w:szCs w:val="24"/>
        </w:rPr>
        <w:t>) for those who accumulate no wealth and who spend all of their income on items subject to them.</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In states that have sales taxes applicable to all purchases, every citizen or resident who buys anything pays some sales tax.  In this sense, cit</w:t>
      </w:r>
      <w:r w:rsidRPr="00576ED7">
        <w:rPr>
          <w:szCs w:val="24"/>
        </w:rPr>
        <w:t>i</w:t>
      </w:r>
      <w:r w:rsidRPr="00576ED7">
        <w:rPr>
          <w:szCs w:val="24"/>
        </w:rPr>
        <w:t>zen/beneficiaries may more equitably share the burden of paying for state or local government than is the case of the financing schemes already no</w:t>
      </w:r>
      <w:r w:rsidRPr="00576ED7">
        <w:rPr>
          <w:szCs w:val="24"/>
        </w:rPr>
        <w:t>t</w:t>
      </w:r>
      <w:r w:rsidRPr="00576ED7">
        <w:rPr>
          <w:szCs w:val="24"/>
        </w:rPr>
        <w:t>ed.</w:t>
      </w:r>
      <w:r w:rsidRPr="00576ED7">
        <w:rPr>
          <w:rStyle w:val="FootnoteReference"/>
          <w:szCs w:val="24"/>
        </w:rPr>
        <w:footnoteReference w:id="1"/>
      </w:r>
      <w:r w:rsidRPr="00576ED7">
        <w:rPr>
          <w:szCs w:val="24"/>
        </w:rPr>
        <w:t xml:space="preserve">  The recent financial crisis has made clear that a state’s revenues are </w:t>
      </w:r>
      <w:r w:rsidRPr="00576ED7">
        <w:rPr>
          <w:szCs w:val="24"/>
        </w:rPr>
        <w:lastRenderedPageBreak/>
        <w:t>vulnerable to economic downturns during which citizens or residents must reduce their purchases.  Such downturns are the very occasions when states need more funds to finance services for which their citizens stand in greater need.</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 xml:space="preserve">Sales taxes are particularly attractive to states that perceive an ability to pass them on to non-citizens or non-residents.  There is nothing quite so politically attractive as making someone who cannot vote in state elections fill the state’s coffers.  Tourist-destination states that persons from out-of-state visit find sales taxes attractive </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w:t>
      </w:r>
      <w:r w:rsidRPr="00576ED7">
        <w:rPr>
          <w:szCs w:val="24"/>
        </w:rPr>
        <w:t>s</w:t>
      </w:r>
      <w:r w:rsidRPr="00576ED7">
        <w:rPr>
          <w:szCs w:val="24"/>
        </w:rPr>
        <w:t>ses of goods, e.g., luxury items.  Excise taxes on luxury items may be p</w:t>
      </w:r>
      <w:r w:rsidRPr="00576ED7">
        <w:rPr>
          <w:szCs w:val="24"/>
        </w:rPr>
        <w:t>o</w:t>
      </w:r>
      <w:r w:rsidRPr="00576ED7">
        <w:rPr>
          <w:szCs w:val="24"/>
        </w:rPr>
        <w:t>litically popular, but those excise taxes do not raise much revenue because they are avoidable.  The demand for luxury items is usually highly elastic (</w:t>
      </w:r>
      <w:r w:rsidRPr="00576ED7">
        <w:rPr>
          <w:i/>
          <w:szCs w:val="24"/>
        </w:rPr>
        <w:t>see</w:t>
      </w:r>
      <w:r w:rsidRPr="00576ED7">
        <w:rPr>
          <w:szCs w:val="24"/>
        </w:rPr>
        <w:t xml:space="preserve"> text box, </w:t>
      </w:r>
      <w:r w:rsidRPr="00576ED7">
        <w:rPr>
          <w:i/>
          <w:szCs w:val="24"/>
        </w:rPr>
        <w:t>The Ramsey Principle</w:t>
      </w:r>
      <w:r w:rsidRPr="00576ED7">
        <w:rPr>
          <w:szCs w:val="24"/>
        </w:rPr>
        <w:t>).  Excise taxes on high-demand (a</w:t>
      </w:r>
      <w:r w:rsidRPr="00576ED7">
        <w:rPr>
          <w:szCs w:val="24"/>
        </w:rPr>
        <w:t>r</w:t>
      </w:r>
      <w:r w:rsidRPr="00576ED7">
        <w:rPr>
          <w:szCs w:val="24"/>
        </w:rPr>
        <w:t>guably) non-necessities, e.g., cellular telephones, raise much more rev</w:t>
      </w:r>
      <w:r w:rsidRPr="00576ED7">
        <w:rPr>
          <w:szCs w:val="24"/>
        </w:rPr>
        <w:t>e</w:t>
      </w:r>
      <w:r w:rsidRPr="00576ED7">
        <w:rPr>
          <w:szCs w:val="24"/>
        </w:rPr>
        <w:t>nue.  Tourist-destination states find excise taxes on services that out-of-state visitors are more likely to purchase than residents to be attractive, e.g., renting cars, staying in hotels, visiting tourist sites.</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Some states impose excise taxes on “sin” purchases, e.g., cigarettes, alc</w:t>
      </w:r>
      <w:r w:rsidRPr="00576ED7">
        <w:rPr>
          <w:szCs w:val="24"/>
        </w:rPr>
        <w:t>o</w:t>
      </w:r>
      <w:r w:rsidRPr="00576ED7">
        <w:rPr>
          <w:szCs w:val="24"/>
        </w:rPr>
        <w:t>hol.  The public health costs associated with activities such as smoking or drinking may be high, so states tax heavily the purchases of products that cause it to have to provide such services.  Arguably, such taxes may di</w:t>
      </w:r>
      <w:r w:rsidRPr="00576ED7">
        <w:rPr>
          <w:szCs w:val="24"/>
        </w:rPr>
        <w:t>s</w:t>
      </w:r>
      <w:r w:rsidRPr="00576ED7">
        <w:rPr>
          <w:szCs w:val="24"/>
        </w:rPr>
        <w:t>courage persons from making the purchase in the first place.</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upon every sale, not only the sale to the ultimate consumer, i.e., it is imposed at every stage of production of a product.  </w:t>
      </w:r>
      <w:r w:rsidR="00133EAA" w:rsidRPr="00576ED7">
        <w:rPr>
          <w:szCs w:val="24"/>
        </w:rPr>
        <w:t xml:space="preserve">The seller pays the VAT to the government minus whatever tax the seller was assessed upon acquiring the good.  </w:t>
      </w:r>
      <w:r w:rsidRPr="00576ED7">
        <w:rPr>
          <w:szCs w:val="24"/>
        </w:rPr>
        <w:t>Thus, the tax base is only a purchase’s actual additions to the value of a product.  Since the final consumer does not resell the product, he/she/it pays the final tax bill.  Many European countries favor a VAT, often in combination with an i</w:t>
      </w:r>
      <w:r w:rsidRPr="00576ED7">
        <w:rPr>
          <w:szCs w:val="24"/>
        </w:rPr>
        <w:t>n</w:t>
      </w:r>
      <w:r w:rsidRPr="00576ED7">
        <w:rPr>
          <w:szCs w:val="24"/>
        </w:rPr>
        <w:t>come tax.</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lastRenderedPageBreak/>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Pr="00576ED7">
        <w:rPr>
          <w:szCs w:val="24"/>
        </w:rPr>
        <w:t xml:space="preserve">:  As we shall see </w:t>
      </w:r>
      <w:r w:rsidRPr="00576ED7">
        <w:rPr>
          <w:i/>
          <w:szCs w:val="24"/>
        </w:rPr>
        <w:t>infra</w:t>
      </w:r>
      <w:r w:rsidRPr="00576ED7">
        <w:rPr>
          <w:szCs w:val="24"/>
        </w:rPr>
        <w:t xml:space="preserve"> from our discu</w:t>
      </w:r>
      <w:r w:rsidRPr="00576ED7">
        <w:rPr>
          <w:szCs w:val="24"/>
        </w:rPr>
        <w:t>s</w:t>
      </w:r>
      <w:r w:rsidRPr="00576ED7">
        <w:rPr>
          <w:szCs w:val="24"/>
        </w:rPr>
        <w:t>sion of the Schanz-Haig-Simons concept of income, it is quite possible to collect a tax only on consumption once per year upon filing a tax return.  We could simply use the information that we already collect or can easily begin collecting.  We now know what an employee-taxpayer’s total wages are; every taxpayer who works for an employer receives a W-2 wage statement.  If a taxpayer saves a portion of his/her earnings, the saving or investment institution could report resulting increases to a taxpayer’s total savings or investment.  Similarly, such institutions could report the total amount of a taxpayer’s withdrawals from savings or investments.  A ta</w:t>
      </w:r>
      <w:r w:rsidRPr="00576ED7">
        <w:rPr>
          <w:szCs w:val="24"/>
        </w:rPr>
        <w:t>x</w:t>
      </w:r>
      <w:r w:rsidRPr="00576ED7">
        <w:rPr>
          <w:szCs w:val="24"/>
        </w:rPr>
        <w:t>payer’s total consumption for the year would be his/her/its income minus increases to savings or investment plus withdrawals from savings or i</w:t>
      </w:r>
      <w:r w:rsidRPr="00576ED7">
        <w:rPr>
          <w:szCs w:val="24"/>
        </w:rPr>
        <w:t>n</w:t>
      </w:r>
      <w:r w:rsidRPr="00576ED7">
        <w:rPr>
          <w:szCs w:val="24"/>
        </w:rPr>
        <w:t xml:space="preserve">vestment.  Importantly, the tax on such consumption could be made </w:t>
      </w:r>
      <w:r w:rsidRPr="00576ED7">
        <w:rPr>
          <w:i/>
          <w:szCs w:val="24"/>
        </w:rPr>
        <w:t>pr</w:t>
      </w:r>
      <w:r w:rsidRPr="00576ED7">
        <w:rPr>
          <w:i/>
          <w:szCs w:val="24"/>
        </w:rPr>
        <w:t>o</w:t>
      </w:r>
      <w:r w:rsidRPr="00576ED7">
        <w:rPr>
          <w:i/>
          <w:szCs w:val="24"/>
        </w:rPr>
        <w:t>gressive</w:t>
      </w:r>
      <w:r w:rsidRPr="00576ED7">
        <w:rPr>
          <w:szCs w:val="24"/>
        </w:rPr>
        <w:t>, i.e., the rate of tax increases as the amount of a taxpayer’s co</w:t>
      </w:r>
      <w:r w:rsidRPr="00576ED7">
        <w:rPr>
          <w:szCs w:val="24"/>
        </w:rPr>
        <w:t>n</w:t>
      </w:r>
      <w:r w:rsidRPr="00576ED7">
        <w:rPr>
          <w:szCs w:val="24"/>
        </w:rPr>
        <w:t>sumption increases (</w:t>
      </w:r>
      <w:r w:rsidRPr="00576ED7">
        <w:rPr>
          <w:i/>
          <w:szCs w:val="24"/>
        </w:rPr>
        <w:t>infra</w:t>
      </w:r>
      <w:r w:rsidRPr="00576ED7">
        <w:rPr>
          <w:szCs w:val="24"/>
        </w:rPr>
        <w:t>).</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Wealth Taxes</w:t>
      </w:r>
      <w:r w:rsidRPr="00576ED7">
        <w:rPr>
          <w:szCs w:val="24"/>
        </w:rPr>
        <w:fldChar w:fldCharType="begin"/>
      </w:r>
      <w:r w:rsidRPr="00576ED7">
        <w:rPr>
          <w:i/>
          <w:szCs w:val="24"/>
        </w:rPr>
        <w:instrText xml:space="preserve"> TC \l3 "Wealth Taxes</w:instrText>
      </w:r>
      <w:r w:rsidRPr="00576ED7">
        <w:rPr>
          <w:szCs w:val="24"/>
        </w:rPr>
        <w:fldChar w:fldCharType="end"/>
      </w:r>
      <w:r w:rsidRPr="00576ED7">
        <w:rPr>
          <w:szCs w:val="24"/>
        </w:rPr>
        <w:t>:  We could tax wealth.  There are at least two common forms of wealth taxes: estate taxes and property taxes.  The estate tax is imposed on the estates of decedents and the amount of the tax depends on the size of the estate.  Property taxes are imposed on taxpayers because they own property.  Municipal</w:t>
      </w:r>
      <w:r w:rsidRPr="00576ED7">
        <w:rPr>
          <w:szCs w:val="24"/>
        </w:rPr>
        <w:t>i</w:t>
      </w:r>
      <w:r w:rsidRPr="00576ED7">
        <w:rPr>
          <w:szCs w:val="24"/>
        </w:rPr>
        <w:t xml:space="preserve">ties often rely on property taxes to raise the revenues they need.  Notice that in the case of property taxes, the taxing authority can tax the same “wealth” again and again, e.g., every year.  This is quite unlike an income tax, </w:t>
      </w:r>
      <w:r w:rsidRPr="00576ED7">
        <w:rPr>
          <w:i/>
          <w:szCs w:val="24"/>
        </w:rPr>
        <w:t>infra</w:t>
      </w:r>
      <w:r w:rsidRPr="00576ED7">
        <w:rPr>
          <w:szCs w:val="24"/>
        </w:rPr>
        <w:t>.  The burden of wealth taxes falls upon those who hold wealth in the form subject to tax.  Both persons subject to the tax and those not subject to the wealth tax may reap its be</w:t>
      </w:r>
      <w:r w:rsidRPr="00576ED7">
        <w:rPr>
          <w:szCs w:val="24"/>
        </w:rPr>
        <w:t>n</w:t>
      </w:r>
      <w:r w:rsidRPr="00576ED7">
        <w:rPr>
          <w:szCs w:val="24"/>
        </w:rPr>
        <w:t>efits.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Pr="00576ED7">
        <w:rPr>
          <w:szCs w:val="24"/>
        </w:rPr>
        <w:t xml:space="preserve">:  We could tax wages by a flat percentage irrespective of how much those wages are.  This is sometimes called a “payroll” tax.  Some states rely on a payroll tax.  It is cheaper to administer than an income tax because there are few deductions or exclusions from the tax base – at least there are few that are not also deducted or excluded from the tax base of the income tax.  Social security taxes and Medicare taxes are wage taxes.  The tax base of the Social Security tax (6.2% on both employer and employee) is limited to an indexed amount, about the first $100,000 of wage income.  The ceiling on the tax base of the Social Security tax of course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effective rate that is lower than the effective rate that those whose income is below the ceiling must pay.  The tax base of the Medicare tax (1.45% on both employer and employee) is not subject to a limit.  </w:t>
      </w:r>
      <w:r w:rsidR="00E02FF0" w:rsidRPr="00576ED7">
        <w:rPr>
          <w:szCs w:val="24"/>
        </w:rPr>
        <w:t>For high-</w:t>
      </w:r>
      <w:r w:rsidR="00E02FF0" w:rsidRPr="00576ED7">
        <w:rPr>
          <w:szCs w:val="24"/>
        </w:rPr>
        <w:lastRenderedPageBreak/>
        <w:t>income earners,</w:t>
      </w:r>
      <w:r w:rsidR="00E02FF0" w:rsidRPr="00576ED7">
        <w:rPr>
          <w:rStyle w:val="FootnoteReference"/>
          <w:szCs w:val="24"/>
        </w:rPr>
        <w:footnoteReference w:id="2"/>
      </w:r>
      <w:r w:rsidR="00E02FF0" w:rsidRPr="00576ED7">
        <w:rPr>
          <w:szCs w:val="24"/>
        </w:rPr>
        <w:t xml:space="preserve"> there is an additional 0.9% tax on </w:t>
      </w:r>
      <w:r w:rsidR="00D95638">
        <w:rPr>
          <w:szCs w:val="24"/>
        </w:rPr>
        <w:t>wages or self-employment i</w:t>
      </w:r>
      <w:r w:rsidR="00D95638">
        <w:rPr>
          <w:szCs w:val="24"/>
        </w:rPr>
        <w:t>n</w:t>
      </w:r>
      <w:r w:rsidR="00D95638">
        <w:rPr>
          <w:szCs w:val="24"/>
        </w:rPr>
        <w:t xml:space="preserve">come.  </w:t>
      </w:r>
      <w:r w:rsidR="00E02FF0" w:rsidRPr="00576ED7">
        <w:rPr>
          <w:szCs w:val="24"/>
        </w:rPr>
        <w:t xml:space="preserve">  </w:t>
      </w:r>
      <w:r w:rsidR="006722C4">
        <w:rPr>
          <w:szCs w:val="24"/>
        </w:rPr>
        <w:t xml:space="preserve">§§ 3101(b)(2), 1401(b)(2).  </w:t>
      </w:r>
      <w:r w:rsidRPr="00576ED7">
        <w:rPr>
          <w:szCs w:val="24"/>
        </w:rPr>
        <w:t>These programs mainly benefit senior cit</w:t>
      </w:r>
      <w:r w:rsidRPr="00576ED7">
        <w:rPr>
          <w:szCs w:val="24"/>
        </w:rPr>
        <w:t>i</w:t>
      </w:r>
      <w:r w:rsidRPr="00576ED7">
        <w:rPr>
          <w:szCs w:val="24"/>
        </w:rPr>
        <w:t>zens – and both are funded by a flat tax on wages of those currently working.  The flat tax on all wages of low- to middle-income persons (combined 7.65% plus a like amount paid by employers</w:t>
      </w:r>
      <w:r w:rsidR="006722C4">
        <w:rPr>
          <w:rStyle w:val="FootnoteReference"/>
          <w:szCs w:val="24"/>
        </w:rPr>
        <w:footnoteReference w:id="3"/>
      </w:r>
      <w:r w:rsidRPr="00576ED7">
        <w:rPr>
          <w:szCs w:val="24"/>
        </w:rPr>
        <w:t>) assures that many workers pay more in these flat taxes than they do in progressive income taxes.  This point makes the burden of paying federal taxes of whatever type much less progressive than the brackets e</w:t>
      </w:r>
      <w:r w:rsidRPr="00576ED7">
        <w:rPr>
          <w:szCs w:val="24"/>
        </w:rPr>
        <w:t>s</w:t>
      </w:r>
      <w:r w:rsidRPr="00576ED7">
        <w:rPr>
          <w:szCs w:val="24"/>
        </w:rPr>
        <w:t>tablished by § 1 of the Internal Revenue Code imply.</w:t>
      </w:r>
      <w:r w:rsidRPr="00576ED7">
        <w:rPr>
          <w:rStyle w:val="FootnoteReference"/>
          <w:szCs w:val="24"/>
        </w:rPr>
        <w:footnoteReference w:id="4"/>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Income 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  We recognize that this is what the United States does.  In the pages ahead, we describe just what we mean by “income,” i.e., the tax base.  It might not be what you expect.  We also describe the adjustments (i.e., reductions that are called “deductions”) we make to the tax base and the reasons for these adjustments.  An income tax is difficult to avoid: a citizen or resident must have no income in order not to be subject to an income tax.</w:t>
      </w:r>
      <w:r w:rsidRPr="00576ED7">
        <w:rPr>
          <w:rStyle w:val="FootnoteReference"/>
          <w:szCs w:val="24"/>
        </w:rPr>
        <w:footnoteReference w:id="5"/>
      </w:r>
      <w:r w:rsidRPr="00576ED7">
        <w:rPr>
          <w:szCs w:val="24"/>
        </w:rPr>
        <w:t xml:space="preserve">  Thus the burden of income taxes should be spread more evenly over those who derive benefits from government activities.</w:t>
      </w:r>
    </w:p>
    <w:p w:rsidR="0049128E" w:rsidRPr="00576ED7" w:rsidRDefault="0049128E">
      <w:pPr>
        <w:widowControl w:val="0"/>
        <w:jc w:val="both"/>
        <w:rPr>
          <w:szCs w:val="24"/>
        </w:rPr>
      </w:pPr>
    </w:p>
    <w:p w:rsidR="0049128E" w:rsidRPr="00576ED7" w:rsidRDefault="0049128E">
      <w:pPr>
        <w:widowControl w:val="0"/>
        <w:jc w:val="both"/>
        <w:rPr>
          <w:szCs w:val="24"/>
        </w:rPr>
      </w:pPr>
    </w:p>
    <w:p w:rsidR="0049128E" w:rsidRPr="00576ED7" w:rsidRDefault="0049128E" w:rsidP="00910345">
      <w:pPr>
        <w:pStyle w:val="Heading3"/>
      </w:pPr>
      <w:bookmarkStart w:id="23" w:name="_Toc375132910"/>
      <w:r w:rsidRPr="00576ED7">
        <w:lastRenderedPageBreak/>
        <w:t>II.  Taxing Income</w:t>
      </w:r>
      <w:bookmarkEnd w:id="23"/>
      <w:r w:rsidRPr="00576ED7">
        <w:fldChar w:fldCharType="begin"/>
      </w:r>
      <w:r w:rsidRPr="00576ED7">
        <w:instrText xml:space="preserve"> TC \l1 "II.  Taxing Income</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United States taxes the income of its citizens and permanent residents.  This personal income tax accounts for about 50% of the United States Government’s revenues.</w:t>
      </w:r>
      <w:r w:rsidRPr="00576ED7">
        <w:rPr>
          <w:rStyle w:val="FootnoteReference"/>
          <w:szCs w:val="24"/>
        </w:rPr>
        <w:footnoteReference w:id="6"/>
      </w:r>
      <w:r w:rsidRPr="00576ED7">
        <w:rPr>
          <w:szCs w:val="24"/>
        </w:rPr>
        <w:t xml:space="preserve">  The Government’s 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tax.</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Beyond this, the whole of title 26 of the United States Code (the Internal Revenue Code), the title that provides the federal rules of taxation, is one of the most si</w:t>
      </w:r>
      <w:r w:rsidRPr="00576ED7">
        <w:rPr>
          <w:szCs w:val="24"/>
        </w:rPr>
        <w:t>g</w:t>
      </w:r>
      <w:r w:rsidRPr="00576ED7">
        <w:rPr>
          <w:szCs w:val="24"/>
        </w:rPr>
        <w:t>nificant statements of policy in American law.  It affects everyone with an i</w:t>
      </w:r>
      <w:r w:rsidRPr="00576ED7">
        <w:rPr>
          <w:szCs w:val="24"/>
        </w:rPr>
        <w:t>n</w:t>
      </w:r>
      <w:r w:rsidRPr="00576ED7">
        <w:rPr>
          <w:szCs w:val="24"/>
        </w:rPr>
        <w:t>come.  It affects everyone who might die.  Tax law is hardly the exclusive domain of accountants and number crunchers.</w:t>
      </w:r>
      <w:r w:rsidRPr="00576ED7">
        <w:rPr>
          <w:rStyle w:val="FootnoteReference"/>
          <w:szCs w:val="24"/>
        </w:rPr>
        <w:footnoteReference w:id="7"/>
      </w:r>
      <w:r w:rsidRPr="00576ED7">
        <w:rPr>
          <w:szCs w:val="24"/>
        </w:rPr>
        <w:t xml:space="preserve">  Tax law is also the domain of anyone who cares about such objectives as fairness, economic growth, social policy, and so on – in short, everyone.  The Code defines broadly the income on which it imposes a tax.  It provides exceptions to these rules for those taxpayers Congress has deemed</w:t>
      </w:r>
      <w:r w:rsidR="00BF345C" w:rsidRPr="00576ED7">
        <w:rPr>
          <w:szCs w:val="24"/>
        </w:rPr>
        <w:t xml:space="preserve"> deserving of exceptions.  This</w:t>
      </w:r>
      <w:r w:rsidRPr="00576ED7">
        <w:rPr>
          <w:szCs w:val="24"/>
        </w:rPr>
        <w:t xml:space="preserve"> legislative exemption from an otherwise universal tax implicitly states policies on many subjects.</w:t>
      </w:r>
    </w:p>
    <w:p w:rsidR="00BF345C" w:rsidRPr="00576ED7" w:rsidRDefault="00BF345C">
      <w:pPr>
        <w:widowControl w:val="0"/>
        <w:jc w:val="both"/>
        <w:rPr>
          <w:szCs w:val="24"/>
        </w:rPr>
      </w:pPr>
    </w:p>
    <w:p w:rsidR="004A384F" w:rsidRPr="00576ED7" w:rsidRDefault="00E73F32" w:rsidP="00BF345C">
      <w:pPr>
        <w:widowControl w:val="0"/>
        <w:jc w:val="both"/>
        <w:rPr>
          <w:szCs w:val="24"/>
        </w:rPr>
      </w:pPr>
      <w:r w:rsidRPr="00576ED7">
        <w:rPr>
          <w:noProof/>
          <w:szCs w:val="24"/>
        </w:rPr>
        <w:lastRenderedPageBreak/>
        <mc:AlternateContent>
          <mc:Choice Requires="wps">
            <w:drawing>
              <wp:anchor distT="152400" distB="152400" distL="152400" distR="152400" simplePos="0" relativeHeight="251618304" behindDoc="0" locked="0" layoutInCell="0" allowOverlap="1" wp14:anchorId="58DCBAB5" wp14:editId="26F396AF">
                <wp:simplePos x="0" y="0"/>
                <wp:positionH relativeFrom="margin">
                  <wp:posOffset>15240</wp:posOffset>
                </wp:positionH>
                <wp:positionV relativeFrom="margin">
                  <wp:posOffset>898525</wp:posOffset>
                </wp:positionV>
                <wp:extent cx="5023485" cy="4792345"/>
                <wp:effectExtent l="0" t="0" r="24765" b="27305"/>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479234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FF5E72" w:rsidRDefault="00FF5E72">
                            <w:pPr>
                              <w:widowControl w:val="0"/>
                              <w:jc w:val="both"/>
                              <w:rPr>
                                <w:rFonts w:ascii="Tw Cen MT" w:hAnsi="Tw Cen MT"/>
                              </w:rPr>
                            </w:pPr>
                            <w:r>
                              <w:rPr>
                                <w:rFonts w:ascii="Tw Cen MT" w:hAnsi="Tw Cen MT"/>
                              </w:rPr>
                              <w:t>A.  Practice a little tax law.</w:t>
                            </w:r>
                          </w:p>
                          <w:p w:rsidR="00FF5E72" w:rsidRDefault="00FF5E72">
                            <w:pPr>
                              <w:widowControl w:val="0"/>
                              <w:jc w:val="both"/>
                              <w:rPr>
                                <w:rFonts w:ascii="Tw Cen MT" w:hAnsi="Tw Cen MT"/>
                              </w:rPr>
                            </w:pPr>
                            <w:r>
                              <w:rPr>
                                <w:rFonts w:ascii="Tw Cen MT" w:hAnsi="Tw Cen MT"/>
                              </w:rPr>
                              <w:t>B.  Malpractice a little tax law.</w:t>
                            </w:r>
                          </w:p>
                          <w:p w:rsidR="00FF5E72" w:rsidRDefault="00FF5E72">
                            <w:pPr>
                              <w:widowControl w:val="0"/>
                              <w:jc w:val="both"/>
                              <w:rPr>
                                <w:rFonts w:ascii="Tw Cen MT" w:hAnsi="Tw Cen MT"/>
                              </w:rPr>
                            </w:pPr>
                            <w:r>
                              <w:rPr>
                                <w:rFonts w:ascii="Tw Cen MT" w:hAnsi="Tw Cen MT"/>
                              </w:rPr>
                              <w:t>There is no option C.</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FF5E72" w:rsidRDefault="00FF5E72">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FF5E72" w:rsidRDefault="00FF5E72">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FF5E72" w:rsidRDefault="00FF5E72">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FF5E72" w:rsidRDefault="00FF5E72">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FF5E72" w:rsidRDefault="00FF5E72">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FF5E72" w:rsidRDefault="00FF5E72">
                            <w:pPr>
                              <w:widowControl w:val="0"/>
                              <w:jc w:val="both"/>
                              <w:rPr>
                                <w:rFonts w:ascii="Tw Cen MT" w:hAnsi="Tw Cen MT"/>
                              </w:rPr>
                            </w:pPr>
                            <w:r>
                              <w:rPr>
                                <w:rFonts w:ascii="Tw Cen MT" w:hAnsi="Tw Cen MT"/>
                              </w:rPr>
                              <w:t>•Consider: E’s employer permits E to purchase items that it sells for a discount.  Tax consequences?</w:t>
                            </w:r>
                          </w:p>
                          <w:p w:rsidR="00FF5E72" w:rsidRDefault="00FF5E72">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FF5E72" w:rsidRDefault="00FF5E72">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FF5E72" w:rsidRDefault="00FF5E72">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2pt;margin-top:70.75pt;width:395.55pt;height:377.35pt;z-index:251618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BfKAIAAFsEAAAOAAAAZHJzL2Uyb0RvYy54bWysVNtu2zAMfR+wfxD0vjhJmzY14hRdugwD&#10;ugvQ7gNoWbaFyaImKbG7ry8lp2l2exnmB0GUqMPDQ9Kr66HTbC+dV2gKPptMOZNGYKVMU/CvD9s3&#10;S858AFOBRiML/ig9v16/frXqbS7n2KKupGMEYnze24K3Idg8y7xoZQd+glYauqzRdRDIdE1WOegJ&#10;vdPZfDq9yHp0lXUopPd0ejte8nXCr2spwue69jIwXXDiFtLq0lrGNVuvIG8c2FaJAw34BxYdKENB&#10;j1C3EIDtnPoNqlPCocc6TAR2Gda1EjLlQNnMpr9kc9+ClSkXEsfbo0z+/8GKT/svjqmKajdbcGag&#10;oyI9yCGwtziws6hPb31ObveWHMNAx+SbcvX2DsU3zwxuWjCNvHEO+1ZCRfxm8WV28nTE8RGk7D9i&#10;RWFgFzABDbXrongkByN0qtPjsTaRiqDDxXR+dr4kioLuzi+vyFqkGJA/P7fOh/cSOxY3BXdU/AQP&#10;+zsfIh3In11iNI9aVVuldTJcU260Y3ugRtmm74D+k5s2rKfk5rOr+SjBXzGm6fsTRqcCtbxWXcGX&#10;RyfIo3DvTJUaMoDS4544a3NQMoo3yhiGchiLFgNElUusHklah2OH00TSpkX3g7Oeurvg/vsOnORM&#10;fzBUnssLGh4ah1PDnRrlqQFGEFTBA2fjdhPGEdpZp5qWIo0NYfCGSlqrJPYLqwN96uBUg8O0xRE5&#10;tZPXyz9h/QQAAP//AwBQSwMEFAAGAAgAAAAhAA/r7bPdAAAACQEAAA8AAABkcnMvZG93bnJldi54&#10;bWxMj0FPwzAMhe9I/IfISNxYum6MrTSdpkrc1wKCY9aYpqJxSpOt5d9jTnCz/Z6ev5fvZ9eLC46h&#10;86RguUhAIDXedNQqeHl+utuCCFGT0b0nVPCNAfbF9VWuM+MnqvBSx1ZwCIVMK7AxDpmUobHodFj4&#10;AYm1Dz86HXkdW2lGPXG462WaJBvpdEf8weoBS4vNZ312CnxVla9p/XV8KydTttNxjsO7Ver2Zj48&#10;gog4xz8z/OIzOhTMdPJnMkH0CtI1G/m8Xt6DYP1ht+LhpGC726Qgi1z+b1D8AAAA//8DAFBLAQIt&#10;ABQABgAIAAAAIQC2gziS/gAAAOEBAAATAAAAAAAAAAAAAAAAAAAAAABbQ29udGVudF9UeXBlc10u&#10;eG1sUEsBAi0AFAAGAAgAAAAhADj9If/WAAAAlAEAAAsAAAAAAAAAAAAAAAAALwEAAF9yZWxzLy5y&#10;ZWxzUEsBAi0AFAAGAAgAAAAhANZosF8oAgAAWwQAAA4AAAAAAAAAAAAAAAAALgIAAGRycy9lMm9E&#10;b2MueG1sUEsBAi0AFAAGAAgAAAAhAA/r7bPdAAAACQEAAA8AAAAAAAAAAAAAAAAAggQAAGRycy9k&#10;b3ducmV2LnhtbFBLBQYAAAAABAAEAPMAAACMBQAAAAA=&#10;" o:allowincell="f" strokeweight=".96pt">
                <v:textbox inset="6pt,6pt,6pt,6pt">
                  <w:txbxContent>
                    <w:p w:rsidR="00FF5E72" w:rsidRDefault="00FF5E72">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FF5E72" w:rsidRDefault="00FF5E72">
                      <w:pPr>
                        <w:widowControl w:val="0"/>
                        <w:jc w:val="both"/>
                        <w:rPr>
                          <w:rFonts w:ascii="Tw Cen MT" w:hAnsi="Tw Cen MT"/>
                        </w:rPr>
                      </w:pPr>
                      <w:r>
                        <w:rPr>
                          <w:rFonts w:ascii="Tw Cen MT" w:hAnsi="Tw Cen MT"/>
                        </w:rPr>
                        <w:t>A.  Practice a little tax law.</w:t>
                      </w:r>
                    </w:p>
                    <w:p w:rsidR="00FF5E72" w:rsidRDefault="00FF5E72">
                      <w:pPr>
                        <w:widowControl w:val="0"/>
                        <w:jc w:val="both"/>
                        <w:rPr>
                          <w:rFonts w:ascii="Tw Cen MT" w:hAnsi="Tw Cen MT"/>
                        </w:rPr>
                      </w:pPr>
                      <w:r>
                        <w:rPr>
                          <w:rFonts w:ascii="Tw Cen MT" w:hAnsi="Tw Cen MT"/>
                        </w:rPr>
                        <w:t>B.  Malpractice a little tax law.</w:t>
                      </w:r>
                    </w:p>
                    <w:p w:rsidR="00FF5E72" w:rsidRDefault="00FF5E72">
                      <w:pPr>
                        <w:widowControl w:val="0"/>
                        <w:jc w:val="both"/>
                        <w:rPr>
                          <w:rFonts w:ascii="Tw Cen MT" w:hAnsi="Tw Cen MT"/>
                        </w:rPr>
                      </w:pPr>
                      <w:r>
                        <w:rPr>
                          <w:rFonts w:ascii="Tw Cen MT" w:hAnsi="Tw Cen MT"/>
                        </w:rPr>
                        <w:t>There is no option C.</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w:t>
                      </w:r>
                      <w:r>
                        <w:rPr>
                          <w:rFonts w:ascii="Tw Cen MT" w:hAnsi="Tw Cen MT"/>
                        </w:rPr>
                        <w:t>r</w:t>
                      </w:r>
                      <w:r>
                        <w:rPr>
                          <w:rFonts w:ascii="Tw Cen MT" w:hAnsi="Tw Cen MT"/>
                        </w:rPr>
                        <w:t>ence if P recovers only for her emotional distress? Does it make any difference if P recovers because her employer discriminated on the basis of sex?</w:t>
                      </w:r>
                    </w:p>
                    <w:p w:rsidR="00FF5E72" w:rsidRDefault="00FF5E72">
                      <w:pPr>
                        <w:widowControl w:val="0"/>
                        <w:jc w:val="both"/>
                        <w:rPr>
                          <w:rFonts w:ascii="Tw Cen MT" w:hAnsi="Tw Cen MT"/>
                        </w:rPr>
                      </w:pPr>
                      <w:r>
                        <w:rPr>
                          <w:rFonts w:ascii="Tw Cen MT" w:hAnsi="Tw Cen MT"/>
                        </w:rPr>
                        <w:t>•Consider: S is a law student.  Her university awarded her a full tuition schola</w:t>
                      </w:r>
                      <w:r>
                        <w:rPr>
                          <w:rFonts w:ascii="Tw Cen MT" w:hAnsi="Tw Cen MT"/>
                        </w:rPr>
                        <w:t>r</w:t>
                      </w:r>
                      <w:r>
                        <w:rPr>
                          <w:rFonts w:ascii="Tw Cen MT" w:hAnsi="Tw Cen MT"/>
                        </w:rPr>
                        <w:t>ship.  Any tax issues?</w:t>
                      </w:r>
                    </w:p>
                    <w:p w:rsidR="00FF5E72" w:rsidRDefault="00FF5E72">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FF5E72" w:rsidRDefault="00FF5E72">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FF5E72" w:rsidRDefault="00FF5E72">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FF5E72" w:rsidRDefault="00FF5E72">
                      <w:pPr>
                        <w:widowControl w:val="0"/>
                        <w:jc w:val="both"/>
                        <w:rPr>
                          <w:rFonts w:ascii="Tw Cen MT" w:hAnsi="Tw Cen MT"/>
                        </w:rPr>
                      </w:pPr>
                      <w:r>
                        <w:rPr>
                          <w:rFonts w:ascii="Tw Cen MT" w:hAnsi="Tw Cen MT"/>
                        </w:rPr>
                        <w:t>•Consider: The federal government has established a program whereby hom</w:t>
                      </w:r>
                      <w:r>
                        <w:rPr>
                          <w:rFonts w:ascii="Tw Cen MT" w:hAnsi="Tw Cen MT"/>
                        </w:rPr>
                        <w:t>e</w:t>
                      </w:r>
                      <w:r>
                        <w:rPr>
                          <w:rFonts w:ascii="Tw Cen MT" w:hAnsi="Tw Cen MT"/>
                        </w:rPr>
                        <w:t>owners who owe money on a mortgage can have the principal of their loan r</w:t>
                      </w:r>
                      <w:r>
                        <w:rPr>
                          <w:rFonts w:ascii="Tw Cen MT" w:hAnsi="Tw Cen MT"/>
                        </w:rPr>
                        <w:t>e</w:t>
                      </w:r>
                      <w:r>
                        <w:rPr>
                          <w:rFonts w:ascii="Tw Cen MT" w:hAnsi="Tw Cen MT"/>
                        </w:rPr>
                        <w:t>duced.  Any tax issues?</w:t>
                      </w:r>
                    </w:p>
                    <w:p w:rsidR="00FF5E72" w:rsidRDefault="00FF5E72">
                      <w:pPr>
                        <w:widowControl w:val="0"/>
                        <w:jc w:val="both"/>
                        <w:rPr>
                          <w:rFonts w:ascii="Tw Cen MT" w:hAnsi="Tw Cen MT"/>
                        </w:rPr>
                      </w:pPr>
                      <w:r>
                        <w:rPr>
                          <w:rFonts w:ascii="Tw Cen MT" w:hAnsi="Tw Cen MT"/>
                        </w:rPr>
                        <w:t>•Consider: E’s employer permits E to purchase items that it sells for a discount.  Tax consequences?</w:t>
                      </w:r>
                    </w:p>
                    <w:p w:rsidR="00FF5E72" w:rsidRDefault="00FF5E72">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w:t>
                      </w:r>
                      <w:r>
                        <w:rPr>
                          <w:rFonts w:ascii="Tw Cen MT" w:hAnsi="Tw Cen MT"/>
                        </w:rPr>
                        <w:t>s</w:t>
                      </w:r>
                      <w:r>
                        <w:rPr>
                          <w:rFonts w:ascii="Tw Cen MT" w:hAnsi="Tw Cen MT"/>
                        </w:rPr>
                        <w:t>sues?</w:t>
                      </w:r>
                    </w:p>
                    <w:p w:rsidR="00FF5E72" w:rsidRDefault="00FF5E72">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w:t>
                      </w:r>
                      <w:r>
                        <w:rPr>
                          <w:rFonts w:ascii="Tw Cen MT" w:hAnsi="Tw Cen MT"/>
                        </w:rPr>
                        <w:t>i</w:t>
                      </w:r>
                      <w:r>
                        <w:rPr>
                          <w:rFonts w:ascii="Tw Cen MT" w:hAnsi="Tw Cen MT"/>
                        </w:rPr>
                        <w:t>nessperson sells from inventory that s/he purchased?</w:t>
                      </w:r>
                    </w:p>
                    <w:p w:rsidR="00FF5E72" w:rsidRDefault="00FF5E72">
                      <w:pPr>
                        <w:widowControl w:val="0"/>
                        <w:jc w:val="both"/>
                        <w:rPr>
                          <w:rFonts w:ascii="Tw Cen MT" w:hAnsi="Tw Cen MT"/>
                        </w:rPr>
                      </w:pPr>
                      <w:r>
                        <w:rPr>
                          <w:rFonts w:ascii="Tw Cen MT" w:hAnsi="Tw Cen MT"/>
                        </w:rPr>
                        <w:t>•And so on.  Do you really think that you can avoid issues such as these by i</w:t>
                      </w:r>
                      <w:r>
                        <w:rPr>
                          <w:rFonts w:ascii="Tw Cen MT" w:hAnsi="Tw Cen MT"/>
                        </w:rPr>
                        <w:t>g</w:t>
                      </w:r>
                      <w:r>
                        <w:rPr>
                          <w:rFonts w:ascii="Tw Cen MT" w:hAnsi="Tw Cen MT"/>
                        </w:rPr>
                        <w:t>noring them?</w:t>
                      </w:r>
                    </w:p>
                  </w:txbxContent>
                </v:textbox>
                <w10:wrap type="square" side="largest" anchorx="margin" anchory="margin"/>
              </v:shape>
            </w:pict>
          </mc:Fallback>
        </mc:AlternateContent>
      </w:r>
      <w:r w:rsidR="00BF345C" w:rsidRPr="00576ED7">
        <w:rPr>
          <w:szCs w:val="24"/>
        </w:rPr>
        <w:t>Far more persons will be subject to the Code’s rules year after year than will be tort victims or defendants, parties to a contract dispute, or victims of crime – al</w:t>
      </w:r>
      <w:r w:rsidR="00BF345C" w:rsidRPr="00576ED7">
        <w:rPr>
          <w:szCs w:val="24"/>
        </w:rPr>
        <w:t>t</w:t>
      </w:r>
      <w:r w:rsidR="00BF345C" w:rsidRPr="00576ED7">
        <w:rPr>
          <w:szCs w:val="24"/>
        </w:rPr>
        <w:t>hough many persons reading these lines consider those topics much more i</w:t>
      </w:r>
      <w:r w:rsidR="00BF345C" w:rsidRPr="00576ED7">
        <w:rPr>
          <w:szCs w:val="24"/>
        </w:rPr>
        <w:t>m</w:t>
      </w:r>
      <w:r w:rsidR="00BF345C" w:rsidRPr="00576ED7">
        <w:rPr>
          <w:szCs w:val="24"/>
        </w:rPr>
        <w:t xml:space="preserve">portant to their legal studies and eventually their legal careers.  Such persons may be right, but they might be surprised at how much the individual income tax will affect their practices for the simple reason that the individual income tax affects the lives of nearly all Americans.  Federal taxation is about </w:t>
      </w:r>
      <w:r w:rsidR="00BF345C" w:rsidRPr="00576ED7">
        <w:rPr>
          <w:i/>
          <w:szCs w:val="24"/>
        </w:rPr>
        <w:t>money</w:t>
      </w:r>
      <w:r w:rsidR="00BF345C" w:rsidRPr="00576ED7">
        <w:rPr>
          <w:szCs w:val="24"/>
        </w:rPr>
        <w:t xml:space="preserve">.  Those who claim that they will avoid tax issues in their practices will find that they work for and with people who </w:t>
      </w:r>
      <w:r w:rsidR="00BF345C" w:rsidRPr="00576ED7">
        <w:rPr>
          <w:i/>
          <w:szCs w:val="24"/>
        </w:rPr>
        <w:t>do</w:t>
      </w:r>
      <w:r w:rsidR="00BF345C" w:rsidRPr="00576ED7">
        <w:rPr>
          <w:szCs w:val="24"/>
        </w:rPr>
        <w:t xml:space="preserve"> care about money, and they will find that avoidance of tax issues can make for some less-than-satisfied clients and colleagues.</w:t>
      </w:r>
    </w:p>
    <w:p w:rsidR="004A384F" w:rsidRPr="00576ED7" w:rsidRDefault="004A384F">
      <w:pPr>
        <w:rPr>
          <w:szCs w:val="24"/>
        </w:rPr>
      </w:pPr>
      <w:r w:rsidRPr="00576ED7">
        <w:rPr>
          <w:rFonts w:eastAsia="Calibri"/>
          <w:noProof/>
          <w:szCs w:val="24"/>
        </w:rPr>
        <w:lastRenderedPageBreak/>
        <mc:AlternateContent>
          <mc:Choice Requires="wps">
            <w:drawing>
              <wp:anchor distT="0" distB="0" distL="114300" distR="114300" simplePos="0" relativeHeight="251702272" behindDoc="0" locked="0" layoutInCell="1" allowOverlap="1" wp14:anchorId="69E884C0" wp14:editId="1839970A">
                <wp:simplePos x="0" y="0"/>
                <wp:positionH relativeFrom="column">
                  <wp:posOffset>-195580</wp:posOffset>
                </wp:positionH>
                <wp:positionV relativeFrom="paragraph">
                  <wp:posOffset>252620</wp:posOffset>
                </wp:positionV>
                <wp:extent cx="5285740" cy="7104380"/>
                <wp:effectExtent l="0" t="0" r="1016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7104380"/>
                        </a:xfrm>
                        <a:prstGeom prst="rect">
                          <a:avLst/>
                        </a:prstGeom>
                        <a:solidFill>
                          <a:srgbClr val="FFFFFF"/>
                        </a:solidFill>
                        <a:ln w="9525">
                          <a:solidFill>
                            <a:srgbClr val="000000"/>
                          </a:solidFill>
                          <a:miter lim="800000"/>
                          <a:headEnd/>
                          <a:tailEnd/>
                        </a:ln>
                      </wps:spPr>
                      <wps:txbx>
                        <w:txbxContent>
                          <w:p w:rsidR="00FF5E72" w:rsidRPr="00FD0A55" w:rsidRDefault="00FF5E72" w:rsidP="007940EE">
                            <w:pPr>
                              <w:rPr>
                                <w:b/>
                                <w:bCs/>
                                <w:sz w:val="22"/>
                                <w:szCs w:val="22"/>
                              </w:rPr>
                            </w:pPr>
                            <w:r w:rsidRPr="00FD0A55">
                              <w:rPr>
                                <w:b/>
                                <w:bCs/>
                                <w:sz w:val="22"/>
                                <w:szCs w:val="22"/>
                              </w:rPr>
                              <w:t>SOI Tax Stats at a Glance:  Summary of Tax Collections Before Refunds by Type of Return, FY 2012</w:t>
                            </w:r>
                          </w:p>
                          <w:p w:rsidR="00FF5E72" w:rsidRPr="00FD0A55" w:rsidRDefault="00FF5E72" w:rsidP="007940EE">
                            <w:pPr>
                              <w:rPr>
                                <w:b/>
                                <w:bCs/>
                                <w:sz w:val="22"/>
                                <w:szCs w:val="22"/>
                              </w:rPr>
                            </w:pPr>
                          </w:p>
                          <w:p w:rsidR="00FF5E72" w:rsidRPr="00FD0A55" w:rsidRDefault="00FF5E72"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FF5E72" w:rsidRPr="00FD0A55" w:rsidRDefault="00FF5E72"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t>146,243,886</w:t>
                            </w:r>
                            <w:r w:rsidRPr="00FD0A55">
                              <w:rPr>
                                <w:bCs/>
                                <w:sz w:val="22"/>
                                <w:szCs w:val="22"/>
                              </w:rPr>
                              <w:tab/>
                            </w:r>
                            <w:r w:rsidRPr="00FD0A55">
                              <w:rPr>
                                <w:bCs/>
                                <w:sz w:val="22"/>
                                <w:szCs w:val="22"/>
                              </w:rPr>
                              <w:tab/>
                            </w:r>
                            <w:r w:rsidRPr="00FD0A55">
                              <w:rPr>
                                <w:bCs/>
                                <w:sz w:val="22"/>
                                <w:szCs w:val="22"/>
                              </w:rPr>
                              <w:tab/>
                              <w:t>1,371,402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2,262,961</w:t>
                            </w:r>
                            <w:r w:rsidRPr="00FD0A55">
                              <w:rPr>
                                <w:bCs/>
                                <w:sz w:val="22"/>
                                <w:szCs w:val="22"/>
                              </w:rPr>
                              <w:tab/>
                            </w:r>
                            <w:r w:rsidRPr="00FD0A55">
                              <w:rPr>
                                <w:bCs/>
                                <w:sz w:val="22"/>
                                <w:szCs w:val="22"/>
                              </w:rPr>
                              <w:tab/>
                            </w:r>
                            <w:r w:rsidRPr="00FD0A55">
                              <w:rPr>
                                <w:bCs/>
                                <w:sz w:val="22"/>
                                <w:szCs w:val="22"/>
                              </w:rPr>
                              <w:tab/>
                              <w:t xml:space="preserve">   280,965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29,589,891</w:t>
                            </w:r>
                            <w:r w:rsidRPr="00FD0A55">
                              <w:rPr>
                                <w:bCs/>
                                <w:sz w:val="22"/>
                                <w:szCs w:val="22"/>
                              </w:rPr>
                              <w:tab/>
                            </w:r>
                            <w:r w:rsidRPr="00FD0A55">
                              <w:rPr>
                                <w:bCs/>
                                <w:sz w:val="22"/>
                                <w:szCs w:val="22"/>
                              </w:rPr>
                              <w:tab/>
                            </w:r>
                            <w:r w:rsidRPr="00FD0A55">
                              <w:rPr>
                                <w:bCs/>
                                <w:sz w:val="22"/>
                                <w:szCs w:val="22"/>
                              </w:rPr>
                              <w:tab/>
                              <w:t xml:space="preserve">   784,397</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1,196,789 </w:t>
                            </w:r>
                            <w:r w:rsidRPr="00FD0A55">
                              <w:rPr>
                                <w:bCs/>
                                <w:sz w:val="22"/>
                                <w:szCs w:val="22"/>
                              </w:rPr>
                              <w:tab/>
                            </w:r>
                            <w:r w:rsidRPr="00FD0A55">
                              <w:rPr>
                                <w:bCs/>
                                <w:sz w:val="22"/>
                                <w:szCs w:val="22"/>
                              </w:rPr>
                              <w:tab/>
                            </w:r>
                            <w:r w:rsidRPr="00FD0A55">
                              <w:rPr>
                                <w:bCs/>
                                <w:sz w:val="22"/>
                                <w:szCs w:val="22"/>
                              </w:rPr>
                              <w:tab/>
                              <w:t xml:space="preserve">     56,175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249,451</w:t>
                            </w:r>
                            <w:r w:rsidRPr="00FD0A55">
                              <w:rPr>
                                <w:bCs/>
                                <w:sz w:val="22"/>
                                <w:szCs w:val="22"/>
                              </w:rPr>
                              <w:tab/>
                            </w:r>
                            <w:r w:rsidRPr="00FD0A55">
                              <w:rPr>
                                <w:bCs/>
                                <w:sz w:val="22"/>
                                <w:szCs w:val="22"/>
                              </w:rPr>
                              <w:tab/>
                            </w:r>
                            <w:r w:rsidRPr="00FD0A55">
                              <w:rPr>
                                <w:bCs/>
                                <w:sz w:val="22"/>
                                <w:szCs w:val="22"/>
                              </w:rPr>
                              <w:tab/>
                              <w:t xml:space="preserve">       2,110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sidRPr="00FD0A55">
                              <w:rPr>
                                <w:bCs/>
                                <w:color w:val="211D1E"/>
                                <w:sz w:val="22"/>
                                <w:szCs w:val="22"/>
                              </w:rPr>
                              <w:t>26,859</w:t>
                            </w:r>
                            <w:r w:rsidRPr="00FD0A55">
                              <w:rPr>
                                <w:bCs/>
                                <w:sz w:val="22"/>
                                <w:szCs w:val="22"/>
                              </w:rPr>
                              <w:tab/>
                            </w:r>
                            <w:r w:rsidRPr="00FD0A55">
                              <w:rPr>
                                <w:bCs/>
                                <w:sz w:val="22"/>
                                <w:szCs w:val="22"/>
                              </w:rPr>
                              <w:tab/>
                            </w:r>
                            <w:r w:rsidRPr="00FD0A55">
                              <w:rPr>
                                <w:bCs/>
                                <w:sz w:val="22"/>
                                <w:szCs w:val="22"/>
                              </w:rPr>
                              <w:tab/>
                              <w:t xml:space="preserve">     12,341</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sz w:val="22"/>
                                <w:szCs w:val="22"/>
                              </w:rPr>
                              <w:t xml:space="preserve">Corporate Returns (TY 2010)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211D1E"/>
                                <w:sz w:val="22"/>
                                <w:szCs w:val="22"/>
                              </w:rPr>
                            </w:pPr>
                            <w:r w:rsidRPr="00FD0A55">
                              <w:rPr>
                                <w:bCs/>
                                <w:sz w:val="22"/>
                                <w:szCs w:val="22"/>
                              </w:rPr>
                              <w:tab/>
                              <w:t xml:space="preserve">Number filed with assets $250 million (M) or more </w:t>
                            </w:r>
                            <w:r w:rsidRPr="00FD0A55">
                              <w:rPr>
                                <w:bCs/>
                                <w:sz w:val="22"/>
                                <w:szCs w:val="22"/>
                              </w:rPr>
                              <w:tab/>
                              <w:t xml:space="preserve">     14,584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of total corporate net income reported by firms</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with assets $250M or more</w:t>
                            </w:r>
                            <w:r w:rsidRPr="00FD0A55">
                              <w:rPr>
                                <w:bCs/>
                                <w:sz w:val="22"/>
                                <w:szCs w:val="22"/>
                              </w:rPr>
                              <w:tab/>
                            </w:r>
                            <w:r w:rsidRPr="00FD0A55">
                              <w:rPr>
                                <w:bCs/>
                                <w:sz w:val="22"/>
                                <w:szCs w:val="22"/>
                              </w:rPr>
                              <w:tab/>
                            </w:r>
                            <w:r w:rsidRPr="00FD0A55">
                              <w:rPr>
                                <w:bCs/>
                                <w:sz w:val="22"/>
                                <w:szCs w:val="22"/>
                              </w:rPr>
                              <w:tab/>
                              <w:t xml:space="preserve">     73.2%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color w:val="211D1E"/>
                                <w:sz w:val="22"/>
                                <w:szCs w:val="22"/>
                              </w:rPr>
                              <w:t>S Corporation Returns (TY 2010)</w:t>
                            </w:r>
                            <w:r w:rsidRPr="00FD0A55">
                              <w:rPr>
                                <w:b/>
                                <w:bCs/>
                                <w:sz w:val="22"/>
                                <w:szCs w:val="22"/>
                              </w:rPr>
                              <w:t xml:space="preserve">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 w:val="22"/>
                                <w:szCs w:val="22"/>
                              </w:rPr>
                            </w:pPr>
                            <w:r w:rsidRPr="00FD0A55">
                              <w:rPr>
                                <w:sz w:val="22"/>
                                <w:szCs w:val="22"/>
                              </w:rPr>
                              <w:t xml:space="preserve">Number of returns </w:t>
                            </w:r>
                            <w:r w:rsidRPr="00FD0A55">
                              <w:rPr>
                                <w:color w:val="211D1E"/>
                                <w:sz w:val="22"/>
                                <w:szCs w:val="22"/>
                              </w:rPr>
                              <w:tab/>
                            </w:r>
                            <w:r w:rsidRPr="00FD0A55">
                              <w:rPr>
                                <w:color w:val="211D1E"/>
                                <w:sz w:val="22"/>
                                <w:szCs w:val="22"/>
                              </w:rPr>
                              <w:tab/>
                            </w:r>
                            <w:r w:rsidRPr="00FD0A55">
                              <w:rPr>
                                <w:color w:val="211D1E"/>
                                <w:sz w:val="22"/>
                                <w:szCs w:val="22"/>
                              </w:rPr>
                              <w:tab/>
                            </w:r>
                            <w:r w:rsidRPr="00FD0A55">
                              <w:rPr>
                                <w:color w:val="211D1E"/>
                                <w:sz w:val="22"/>
                                <w:szCs w:val="22"/>
                              </w:rPr>
                              <w:tab/>
                              <w:t xml:space="preserve">   </w:t>
                            </w:r>
                            <w:r w:rsidRPr="00FD0A55">
                              <w:rPr>
                                <w:sz w:val="22"/>
                                <w:szCs w:val="22"/>
                              </w:rPr>
                              <w:t xml:space="preserve">4,127,554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color w:val="211D1E"/>
                                <w:sz w:val="22"/>
                                <w:szCs w:val="22"/>
                              </w:rPr>
                              <w:t xml:space="preserve">Partnership Returns (TY 2011) </w:t>
                            </w:r>
                            <w:r w:rsidRPr="00FD0A55">
                              <w:rPr>
                                <w:b/>
                                <w:bCs/>
                                <w:sz w:val="22"/>
                                <w:szCs w:val="22"/>
                                <w:vertAlign w:val="superscript"/>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
                                <w:bCs/>
                                <w:sz w:val="22"/>
                                <w:szCs w:val="22"/>
                              </w:rPr>
                              <w:tab/>
                            </w:r>
                            <w:r w:rsidRPr="00FD0A55">
                              <w:rPr>
                                <w:bCs/>
                                <w:sz w:val="22"/>
                                <w:szCs w:val="22"/>
                              </w:rPr>
                              <w:t>Number of returns</w:t>
                            </w:r>
                            <w:r w:rsidRPr="00FD0A55">
                              <w:rPr>
                                <w:bCs/>
                                <w:color w:val="211D1E"/>
                                <w:sz w:val="22"/>
                                <w:szCs w:val="22"/>
                              </w:rPr>
                              <w:t xml:space="preserve"> </w:t>
                            </w:r>
                            <w:r w:rsidRPr="00FD0A55">
                              <w:rPr>
                                <w:bCs/>
                                <w:color w:val="211D1E"/>
                                <w:sz w:val="22"/>
                                <w:szCs w:val="22"/>
                              </w:rPr>
                              <w:tab/>
                            </w:r>
                            <w:r w:rsidRPr="00FD0A55">
                              <w:rPr>
                                <w:bCs/>
                                <w:color w:val="211D1E"/>
                                <w:sz w:val="22"/>
                                <w:szCs w:val="22"/>
                              </w:rPr>
                              <w:tab/>
                            </w:r>
                            <w:r w:rsidRPr="00FD0A55">
                              <w:rPr>
                                <w:bCs/>
                                <w:color w:val="211D1E"/>
                                <w:sz w:val="22"/>
                                <w:szCs w:val="22"/>
                              </w:rPr>
                              <w:tab/>
                            </w:r>
                            <w:r w:rsidRPr="00FD0A55">
                              <w:rPr>
                                <w:bCs/>
                                <w:color w:val="211D1E"/>
                                <w:sz w:val="22"/>
                                <w:szCs w:val="22"/>
                              </w:rPr>
                              <w:tab/>
                              <w:t xml:space="preserve">   3,285,177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 xml:space="preserve">(AGI) break (TY 2011) </w:t>
                            </w:r>
                            <w:r w:rsidRPr="00FD0A55">
                              <w:rPr>
                                <w:sz w:val="22"/>
                                <w:szCs w:val="22"/>
                                <w:vertAlign w:val="superscript"/>
                              </w:rPr>
                              <w:tab/>
                            </w:r>
                            <w:r w:rsidRPr="00FD0A55">
                              <w:rPr>
                                <w:sz w:val="22"/>
                                <w:szCs w:val="22"/>
                              </w:rPr>
                              <w:t xml:space="preserve">    </w:t>
                            </w:r>
                            <w:r w:rsidRPr="00FD0A55">
                              <w:rPr>
                                <w:color w:val="211D1E"/>
                                <w:sz w:val="22"/>
                                <w:szCs w:val="22"/>
                              </w:rPr>
                              <w:t>$388,799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Top 10-percent AGI break (TY 2011) </w:t>
                            </w:r>
                            <w:r w:rsidRPr="00FD0A55">
                              <w:rPr>
                                <w:color w:val="211D1E"/>
                                <w:sz w:val="22"/>
                                <w:szCs w:val="22"/>
                              </w:rPr>
                              <w:tab/>
                            </w:r>
                            <w:r w:rsidRPr="00FD0A55">
                              <w:rPr>
                                <w:color w:val="211D1E"/>
                                <w:sz w:val="22"/>
                                <w:szCs w:val="22"/>
                              </w:rPr>
                              <w:tab/>
                              <w:t xml:space="preserve">    </w:t>
                            </w:r>
                            <w:r w:rsidRPr="00FD0A55">
                              <w:rPr>
                                <w:sz w:val="22"/>
                                <w:szCs w:val="22"/>
                              </w:rPr>
                              <w:t xml:space="preserve">$120,077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Median AGI (TY 2011)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$34,794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 xml:space="preserve">Percent that claim standard deductions (TY 2011)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that claim itemized deductions (TY 2011)  </w:t>
                            </w:r>
                            <w:r w:rsidRPr="00FD0A55">
                              <w:rPr>
                                <w:bCs/>
                                <w:sz w:val="22"/>
                                <w:szCs w:val="22"/>
                              </w:rPr>
                              <w:tab/>
                            </w:r>
                            <w:r w:rsidRPr="00FD0A55">
                              <w:rPr>
                                <w:bCs/>
                                <w:sz w:val="22"/>
                                <w:szCs w:val="22"/>
                              </w:rPr>
                              <w:tab/>
                              <w:t xml:space="preserve">31.8%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2012) through 4/25/2013</w:t>
                            </w:r>
                            <w:r w:rsidRPr="00FD0A55">
                              <w:rPr>
                                <w:bCs/>
                                <w:sz w:val="22"/>
                                <w:szCs w:val="22"/>
                              </w:rPr>
                              <w:tab/>
                            </w:r>
                            <w:r w:rsidRPr="00FD0A55">
                              <w:rPr>
                                <w:bCs/>
                                <w:sz w:val="22"/>
                                <w:szCs w:val="22"/>
                              </w:rPr>
                              <w:tab/>
                              <w:t xml:space="preserve">90.1%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using paid preparers (TY 2011)  </w:t>
                            </w:r>
                            <w:r w:rsidRPr="00FD0A55">
                              <w:rPr>
                                <w:bCs/>
                                <w:sz w:val="22"/>
                                <w:szCs w:val="22"/>
                              </w:rPr>
                              <w:tab/>
                            </w:r>
                            <w:r w:rsidRPr="00FD0A55">
                              <w:rPr>
                                <w:bCs/>
                                <w:sz w:val="22"/>
                                <w:szCs w:val="22"/>
                              </w:rPr>
                              <w:tab/>
                            </w:r>
                            <w:r w:rsidRPr="00FD0A55">
                              <w:rPr>
                                <w:bCs/>
                                <w:sz w:val="22"/>
                                <w:szCs w:val="22"/>
                              </w:rPr>
                              <w:tab/>
                              <w:t xml:space="preserve">56.0%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Number of returns with AGI $1M or more (TY 2011)</w:t>
                            </w:r>
                            <w:r w:rsidRPr="00FD0A55">
                              <w:rPr>
                                <w:bCs/>
                                <w:sz w:val="22"/>
                                <w:szCs w:val="22"/>
                              </w:rPr>
                              <w:tab/>
                              <w:t>304,118</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2011)</w:t>
                            </w:r>
                            <w:r w:rsidRPr="00FD0A55">
                              <w:rPr>
                                <w:bCs/>
                                <w:sz w:val="22"/>
                                <w:szCs w:val="22"/>
                              </w:rPr>
                              <w:tab/>
                              <w:t>45,109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lowest number—Vermont (TY 2011)</w:t>
                            </w:r>
                            <w:r w:rsidRPr="00FD0A55">
                              <w:rPr>
                                <w:bCs/>
                                <w:sz w:val="22"/>
                                <w:szCs w:val="22"/>
                              </w:rPr>
                              <w:tab/>
                            </w:r>
                            <w:r w:rsidRPr="00FD0A55">
                              <w:rPr>
                                <w:bCs/>
                                <w:sz w:val="22"/>
                                <w:szCs w:val="22"/>
                              </w:rPr>
                              <w:tab/>
                              <w:t>340</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2011) (millions)</w:t>
                            </w:r>
                            <w:r w:rsidRPr="00FD0A55">
                              <w:rPr>
                                <w:bCs/>
                                <w:sz w:val="22"/>
                                <w:szCs w:val="22"/>
                              </w:rPr>
                              <w:tab/>
                            </w:r>
                            <w:r w:rsidRPr="00FD0A55">
                              <w:rPr>
                                <w:bCs/>
                                <w:sz w:val="22"/>
                                <w:szCs w:val="22"/>
                              </w:rPr>
                              <w:tab/>
                            </w:r>
                            <w:r w:rsidRPr="00FD0A55">
                              <w:rPr>
                                <w:bCs/>
                                <w:color w:val="211D1E"/>
                                <w:sz w:val="22"/>
                                <w:szCs w:val="22"/>
                              </w:rPr>
                              <w:t>113.5</w:t>
                            </w:r>
                            <w:r w:rsidRPr="00FD0A55">
                              <w:rPr>
                                <w:bCs/>
                                <w:sz w:val="22"/>
                                <w:szCs w:val="22"/>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 xml:space="preserve">Total Individual refund amount (TY 2011) (billions of $)   $325.8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2011)</w:t>
                            </w:r>
                            <w:r w:rsidRPr="00FD0A55">
                              <w:rPr>
                                <w:bCs/>
                                <w:color w:val="211D1E"/>
                                <w:sz w:val="22"/>
                                <w:szCs w:val="22"/>
                              </w:rPr>
                              <w:tab/>
                            </w:r>
                            <w:r w:rsidRPr="00FD0A55">
                              <w:rPr>
                                <w:bCs/>
                                <w:color w:val="211D1E"/>
                                <w:sz w:val="22"/>
                                <w:szCs w:val="22"/>
                              </w:rPr>
                              <w:tab/>
                              <w:t>$2,872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Earned Income Tax Credit (TY 2011)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 xml:space="preserve">27.9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$62.9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2012)</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sidRPr="00FD0A55">
                              <w:rPr>
                                <w:bCs/>
                                <w:color w:val="211D1E"/>
                                <w:sz w:val="22"/>
                                <w:szCs w:val="22"/>
                              </w:rPr>
                              <w:tab/>
                              <w:t xml:space="preserve"> 9</w:t>
                            </w:r>
                            <w:r>
                              <w:rPr>
                                <w:bCs/>
                                <w:color w:val="211D1E"/>
                                <w:sz w:val="22"/>
                                <w:szCs w:val="22"/>
                              </w:rPr>
                              <w:t>6</w:t>
                            </w:r>
                            <w:r w:rsidRPr="00FD0A55">
                              <w:rPr>
                                <w:bCs/>
                                <w:color w:val="211D1E"/>
                                <w:sz w:val="22"/>
                                <w:szCs w:val="22"/>
                              </w:rPr>
                              <w:t xml:space="preserve">,867,755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4pt;margin-top:19.9pt;width:416.2pt;height:55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DSKAIAAE4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X+YIS&#10;wzSK9CiGQN7BQIrIT299iWEPFgPDgMeoc6rV23vg3z0xsOmY2Ylb56DvBGswv2m8mV1cHXF8BKn7&#10;T9DgM2wfIAENrdORPKSDIDrqdDxrE1PheDgvlvPFDF0cfYtpPrtaJvUyVj5ft86HDwI0iZuKOhQ/&#10;wbPDvQ8xHVY+h8TXPCjZbKVSyXC7eqMcOTBslG36UgUvwpQhfUWv58V8ZOCvEHn6/gShZcCOV1JX&#10;dHkOYmXk7b1pUj8GJtW4x5SVOREZuRtZDEM9JM3O+tTQHJFZB2OD40DipgP3k5Iem7ui/seeOUGJ&#10;+mhQnevpLFIZkjGbLwo03KWnvvQwwxGqooGScbsJaYIibwZuUcVWJn6j3GMmp5SxaRPtpwGLU3Fp&#10;p6hfv4H1EwAAAP//AwBQSwMEFAAGAAgAAAAhAGxGt+PhAAAACwEAAA8AAABkcnMvZG93bnJldi54&#10;bWxMj8tOwzAQRfdI/IM1SGxQa4dASEOcCiGB6A4Kgq0bT5MIP4LtpuHvGVawGo3m6M659Xq2hk0Y&#10;4uCdhGwpgKFrvR5cJ+Ht9WFRAotJOa2MdyjhGyOsm9OTWlXaH90LTtvUMQpxsVIS+pTGivPY9mhV&#10;XPoRHd32PliVaA0d10EdKdwafilEwa0aHH3o1Yj3Pbaf24OVUF49TR9xkz+/t8XerNLFzfT4FaQ8&#10;P5vvboElnNMfDL/6pA4NOe38wenIjIRFLkg9SchXNAkoRVYA2xGZXZcF8Kbm/zs0PwAAAP//AwBQ&#10;SwECLQAUAAYACAAAACEAtoM4kv4AAADhAQAAEwAAAAAAAAAAAAAAAAAAAAAAW0NvbnRlbnRfVHlw&#10;ZXNdLnhtbFBLAQItABQABgAIAAAAIQA4/SH/1gAAAJQBAAALAAAAAAAAAAAAAAAAAC8BAABfcmVs&#10;cy8ucmVsc1BLAQItABQABgAIAAAAIQCZC4DSKAIAAE4EAAAOAAAAAAAAAAAAAAAAAC4CAABkcnMv&#10;ZTJvRG9jLnhtbFBLAQItABQABgAIAAAAIQBsRrfj4QAAAAsBAAAPAAAAAAAAAAAAAAAAAIIEAABk&#10;cnMvZG93bnJldi54bWxQSwUGAAAAAAQABADzAAAAkAUAAAAA&#10;">
                <v:textbox>
                  <w:txbxContent>
                    <w:p w:rsidR="00FF5E72" w:rsidRPr="00FD0A55" w:rsidRDefault="00FF5E72" w:rsidP="007940EE">
                      <w:pPr>
                        <w:rPr>
                          <w:b/>
                          <w:bCs/>
                          <w:sz w:val="22"/>
                          <w:szCs w:val="22"/>
                        </w:rPr>
                      </w:pPr>
                      <w:r w:rsidRPr="00FD0A55">
                        <w:rPr>
                          <w:b/>
                          <w:bCs/>
                          <w:sz w:val="22"/>
                          <w:szCs w:val="22"/>
                        </w:rPr>
                        <w:t>SOI Tax Stats at a Glance:  Summary of Tax Collections Before Refunds by Type of Return, FY 2012</w:t>
                      </w:r>
                    </w:p>
                    <w:p w:rsidR="00FF5E72" w:rsidRPr="00FD0A55" w:rsidRDefault="00FF5E72" w:rsidP="007940EE">
                      <w:pPr>
                        <w:rPr>
                          <w:b/>
                          <w:bCs/>
                          <w:sz w:val="22"/>
                          <w:szCs w:val="22"/>
                        </w:rPr>
                      </w:pPr>
                    </w:p>
                    <w:p w:rsidR="00FF5E72" w:rsidRPr="00FD0A55" w:rsidRDefault="00FF5E72" w:rsidP="007940EE">
                      <w:pPr>
                        <w:rPr>
                          <w:b/>
                          <w:bCs/>
                          <w:sz w:val="22"/>
                          <w:szCs w:val="22"/>
                        </w:rPr>
                      </w:pPr>
                      <w:r w:rsidRPr="00FD0A55">
                        <w:rPr>
                          <w:b/>
                          <w:bCs/>
                          <w:sz w:val="22"/>
                          <w:szCs w:val="22"/>
                        </w:rPr>
                        <w:t xml:space="preserve">Type of Return </w:t>
                      </w:r>
                      <w:r w:rsidRPr="00FD0A55">
                        <w:rPr>
                          <w:b/>
                          <w:bCs/>
                          <w:sz w:val="22"/>
                          <w:szCs w:val="22"/>
                        </w:rPr>
                        <w:tab/>
                      </w:r>
                      <w:r w:rsidRPr="00FD0A55">
                        <w:rPr>
                          <w:b/>
                          <w:bCs/>
                          <w:sz w:val="22"/>
                          <w:szCs w:val="22"/>
                        </w:rPr>
                        <w:tab/>
                        <w:t xml:space="preserve">Number </w:t>
                      </w:r>
                      <w:r w:rsidRPr="00FD0A55">
                        <w:rPr>
                          <w:b/>
                          <w:bCs/>
                          <w:sz w:val="22"/>
                          <w:szCs w:val="22"/>
                        </w:rPr>
                        <w:tab/>
                      </w:r>
                      <w:r w:rsidRPr="00FD0A55">
                        <w:rPr>
                          <w:b/>
                          <w:bCs/>
                          <w:sz w:val="22"/>
                          <w:szCs w:val="22"/>
                        </w:rPr>
                        <w:tab/>
                        <w:t>Gross Tax Collections</w:t>
                      </w:r>
                    </w:p>
                    <w:p w:rsidR="00FF5E72" w:rsidRPr="00FD0A55" w:rsidRDefault="00FF5E72" w:rsidP="007940EE">
                      <w:pPr>
                        <w:tabs>
                          <w:tab w:val="left" w:pos="720"/>
                          <w:tab w:val="left" w:pos="1440"/>
                          <w:tab w:val="left" w:pos="2160"/>
                          <w:tab w:val="left" w:pos="2880"/>
                          <w:tab w:val="left" w:pos="3600"/>
                          <w:tab w:val="left" w:pos="4320"/>
                          <w:tab w:val="left" w:pos="5040"/>
                          <w:tab w:val="left" w:pos="5760"/>
                          <w:tab w:val="left" w:pos="6480"/>
                        </w:tabs>
                        <w:ind w:left="6480" w:hanging="6480"/>
                        <w:rPr>
                          <w:bCs/>
                          <w:sz w:val="22"/>
                          <w:szCs w:val="22"/>
                        </w:rPr>
                      </w:pPr>
                      <w:r w:rsidRPr="00FD0A55">
                        <w:rPr>
                          <w:b/>
                          <w:bCs/>
                          <w:sz w:val="22"/>
                          <w:szCs w:val="22"/>
                        </w:rPr>
                        <w:tab/>
                      </w:r>
                      <w:r w:rsidRPr="00FD0A55">
                        <w:rPr>
                          <w:b/>
                          <w:bCs/>
                          <w:sz w:val="22"/>
                          <w:szCs w:val="22"/>
                        </w:rPr>
                        <w:tab/>
                      </w:r>
                      <w:r w:rsidRPr="00FD0A55">
                        <w:rPr>
                          <w:b/>
                          <w:bCs/>
                          <w:sz w:val="22"/>
                          <w:szCs w:val="22"/>
                        </w:rPr>
                        <w:tab/>
                      </w:r>
                      <w:r w:rsidRPr="00FD0A55">
                        <w:rPr>
                          <w:b/>
                          <w:bCs/>
                          <w:sz w:val="22"/>
                          <w:szCs w:val="22"/>
                        </w:rPr>
                        <w:tab/>
                        <w:t xml:space="preserve">of Returns </w:t>
                      </w:r>
                      <w:r w:rsidRPr="00FD0A55">
                        <w:rPr>
                          <w:b/>
                          <w:bCs/>
                          <w:sz w:val="22"/>
                          <w:szCs w:val="22"/>
                        </w:rPr>
                        <w:tab/>
                      </w:r>
                      <w:r w:rsidRPr="00FD0A55">
                        <w:rPr>
                          <w:b/>
                          <w:bCs/>
                          <w:sz w:val="22"/>
                          <w:szCs w:val="22"/>
                        </w:rPr>
                        <w:tab/>
                      </w:r>
                      <w:r w:rsidRPr="00FD0A55">
                        <w:rPr>
                          <w:b/>
                          <w:bCs/>
                          <w:sz w:val="22"/>
                          <w:szCs w:val="22"/>
                        </w:rPr>
                        <w:tab/>
                        <w:t>(Millions of $)</w:t>
                      </w:r>
                      <w:r w:rsidRPr="00FD0A55">
                        <w:rPr>
                          <w:b/>
                          <w:bCs/>
                          <w:sz w:val="22"/>
                          <w:szCs w:val="22"/>
                        </w:rPr>
                        <w:tab/>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Individual Income tax </w:t>
                      </w:r>
                      <w:r w:rsidRPr="00FD0A55">
                        <w:rPr>
                          <w:bCs/>
                          <w:sz w:val="22"/>
                          <w:szCs w:val="22"/>
                        </w:rPr>
                        <w:tab/>
                        <w:t>146,243,886</w:t>
                      </w:r>
                      <w:r w:rsidRPr="00FD0A55">
                        <w:rPr>
                          <w:bCs/>
                          <w:sz w:val="22"/>
                          <w:szCs w:val="22"/>
                        </w:rPr>
                        <w:tab/>
                      </w:r>
                      <w:r w:rsidRPr="00FD0A55">
                        <w:rPr>
                          <w:bCs/>
                          <w:sz w:val="22"/>
                          <w:szCs w:val="22"/>
                        </w:rPr>
                        <w:tab/>
                      </w:r>
                      <w:r w:rsidRPr="00FD0A55">
                        <w:rPr>
                          <w:bCs/>
                          <w:sz w:val="22"/>
                          <w:szCs w:val="22"/>
                        </w:rPr>
                        <w:tab/>
                        <w:t>1,371,402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C Corporation income tax </w:t>
                      </w:r>
                      <w:r w:rsidRPr="00FD0A55">
                        <w:rPr>
                          <w:bCs/>
                          <w:sz w:val="22"/>
                          <w:szCs w:val="22"/>
                        </w:rPr>
                        <w:tab/>
                        <w:t xml:space="preserve">    2,262,961</w:t>
                      </w:r>
                      <w:r w:rsidRPr="00FD0A55">
                        <w:rPr>
                          <w:bCs/>
                          <w:sz w:val="22"/>
                          <w:szCs w:val="22"/>
                        </w:rPr>
                        <w:tab/>
                      </w:r>
                      <w:r w:rsidRPr="00FD0A55">
                        <w:rPr>
                          <w:bCs/>
                          <w:sz w:val="22"/>
                          <w:szCs w:val="22"/>
                        </w:rPr>
                        <w:tab/>
                      </w:r>
                      <w:r w:rsidRPr="00FD0A55">
                        <w:rPr>
                          <w:bCs/>
                          <w:sz w:val="22"/>
                          <w:szCs w:val="22"/>
                        </w:rPr>
                        <w:tab/>
                        <w:t xml:space="preserve">   280,965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 xml:space="preserve">Employment taxes </w:t>
                      </w:r>
                      <w:r w:rsidRPr="00FD0A55">
                        <w:rPr>
                          <w:bCs/>
                          <w:sz w:val="22"/>
                          <w:szCs w:val="22"/>
                        </w:rPr>
                        <w:tab/>
                      </w:r>
                      <w:r w:rsidRPr="00FD0A55">
                        <w:rPr>
                          <w:bCs/>
                          <w:sz w:val="22"/>
                          <w:szCs w:val="22"/>
                        </w:rPr>
                        <w:tab/>
                        <w:t xml:space="preserve">  29,589,891</w:t>
                      </w:r>
                      <w:r w:rsidRPr="00FD0A55">
                        <w:rPr>
                          <w:bCs/>
                          <w:sz w:val="22"/>
                          <w:szCs w:val="22"/>
                        </w:rPr>
                        <w:tab/>
                      </w:r>
                      <w:r w:rsidRPr="00FD0A55">
                        <w:rPr>
                          <w:bCs/>
                          <w:sz w:val="22"/>
                          <w:szCs w:val="22"/>
                        </w:rPr>
                        <w:tab/>
                      </w:r>
                      <w:r w:rsidRPr="00FD0A55">
                        <w:rPr>
                          <w:bCs/>
                          <w:sz w:val="22"/>
                          <w:szCs w:val="22"/>
                        </w:rPr>
                        <w:tab/>
                        <w:t xml:space="preserve">   784,397</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Excise taxes </w:t>
                      </w:r>
                      <w:r w:rsidRPr="00FD0A55">
                        <w:rPr>
                          <w:bCs/>
                          <w:sz w:val="22"/>
                          <w:szCs w:val="22"/>
                        </w:rPr>
                        <w:tab/>
                      </w:r>
                      <w:r w:rsidRPr="00FD0A55">
                        <w:rPr>
                          <w:bCs/>
                          <w:sz w:val="22"/>
                          <w:szCs w:val="22"/>
                        </w:rPr>
                        <w:tab/>
                      </w:r>
                      <w:r w:rsidRPr="00FD0A55">
                        <w:rPr>
                          <w:bCs/>
                          <w:sz w:val="22"/>
                          <w:szCs w:val="22"/>
                        </w:rPr>
                        <w:tab/>
                        <w:t xml:space="preserve">    1,196,789 </w:t>
                      </w:r>
                      <w:r w:rsidRPr="00FD0A55">
                        <w:rPr>
                          <w:bCs/>
                          <w:sz w:val="22"/>
                          <w:szCs w:val="22"/>
                        </w:rPr>
                        <w:tab/>
                      </w:r>
                      <w:r w:rsidRPr="00FD0A55">
                        <w:rPr>
                          <w:bCs/>
                          <w:sz w:val="22"/>
                          <w:szCs w:val="22"/>
                        </w:rPr>
                        <w:tab/>
                      </w:r>
                      <w:r w:rsidRPr="00FD0A55">
                        <w:rPr>
                          <w:bCs/>
                          <w:sz w:val="22"/>
                          <w:szCs w:val="22"/>
                        </w:rPr>
                        <w:tab/>
                        <w:t xml:space="preserve">     56,175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 xml:space="preserve">Gift tax </w:t>
                      </w:r>
                      <w:r w:rsidRPr="00FD0A55">
                        <w:rPr>
                          <w:bCs/>
                          <w:sz w:val="22"/>
                          <w:szCs w:val="22"/>
                        </w:rPr>
                        <w:tab/>
                      </w:r>
                      <w:r w:rsidRPr="00FD0A55">
                        <w:rPr>
                          <w:bCs/>
                          <w:sz w:val="22"/>
                          <w:szCs w:val="22"/>
                        </w:rPr>
                        <w:tab/>
                      </w:r>
                      <w:r w:rsidRPr="00FD0A55">
                        <w:rPr>
                          <w:bCs/>
                          <w:sz w:val="22"/>
                          <w:szCs w:val="22"/>
                        </w:rPr>
                        <w:tab/>
                        <w:t xml:space="preserve">       249,451</w:t>
                      </w:r>
                      <w:r w:rsidRPr="00FD0A55">
                        <w:rPr>
                          <w:bCs/>
                          <w:sz w:val="22"/>
                          <w:szCs w:val="22"/>
                        </w:rPr>
                        <w:tab/>
                      </w:r>
                      <w:r w:rsidRPr="00FD0A55">
                        <w:rPr>
                          <w:bCs/>
                          <w:sz w:val="22"/>
                          <w:szCs w:val="22"/>
                        </w:rPr>
                        <w:tab/>
                      </w:r>
                      <w:r w:rsidRPr="00FD0A55">
                        <w:rPr>
                          <w:bCs/>
                          <w:sz w:val="22"/>
                          <w:szCs w:val="22"/>
                        </w:rPr>
                        <w:tab/>
                        <w:t xml:space="preserve">       2,110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Estate tax</w:t>
                      </w:r>
                      <w:r w:rsidRPr="00FD0A55">
                        <w:rPr>
                          <w:bCs/>
                          <w:sz w:val="22"/>
                          <w:szCs w:val="22"/>
                        </w:rPr>
                        <w:tab/>
                      </w:r>
                      <w:r w:rsidRPr="00FD0A55">
                        <w:rPr>
                          <w:bCs/>
                          <w:sz w:val="22"/>
                          <w:szCs w:val="22"/>
                        </w:rPr>
                        <w:tab/>
                      </w:r>
                      <w:r w:rsidRPr="00FD0A55">
                        <w:rPr>
                          <w:bCs/>
                          <w:sz w:val="22"/>
                          <w:szCs w:val="22"/>
                        </w:rPr>
                        <w:tab/>
                        <w:t xml:space="preserve">        </w:t>
                      </w:r>
                      <w:r w:rsidRPr="00FD0A55">
                        <w:rPr>
                          <w:bCs/>
                          <w:color w:val="211D1E"/>
                          <w:sz w:val="22"/>
                          <w:szCs w:val="22"/>
                        </w:rPr>
                        <w:t>26,859</w:t>
                      </w:r>
                      <w:r w:rsidRPr="00FD0A55">
                        <w:rPr>
                          <w:bCs/>
                          <w:sz w:val="22"/>
                          <w:szCs w:val="22"/>
                        </w:rPr>
                        <w:tab/>
                      </w:r>
                      <w:r w:rsidRPr="00FD0A55">
                        <w:rPr>
                          <w:bCs/>
                          <w:sz w:val="22"/>
                          <w:szCs w:val="22"/>
                        </w:rPr>
                        <w:tab/>
                      </w:r>
                      <w:r w:rsidRPr="00FD0A55">
                        <w:rPr>
                          <w:bCs/>
                          <w:sz w:val="22"/>
                          <w:szCs w:val="22"/>
                        </w:rPr>
                        <w:tab/>
                        <w:t xml:space="preserve">     12,341</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Selected Information from Returns Filed</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sz w:val="22"/>
                          <w:szCs w:val="22"/>
                        </w:rPr>
                        <w:t xml:space="preserve">Corporate Returns (TY 2010)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211D1E"/>
                          <w:sz w:val="22"/>
                          <w:szCs w:val="22"/>
                        </w:rPr>
                      </w:pPr>
                      <w:r w:rsidRPr="00FD0A55">
                        <w:rPr>
                          <w:bCs/>
                          <w:sz w:val="22"/>
                          <w:szCs w:val="22"/>
                        </w:rPr>
                        <w:tab/>
                        <w:t xml:space="preserve">Number filed with assets $250 million (M) or more </w:t>
                      </w:r>
                      <w:r w:rsidRPr="00FD0A55">
                        <w:rPr>
                          <w:bCs/>
                          <w:sz w:val="22"/>
                          <w:szCs w:val="22"/>
                        </w:rPr>
                        <w:tab/>
                        <w:t xml:space="preserve">     14,584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of total corporate net income reported by firms</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with assets $250M or more</w:t>
                      </w:r>
                      <w:r w:rsidRPr="00FD0A55">
                        <w:rPr>
                          <w:bCs/>
                          <w:sz w:val="22"/>
                          <w:szCs w:val="22"/>
                        </w:rPr>
                        <w:tab/>
                      </w:r>
                      <w:r w:rsidRPr="00FD0A55">
                        <w:rPr>
                          <w:bCs/>
                          <w:sz w:val="22"/>
                          <w:szCs w:val="22"/>
                        </w:rPr>
                        <w:tab/>
                      </w:r>
                      <w:r w:rsidRPr="00FD0A55">
                        <w:rPr>
                          <w:bCs/>
                          <w:sz w:val="22"/>
                          <w:szCs w:val="22"/>
                        </w:rPr>
                        <w:tab/>
                        <w:t xml:space="preserve">     73.2%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vertAlign w:val="superscript"/>
                        </w:rPr>
                      </w:pPr>
                      <w:r w:rsidRPr="00FD0A55">
                        <w:rPr>
                          <w:b/>
                          <w:bCs/>
                          <w:color w:val="211D1E"/>
                          <w:sz w:val="22"/>
                          <w:szCs w:val="22"/>
                        </w:rPr>
                        <w:t>S Corporation Returns (TY 2010)</w:t>
                      </w:r>
                      <w:r w:rsidRPr="00FD0A55">
                        <w:rPr>
                          <w:b/>
                          <w:bCs/>
                          <w:sz w:val="22"/>
                          <w:szCs w:val="22"/>
                        </w:rPr>
                        <w:t xml:space="preserve">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 w:val="22"/>
                          <w:szCs w:val="22"/>
                        </w:rPr>
                      </w:pPr>
                      <w:r w:rsidRPr="00FD0A55">
                        <w:rPr>
                          <w:sz w:val="22"/>
                          <w:szCs w:val="22"/>
                        </w:rPr>
                        <w:t xml:space="preserve">Number of returns </w:t>
                      </w:r>
                      <w:r w:rsidRPr="00FD0A55">
                        <w:rPr>
                          <w:color w:val="211D1E"/>
                          <w:sz w:val="22"/>
                          <w:szCs w:val="22"/>
                        </w:rPr>
                        <w:tab/>
                      </w:r>
                      <w:r w:rsidRPr="00FD0A55">
                        <w:rPr>
                          <w:color w:val="211D1E"/>
                          <w:sz w:val="22"/>
                          <w:szCs w:val="22"/>
                        </w:rPr>
                        <w:tab/>
                      </w:r>
                      <w:r w:rsidRPr="00FD0A55">
                        <w:rPr>
                          <w:color w:val="211D1E"/>
                          <w:sz w:val="22"/>
                          <w:szCs w:val="22"/>
                        </w:rPr>
                        <w:tab/>
                      </w:r>
                      <w:r w:rsidRPr="00FD0A55">
                        <w:rPr>
                          <w:color w:val="211D1E"/>
                          <w:sz w:val="22"/>
                          <w:szCs w:val="22"/>
                        </w:rPr>
                        <w:tab/>
                        <w:t xml:space="preserve">   </w:t>
                      </w:r>
                      <w:r w:rsidRPr="00FD0A55">
                        <w:rPr>
                          <w:sz w:val="22"/>
                          <w:szCs w:val="22"/>
                        </w:rPr>
                        <w:t xml:space="preserve">4,127,554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color w:val="211D1E"/>
                          <w:sz w:val="22"/>
                          <w:szCs w:val="22"/>
                        </w:rPr>
                        <w:t xml:space="preserve">Partnership Returns (TY 2011) </w:t>
                      </w:r>
                      <w:r w:rsidRPr="00FD0A55">
                        <w:rPr>
                          <w:b/>
                          <w:bCs/>
                          <w:sz w:val="22"/>
                          <w:szCs w:val="22"/>
                          <w:vertAlign w:val="superscript"/>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
                          <w:bCs/>
                          <w:sz w:val="22"/>
                          <w:szCs w:val="22"/>
                        </w:rPr>
                        <w:tab/>
                      </w:r>
                      <w:r w:rsidRPr="00FD0A55">
                        <w:rPr>
                          <w:bCs/>
                          <w:sz w:val="22"/>
                          <w:szCs w:val="22"/>
                        </w:rPr>
                        <w:t>Number of returns</w:t>
                      </w:r>
                      <w:r w:rsidRPr="00FD0A55">
                        <w:rPr>
                          <w:bCs/>
                          <w:color w:val="211D1E"/>
                          <w:sz w:val="22"/>
                          <w:szCs w:val="22"/>
                        </w:rPr>
                        <w:t xml:space="preserve"> </w:t>
                      </w:r>
                      <w:r w:rsidRPr="00FD0A55">
                        <w:rPr>
                          <w:bCs/>
                          <w:color w:val="211D1E"/>
                          <w:sz w:val="22"/>
                          <w:szCs w:val="22"/>
                        </w:rPr>
                        <w:tab/>
                      </w:r>
                      <w:r w:rsidRPr="00FD0A55">
                        <w:rPr>
                          <w:bCs/>
                          <w:color w:val="211D1E"/>
                          <w:sz w:val="22"/>
                          <w:szCs w:val="22"/>
                        </w:rPr>
                        <w:tab/>
                      </w:r>
                      <w:r w:rsidRPr="00FD0A55">
                        <w:rPr>
                          <w:bCs/>
                          <w:color w:val="211D1E"/>
                          <w:sz w:val="22"/>
                          <w:szCs w:val="22"/>
                        </w:rPr>
                        <w:tab/>
                      </w:r>
                      <w:r w:rsidRPr="00FD0A55">
                        <w:rPr>
                          <w:bCs/>
                          <w:color w:val="211D1E"/>
                          <w:sz w:val="22"/>
                          <w:szCs w:val="22"/>
                        </w:rPr>
                        <w:tab/>
                        <w:t xml:space="preserve">   3,285,177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 xml:space="preserve">Individual Returns </w:t>
                      </w:r>
                    </w:p>
                    <w:p w:rsidR="00FF5E72" w:rsidRPr="00FD0A55" w:rsidRDefault="00FF5E72" w:rsidP="005C32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b/>
                          <w:bCs/>
                          <w:sz w:val="22"/>
                          <w:szCs w:val="22"/>
                        </w:rPr>
                        <w:tab/>
                      </w:r>
                      <w:r w:rsidRPr="00FD0A55">
                        <w:rPr>
                          <w:bCs/>
                          <w:sz w:val="22"/>
                          <w:szCs w:val="22"/>
                        </w:rPr>
                        <w:t xml:space="preserve">Top 1% adj gross income </w:t>
                      </w:r>
                      <w:r w:rsidRPr="00FD0A55">
                        <w:rPr>
                          <w:sz w:val="22"/>
                          <w:szCs w:val="22"/>
                        </w:rPr>
                        <w:t xml:space="preserve">(AGI) break (TY 2011) </w:t>
                      </w:r>
                      <w:r w:rsidRPr="00FD0A55">
                        <w:rPr>
                          <w:sz w:val="22"/>
                          <w:szCs w:val="22"/>
                          <w:vertAlign w:val="superscript"/>
                        </w:rPr>
                        <w:tab/>
                      </w:r>
                      <w:r w:rsidRPr="00FD0A55">
                        <w:rPr>
                          <w:sz w:val="22"/>
                          <w:szCs w:val="22"/>
                        </w:rPr>
                        <w:t xml:space="preserve">    </w:t>
                      </w:r>
                      <w:r w:rsidRPr="00FD0A55">
                        <w:rPr>
                          <w:color w:val="211D1E"/>
                          <w:sz w:val="22"/>
                          <w:szCs w:val="22"/>
                        </w:rPr>
                        <w:t>$388,799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Top 10-percent AGI break (TY 2011) </w:t>
                      </w:r>
                      <w:r w:rsidRPr="00FD0A55">
                        <w:rPr>
                          <w:color w:val="211D1E"/>
                          <w:sz w:val="22"/>
                          <w:szCs w:val="22"/>
                        </w:rPr>
                        <w:tab/>
                      </w:r>
                      <w:r w:rsidRPr="00FD0A55">
                        <w:rPr>
                          <w:color w:val="211D1E"/>
                          <w:sz w:val="22"/>
                          <w:szCs w:val="22"/>
                        </w:rPr>
                        <w:tab/>
                        <w:t xml:space="preserve">    </w:t>
                      </w:r>
                      <w:r w:rsidRPr="00FD0A55">
                        <w:rPr>
                          <w:sz w:val="22"/>
                          <w:szCs w:val="22"/>
                        </w:rPr>
                        <w:t xml:space="preserve">$120,077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FD0A55">
                        <w:rPr>
                          <w:sz w:val="22"/>
                          <w:szCs w:val="22"/>
                        </w:rPr>
                        <w:tab/>
                        <w:t xml:space="preserve">Median AGI (TY 2011) </w:t>
                      </w:r>
                      <w:r w:rsidRPr="00FD0A55">
                        <w:rPr>
                          <w:sz w:val="22"/>
                          <w:szCs w:val="22"/>
                          <w:vertAlign w:val="superscript"/>
                        </w:rPr>
                        <w:tab/>
                      </w:r>
                      <w:r w:rsidRPr="00FD0A55">
                        <w:rPr>
                          <w:sz w:val="22"/>
                          <w:szCs w:val="22"/>
                        </w:rPr>
                        <w:t xml:space="preserve"> </w:t>
                      </w:r>
                      <w:r w:rsidRPr="00FD0A55">
                        <w:rPr>
                          <w:sz w:val="22"/>
                          <w:szCs w:val="22"/>
                        </w:rPr>
                        <w:tab/>
                      </w:r>
                      <w:r w:rsidRPr="00FD0A55">
                        <w:rPr>
                          <w:sz w:val="22"/>
                          <w:szCs w:val="22"/>
                        </w:rPr>
                        <w:tab/>
                      </w:r>
                      <w:r w:rsidRPr="00FD0A55">
                        <w:rPr>
                          <w:sz w:val="22"/>
                          <w:szCs w:val="22"/>
                        </w:rPr>
                        <w:tab/>
                        <w:t xml:space="preserve">      $34,794</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 xml:space="preserve">Percent that claim standard deductions (TY 2011) </w:t>
                      </w:r>
                      <w:r w:rsidRPr="00FD0A55">
                        <w:rPr>
                          <w:bCs/>
                          <w:sz w:val="22"/>
                          <w:szCs w:val="22"/>
                          <w:vertAlign w:val="superscript"/>
                        </w:rPr>
                        <w:tab/>
                        <w:t xml:space="preserve"> </w:t>
                      </w:r>
                      <w:r w:rsidRPr="00FD0A55">
                        <w:rPr>
                          <w:bCs/>
                          <w:sz w:val="22"/>
                          <w:szCs w:val="22"/>
                          <w:vertAlign w:val="superscript"/>
                        </w:rPr>
                        <w:tab/>
                      </w:r>
                      <w:r w:rsidRPr="00FD0A55">
                        <w:rPr>
                          <w:bCs/>
                          <w:sz w:val="22"/>
                          <w:szCs w:val="22"/>
                        </w:rPr>
                        <w:t>66.5%</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that claim itemized deductions (TY 2011)  </w:t>
                      </w:r>
                      <w:r w:rsidRPr="00FD0A55">
                        <w:rPr>
                          <w:bCs/>
                          <w:sz w:val="22"/>
                          <w:szCs w:val="22"/>
                        </w:rPr>
                        <w:tab/>
                      </w:r>
                      <w:r w:rsidRPr="00FD0A55">
                        <w:rPr>
                          <w:bCs/>
                          <w:sz w:val="22"/>
                          <w:szCs w:val="22"/>
                        </w:rPr>
                        <w:tab/>
                        <w:t xml:space="preserve">31.8%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Percent e-filed (TY 2012) through 4/25/2013</w:t>
                      </w:r>
                      <w:r w:rsidRPr="00FD0A55">
                        <w:rPr>
                          <w:bCs/>
                          <w:sz w:val="22"/>
                          <w:szCs w:val="22"/>
                        </w:rPr>
                        <w:tab/>
                      </w:r>
                      <w:r w:rsidRPr="00FD0A55">
                        <w:rPr>
                          <w:bCs/>
                          <w:sz w:val="22"/>
                          <w:szCs w:val="22"/>
                        </w:rPr>
                        <w:tab/>
                        <w:t xml:space="preserve">90.1%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Percent using paid preparers (TY 2011)  </w:t>
                      </w:r>
                      <w:r w:rsidRPr="00FD0A55">
                        <w:rPr>
                          <w:bCs/>
                          <w:sz w:val="22"/>
                          <w:szCs w:val="22"/>
                        </w:rPr>
                        <w:tab/>
                      </w:r>
                      <w:r w:rsidRPr="00FD0A55">
                        <w:rPr>
                          <w:bCs/>
                          <w:sz w:val="22"/>
                          <w:szCs w:val="22"/>
                        </w:rPr>
                        <w:tab/>
                      </w:r>
                      <w:r w:rsidRPr="00FD0A55">
                        <w:rPr>
                          <w:bCs/>
                          <w:sz w:val="22"/>
                          <w:szCs w:val="22"/>
                        </w:rPr>
                        <w:tab/>
                        <w:t xml:space="preserve">56.0%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sz w:val="22"/>
                          <w:szCs w:val="22"/>
                        </w:rPr>
                      </w:pPr>
                      <w:r w:rsidRPr="00FD0A55">
                        <w:rPr>
                          <w:bCs/>
                          <w:sz w:val="22"/>
                          <w:szCs w:val="22"/>
                        </w:rPr>
                        <w:t>Number of returns with AGI $1M or more (TY 2011)</w:t>
                      </w:r>
                      <w:r w:rsidRPr="00FD0A55">
                        <w:rPr>
                          <w:bCs/>
                          <w:sz w:val="22"/>
                          <w:szCs w:val="22"/>
                        </w:rPr>
                        <w:tab/>
                        <w:t>304,118</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highest number—California (TY 2011)</w:t>
                      </w:r>
                      <w:r w:rsidRPr="00FD0A55">
                        <w:rPr>
                          <w:bCs/>
                          <w:sz w:val="22"/>
                          <w:szCs w:val="22"/>
                        </w:rPr>
                        <w:tab/>
                        <w:t>45,109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State with the lowest number—Vermont (TY 2011)</w:t>
                      </w:r>
                      <w:r w:rsidRPr="00FD0A55">
                        <w:rPr>
                          <w:bCs/>
                          <w:sz w:val="22"/>
                          <w:szCs w:val="22"/>
                        </w:rPr>
                        <w:tab/>
                      </w:r>
                      <w:r w:rsidRPr="00FD0A55">
                        <w:rPr>
                          <w:bCs/>
                          <w:sz w:val="22"/>
                          <w:szCs w:val="22"/>
                        </w:rPr>
                        <w:tab/>
                        <w:t>340</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Number of individual refunds (TY 2011) (millions)</w:t>
                      </w:r>
                      <w:r w:rsidRPr="00FD0A55">
                        <w:rPr>
                          <w:bCs/>
                          <w:sz w:val="22"/>
                          <w:szCs w:val="22"/>
                        </w:rPr>
                        <w:tab/>
                      </w:r>
                      <w:r w:rsidRPr="00FD0A55">
                        <w:rPr>
                          <w:bCs/>
                          <w:sz w:val="22"/>
                          <w:szCs w:val="22"/>
                        </w:rPr>
                        <w:tab/>
                      </w:r>
                      <w:r w:rsidRPr="00FD0A55">
                        <w:rPr>
                          <w:bCs/>
                          <w:color w:val="211D1E"/>
                          <w:sz w:val="22"/>
                          <w:szCs w:val="22"/>
                        </w:rPr>
                        <w:t>113.5</w:t>
                      </w:r>
                      <w:r w:rsidRPr="00FD0A55">
                        <w:rPr>
                          <w:bCs/>
                          <w:sz w:val="22"/>
                          <w:szCs w:val="22"/>
                        </w:rPr>
                        <w:t xml:space="preserve">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t xml:space="preserve">Total Individual refund amount (TY 2011) (billions of $)   $325.8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Average individual refund amount (TY 2011)</w:t>
                      </w:r>
                      <w:r w:rsidRPr="00FD0A55">
                        <w:rPr>
                          <w:bCs/>
                          <w:color w:val="211D1E"/>
                          <w:sz w:val="22"/>
                          <w:szCs w:val="22"/>
                        </w:rPr>
                        <w:tab/>
                      </w:r>
                      <w:r w:rsidRPr="00FD0A55">
                        <w:rPr>
                          <w:bCs/>
                          <w:color w:val="211D1E"/>
                          <w:sz w:val="22"/>
                          <w:szCs w:val="22"/>
                        </w:rPr>
                        <w:tab/>
                        <w:t>$2,872</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FD0A55">
                        <w:rPr>
                          <w:bCs/>
                          <w:sz w:val="22"/>
                          <w:szCs w:val="22"/>
                        </w:rPr>
                        <w:tab/>
                        <w:t xml:space="preserve">Earned Income Tax Credit (TY 2011)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80" w:hanging="6480"/>
                        <w:rPr>
                          <w:bCs/>
                          <w:sz w:val="22"/>
                          <w:szCs w:val="22"/>
                        </w:rPr>
                      </w:pPr>
                      <w:r w:rsidRPr="00FD0A55">
                        <w:rPr>
                          <w:bCs/>
                          <w:sz w:val="22"/>
                          <w:szCs w:val="22"/>
                        </w:rPr>
                        <w:tab/>
                      </w:r>
                      <w:r w:rsidRPr="00FD0A55">
                        <w:rPr>
                          <w:bCs/>
                          <w:sz w:val="22"/>
                          <w:szCs w:val="22"/>
                        </w:rPr>
                        <w:tab/>
                        <w:t xml:space="preserve">Number of returns with credit (millions) </w:t>
                      </w:r>
                      <w:r w:rsidRPr="00FD0A55">
                        <w:rPr>
                          <w:bCs/>
                          <w:sz w:val="22"/>
                          <w:szCs w:val="22"/>
                        </w:rPr>
                        <w:tab/>
                      </w:r>
                      <w:r w:rsidRPr="00FD0A55">
                        <w:rPr>
                          <w:bCs/>
                          <w:sz w:val="22"/>
                          <w:szCs w:val="22"/>
                        </w:rPr>
                        <w:tab/>
                        <w:t xml:space="preserve">27.9 </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211D1E"/>
                          <w:sz w:val="22"/>
                          <w:szCs w:val="22"/>
                        </w:rPr>
                      </w:pPr>
                      <w:r w:rsidRPr="00FD0A55">
                        <w:rPr>
                          <w:bCs/>
                          <w:color w:val="211D1E"/>
                          <w:sz w:val="22"/>
                          <w:szCs w:val="22"/>
                        </w:rPr>
                        <w:tab/>
                      </w:r>
                      <w:r w:rsidRPr="00FD0A55">
                        <w:rPr>
                          <w:bCs/>
                          <w:color w:val="211D1E"/>
                          <w:sz w:val="22"/>
                          <w:szCs w:val="22"/>
                        </w:rPr>
                        <w:tab/>
                        <w:t>Amount claimed (billions of $)</w:t>
                      </w:r>
                      <w:r w:rsidRPr="00FD0A55">
                        <w:rPr>
                          <w:bCs/>
                          <w:sz w:val="22"/>
                          <w:szCs w:val="22"/>
                        </w:rPr>
                        <w:t xml:space="preserve"> </w:t>
                      </w:r>
                      <w:r w:rsidRPr="00FD0A55">
                        <w:rPr>
                          <w:bCs/>
                          <w:sz w:val="22"/>
                          <w:szCs w:val="22"/>
                        </w:rPr>
                        <w:tab/>
                      </w:r>
                      <w:r w:rsidRPr="00FD0A55">
                        <w:rPr>
                          <w:bCs/>
                          <w:sz w:val="22"/>
                          <w:szCs w:val="22"/>
                        </w:rPr>
                        <w:tab/>
                      </w:r>
                      <w:r w:rsidRPr="00FD0A55">
                        <w:rPr>
                          <w:bCs/>
                          <w:sz w:val="22"/>
                          <w:szCs w:val="22"/>
                        </w:rPr>
                        <w:tab/>
                        <w:t>$62.9</w:t>
                      </w:r>
                    </w:p>
                    <w:p w:rsidR="00FF5E72" w:rsidRPr="00FD0A55" w:rsidRDefault="00FF5E72" w:rsidP="00794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r w:rsidRPr="00FD0A55">
                        <w:rPr>
                          <w:b/>
                          <w:bCs/>
                          <w:sz w:val="22"/>
                          <w:szCs w:val="22"/>
                        </w:rPr>
                        <w:t>Taxpayer Assistance (FY 2012)</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t>Number of customers that receive assistance as a result of</w:t>
                      </w:r>
                    </w:p>
                    <w:p w:rsidR="00FF5E72" w:rsidRPr="00FD0A55" w:rsidRDefault="00FF5E72" w:rsidP="007940EE">
                      <w:pPr>
                        <w:tabs>
                          <w:tab w:val="left" w:pos="0"/>
                          <w:tab w:val="left" w:pos="573"/>
                          <w:tab w:val="left" w:pos="1293"/>
                          <w:tab w:val="left" w:pos="2013"/>
                          <w:tab w:val="left" w:pos="2733"/>
                          <w:tab w:val="left" w:pos="3453"/>
                          <w:tab w:val="left" w:pos="4173"/>
                          <w:tab w:val="left" w:pos="4893"/>
                          <w:tab w:val="left" w:pos="5613"/>
                          <w:tab w:val="left" w:pos="6333"/>
                          <w:tab w:val="left" w:pos="7053"/>
                          <w:tab w:val="left" w:pos="7773"/>
                          <w:tab w:val="left" w:pos="8493"/>
                        </w:tabs>
                        <w:rPr>
                          <w:bCs/>
                          <w:color w:val="211D1E"/>
                          <w:sz w:val="22"/>
                          <w:szCs w:val="22"/>
                        </w:rPr>
                      </w:pPr>
                      <w:r w:rsidRPr="00FD0A55">
                        <w:rPr>
                          <w:bCs/>
                          <w:color w:val="211D1E"/>
                          <w:sz w:val="22"/>
                          <w:szCs w:val="22"/>
                        </w:rPr>
                        <w:tab/>
                      </w:r>
                      <w:r w:rsidRPr="00FD0A55">
                        <w:rPr>
                          <w:bCs/>
                          <w:color w:val="211D1E"/>
                          <w:sz w:val="22"/>
                          <w:szCs w:val="22"/>
                        </w:rPr>
                        <w:tab/>
                        <w:t xml:space="preserve">calling or walking in </w:t>
                      </w:r>
                      <w:r w:rsidRPr="00FD0A55">
                        <w:rPr>
                          <w:bCs/>
                          <w:color w:val="211D1E"/>
                          <w:sz w:val="22"/>
                          <w:szCs w:val="22"/>
                        </w:rPr>
                        <w:tab/>
                      </w:r>
                      <w:r w:rsidRPr="00FD0A55">
                        <w:rPr>
                          <w:bCs/>
                          <w:color w:val="211D1E"/>
                          <w:sz w:val="22"/>
                          <w:szCs w:val="22"/>
                        </w:rPr>
                        <w:tab/>
                      </w:r>
                      <w:r w:rsidRPr="00FD0A55">
                        <w:rPr>
                          <w:bCs/>
                          <w:color w:val="211D1E"/>
                          <w:sz w:val="22"/>
                          <w:szCs w:val="22"/>
                        </w:rPr>
                        <w:tab/>
                        <w:t xml:space="preserve"> 9</w:t>
                      </w:r>
                      <w:r>
                        <w:rPr>
                          <w:bCs/>
                          <w:color w:val="211D1E"/>
                          <w:sz w:val="22"/>
                          <w:szCs w:val="22"/>
                        </w:rPr>
                        <w:t>6</w:t>
                      </w:r>
                      <w:r w:rsidRPr="00FD0A55">
                        <w:rPr>
                          <w:bCs/>
                          <w:color w:val="211D1E"/>
                          <w:sz w:val="22"/>
                          <w:szCs w:val="22"/>
                        </w:rPr>
                        <w:t xml:space="preserve">,867,755 </w:t>
                      </w:r>
                    </w:p>
                  </w:txbxContent>
                </v:textbox>
              </v:shape>
            </w:pict>
          </mc:Fallback>
        </mc:AlternateContent>
      </w:r>
      <w:r w:rsidRPr="00576ED7">
        <w:rPr>
          <w:szCs w:val="24"/>
        </w:rPr>
        <w:br w:type="page"/>
      </w:r>
    </w:p>
    <w:p w:rsidR="00BF345C" w:rsidRPr="00576ED7" w:rsidRDefault="00BF345C" w:rsidP="00BF345C">
      <w:pPr>
        <w:widowControl w:val="0"/>
        <w:jc w:val="both"/>
        <w:rPr>
          <w:szCs w:val="24"/>
        </w:rPr>
      </w:pPr>
    </w:p>
    <w:p w:rsidR="00BF345C" w:rsidRPr="00576ED7" w:rsidRDefault="00BF345C">
      <w:pPr>
        <w:widowControl w:val="0"/>
        <w:jc w:val="both"/>
        <w:rPr>
          <w:szCs w:val="24"/>
        </w:rPr>
      </w:pPr>
    </w:p>
    <w:p w:rsidR="0049128E" w:rsidRPr="00576ED7" w:rsidRDefault="0049128E" w:rsidP="00910345">
      <w:pPr>
        <w:pStyle w:val="Heading3"/>
      </w:pPr>
      <w:bookmarkStart w:id="24" w:name="_Toc375132911"/>
      <w:r w:rsidRPr="00576ED7">
        <w:t>III.  Some Definitions</w:t>
      </w:r>
      <w:bookmarkEnd w:id="24"/>
      <w:r w:rsidRPr="00576ED7">
        <w:fldChar w:fldCharType="begin"/>
      </w:r>
      <w:r w:rsidRPr="00576ED7">
        <w:instrText xml:space="preserve"> TC \l1 "III.  Some Definitions</w:instrText>
      </w:r>
      <w:r w:rsidRPr="00576ED7">
        <w:fldChar w:fldCharType="end"/>
      </w:r>
    </w:p>
    <w:p w:rsidR="0049128E" w:rsidRPr="00576ED7" w:rsidRDefault="0049128E">
      <w:pPr>
        <w:widowControl w:val="0"/>
        <w:rPr>
          <w:szCs w:val="24"/>
        </w:rPr>
      </w:pPr>
    </w:p>
    <w:p w:rsidR="0049128E" w:rsidRPr="00576ED7" w:rsidRDefault="0049128E" w:rsidP="009A1BF0">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  The tax base of the federal income tax is not all income, but rather “taxable income.”  “Taxable income” is “gross income” minus deductions named in § 62, minus either a standard deduction or itemized deductions, minus personal exemptions.  Only the amount remaining a</w:t>
      </w:r>
      <w:r w:rsidRPr="00576ED7">
        <w:rPr>
          <w:szCs w:val="24"/>
        </w:rPr>
        <w:t>f</w:t>
      </w:r>
      <w:r w:rsidRPr="00576ED7">
        <w:rPr>
          <w:szCs w:val="24"/>
        </w:rPr>
        <w:t>ter these subtractions is subject to federal income tax.</w:t>
      </w:r>
    </w:p>
    <w:p w:rsidR="0049128E" w:rsidRPr="00576ED7" w:rsidRDefault="0049128E" w:rsidP="009A1BF0">
      <w:pPr>
        <w:widowControl w:val="0"/>
        <w:jc w:val="both"/>
        <w:rPr>
          <w:szCs w:val="24"/>
        </w:rPr>
      </w:pPr>
    </w:p>
    <w:p w:rsidR="0049128E" w:rsidRPr="00576ED7" w:rsidRDefault="00567B84" w:rsidP="009A1BF0">
      <w:pPr>
        <w:widowControl w:val="0"/>
        <w:jc w:val="both"/>
        <w:rPr>
          <w:szCs w:val="24"/>
        </w:rPr>
      </w:pPr>
      <w:r w:rsidRPr="00576ED7">
        <w:rPr>
          <w:noProof/>
          <w:szCs w:val="24"/>
        </w:rPr>
        <mc:AlternateContent>
          <mc:Choice Requires="wps">
            <w:drawing>
              <wp:anchor distT="152400" distB="152400" distL="152400" distR="152400" simplePos="0" relativeHeight="251620352" behindDoc="0" locked="0" layoutInCell="0" allowOverlap="1" wp14:anchorId="74641393" wp14:editId="3E4FF067">
                <wp:simplePos x="0" y="0"/>
                <wp:positionH relativeFrom="margin">
                  <wp:posOffset>-447040</wp:posOffset>
                </wp:positionH>
                <wp:positionV relativeFrom="paragraph">
                  <wp:posOffset>17145</wp:posOffset>
                </wp:positionV>
                <wp:extent cx="2635885" cy="2806065"/>
                <wp:effectExtent l="0" t="0" r="12065" b="13335"/>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06065"/>
                        </a:xfrm>
                        <a:prstGeom prst="rect">
                          <a:avLst/>
                        </a:prstGeom>
                        <a:solidFill>
                          <a:srgbClr val="FFFFFF"/>
                        </a:solidFill>
                        <a:ln w="12192">
                          <a:solidFill>
                            <a:srgbClr val="000000"/>
                          </a:solidFill>
                          <a:miter lim="800000"/>
                          <a:headEnd/>
                          <a:tailEnd/>
                        </a:ln>
                      </wps:spPr>
                      <wps:txbx>
                        <w:txbxContent>
                          <w:p w:rsidR="00FF5E72" w:rsidRDefault="00FF5E72" w:rsidP="000D1EBE">
                            <w:pPr>
                              <w:widowControl w:val="0"/>
                              <w:rPr>
                                <w:rFonts w:ascii="Tw Cen MT" w:hAnsi="Tw Cen MT"/>
                              </w:rPr>
                            </w:pPr>
                            <w:r>
                              <w:rPr>
                                <w:rFonts w:ascii="Tw Cen MT" w:hAnsi="Tw Cen MT"/>
                                <w:i/>
                              </w:rPr>
                              <w:t>The Tax Formula</w:t>
                            </w:r>
                            <w:r>
                              <w:rPr>
                                <w:rFonts w:ascii="Tw Cen MT" w:hAnsi="Tw Cen MT"/>
                              </w:rPr>
                              <w:t>:</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(gross income)</w:t>
                            </w:r>
                          </w:p>
                          <w:p w:rsidR="00FF5E72" w:rsidRDefault="00FF5E72" w:rsidP="000D1EBE">
                            <w:pPr>
                              <w:widowControl w:val="0"/>
                              <w:rPr>
                                <w:rFonts w:ascii="Tw Cen MT" w:hAnsi="Tw Cen MT"/>
                              </w:rPr>
                            </w:pPr>
                            <w:r>
                              <w:rPr>
                                <w:rFonts w:ascii="Tw Cen MT" w:hAnsi="Tw Cen MT"/>
                                <w:u w:val="single"/>
                              </w:rPr>
                              <w:t>MINUS deductions named in § 62</w:t>
                            </w:r>
                          </w:p>
                          <w:p w:rsidR="00FF5E72" w:rsidRDefault="00FF5E72" w:rsidP="000D1EBE">
                            <w:pPr>
                              <w:widowControl w:val="0"/>
                              <w:rPr>
                                <w:rFonts w:ascii="Tw Cen MT" w:hAnsi="Tw Cen MT"/>
                              </w:rPr>
                            </w:pPr>
                            <w:r>
                              <w:rPr>
                                <w:rFonts w:ascii="Tw Cen MT" w:hAnsi="Tw Cen MT"/>
                              </w:rPr>
                              <w:t>EQUALS (adjusted gross income (AGI))</w:t>
                            </w:r>
                          </w:p>
                          <w:p w:rsidR="00FF5E72" w:rsidRDefault="00FF5E72" w:rsidP="000D1EBE">
                            <w:pPr>
                              <w:widowControl w:val="0"/>
                              <w:rPr>
                                <w:rFonts w:ascii="Tw Cen MT" w:hAnsi="Tw Cen MT"/>
                              </w:rPr>
                            </w:pPr>
                            <w:r>
                              <w:rPr>
                                <w:rFonts w:ascii="Tw Cen MT" w:hAnsi="Tw Cen MT"/>
                              </w:rPr>
                              <w:t>MINUS (standard deduction or itemized deductions)</w:t>
                            </w:r>
                          </w:p>
                          <w:p w:rsidR="00FF5E72" w:rsidRDefault="00FF5E72" w:rsidP="000D1EBE">
                            <w:pPr>
                              <w:widowControl w:val="0"/>
                              <w:rPr>
                                <w:rFonts w:ascii="Tw Cen MT" w:hAnsi="Tw Cen MT"/>
                              </w:rPr>
                            </w:pPr>
                            <w:r>
                              <w:rPr>
                                <w:rFonts w:ascii="Tw Cen MT" w:hAnsi="Tw Cen MT"/>
                              </w:rPr>
                              <w:t>MINUS (personal exemptions)</w:t>
                            </w:r>
                          </w:p>
                          <w:p w:rsidR="00FF5E72" w:rsidRDefault="00FF5E72" w:rsidP="000D1EBE">
                            <w:pPr>
                              <w:widowControl w:val="0"/>
                              <w:rPr>
                                <w:rFonts w:ascii="Tw Cen MT" w:hAnsi="Tw Cen MT"/>
                              </w:rPr>
                            </w:pPr>
                            <w:r>
                              <w:rPr>
                                <w:rFonts w:ascii="Tw Cen MT" w:hAnsi="Tw Cen MT"/>
                              </w:rPr>
                              <w:t>EQUALS (taxable income)</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Compute income tax liability from tables in § 1 (indexed for inflation)</w:t>
                            </w:r>
                          </w:p>
                          <w:p w:rsidR="00FF5E72" w:rsidRDefault="00FF5E72" w:rsidP="000D1EBE">
                            <w:pPr>
                              <w:widowControl w:val="0"/>
                              <w:rPr>
                                <w:rFonts w:ascii="Tw Cen MT" w:hAnsi="Tw Cen MT"/>
                              </w:rPr>
                            </w:pPr>
                            <w:r>
                              <w:rPr>
                                <w:rFonts w:ascii="Tw Cen MT" w:hAnsi="Tw Cen MT"/>
                              </w:rPr>
                              <w:t>MINUS (credits against tax)</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5.2pt;margin-top:1.35pt;width:207.55pt;height:220.95pt;z-index:251620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LWKgIAAFsEAAAOAAAAZHJzL2Uyb0RvYy54bWysVNuO0zAQfUfiHyy/06SpWkrUdLV0KUJa&#10;LtIuH+A4TmJhe4ztNlm+nrHTlmqBF0QeLI89PjNzzkw2N6NW5Cicl2AqOp/llAjDoZGmq+jXx/2r&#10;NSU+MNMwBUZU9El4erN9+WIz2FIU0INqhCMIYnw52Ir2IdgyyzzvhWZ+BlYYvGzBaRbQdF3WODYg&#10;ulZZkeerbADXWAdceI+nd9Ml3Sb8thU8fG5bLwJRFcXcQlpdWuu4ZtsNKzvHbC/5KQ32D1loJg0G&#10;vUDdscDIwcnfoLTkDjy0YcZBZ9C2kotUA1Yzz59V89AzK1ItSI63F5r8/4Pln45fHJENajdfUGKY&#10;RpEexRjIWxjJMvIzWF+i24NFxzDiMfqmWr29B/7NEwO7nplO3DoHQy9Yg/nN48vs6umE4yNIPXyE&#10;BsOwQ4AENLZOR/KQDoLoqNPTRZuYCsfDYrVYrtdLSjjeFet8la9Sdhkrz8+t8+G9AE3ipqIOxU/w&#10;7HjvQ0yHlWeXGM2Dks1eKpUM19U75ciRYaPs05cqeOamDBmwuGL+ppgo+CtGnr4/YWgZsOWV1BVd&#10;X5xYGYl7Z5rUkIFJNe0xZ2VOTEbyJhrDWI9JtMVZoBqaJ6TWwdThOJG46cH9oGTA7q6o/35gTlCi&#10;PhiU5/UKhwfH4dpw10Z9bTDDEaqigZJpuwvTCB2sk12PkaaGMHCLkrYykR21n7I6pY8dnDQ4TVsc&#10;kWs7ef36J2x/AgAA//8DAFBLAwQUAAYACAAAACEAy9PeSN0AAAAJAQAADwAAAGRycy9kb3ducmV2&#10;LnhtbEyPwU7DMBBE70j8g7VI3FqHYLUoZFOhSNybQAVHN3aTqPE6xG4T/p7lBLdZzWjmbb5b3CCu&#10;dgq9J4SHdQLCUuNNTy3C+9vr6glEiJqMHjxZhG8bYFfc3uQ6M36myl7r2AouoZBphC7GMZMyNJ11&#10;Oqz9aIm9k5+cjnxOrTSTnrncDTJNko10uide6PRoy8425/riEHxVlYe0/tp/lLMp23m/xPGzQ7y/&#10;W16eQUS7xL8w/OIzOhTMdPQXMkEMCKttojiKkG5BsP+oFIsjglJqA7LI5f8Pih8AAAD//wMAUEsB&#10;Ai0AFAAGAAgAAAAhALaDOJL+AAAA4QEAABMAAAAAAAAAAAAAAAAAAAAAAFtDb250ZW50X1R5cGVz&#10;XS54bWxQSwECLQAUAAYACAAAACEAOP0h/9YAAACUAQAACwAAAAAAAAAAAAAAAAAvAQAAX3JlbHMv&#10;LnJlbHNQSwECLQAUAAYACAAAACEAjKXi1ioCAABbBAAADgAAAAAAAAAAAAAAAAAuAgAAZHJzL2Uy&#10;b0RvYy54bWxQSwECLQAUAAYACAAAACEAy9PeSN0AAAAJAQAADwAAAAAAAAAAAAAAAACEBAAAZHJz&#10;L2Rvd25yZXYueG1sUEsFBgAAAAAEAAQA8wAAAI4FAAAAAA==&#10;" o:allowincell="f" strokeweight=".96pt">
                <v:textbox inset="6pt,6pt,6pt,6pt">
                  <w:txbxContent>
                    <w:p w:rsidR="00FF5E72" w:rsidRDefault="00FF5E72" w:rsidP="000D1EBE">
                      <w:pPr>
                        <w:widowControl w:val="0"/>
                        <w:rPr>
                          <w:rFonts w:ascii="Tw Cen MT" w:hAnsi="Tw Cen MT"/>
                        </w:rPr>
                      </w:pPr>
                      <w:r>
                        <w:rPr>
                          <w:rFonts w:ascii="Tw Cen MT" w:hAnsi="Tw Cen MT"/>
                          <w:i/>
                        </w:rPr>
                        <w:t>The Tax Formula</w:t>
                      </w:r>
                      <w:r>
                        <w:rPr>
                          <w:rFonts w:ascii="Tw Cen MT" w:hAnsi="Tw Cen MT"/>
                        </w:rPr>
                        <w:t>:</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(gross income)</w:t>
                      </w:r>
                    </w:p>
                    <w:p w:rsidR="00FF5E72" w:rsidRDefault="00FF5E72" w:rsidP="000D1EBE">
                      <w:pPr>
                        <w:widowControl w:val="0"/>
                        <w:rPr>
                          <w:rFonts w:ascii="Tw Cen MT" w:hAnsi="Tw Cen MT"/>
                        </w:rPr>
                      </w:pPr>
                      <w:r>
                        <w:rPr>
                          <w:rFonts w:ascii="Tw Cen MT" w:hAnsi="Tw Cen MT"/>
                          <w:u w:val="single"/>
                        </w:rPr>
                        <w:t>MINUS deductions named in § 62</w:t>
                      </w:r>
                    </w:p>
                    <w:p w:rsidR="00FF5E72" w:rsidRDefault="00FF5E72" w:rsidP="000D1EBE">
                      <w:pPr>
                        <w:widowControl w:val="0"/>
                        <w:rPr>
                          <w:rFonts w:ascii="Tw Cen MT" w:hAnsi="Tw Cen MT"/>
                        </w:rPr>
                      </w:pPr>
                      <w:r>
                        <w:rPr>
                          <w:rFonts w:ascii="Tw Cen MT" w:hAnsi="Tw Cen MT"/>
                        </w:rPr>
                        <w:t>EQUALS (adjusted gross income (AGI))</w:t>
                      </w:r>
                    </w:p>
                    <w:p w:rsidR="00FF5E72" w:rsidRDefault="00FF5E72" w:rsidP="000D1EBE">
                      <w:pPr>
                        <w:widowControl w:val="0"/>
                        <w:rPr>
                          <w:rFonts w:ascii="Tw Cen MT" w:hAnsi="Tw Cen MT"/>
                        </w:rPr>
                      </w:pPr>
                      <w:r>
                        <w:rPr>
                          <w:rFonts w:ascii="Tw Cen MT" w:hAnsi="Tw Cen MT"/>
                        </w:rPr>
                        <w:t>MINUS (standard deduction or itemized deductions)</w:t>
                      </w:r>
                    </w:p>
                    <w:p w:rsidR="00FF5E72" w:rsidRDefault="00FF5E72" w:rsidP="000D1EBE">
                      <w:pPr>
                        <w:widowControl w:val="0"/>
                        <w:rPr>
                          <w:rFonts w:ascii="Tw Cen MT" w:hAnsi="Tw Cen MT"/>
                        </w:rPr>
                      </w:pPr>
                      <w:r>
                        <w:rPr>
                          <w:rFonts w:ascii="Tw Cen MT" w:hAnsi="Tw Cen MT"/>
                        </w:rPr>
                        <w:t>MINUS (personal exemptions)</w:t>
                      </w:r>
                    </w:p>
                    <w:p w:rsidR="00FF5E72" w:rsidRDefault="00FF5E72" w:rsidP="000D1EBE">
                      <w:pPr>
                        <w:widowControl w:val="0"/>
                        <w:rPr>
                          <w:rFonts w:ascii="Tw Cen MT" w:hAnsi="Tw Cen MT"/>
                        </w:rPr>
                      </w:pPr>
                      <w:r>
                        <w:rPr>
                          <w:rFonts w:ascii="Tw Cen MT" w:hAnsi="Tw Cen MT"/>
                        </w:rPr>
                        <w:t>EQUALS (taxable income)</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rPr>
                        <w:t>Compute income tax liability from tables in § 1 (indexed for inflation)</w:t>
                      </w:r>
                    </w:p>
                    <w:p w:rsidR="00FF5E72" w:rsidRDefault="00FF5E72" w:rsidP="000D1EBE">
                      <w:pPr>
                        <w:widowControl w:val="0"/>
                        <w:rPr>
                          <w:rFonts w:ascii="Tw Cen MT" w:hAnsi="Tw Cen MT"/>
                        </w:rPr>
                      </w:pPr>
                      <w:r>
                        <w:rPr>
                          <w:rFonts w:ascii="Tw Cen MT" w:hAnsi="Tw Cen MT"/>
                        </w:rPr>
                        <w:t>MINUS (credits against tax)</w:t>
                      </w:r>
                    </w:p>
                    <w:p w:rsidR="00FF5E72" w:rsidRDefault="00FF5E72" w:rsidP="000D1EBE">
                      <w:pPr>
                        <w:widowControl w:val="0"/>
                        <w:rPr>
                          <w:rFonts w:ascii="Tw Cen MT" w:hAnsi="Tw Cen MT"/>
                        </w:rPr>
                      </w:pPr>
                    </w:p>
                    <w:p w:rsidR="00FF5E72" w:rsidRDefault="00FF5E72" w:rsidP="000D1EBE">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r w:rsidR="0049128E" w:rsidRPr="00576ED7">
        <w:rPr>
          <w:szCs w:val="24"/>
        </w:rPr>
        <w:t>Notice that in the accompanying box (“The Tax Formula”), there is a line.  We fr</w:t>
      </w:r>
      <w:r w:rsidR="0049128E" w:rsidRPr="00576ED7">
        <w:rPr>
          <w:szCs w:val="24"/>
        </w:rPr>
        <w:t>e</w:t>
      </w:r>
      <w:r w:rsidR="0049128E" w:rsidRPr="00576ED7">
        <w:rPr>
          <w:szCs w:val="24"/>
        </w:rPr>
        <w:t>quently refer to this as “the line.”   The fi</w:t>
      </w:r>
      <w:r w:rsidR="0049128E" w:rsidRPr="00576ED7">
        <w:rPr>
          <w:szCs w:val="24"/>
        </w:rPr>
        <w:t>g</w:t>
      </w:r>
      <w:r w:rsidR="0049128E" w:rsidRPr="00576ED7">
        <w:rPr>
          <w:szCs w:val="24"/>
        </w:rPr>
        <w:t>ure immediately beneath the line is “adjus</w:t>
      </w:r>
      <w:r w:rsidR="0049128E" w:rsidRPr="00576ED7">
        <w:rPr>
          <w:szCs w:val="24"/>
        </w:rPr>
        <w:t>t</w:t>
      </w:r>
      <w:r w:rsidR="0049128E" w:rsidRPr="00576ED7">
        <w:rPr>
          <w:szCs w:val="24"/>
        </w:rPr>
        <w:t xml:space="preserve">ed gross income” (AGI).  In a </w:t>
      </w:r>
      <w:r w:rsidR="0049128E" w:rsidRPr="00576ED7">
        <w:rPr>
          <w:i/>
          <w:szCs w:val="24"/>
        </w:rPr>
        <w:t>very</w:t>
      </w:r>
      <w:r w:rsidR="0049128E" w:rsidRPr="00576ED7">
        <w:rPr>
          <w:szCs w:val="24"/>
        </w:rPr>
        <w:t xml:space="preserve"> rough sense, § 62 deductions are for obligatory expenditures or for deferring income that will be subject to income tax at the time of consumption.  Subtractions may be “above the line” or “below the line.”  Taxpayer is entitled to § 62 deductions irrespective of and in addition to itemized deductions or the standard deduction.</w:t>
      </w:r>
    </w:p>
    <w:p w:rsidR="0049128E" w:rsidRPr="00576ED7" w:rsidRDefault="0049128E" w:rsidP="009A1BF0">
      <w:pPr>
        <w:widowControl w:val="0"/>
        <w:jc w:val="both"/>
        <w:rPr>
          <w:szCs w:val="24"/>
        </w:rPr>
      </w:pPr>
    </w:p>
    <w:p w:rsidR="00FE0C4D" w:rsidRPr="00576ED7" w:rsidRDefault="0049128E" w:rsidP="009A1BF0">
      <w:pPr>
        <w:widowControl w:val="0"/>
        <w:jc w:val="both"/>
        <w:rPr>
          <w:szCs w:val="24"/>
        </w:rPr>
        <w:sectPr w:rsidR="00FE0C4D" w:rsidRPr="00576ED7" w:rsidSect="00423A02">
          <w:footerReference w:type="default" r:id="rId25"/>
          <w:footerReference w:type="first" r:id="rId26"/>
          <w:type w:val="continuous"/>
          <w:pgSz w:w="12240" w:h="15840"/>
          <w:pgMar w:top="2160" w:right="2160" w:bottom="2160" w:left="2160" w:header="720" w:footer="2160" w:gutter="0"/>
          <w:pgNumType w:start="1"/>
          <w:cols w:space="720"/>
          <w:docGrid w:linePitch="326"/>
        </w:sectPr>
      </w:pPr>
      <w:r w:rsidRPr="00576ED7">
        <w:rPr>
          <w:szCs w:val="24"/>
        </w:rPr>
        <w:t>When a subtraction is “below the line,” what happens above the line might be very relevant.  The Code limits certain itemized deductions to the amount by which an e</w:t>
      </w:r>
      <w:r w:rsidRPr="00576ED7">
        <w:rPr>
          <w:szCs w:val="24"/>
        </w:rPr>
        <w:t>x</w:t>
      </w:r>
      <w:r w:rsidRPr="00576ED7">
        <w:rPr>
          <w:szCs w:val="24"/>
        </w:rPr>
        <w:t>penditure exceeds a given percentage of a taxpayer’s AGI.  For example, a ta</w:t>
      </w:r>
      <w:r w:rsidRPr="00576ED7">
        <w:rPr>
          <w:szCs w:val="24"/>
        </w:rPr>
        <w:t>x</w:t>
      </w:r>
      <w:r w:rsidRPr="00576ED7">
        <w:rPr>
          <w:szCs w:val="24"/>
        </w:rPr>
        <w:t>payer’s deduction for medical expenditures is only the amount by which such e</w:t>
      </w:r>
      <w:r w:rsidRPr="00576ED7">
        <w:rPr>
          <w:szCs w:val="24"/>
        </w:rPr>
        <w:t>x</w:t>
      </w:r>
      <w:r w:rsidRPr="00576ED7">
        <w:rPr>
          <w:szCs w:val="24"/>
        </w:rPr>
        <w:t>penditures exceed 10% of a ta</w:t>
      </w:r>
      <w:r w:rsidRPr="00576ED7">
        <w:rPr>
          <w:szCs w:val="24"/>
        </w:rPr>
        <w:t>x</w:t>
      </w:r>
      <w:r w:rsidRPr="00576ED7">
        <w:rPr>
          <w:szCs w:val="24"/>
        </w:rPr>
        <w:t>payer’s AGI.  Co</w:t>
      </w:r>
      <w:r w:rsidRPr="00576ED7">
        <w:rPr>
          <w:szCs w:val="24"/>
        </w:rPr>
        <w:t>n</w:t>
      </w:r>
      <w:r w:rsidRPr="00576ED7">
        <w:rPr>
          <w:szCs w:val="24"/>
        </w:rPr>
        <w:t>gress can use such a limitation to do some customization of such deductions.  A 10%-of-AGI-floor on deductibi</w:t>
      </w:r>
      <w:r w:rsidRPr="00576ED7">
        <w:rPr>
          <w:szCs w:val="24"/>
        </w:rPr>
        <w:t>l</w:t>
      </w:r>
      <w:r w:rsidRPr="00576ED7">
        <w:rPr>
          <w:szCs w:val="24"/>
        </w:rPr>
        <w:t>ity of medical expenses provides some rough assurance that the amount of a me</w:t>
      </w:r>
      <w:r w:rsidRPr="00576ED7">
        <w:rPr>
          <w:szCs w:val="24"/>
        </w:rPr>
        <w:t>d</w:t>
      </w:r>
      <w:r w:rsidRPr="00576ED7">
        <w:rPr>
          <w:szCs w:val="24"/>
        </w:rPr>
        <w:t>ical expense deduction requires a common level of “pain” among high- and low-</w:t>
      </w:r>
    </w:p>
    <w:p w:rsidR="00567B84" w:rsidRPr="00576ED7" w:rsidRDefault="0049128E" w:rsidP="009A1BF0">
      <w:pPr>
        <w:widowControl w:val="0"/>
        <w:jc w:val="both"/>
        <w:rPr>
          <w:szCs w:val="24"/>
        </w:rPr>
      </w:pPr>
      <w:r w:rsidRPr="00576ED7">
        <w:rPr>
          <w:szCs w:val="24"/>
        </w:rPr>
        <w:lastRenderedPageBreak/>
        <w:t>income taxpayers.</w:t>
      </w:r>
    </w:p>
    <w:p w:rsidR="00FE0C4D" w:rsidRPr="00576ED7" w:rsidRDefault="00FE0C4D" w:rsidP="009A1BF0">
      <w:pPr>
        <w:widowControl w:val="0"/>
        <w:jc w:val="both"/>
        <w:rPr>
          <w:szCs w:val="24"/>
        </w:rPr>
      </w:pPr>
    </w:p>
    <w:p w:rsidR="0049128E" w:rsidRPr="00576ED7" w:rsidRDefault="00567B84"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1376" behindDoc="0" locked="0" layoutInCell="0" allowOverlap="1" wp14:anchorId="20B50340" wp14:editId="5B4A6FA9">
                <wp:simplePos x="0" y="0"/>
                <wp:positionH relativeFrom="margin">
                  <wp:posOffset>1496695</wp:posOffset>
                </wp:positionH>
                <wp:positionV relativeFrom="paragraph">
                  <wp:posOffset>2294890</wp:posOffset>
                </wp:positionV>
                <wp:extent cx="3526790" cy="3247390"/>
                <wp:effectExtent l="0" t="0" r="16510" b="1016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24739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17.85pt;margin-top:180.7pt;width:277.7pt;height:255.7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1JKQIAAFsEAAAOAAAAZHJzL2Uyb0RvYy54bWysVNtu2zAMfR+wfxD0vjhxurQ14hRdugwD&#10;ugvQ7gNoWY6FyaImKbGzrx8lp2l2exnmB0GUqEPyHNLLm6HTbC+dV2hKPptMOZNGYK3MtuRfHjev&#10;rjjzAUwNGo0s+UF6frN6+WLZ20Lm2KKupWMEYnzR25K3Idgiy7xoZQd+glYaumzQdRDIdNusdtAT&#10;eqezfDpdZD262joU0ns6vRsv+SrhN40U4VPTeBmYLjnlFtLq0lrFNVstodg6sK0SxzTgH7LoQBkK&#10;eoK6gwBs59RvUJ0SDj02YSKwy7BplJCpBqpmNv2lmocWrEy1EDnenmjy/w9WfNx/dkzVpN0s58xA&#10;RyI9yiGwNziwReSnt74gtwdLjmGgY/JNtXp7j+KrZwbXLZitvHUO+1ZCTfnN4svs7OmI4yNI1X/A&#10;msLALmACGhrXRfKIDkbopNPhpE1MRdDh/HW+uLymK0F38/zick5GjAHF03PrfHgnsWNxU3JH4id4&#10;2N/7MLo+ucRoHrWqN0rrZLhttdaO7YEaZZO+I/pPbtqwnorLZ9f5SMFfMabp+xNGpwK1vFZdya9O&#10;TlBE4t6amvKEIoDS457K0+bIZCRvpDEM1ZBEu4gBIssV1gei1uHY4TSRtGnRfeesp+4uuf+2Ayc5&#10;0+8NyXO5oOGhcTg33LlRnRtgBEGVPHA2btdhHKGddWrbUqSxIQzekqSNSmQ/Z3VMnzo4yXWctjgi&#10;53byev4nrH4AAAD//wMAUEsDBBQABgAIAAAAIQB9J7zg3gAAAAsBAAAPAAAAZHJzL2Rvd25yZXYu&#10;eG1sTI9BT4QwEIXvJv6HZky8uQVWF0SGjSHxvqBGj106ApFOkXYX/PfWkx4n78t73xT71YziTLMb&#10;LCPEmwgEcWv1wB3Cy/PTTQbCecVajZYJ4Zsc7MvLi0Ll2i5c07nxnQgl7HKF0Hs/5VK6tiej3MZO&#10;xCH7sLNRPpxzJ/WsllBuRplE0U4aNXBY6NVEVU/tZ3MyCLauq9ek+Tq8VYuuuuWw+um9R7y+Wh8f&#10;QHha/R8Mv/pBHcrgdLQn1k6MCMn2Lg0ownYX34IIRHofxyCOCFmaZCDLQv7/ofwBAAD//wMAUEsB&#10;Ai0AFAAGAAgAAAAhALaDOJL+AAAA4QEAABMAAAAAAAAAAAAAAAAAAAAAAFtDb250ZW50X1R5cGVz&#10;XS54bWxQSwECLQAUAAYACAAAACEAOP0h/9YAAACUAQAACwAAAAAAAAAAAAAAAAAvAQAAX3JlbHMv&#10;LnJlbHNQSwECLQAUAAYACAAAACEAtRlNSSkCAABbBAAADgAAAAAAAAAAAAAAAAAuAgAAZHJzL2Uy&#10;b0RvYy54bWxQSwECLQAUAAYACAAAACEAfSe84N4AAAALAQAADwAAAAAAAAAAAAAAAACD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Progressive Rates and Income Redistribution</w:t>
                      </w:r>
                      <w:r>
                        <w:rPr>
                          <w:rFonts w:ascii="Tw Cen MT" w:hAnsi="Tw Cen MT"/>
                        </w:rPr>
                        <w:t>: An arg</w:t>
                      </w:r>
                      <w:r>
                        <w:rPr>
                          <w:rFonts w:ascii="Tw Cen MT" w:hAnsi="Tw Cen MT"/>
                        </w:rPr>
                        <w:t>u</w:t>
                      </w:r>
                      <w:r>
                        <w:rPr>
                          <w:rFonts w:ascii="Tw Cen MT" w:hAnsi="Tw Cen MT"/>
                        </w:rPr>
                        <w:t>ment favoring progressive tax brackets – aside from the declining marginal utility of money – is that the e</w:t>
                      </w:r>
                      <w:r>
                        <w:rPr>
                          <w:rFonts w:ascii="Tw Cen MT" w:hAnsi="Tw Cen MT"/>
                        </w:rPr>
                        <w:t>f</w:t>
                      </w:r>
                      <w:r>
                        <w:rPr>
                          <w:rFonts w:ascii="Tw Cen MT" w:hAnsi="Tw Cen MT"/>
                        </w:rPr>
                        <w:t>fect of progressive tax brackets is to redistribute i</w:t>
                      </w:r>
                      <w:r>
                        <w:rPr>
                          <w:rFonts w:ascii="Tw Cen MT" w:hAnsi="Tw Cen MT"/>
                        </w:rPr>
                        <w:t>n</w:t>
                      </w:r>
                      <w:r>
                        <w:rPr>
                          <w:rFonts w:ascii="Tw Cen MT" w:hAnsi="Tw Cen MT"/>
                        </w:rPr>
                        <w:t>come in favor of those who have less.  After all, Go</w:t>
                      </w:r>
                      <w:r>
                        <w:rPr>
                          <w:rFonts w:ascii="Tw Cen MT" w:hAnsi="Tw Cen MT"/>
                        </w:rPr>
                        <w:t>v</w:t>
                      </w:r>
                      <w:r>
                        <w:rPr>
                          <w:rFonts w:ascii="Tw Cen MT" w:hAnsi="Tw Cen MT"/>
                        </w:rPr>
                        <w:t>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w:t>
                      </w:r>
                      <w:r>
                        <w:rPr>
                          <w:rFonts w:ascii="Tw Cen MT" w:hAnsi="Tw Cen MT"/>
                        </w:rPr>
                        <w:t>s</w:t>
                      </w:r>
                      <w:r>
                        <w:rPr>
                          <w:rFonts w:ascii="Tw Cen MT" w:hAnsi="Tw Cen MT"/>
                        </w:rPr>
                        <w:t>tribution.  Inequality in wealth distribution is at near historically high levels.  Perhaps high-income taxpayers are able to keep more of their incomes and to pay less in taxes than serious efforts at redistribution require.  Perhaps Government has become, for whatever re</w:t>
                      </w:r>
                      <w:r>
                        <w:rPr>
                          <w:rFonts w:ascii="Tw Cen MT" w:hAnsi="Tw Cen MT"/>
                        </w:rPr>
                        <w:t>a</w:t>
                      </w:r>
                      <w:r>
                        <w:rPr>
                          <w:rFonts w:ascii="Tw Cen MT" w:hAnsi="Tw Cen MT"/>
                        </w:rPr>
                        <w:t>son, reluctant to spend tax revenues on (more) pr</w:t>
                      </w:r>
                      <w:r>
                        <w:rPr>
                          <w:rFonts w:ascii="Tw Cen MT" w:hAnsi="Tw Cen MT"/>
                        </w:rPr>
                        <w:t>o</w:t>
                      </w:r>
                      <w:r>
                        <w:rPr>
                          <w:rFonts w:ascii="Tw Cen MT" w:hAnsi="Tw Cen MT"/>
                        </w:rPr>
                        <w:t>grams that benefit the poor.  Or perhaps both.</w:t>
                      </w:r>
                    </w:p>
                  </w:txbxContent>
                </v:textbox>
                <w10:wrap type="square" side="largest" anchorx="margin"/>
              </v:shape>
            </w:pict>
          </mc:Fallback>
        </mc:AlternateContent>
      </w:r>
      <w:r w:rsidR="0049128E" w:rsidRPr="00576ED7">
        <w:rPr>
          <w:i/>
          <w:szCs w:val="24"/>
        </w:rPr>
        <w:t>Progressive Tax Brackets</w:t>
      </w:r>
      <w:r w:rsidR="0049128E" w:rsidRPr="00576ED7">
        <w:rPr>
          <w:szCs w:val="24"/>
        </w:rPr>
        <w:fldChar w:fldCharType="begin"/>
      </w:r>
      <w:r w:rsidR="0049128E" w:rsidRPr="00576ED7">
        <w:rPr>
          <w:i/>
          <w:szCs w:val="24"/>
        </w:rPr>
        <w:instrText xml:space="preserve"> TC \l2 "Progressive Tax Brackets</w:instrText>
      </w:r>
      <w:r w:rsidR="0049128E" w:rsidRPr="00576ED7">
        <w:rPr>
          <w:szCs w:val="24"/>
        </w:rPr>
        <w:fldChar w:fldCharType="end"/>
      </w:r>
      <w:r w:rsidR="0049128E" w:rsidRPr="00576ED7">
        <w:rPr>
          <w:i/>
          <w:szCs w:val="24"/>
        </w:rPr>
        <w:t>, Progressive Tax Rates, or Progressive Taxation</w:t>
      </w:r>
      <w:r w:rsidR="0049128E" w:rsidRPr="00576ED7">
        <w:rPr>
          <w:szCs w:val="24"/>
        </w:rPr>
        <w:t>: Not all dollars have the same worth to different taxpayers.  To a person whose annual taxable income is $10 million, one dollar more or less has far less value (as gain or loss) than the same dollar has to a person whose annual</w:t>
      </w:r>
      <w:r w:rsidRPr="00576ED7">
        <w:rPr>
          <w:szCs w:val="24"/>
        </w:rPr>
        <w:t xml:space="preserve"> t</w:t>
      </w:r>
      <w:r w:rsidR="0049128E" w:rsidRPr="00576ED7">
        <w:rPr>
          <w:szCs w:val="24"/>
        </w:rPr>
        <w:t>axable income less is than $1000.</w:t>
      </w:r>
      <w:r w:rsidR="0049128E" w:rsidRPr="00576ED7">
        <w:rPr>
          <w:rStyle w:val="FootnoteReference"/>
          <w:szCs w:val="24"/>
        </w:rPr>
        <w:footnoteReference w:id="8"/>
      </w:r>
      <w:r w:rsidR="0049128E" w:rsidRPr="00576ED7">
        <w:rPr>
          <w:szCs w:val="24"/>
        </w:rPr>
        <w:t xml:space="preserve">  Hence, the person with $10 million of income who receives one more dollar might feel the same level of sacrifice if s/he must pay $0.90 of it in federal income tax – and so keeps only $0.10 of it – as the person with $1000 of income who receives one more dollar of income might feel if s/he must pay $0.05 of it in federal income tax and so keeps $0.95 of it.  The Tax Code endeavors to require equal sacrifice by establishing progressive tax rates.  Look at § 1 of the Code – preferably the latest table that the IRS has promulgated in a Revenue Pr</w:t>
      </w:r>
      <w:r w:rsidR="0049128E" w:rsidRPr="00576ED7">
        <w:rPr>
          <w:szCs w:val="24"/>
        </w:rPr>
        <w:t>o</w:t>
      </w:r>
      <w:r w:rsidR="0049128E" w:rsidRPr="00576ED7">
        <w:rPr>
          <w:szCs w:val="24"/>
        </w:rPr>
        <w:t>cedure that adjusts tax rates for inflation.  An understanding of the tax formula should lead you to conclude that the first dollars of a taxpa</w:t>
      </w:r>
      <w:r w:rsidR="0049128E" w:rsidRPr="00576ED7">
        <w:rPr>
          <w:szCs w:val="24"/>
        </w:rPr>
        <w:t>y</w:t>
      </w:r>
      <w:r w:rsidR="0049128E" w:rsidRPr="00576ED7">
        <w:rPr>
          <w:szCs w:val="24"/>
        </w:rPr>
        <w:t>er’s income are not taxed at all.  The next dollars above that threshold – and only those dollars – are subject to a tax of 10%. The next do</w:t>
      </w:r>
      <w:r w:rsidR="0049128E" w:rsidRPr="00576ED7">
        <w:rPr>
          <w:szCs w:val="24"/>
        </w:rPr>
        <w:t>l</w:t>
      </w:r>
      <w:r w:rsidR="0049128E" w:rsidRPr="00576ED7">
        <w:rPr>
          <w:szCs w:val="24"/>
        </w:rPr>
        <w:t>lars above the next threshold – and only those dollars – are subject to a tax of 15%.  And so on – at rates of 25%, 28%, 33%, 35%</w:t>
      </w:r>
      <w:r w:rsidR="00D575F4" w:rsidRPr="00576ED7">
        <w:rPr>
          <w:szCs w:val="24"/>
        </w:rPr>
        <w:t>, and 39.6%</w:t>
      </w:r>
      <w:r w:rsidR="0049128E" w:rsidRPr="00576ED7">
        <w:rPr>
          <w:szCs w:val="24"/>
        </w:rPr>
        <w:t>.  Tax brackets that increase as tax</w:t>
      </w:r>
      <w:r w:rsidR="0049128E" w:rsidRPr="00576ED7">
        <w:rPr>
          <w:szCs w:val="24"/>
        </w:rPr>
        <w:t>a</w:t>
      </w:r>
      <w:r w:rsidR="0049128E" w:rsidRPr="00576ED7">
        <w:rPr>
          <w:szCs w:val="24"/>
        </w:rPr>
        <w:t>ble income increases are “progressive” tax brackets.  The highest individual tax bracket is 3</w:t>
      </w:r>
      <w:r w:rsidR="00D57168" w:rsidRPr="00576ED7">
        <w:rPr>
          <w:szCs w:val="24"/>
        </w:rPr>
        <w:t>9.6</w:t>
      </w:r>
      <w:r w:rsidR="0049128E" w:rsidRPr="00576ED7">
        <w:rPr>
          <w:szCs w:val="24"/>
        </w:rPr>
        <w:t>%, but no taxpayer pays 3</w:t>
      </w:r>
      <w:r w:rsidR="00D57168" w:rsidRPr="00576ED7">
        <w:rPr>
          <w:szCs w:val="24"/>
        </w:rPr>
        <w:t>9.6</w:t>
      </w:r>
      <w:r w:rsidR="0049128E" w:rsidRPr="00576ED7">
        <w:rPr>
          <w:szCs w:val="24"/>
        </w:rPr>
        <w:t>% of his/her taxable income in federal income taxes; do you see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regressive tax</w:t>
      </w:r>
      <w:r w:rsidRPr="00576ED7">
        <w:rPr>
          <w:szCs w:val="24"/>
        </w:rPr>
        <w:t xml:space="preserve"> is one where the percentage that taxpayers pay </w:t>
      </w:r>
      <w:r w:rsidRPr="00576ED7">
        <w:rPr>
          <w:i/>
          <w:szCs w:val="24"/>
        </w:rPr>
        <w:t>decreases</w:t>
      </w:r>
      <w:r w:rsidRPr="00576ED7">
        <w:rPr>
          <w:szCs w:val="24"/>
        </w:rPr>
        <w:t xml:space="preserve"> as their </w:t>
      </w:r>
      <w:r w:rsidRPr="00576ED7">
        <w:rPr>
          <w:szCs w:val="24"/>
        </w:rPr>
        <w:lastRenderedPageBreak/>
        <w:t xml:space="preserve">income increases.  A </w:t>
      </w:r>
      <w:r w:rsidRPr="00576ED7">
        <w:rPr>
          <w:i/>
          <w:szCs w:val="24"/>
        </w:rPr>
        <w:t>flat tax</w:t>
      </w:r>
      <w:r w:rsidRPr="00576ED7">
        <w:rPr>
          <w:szCs w:val="24"/>
        </w:rPr>
        <w:t xml:space="preserve"> is one where the percentage that taxpayers pay is equal at all income levels.  Some flat taxes are </w:t>
      </w:r>
      <w:r w:rsidRPr="00576ED7">
        <w:rPr>
          <w:i/>
          <w:szCs w:val="24"/>
        </w:rPr>
        <w:t>regressive in effect</w:t>
      </w:r>
      <w:r w:rsidRPr="00576ED7">
        <w:rPr>
          <w:szCs w:val="24"/>
        </w:rPr>
        <w:t xml:space="preserve">, e.g., a flat sales tax imposed on necessities,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D575F4" w:rsidP="009A1BF0">
      <w:pPr>
        <w:widowControl w:val="0"/>
        <w:jc w:val="both"/>
        <w:rPr>
          <w:szCs w:val="24"/>
        </w:rPr>
      </w:pPr>
      <w:r w:rsidRPr="00576ED7">
        <w:rPr>
          <w:noProof/>
          <w:szCs w:val="24"/>
        </w:rPr>
        <mc:AlternateContent>
          <mc:Choice Requires="wps">
            <w:drawing>
              <wp:anchor distT="152400" distB="152400" distL="152400" distR="152400" simplePos="0" relativeHeight="251622400" behindDoc="0" locked="0" layoutInCell="0" allowOverlap="1" wp14:anchorId="51AA9630" wp14:editId="18508994">
                <wp:simplePos x="0" y="0"/>
                <wp:positionH relativeFrom="margin">
                  <wp:posOffset>-6350</wp:posOffset>
                </wp:positionH>
                <wp:positionV relativeFrom="margin">
                  <wp:posOffset>1675765</wp:posOffset>
                </wp:positionV>
                <wp:extent cx="5034280" cy="4004310"/>
                <wp:effectExtent l="0" t="0" r="13970" b="15240"/>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400431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pt;margin-top:131.95pt;width:396.4pt;height:315.3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VJKgIAAFsEAAAOAAAAZHJzL2Uyb0RvYy54bWysVNtu2zAMfR+wfxD0vthO0zYz4hRdugwD&#10;ugvQ7gNkWbaFSaImKbG7ry8lJ1nQbS/D/CCIEnVInkN6dTNqRfbCeQmmosUsp0QYDo00XUW/PW7f&#10;LCnxgZmGKTCiok/C05v161erwZZiDj2oRjiCIMaXg61oH4Its8zzXmjmZ2CFwcsWnGYBTddljWMD&#10;omuVzfP8KhvANdYBF97j6d10SdcJv20FD1/a1otAVEUxt5BWl9Y6rtl6xcrOMdtLfkiD/UMWmkmD&#10;QU9QdywwsnPyNygtuQMPbZhx0Bm0reQi1YDVFPmLah56ZkWqBcnx9kST/3+w/PP+qyOyQe2KghLD&#10;NIr0KMZA3sFIriM/g/Uluj1YdAwjHqNvqtXbe+DfPTGw6ZnpxK1zMPSCNZhfEV9mZ08nHB9B6uET&#10;NBiG7QIkoLF1OpKHdBBER52eTtrEVDgeXuYXi/kSrzjeLfJ8cVEk9TJWHp9b58MHAZrETUUdip/g&#10;2f7eh5gOK48uMZoHJZutVCoZrqs3ypE9w0bZpi9V8MJNGTJgcfPi7Xyi4K8Yefr+hKFlwJZXUld0&#10;eXJiZSTuvWlSQwYm1bTHnJU5MBnJm2gMYz0m0S6PAtXQPCG1DqYOx4nETQ/uJyUDdndF/Y8dc4IS&#10;9dGgPNdXODw4DueGOzfqc4MZjlAVDZRM202YRmhnnex6jDQ1hIFblLSVieyo/ZTVIX3s4KTBYdri&#10;iJzbyevXP2H9DAAA//8DAFBLAwQUAAYACAAAACEARnMHOd4AAAAKAQAADwAAAGRycy9kb3ducmV2&#10;LnhtbEyPQU+DQBCF7yb+h82YeGsXqNaCDE1D4r2gRo9bdgQiu4vstuC/dzzpcTIv731fvl/MIC40&#10;+d5ZhHgdgSDbON3bFuHl+Wm1A+GDsloNzhLCN3nYF9dXucq0m21Flzq0gkuszxRCF8KYSembjozy&#10;azeS5d+Hm4wKfE6t1JOaudwMMomirTSqt7zQqZHKjprP+mwQXFWVr0n9dXwrZ12283EJ43uHeHuz&#10;HB5BBFrCXxh+8RkdCmY6ubPVXgwIq5hVAkKy3aQgOPCQxuxyQtild/cgi1z+Vyh+AAAA//8DAFBL&#10;AQItABQABgAIAAAAIQC2gziS/gAAAOEBAAATAAAAAAAAAAAAAAAAAAAAAABbQ29udGVudF9UeXBl&#10;c10ueG1sUEsBAi0AFAAGAAgAAAAhADj9If/WAAAAlAEAAAsAAAAAAAAAAAAAAAAALwEAAF9yZWxz&#10;Ly5yZWxzUEsBAi0AFAAGAAgAAAAhAPAl9UkqAgAAWwQAAA4AAAAAAAAAAAAAAAAALgIAAGRycy9l&#10;Mm9Eb2MueG1sUEsBAi0AFAAGAAgAAAAhAEZzBzneAAAACgEAAA8AAAAAAAAAAAAAAAAAhA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w:t>
                      </w:r>
                      <w:r>
                        <w:rPr>
                          <w:rFonts w:ascii="Tw Cen MT" w:hAnsi="Tw Cen MT"/>
                        </w:rPr>
                        <w:t>r</w:t>
                      </w:r>
                      <w:r>
                        <w:rPr>
                          <w:rFonts w:ascii="Tw Cen MT" w:hAnsi="Tw Cen MT"/>
                        </w:rPr>
                        <w:t xml:space="preserve">tain marginal rate of tax on the next dollar that s/he derives in gross income.  Hence, a high-income taxpayer who pays a 39.6% marginal tax rate gains $0.604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w:t>
                      </w:r>
                      <w:r>
                        <w:rPr>
                          <w:rFonts w:ascii="Tw Cen MT" w:hAnsi="Tw Cen MT"/>
                        </w:rPr>
                        <w:t>c</w:t>
                      </w:r>
                      <w:r>
                        <w:rPr>
                          <w:rFonts w:ascii="Tw Cen MT" w:hAnsi="Tw Cen MT"/>
                        </w:rPr>
                        <w:t xml:space="preserve">tions.  The same taxpayer might be considering contributing $1 to his/her local public radio station for which s/he would be entitled to a charitable contribution deduction.  The public radio station would receive $1 of additional spending power while the taxpayer sacrifices only $0.604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w:t>
                      </w:r>
                      <w:r>
                        <w:rPr>
                          <w:rFonts w:ascii="Tw Cen MT" w:hAnsi="Tw Cen MT"/>
                        </w:rPr>
                        <w:t>i</w:t>
                      </w:r>
                      <w:r>
                        <w:rPr>
                          <w:rFonts w:ascii="Tw Cen MT" w:hAnsi="Tw Cen MT"/>
                        </w:rPr>
                        <w:t xml:space="preserve">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w:t>
                      </w:r>
                      <w:r>
                        <w:rPr>
                          <w:rFonts w:ascii="Tw Cen MT" w:hAnsi="Tw Cen MT"/>
                        </w:rPr>
                        <w:t>b</w:t>
                      </w:r>
                      <w:r>
                        <w:rPr>
                          <w:rFonts w:ascii="Tw Cen MT" w:hAnsi="Tw Cen MT"/>
                        </w:rPr>
                        <w:t xml:space="preserve">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w:t>
                      </w:r>
                      <w:r>
                        <w:rPr>
                          <w:rFonts w:ascii="Tw Cen MT" w:hAnsi="Tw Cen MT"/>
                        </w:rPr>
                        <w:t>c</w:t>
                      </w:r>
                      <w:r>
                        <w:rPr>
                          <w:rFonts w:ascii="Tw Cen MT" w:hAnsi="Tw Cen MT"/>
                        </w:rPr>
                        <w:t>tions and exclusion.</w:t>
                      </w:r>
                    </w:p>
                  </w:txbxContent>
                </v:textbox>
                <w10:wrap type="square" side="largest" anchorx="margin" anchory="margin"/>
              </v:shape>
            </w:pict>
          </mc:Fallback>
        </mc:AlternateContent>
      </w:r>
      <w:r w:rsidR="0049128E" w:rsidRPr="00576ED7">
        <w:rPr>
          <w:i/>
          <w:szCs w:val="24"/>
        </w:rPr>
        <w:t>Effective tax rate</w:t>
      </w:r>
      <w:r w:rsidR="0049128E" w:rsidRPr="00576ED7">
        <w:rPr>
          <w:szCs w:val="24"/>
        </w:rPr>
        <w:fldChar w:fldCharType="begin"/>
      </w:r>
      <w:r w:rsidR="0049128E" w:rsidRPr="00576ED7">
        <w:rPr>
          <w:i/>
          <w:szCs w:val="24"/>
        </w:rPr>
        <w:instrText xml:space="preserve"> TC \l2 "Effective tax rate</w:instrText>
      </w:r>
      <w:r w:rsidR="0049128E" w:rsidRPr="00576ED7">
        <w:rPr>
          <w:szCs w:val="24"/>
        </w:rPr>
        <w:fldChar w:fldCharType="end"/>
      </w:r>
      <w:r w:rsidR="0049128E" w:rsidRPr="00576ED7">
        <w:rPr>
          <w:szCs w:val="24"/>
        </w:rPr>
        <w:t>: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his/her ordinary income.  It may be useful for policy-makers to know what certain taxpayers’ “effective tax rate” is, i.e., (amount of tax)/(total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xml:space="preserve">: A taxpayer’s marginal tax rate is the rate at which the next (or last) dollar is taxed.  Because we have a progressive rate structure, this rate will </w:t>
      </w:r>
      <w:r w:rsidRPr="00576ED7">
        <w:rPr>
          <w:szCs w:val="24"/>
        </w:rPr>
        <w:lastRenderedPageBreak/>
        <w:t>be greater than the taxpayer’s effective tax rate.  Among the reasons that the ma</w:t>
      </w:r>
      <w:r w:rsidRPr="00576ED7">
        <w:rPr>
          <w:szCs w:val="24"/>
        </w:rPr>
        <w:t>r</w:t>
      </w:r>
      <w:r w:rsidRPr="00576ED7">
        <w:rPr>
          <w:szCs w:val="24"/>
        </w:rPr>
        <w:t>ginal tax rate is important is that it is the rate that determines the cost or value of whatever taxable-income-affecting decision a taxpayer might make, e.g., to work more, to have a spouse work outside the home, to incur a deductible expense, to accept a benefit that is excluded from his/her gross income in lieu of salary from an employer.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The incidence of a tax is the person on whom the burden of a tax falls.  The phrase is used to identify occasions where the ostensible payor of a tax is able to shift the burden to another.</w:t>
      </w:r>
      <w:r w:rsidRPr="00576ED7">
        <w:rPr>
          <w:rStyle w:val="FootnoteReference"/>
          <w:szCs w:val="24"/>
        </w:rPr>
        <w:footnoteReference w:id="9"/>
      </w:r>
      <w:r w:rsidRPr="00576ED7">
        <w:rPr>
          <w:szCs w:val="24"/>
        </w:rPr>
        <w:t xml:space="preserve">  For example, a property owner may be r</w:t>
      </w:r>
      <w:r w:rsidRPr="00576ED7">
        <w:rPr>
          <w:szCs w:val="24"/>
        </w:rPr>
        <w:t>e</w:t>
      </w:r>
      <w:r w:rsidRPr="00576ED7">
        <w:rPr>
          <w:szCs w:val="24"/>
        </w:rPr>
        <w:t>sponsible for payment of real property taxes, but their incidence may fall on the tenants of the property owner.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ta</w:t>
      </w:r>
      <w:r w:rsidRPr="00576ED7">
        <w:rPr>
          <w:szCs w:val="24"/>
        </w:rPr>
        <w:t>x</w:t>
      </w:r>
      <w:r w:rsidRPr="00576ED7">
        <w:rPr>
          <w:szCs w:val="24"/>
        </w:rPr>
        <w:t>payer’s “gross income,” e.g., employer-provided health insurance (§ 106), life insurance proceeds (§ 101), interest from state or local bonds (§ 103), various employee fringe benefits (e.g., §§ 132, 129, 119).  Many exclusions are emplo</w:t>
      </w:r>
      <w:r w:rsidRPr="00576ED7">
        <w:rPr>
          <w:szCs w:val="24"/>
        </w:rPr>
        <w:t>y</w:t>
      </w:r>
      <w:r w:rsidRPr="00576ED7">
        <w:rPr>
          <w:szCs w:val="24"/>
        </w:rPr>
        <w:t>ment-based.</w:t>
      </w:r>
      <w:r w:rsidRPr="00576ED7">
        <w:rPr>
          <w:rStyle w:val="FootnoteReference"/>
          <w:szCs w:val="24"/>
        </w:rPr>
        <w:footnoteReference w:id="10"/>
      </w:r>
      <w:r w:rsidRPr="00576ED7">
        <w:rPr>
          <w:szCs w:val="24"/>
        </w:rPr>
        <w:t xml:space="preserve">  Congressional exclusion of clear accessions to wealth from the 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(some, but not all) employers, providers of medical services</w:t>
      </w:r>
      <w:r w:rsidRPr="00576ED7">
        <w:rPr>
          <w:rStyle w:val="FootnoteReference"/>
          <w:szCs w:val="24"/>
        </w:rPr>
        <w:footnoteReference w:id="11"/>
      </w:r>
      <w:r w:rsidRPr="00576ED7">
        <w:rPr>
          <w:szCs w:val="24"/>
        </w:rPr>
        <w:t xml:space="preserve">) in exchange for untaxed dollars.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Deductions from Taxable Income</w:t>
      </w:r>
      <w:r w:rsidRPr="00576ED7">
        <w:rPr>
          <w:szCs w:val="24"/>
        </w:rPr>
        <w:fldChar w:fldCharType="begin"/>
      </w:r>
      <w:r w:rsidRPr="00576ED7">
        <w:rPr>
          <w:i/>
          <w:szCs w:val="24"/>
        </w:rPr>
        <w:instrText xml:space="preserve"> TC \l2 "Deductions from Taxable Income</w:instrText>
      </w:r>
      <w:r w:rsidRPr="00576ED7">
        <w:rPr>
          <w:szCs w:val="24"/>
        </w:rPr>
        <w:fldChar w:fldCharType="end"/>
      </w:r>
      <w:r w:rsidRPr="00576ED7">
        <w:rPr>
          <w:szCs w:val="24"/>
        </w:rPr>
        <w:t xml:space="preserve">: Congress permits taxpayers who spend their money in certain prescribed ways to subtract the amount of such expenditures </w:t>
      </w:r>
      <w:r w:rsidRPr="00576ED7">
        <w:rPr>
          <w:szCs w:val="24"/>
        </w:rPr>
        <w:lastRenderedPageBreak/>
        <w:t>from their taxable income.  A deduction is only available to reduce income (ot</w:t>
      </w:r>
      <w:r w:rsidRPr="00576ED7">
        <w:rPr>
          <w:szCs w:val="24"/>
        </w:rPr>
        <w:t>h</w:t>
      </w:r>
      <w:r w:rsidRPr="00576ED7">
        <w:rPr>
          <w:szCs w:val="24"/>
        </w:rPr>
        <w:t>erwise) subject to income tax.  Hence, the person who gives his/her time to work for a charity may not deduct the fmv of the time because taxpayer is not taxed on the fmv of his/her time.  A taxpayer has no basis in wages that s/he never r</w:t>
      </w:r>
      <w:r w:rsidRPr="00576ED7">
        <w:rPr>
          <w:szCs w:val="24"/>
        </w:rPr>
        <w:t>e</w:t>
      </w:r>
      <w:r w:rsidRPr="00576ED7">
        <w:rPr>
          <w:szCs w:val="24"/>
        </w:rPr>
        <w:t>ceives.</w:t>
      </w:r>
      <w:r w:rsidRPr="00576ED7">
        <w:rPr>
          <w:rStyle w:val="FootnoteReference"/>
          <w:szCs w:val="24"/>
        </w:rPr>
        <w:footnoteReference w:id="12"/>
      </w:r>
      <w:r w:rsidRPr="00576ED7">
        <w:rPr>
          <w:szCs w:val="24"/>
        </w:rPr>
        <w:t xml:space="preserve">  From a tax perspective, this is the critical difference between an excl</w:t>
      </w:r>
      <w:r w:rsidRPr="00576ED7">
        <w:rPr>
          <w:szCs w:val="24"/>
        </w:rPr>
        <w:t>u</w:t>
      </w:r>
      <w:r w:rsidRPr="00576ED7">
        <w:rPr>
          <w:szCs w:val="24"/>
        </w:rPr>
        <w:t>sion from gross income and a d</w:t>
      </w:r>
      <w:r w:rsidRPr="00576ED7">
        <w:rPr>
          <w:szCs w:val="24"/>
        </w:rPr>
        <w:t>e</w:t>
      </w:r>
      <w:r w:rsidRPr="00576ED7">
        <w:rPr>
          <w:szCs w:val="24"/>
        </w:rPr>
        <w:t>duction from taxable income (or from adjus</w:t>
      </w:r>
      <w:r w:rsidRPr="00576ED7">
        <w:rPr>
          <w:szCs w:val="24"/>
        </w:rPr>
        <w:t>t</w:t>
      </w:r>
      <w:r w:rsidRPr="00576ED7">
        <w:rPr>
          <w:szCs w:val="24"/>
        </w:rPr>
        <w:t>ed gross income).</w:t>
      </w:r>
    </w:p>
    <w:p w:rsidR="0049128E" w:rsidRPr="00576ED7" w:rsidRDefault="00D62F60" w:rsidP="009A1BF0">
      <w:pPr>
        <w:widowControl w:val="0"/>
        <w:jc w:val="both"/>
        <w:rPr>
          <w:szCs w:val="24"/>
        </w:rPr>
      </w:pPr>
      <w:r w:rsidRPr="00576ED7">
        <w:rPr>
          <w:noProof/>
          <w:szCs w:val="24"/>
        </w:rPr>
        <mc:AlternateContent>
          <mc:Choice Requires="wps">
            <w:drawing>
              <wp:anchor distT="152400" distB="152400" distL="152400" distR="152400" simplePos="0" relativeHeight="251623424" behindDoc="0" locked="0" layoutInCell="0" allowOverlap="1" wp14:anchorId="64BAB9F2" wp14:editId="6A7C682E">
                <wp:simplePos x="0" y="0"/>
                <wp:positionH relativeFrom="page">
                  <wp:posOffset>3034665</wp:posOffset>
                </wp:positionH>
                <wp:positionV relativeFrom="paragraph">
                  <wp:posOffset>88900</wp:posOffset>
                </wp:positionV>
                <wp:extent cx="3336925" cy="3068955"/>
                <wp:effectExtent l="0" t="0" r="15875" b="1714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306895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38.95pt;margin-top:7pt;width:262.75pt;height:241.65pt;z-index:251623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G8KQIAAFsEAAAOAAAAZHJzL2Uyb0RvYy54bWysVNuO2yAQfa/Uf0C8N3YSJU2sOKtttqkq&#10;bS/Sbj8AY2yjAkOBxE6/vgPOZtPbS1U/IAaGM2fOzHhzM2hFjsJ5Caak00lOiTAcamnakn553L9a&#10;UeIDMzVTYERJT8LTm+3LF5veFmIGHahaOIIgxhe9LWkXgi2yzPNOaOYnYIXBywacZgFN12a1Yz2i&#10;a5XN8nyZ9eBq64AL7/H0bryk24TfNIKHT03jRSCqpMgtpNWltYprtt2wonXMdpKfabB/YKGZNBj0&#10;AnXHAiMHJ3+D0pI78NCECQedQdNILlIOmM00/yWbh45ZkXJBcby9yOT/Hyz/ePzsiKyxdlPUxzCN&#10;RXoUQyBvYCCrqE9vfYFuDxYdw4DH6Jty9fYe+FdPDOw6Zlpx6xz0nWA18pvGl9nV0xHHR5Cq/wA1&#10;hmGHAAloaJyO4qEcBNGRx+lSm0iF4+F8Pl+uZwtKON7N8+VqvVikGKx4em6dD+8EaBI3JXVY/ATP&#10;jvc+RDqseHKJ0TwoWe+lUslwbbVTjhwZNso+fWf0n9yUIT0mN5uuZ6MEf8XI0/cnDC0DtrySuqSr&#10;ixMronBvTZ0aMjCpxj1yVuasZBRvlDEM1ZCKtowBosoV1CeU1sHY4TiRuOnAfaekx+4uqf92YE5Q&#10;ot4bLM/rJQ4PjsO14a6N6tpghiNUSQMl43YXxhE6WCfbDiONDWHgFkvayCT2M6szfezgVIPztMUR&#10;ubaT1/M/YfsDAAD//wMAUEsDBBQABgAIAAAAIQAHuu+y3QAAAAsBAAAPAAAAZHJzL2Rvd25yZXYu&#10;eG1sTI/BTsMwEETvSPyDtUjcqE0bERriVCgS9yYUwdGNlyQiXofYbcLfsz3BcTVPs2/y3eIGccYp&#10;9J403K8UCKTG255aDYfXl7tHECEasmbwhBp+MMCuuL7KTWb9TBWe69gKLqGQGQ1djGMmZWg6dCas&#10;/IjE2aefnIl8Tq20k5m53A1yrdSDdKYn/tCZEcsOm6/65DT4qirf1vX3/r2cbdnO+yWOH53WtzfL&#10;8xOIiEv8g+Giz+pQsNPRn8gGMWhI0nTLKAcJb7oASm0SEEeOtukGZJHL/xuKXwAAAP//AwBQSwEC&#10;LQAUAAYACAAAACEAtoM4kv4AAADhAQAAEwAAAAAAAAAAAAAAAAAAAAAAW0NvbnRlbnRfVHlwZXNd&#10;LnhtbFBLAQItABQABgAIAAAAIQA4/SH/1gAAAJQBAAALAAAAAAAAAAAAAAAAAC8BAABfcmVscy8u&#10;cmVsc1BLAQItABQABgAIAAAAIQAz2fG8KQIAAFsEAAAOAAAAAAAAAAAAAAAAAC4CAABkcnMvZTJv&#10;RG9jLnhtbFBLAQItABQABgAIAAAAIQAHuu+y3QAAAAsBAAAPAAAAAAAAAAAAAAAAAIMEAABkcnMv&#10;ZG93bnJldi54bWxQSwUGAAAAAAQABADzAAAAjQUAAAAA&#10;" o:allowincell="f" strokeweight=".96pt">
                <v:textbox inset="6pt,6pt,6pt,6pt">
                  <w:txbxContent>
                    <w:p w:rsidR="00FF5E72" w:rsidRDefault="00FF5E72">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w:t>
                      </w:r>
                      <w:r>
                        <w:rPr>
                          <w:rFonts w:ascii="Tw Cen MT" w:hAnsi="Tw Cen MT"/>
                        </w:rPr>
                        <w:t>t</w:t>
                      </w:r>
                      <w:r>
                        <w:rPr>
                          <w:rFonts w:ascii="Tw Cen MT" w:hAnsi="Tw Cen MT"/>
                        </w:rPr>
                        <w:t>er incentive to low-income persons than to high-income persons, it can establish the percentage of the expenditure allowed as a credit at a level hig</w:t>
                      </w:r>
                      <w:r>
                        <w:rPr>
                          <w:rFonts w:ascii="Tw Cen MT" w:hAnsi="Tw Cen MT"/>
                        </w:rPr>
                        <w:t>h</w:t>
                      </w:r>
                      <w:r>
                        <w:rPr>
                          <w:rFonts w:ascii="Tw Cen MT" w:hAnsi="Tw Cen MT"/>
                        </w:rPr>
                        <w:t>er than</w:t>
                      </w:r>
                      <w:r w:rsidRPr="00D57168">
                        <w:rPr>
                          <w:rFonts w:ascii="Tw Cen MT" w:hAnsi="Tw Cen MT"/>
                        </w:rPr>
                        <w:t xml:space="preserve"> </w:t>
                      </w:r>
                      <w:r>
                        <w:rPr>
                          <w:rFonts w:ascii="Tw Cen MT" w:hAnsi="Tw Cen MT"/>
                        </w:rPr>
                        <w:t>the marginal tax bracket of a low-income taxpayer but lower than the marginal tax bracket of a high-income taxpayer.  Such a credit will ben</w:t>
                      </w:r>
                      <w:r>
                        <w:rPr>
                          <w:rFonts w:ascii="Tw Cen MT" w:hAnsi="Tw Cen MT"/>
                        </w:rPr>
                        <w:t>e</w:t>
                      </w:r>
                      <w:r>
                        <w:rPr>
                          <w:rFonts w:ascii="Tw Cen MT" w:hAnsi="Tw Cen MT"/>
                        </w:rPr>
                        <w:t>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p>
    <w:p w:rsidR="0049128E" w:rsidRPr="00576ED7" w:rsidRDefault="0049128E" w:rsidP="009A1BF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In response to news stories about ce</w:t>
      </w:r>
      <w:r w:rsidRPr="00576ED7">
        <w:rPr>
          <w:szCs w:val="24"/>
        </w:rPr>
        <w:t>r</w:t>
      </w:r>
      <w:r w:rsidRPr="00576ED7">
        <w:rPr>
          <w:szCs w:val="24"/>
        </w:rPr>
        <w:t>tain wealthy people who managed their financial affairs so as to pay little or nothing in federal income tax, Congress enacted the alternative minimum tax (AMT) scheme.  I.R.C. §§ 55-59.  The basic scheme of the AMT is to require all taxpayers to compute their “regular tax” liabi</w:t>
      </w:r>
      <w:r w:rsidRPr="00576ED7">
        <w:rPr>
          <w:szCs w:val="24"/>
        </w:rPr>
        <w:t>l</w:t>
      </w:r>
      <w:r w:rsidRPr="00576ED7">
        <w:rPr>
          <w:szCs w:val="24"/>
        </w:rPr>
        <w:t>ity and as well as their “alternative minimum tax liability.”  They compute their AMT liability under rules that adjust taxable income upward by eliminating or reducing the tax benefits of certain expenditures or of deriving i</w:t>
      </w:r>
      <w:r w:rsidRPr="00576ED7">
        <w:rPr>
          <w:szCs w:val="24"/>
        </w:rPr>
        <w:t>n</w:t>
      </w:r>
      <w:r w:rsidRPr="00576ED7">
        <w:rPr>
          <w:szCs w:val="24"/>
        </w:rPr>
        <w:t>come from certain sources.  They reduce the alternative minimum taxable income by a flat standard deduction</w:t>
      </w:r>
      <w:r w:rsidR="00D57168" w:rsidRPr="00576ED7">
        <w:rPr>
          <w:szCs w:val="24"/>
        </w:rPr>
        <w:t xml:space="preserve"> that is subject to indexing.  </w:t>
      </w:r>
      <w:r w:rsidRPr="00576ED7">
        <w:rPr>
          <w:szCs w:val="24"/>
        </w:rPr>
        <w:t xml:space="preserve">A (nearly) flat rate of tax applies to the balance.  Taxpayer must pay the greater of his/her regular tax or AMT.  Congress aimed the AMT at high-income persons who did not pay as much income tax as Congress thought </w:t>
      </w:r>
      <w:r w:rsidR="00D57168" w:rsidRPr="00576ED7">
        <w:rPr>
          <w:szCs w:val="24"/>
        </w:rPr>
        <w:t>they should.</w:t>
      </w:r>
      <w:r w:rsidRPr="00576ED7">
        <w:rPr>
          <w:rStyle w:val="FootnoteReference"/>
          <w:szCs w:val="24"/>
        </w:rPr>
        <w:footnoteReference w:id="1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lastRenderedPageBreak/>
        <w:t>Credits against Tax Liability</w:t>
      </w:r>
      <w:r w:rsidRPr="00576ED7">
        <w:rPr>
          <w:szCs w:val="24"/>
        </w:rPr>
        <w:fldChar w:fldCharType="begin"/>
      </w:r>
      <w:r w:rsidRPr="00576ED7">
        <w:rPr>
          <w:i/>
          <w:szCs w:val="24"/>
        </w:rPr>
        <w:instrText xml:space="preserve"> TC \l2 "Credits against Tax Liability</w:instrText>
      </w:r>
      <w:r w:rsidRPr="00576ED7">
        <w:rPr>
          <w:szCs w:val="24"/>
        </w:rPr>
        <w:fldChar w:fldCharType="end"/>
      </w:r>
      <w:r w:rsidRPr="00576ED7">
        <w:rPr>
          <w:szCs w:val="24"/>
        </w:rPr>
        <w:t>: A taxpayer may be entitled to one or more credits against his/her tax liability.  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  The amount of the credit is some percentage of the amount spent; usually (but not always) that percentage is fixed.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Income Phaseouts</w:t>
      </w:r>
      <w:r w:rsidRPr="00576ED7">
        <w:rPr>
          <w:szCs w:val="24"/>
        </w:rPr>
        <w:fldChar w:fldCharType="begin"/>
      </w:r>
      <w:r w:rsidRPr="00576ED7">
        <w:rPr>
          <w:i/>
          <w:szCs w:val="24"/>
        </w:rPr>
        <w:instrText xml:space="preserve"> TC \l2 "Income Phaseouts</w:instrText>
      </w:r>
      <w:r w:rsidRPr="00576ED7">
        <w:rPr>
          <w:szCs w:val="24"/>
        </w:rPr>
        <w:fldChar w:fldCharType="end"/>
      </w:r>
      <w:r w:rsidRPr="00576ED7">
        <w:rPr>
          <w:szCs w:val="24"/>
        </w:rPr>
        <w:t>: When Congress wants to reduce the income tax liability of lower-income taxpayers for having made a particular expenditure but not the i</w:t>
      </w:r>
      <w:r w:rsidRPr="00576ED7">
        <w:rPr>
          <w:szCs w:val="24"/>
        </w:rPr>
        <w:t>n</w:t>
      </w:r>
      <w:r w:rsidRPr="00576ED7">
        <w:rPr>
          <w:szCs w:val="24"/>
        </w:rPr>
        <w:t>come tax liability of higher income taxpayers who make the same expenditure, it may phase the benefit out as a taxpayer’s income increases.  For example, a Code provision might provide a deduction that is reduced by 10% for every $2000 of a taxpayer’s taxable income that exceeds $150,000 of taxpayer’s adjusted gross i</w:t>
      </w:r>
      <w:r w:rsidRPr="00576ED7">
        <w:rPr>
          <w:szCs w:val="24"/>
        </w:rPr>
        <w:t>n</w:t>
      </w:r>
      <w:r w:rsidRPr="00576ED7">
        <w:rPr>
          <w:szCs w:val="24"/>
        </w:rPr>
        <w:t>come.  Congress can apply phaseouts to both credits and deductions.  The precise mechanics and income levels of various phaseouts differ.  Income phaseouts i</w:t>
      </w:r>
      <w:r w:rsidRPr="00576ED7">
        <w:rPr>
          <w:szCs w:val="24"/>
        </w:rPr>
        <w:t>n</w:t>
      </w:r>
      <w:r w:rsidRPr="00576ED7">
        <w:rPr>
          <w:szCs w:val="24"/>
        </w:rPr>
        <w:t xml:space="preserve">crease the complexity of the Code and so also increase the cost of compliance and administration.  They can make it very difficult for a taxpayer to know what his/her marginal tax bracket is – as </w:t>
      </w:r>
      <w:r w:rsidRPr="00576ED7">
        <w:rPr>
          <w:i/>
          <w:szCs w:val="24"/>
        </w:rPr>
        <w:t>any</w:t>
      </w:r>
      <w:r w:rsidRPr="00576ED7">
        <w:rPr>
          <w:szCs w:val="24"/>
        </w:rPr>
        <w:t xml:space="preserve"> change in AGI or deductions effectively changes his/her tax bracket.  Income phaseouts are a tool of congressional co</w:t>
      </w:r>
      <w:r w:rsidRPr="00576ED7">
        <w:rPr>
          <w:szCs w:val="24"/>
        </w:rPr>
        <w:t>m</w:t>
      </w:r>
      <w:r w:rsidRPr="00576ED7">
        <w:rPr>
          <w:szCs w:val="24"/>
        </w:rPr>
        <w:t>promise.  Perhaps Congress is so willing to enact income phaseouts because there are many inexpensive computer programs that taxpayers use to perform all nece</w:t>
      </w:r>
      <w:r w:rsidRPr="00576ED7">
        <w:rPr>
          <w:szCs w:val="24"/>
        </w:rPr>
        <w:t>s</w:t>
      </w:r>
      <w:r w:rsidRPr="00576ED7">
        <w:rPr>
          <w:szCs w:val="24"/>
        </w:rPr>
        <w:t>sary calculations.</w:t>
      </w:r>
      <w:r w:rsidRPr="00576ED7">
        <w:rPr>
          <w:rStyle w:val="FootnoteReference"/>
          <w:szCs w:val="24"/>
        </w:rPr>
        <w:footnoteReference w:id="14"/>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 Word about Employment Taxes</w:t>
      </w:r>
      <w:r w:rsidRPr="00576ED7">
        <w:rPr>
          <w:szCs w:val="24"/>
        </w:rPr>
        <w:fldChar w:fldCharType="begin"/>
      </w:r>
      <w:r w:rsidRPr="00576ED7">
        <w:rPr>
          <w:i/>
          <w:szCs w:val="24"/>
        </w:rPr>
        <w:instrText xml:space="preserve"> TC \l2 "A Word about Employment Taxes</w:instrText>
      </w:r>
      <w:r w:rsidRPr="00576ED7">
        <w:rPr>
          <w:szCs w:val="24"/>
        </w:rPr>
        <w:fldChar w:fldCharType="end"/>
      </w:r>
      <w:r w:rsidRPr="00576ED7">
        <w:rPr>
          <w:szCs w:val="24"/>
        </w:rPr>
        <w:t>: “Employment taxes” are the social security tax and the medicare tax that we all pay on wages we receive from employers.</w:t>
      </w:r>
      <w:r w:rsidRPr="00576ED7">
        <w:rPr>
          <w:rStyle w:val="FootnoteReference"/>
          <w:szCs w:val="24"/>
        </w:rPr>
        <w:footnoteReference w:id="15"/>
      </w:r>
      <w:r w:rsidRPr="00576ED7">
        <w:rPr>
          <w:szCs w:val="24"/>
        </w:rPr>
        <w:t xml:space="preserve">  E</w:t>
      </w:r>
      <w:r w:rsidRPr="00576ED7">
        <w:rPr>
          <w:szCs w:val="24"/>
        </w:rPr>
        <w:t>m</w:t>
      </w:r>
      <w:r w:rsidRPr="00576ED7">
        <w:rPr>
          <w:szCs w:val="24"/>
        </w:rPr>
        <w:t>ployers pay a like amount.</w:t>
      </w:r>
      <w:r w:rsidRPr="00576ED7">
        <w:rPr>
          <w:rStyle w:val="FootnoteReference"/>
          <w:szCs w:val="24"/>
        </w:rPr>
        <w:footnoteReference w:id="16"/>
      </w:r>
      <w:r w:rsidRPr="00576ED7">
        <w:rPr>
          <w:szCs w:val="24"/>
        </w:rPr>
        <w:t xml:space="preserve"> Self-employed persons must pay the equivalent amounts as “self-employment” ta</w:t>
      </w:r>
      <w:r w:rsidRPr="00576ED7">
        <w:rPr>
          <w:szCs w:val="24"/>
        </w:rPr>
        <w:t>x</w:t>
      </w:r>
      <w:r w:rsidRPr="00576ED7">
        <w:rPr>
          <w:szCs w:val="24"/>
        </w:rPr>
        <w:t>es.  The Gover</w:t>
      </w:r>
      <w:r w:rsidRPr="00576ED7">
        <w:rPr>
          <w:szCs w:val="24"/>
        </w:rPr>
        <w:t>n</w:t>
      </w:r>
      <w:r w:rsidRPr="00576ED7">
        <w:rPr>
          <w:szCs w:val="24"/>
        </w:rPr>
        <w:t>ment collects a</w:t>
      </w:r>
      <w:r w:rsidRPr="00576ED7">
        <w:rPr>
          <w:szCs w:val="24"/>
        </w:rPr>
        <w:t>p</w:t>
      </w:r>
      <w:r w:rsidRPr="00576ED7">
        <w:rPr>
          <w:szCs w:val="24"/>
        </w:rPr>
        <w:t>proximately 3</w:t>
      </w:r>
      <w:r w:rsidR="00111C5E" w:rsidRPr="00576ED7">
        <w:rPr>
          <w:szCs w:val="24"/>
        </w:rPr>
        <w:t>1</w:t>
      </w:r>
      <w:r w:rsidRPr="00576ED7">
        <w:rPr>
          <w:szCs w:val="24"/>
        </w:rPr>
        <w:t>% of its tax revenues through these taxes – much more than it collects from corporate income taxes, gift taxes, estate taxes, and excise taxes combined.  Elig</w:t>
      </w:r>
      <w:r w:rsidRPr="00576ED7">
        <w:rPr>
          <w:szCs w:val="24"/>
        </w:rPr>
        <w:t>i</w:t>
      </w:r>
      <w:r w:rsidRPr="00576ED7">
        <w:rPr>
          <w:szCs w:val="24"/>
        </w:rPr>
        <w:lastRenderedPageBreak/>
        <w:t>bility to be a ben</w:t>
      </w:r>
      <w:r w:rsidRPr="00576ED7">
        <w:rPr>
          <w:szCs w:val="24"/>
        </w:rPr>
        <w:t>e</w:t>
      </w:r>
      <w:r w:rsidRPr="00576ED7">
        <w:rPr>
          <w:szCs w:val="24"/>
        </w:rPr>
        <w:t>ficiary of the social security program or medicare program does not turn on a person’s lack of wealth or need.  In essence, the federal government co</w:t>
      </w:r>
      <w:r w:rsidRPr="00576ED7">
        <w:rPr>
          <w:szCs w:val="24"/>
        </w:rPr>
        <w:t>l</w:t>
      </w:r>
      <w:r w:rsidRPr="00576ED7">
        <w:rPr>
          <w:szCs w:val="24"/>
        </w:rPr>
        <w:t>lects a lot of money from working pe</w:t>
      </w:r>
      <w:r w:rsidRPr="00576ED7">
        <w:rPr>
          <w:szCs w:val="24"/>
        </w:rPr>
        <w:t>o</w:t>
      </w:r>
      <w:r w:rsidRPr="00576ED7">
        <w:rPr>
          <w:szCs w:val="24"/>
        </w:rPr>
        <w:t xml:space="preserve">ple so that </w:t>
      </w:r>
      <w:r w:rsidRPr="00576ED7">
        <w:rPr>
          <w:i/>
          <w:szCs w:val="24"/>
        </w:rPr>
        <w:t>all</w:t>
      </w:r>
      <w:r w:rsidRPr="00576ED7">
        <w:rPr>
          <w:szCs w:val="24"/>
        </w:rPr>
        <w:t xml:space="preserve"> pe</w:t>
      </w:r>
      <w:r w:rsidRPr="00576ED7">
        <w:rPr>
          <w:szCs w:val="24"/>
        </w:rPr>
        <w:t>r</w:t>
      </w:r>
      <w:r w:rsidRPr="00576ED7">
        <w:rPr>
          <w:szCs w:val="24"/>
        </w:rPr>
        <w:t>sons – rich and poor – can benefit from these pr</w:t>
      </w:r>
      <w:r w:rsidRPr="00576ED7">
        <w:rPr>
          <w:szCs w:val="24"/>
        </w:rPr>
        <w:t>o</w:t>
      </w:r>
      <w:r w:rsidRPr="00576ED7">
        <w:rPr>
          <w:szCs w:val="24"/>
        </w:rPr>
        <w:t>grams.</w:t>
      </w:r>
    </w:p>
    <w:p w:rsidR="0049128E" w:rsidRPr="00576ED7" w:rsidRDefault="00A05B5E" w:rsidP="009A1BF0">
      <w:pPr>
        <w:widowControl w:val="0"/>
        <w:jc w:val="both"/>
        <w:rPr>
          <w:szCs w:val="24"/>
        </w:rPr>
      </w:pPr>
      <w:r w:rsidRPr="00576ED7">
        <w:rPr>
          <w:noProof/>
          <w:szCs w:val="24"/>
        </w:rPr>
        <mc:AlternateContent>
          <mc:Choice Requires="wps">
            <w:drawing>
              <wp:anchor distT="152400" distB="152400" distL="152400" distR="152400" simplePos="0" relativeHeight="251624448" behindDoc="0" locked="0" layoutInCell="0" allowOverlap="1" wp14:anchorId="41B5A2CC" wp14:editId="70335023">
                <wp:simplePos x="0" y="0"/>
                <wp:positionH relativeFrom="margin">
                  <wp:posOffset>1369695</wp:posOffset>
                </wp:positionH>
                <wp:positionV relativeFrom="paragraph">
                  <wp:posOffset>-609600</wp:posOffset>
                </wp:positionV>
                <wp:extent cx="3642360" cy="3867785"/>
                <wp:effectExtent l="0" t="0" r="15240" b="1841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86778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FF5E72" w:rsidRDefault="00FF5E72">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FF5E72" w:rsidRDefault="00FF5E72">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FF5E72" w:rsidRDefault="00FF5E72">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7.85pt;margin-top:-48pt;width:286.8pt;height:304.55pt;z-index:25162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b2KgIAAFsEAAAOAAAAZHJzL2Uyb0RvYy54bWysVNuO2yAQfa/Uf0C8N3aSNhcrzmqbbapK&#10;24u02w/AGNuowFAgsbdfvwPOZtPbS1U/IAaGMzPnzHhzNWhFjsJ5Caak00lOiTAcamnakn69379a&#10;UeIDMzVTYERJH4SnV9uXLza9LcQMOlC1cARBjC96W9IuBFtkmeed0MxPwAqDlw04zQKars1qx3pE&#10;1yqb5fki68HV1gEX3uPpzXhJtwm/aQQPn5vGi0BUSTG3kFaX1iqu2XbDitYx20l+SoP9QxaaSYNB&#10;z1A3LDBycPI3KC25Aw9NmHDQGTSN5CLVgNVM81+queuYFakWJMfbM03+/8HyT8cvjsgatcvXlBim&#10;UaR7MQTyFgayjvz01hfodmfRMQx4jL6pVm9vgX/zxMCuY6YV185B3wlWY37T+DK7eDri+AhS9R+h&#10;xjDsECABDY3TkTykgyA66vRw1iamwvFwvng9my/wiuPdfLVYLldvUgxWPD23zof3AjSJm5I6FD/B&#10;s+OtDzEdVjy5xGgelKz3UqlkuLbaKUeODBtln74T+k9uypAei5tN17ORgr9i5On7E4aWAVteSV3S&#10;1dmJFZG4d6ZODRmYVOMec1bmxGQkb6QxDNWQRFvGAJHlCuoHpNbB2OE4kbjpwP2gpMfuLqn/fmBO&#10;UKI+GJRnucDhwXG4NNylUV0azHCEKmmgZNzuwjhCB+tk22GksSEMXKOkjUxkP2d1Sh87OGlwmrY4&#10;Ipd28nr+J2wfAQAA//8DAFBLAwQUAAYACAAAACEA33soPd8AAAALAQAADwAAAGRycy9kb3ducmV2&#10;LnhtbEyPTU+DQBCG7yb+h82YeGsXaPpFWRpD4r2gRo9bdgpEdhbZbcF/73jS42SevO/zZsfZ9uKG&#10;o+8cKYiXEQik2pmOGgWvL8+LHQgfNBndO0IF3+jhmN/fZTo1bqISb1VoBIeQT7WCNoQhldLXLVrt&#10;l25A4t/FjVYHPsdGmlFPHG57mUTRRlrdETe0esCixfqzuloFriyLt6T6Or0Xkyma6TSH4aNV6vFh&#10;fjqACDiHPxh+9VkdcnY6uysZL3oFSbzeMqpgsd/wKCa2u/0KxFnBOl7FIPNM/t+Q/wAAAP//AwBQ&#10;SwECLQAUAAYACAAAACEAtoM4kv4AAADhAQAAEwAAAAAAAAAAAAAAAAAAAAAAW0NvbnRlbnRfVHlw&#10;ZXNdLnhtbFBLAQItABQABgAIAAAAIQA4/SH/1gAAAJQBAAALAAAAAAAAAAAAAAAAAC8BAABfcmVs&#10;cy8ucmVsc1BLAQItABQABgAIAAAAIQDsz9b2KgIAAFsEAAAOAAAAAAAAAAAAAAAAAC4CAABkcnMv&#10;ZTJvRG9jLnhtbFBLAQItABQABgAIAAAAIQDfeyg93wAAAAsBAAAPAAAAAAAAAAAAAAAAAIQ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FF5E72" w:rsidRDefault="00FF5E72">
                      <w:pPr>
                        <w:widowControl w:val="0"/>
                        <w:jc w:val="both"/>
                        <w:rPr>
                          <w:rFonts w:ascii="Tw Cen MT" w:hAnsi="Tw Cen MT"/>
                        </w:rPr>
                      </w:pPr>
                      <w:r>
                        <w:rPr>
                          <w:rFonts w:ascii="Tw Cen MT" w:hAnsi="Tw Cen MT"/>
                        </w:rPr>
                        <w:t>(1) Statute and regulation reading, discernment of pr</w:t>
                      </w:r>
                      <w:r>
                        <w:rPr>
                          <w:rFonts w:ascii="Tw Cen MT" w:hAnsi="Tw Cen MT"/>
                        </w:rPr>
                        <w:t>e</w:t>
                      </w:r>
                      <w:r>
                        <w:rPr>
                          <w:rFonts w:ascii="Tw Cen MT" w:hAnsi="Tw Cen MT"/>
                        </w:rPr>
                        <w:t>cise rules and their limits, application of these rules to specific situations;</w:t>
                      </w:r>
                    </w:p>
                    <w:p w:rsidR="00FF5E72" w:rsidRDefault="00FF5E72">
                      <w:pPr>
                        <w:widowControl w:val="0"/>
                        <w:jc w:val="both"/>
                        <w:rPr>
                          <w:rFonts w:ascii="Tw Cen MT" w:hAnsi="Tw Cen MT"/>
                        </w:rPr>
                      </w:pPr>
                      <w:r>
                        <w:rPr>
                          <w:rFonts w:ascii="Tw Cen MT" w:hAnsi="Tw Cen MT"/>
                        </w:rPr>
                        <w:t>(2) Consideration of whether Code provisions are co</w:t>
                      </w:r>
                      <w:r>
                        <w:rPr>
                          <w:rFonts w:ascii="Tw Cen MT" w:hAnsi="Tw Cen MT"/>
                        </w:rPr>
                        <w:t>n</w:t>
                      </w:r>
                      <w:r>
                        <w:rPr>
                          <w:rFonts w:ascii="Tw Cen MT" w:hAnsi="Tw Cen MT"/>
                        </w:rPr>
                        <w:t>sistent with stated policies;</w:t>
                      </w:r>
                    </w:p>
                    <w:p w:rsidR="00FF5E72" w:rsidRDefault="00FF5E72">
                      <w:pPr>
                        <w:widowControl w:val="0"/>
                        <w:jc w:val="both"/>
                        <w:rPr>
                          <w:rFonts w:ascii="Tw Cen MT" w:hAnsi="Tw Cen MT"/>
                        </w:rPr>
                      </w:pPr>
                      <w:r>
                        <w:rPr>
                          <w:rFonts w:ascii="Tw Cen MT" w:hAnsi="Tw Cen MT"/>
                        </w:rPr>
                        <w:t>(3) Consideration of the role of an income tax in our s</w:t>
                      </w:r>
                      <w:r>
                        <w:rPr>
                          <w:rFonts w:ascii="Tw Cen MT" w:hAnsi="Tw Cen MT"/>
                        </w:rPr>
                        <w:t>o</w:t>
                      </w:r>
                      <w:r>
                        <w:rPr>
                          <w:rFonts w:ascii="Tw Cen MT" w:hAnsi="Tw Cen MT"/>
                        </w:rPr>
                        <w:t xml:space="preserve">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w:t>
                      </w:r>
                      <w:r>
                        <w:rPr>
                          <w:rFonts w:ascii="Tw Cen MT" w:hAnsi="Tw Cen MT"/>
                        </w:rPr>
                        <w:t>d</w:t>
                      </w:r>
                      <w:r>
                        <w:rPr>
                          <w:rFonts w:ascii="Tw Cen MT" w:hAnsi="Tw Cen MT"/>
                        </w:rPr>
                        <w:t>dle- and high-income persons with more services and benefits than most people realize.</w:t>
                      </w:r>
                    </w:p>
                  </w:txbxContent>
                </v:textbox>
                <w10:wrap type="square" side="largest" anchorx="margin"/>
              </v:shape>
            </w:pict>
          </mc:Fallback>
        </mc:AlternateContent>
      </w:r>
    </w:p>
    <w:p w:rsidR="0049128E" w:rsidRPr="00576ED7" w:rsidRDefault="0049128E" w:rsidP="009A1BF0">
      <w:pPr>
        <w:widowControl w:val="0"/>
        <w:jc w:val="both"/>
        <w:rPr>
          <w:szCs w:val="24"/>
        </w:rPr>
      </w:pPr>
    </w:p>
    <w:p w:rsidR="0049128E" w:rsidRPr="00576ED7" w:rsidRDefault="0049128E" w:rsidP="00910345">
      <w:pPr>
        <w:pStyle w:val="Heading3"/>
      </w:pPr>
      <w:bookmarkStart w:id="25" w:name="_Toc375132912"/>
      <w:r w:rsidRPr="00576ED7">
        <w:t>IV.  Not All I</w:t>
      </w:r>
      <w:r w:rsidRPr="00576ED7">
        <w:t>n</w:t>
      </w:r>
      <w:r w:rsidRPr="00576ED7">
        <w:t>come Is Taxed Alike</w:t>
      </w:r>
      <w:bookmarkEnd w:id="25"/>
      <w:r w:rsidRPr="00576ED7">
        <w:fldChar w:fldCharType="begin"/>
      </w:r>
      <w:r w:rsidRPr="00576ED7">
        <w:instrText xml:space="preserve"> TC \l1 "IV.  Not All Income Is Taxed Alike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Any accession to wealth, no matter what its source, is (or can be) included in a taxpayer’s “gross income.”  However, not all taxable income is taxed the same.  Notably, long-term capital gains</w:t>
      </w:r>
      <w:r w:rsidRPr="00576ED7">
        <w:rPr>
          <w:rStyle w:val="FootnoteReference"/>
          <w:szCs w:val="24"/>
        </w:rPr>
        <w:footnoteReference w:id="17"/>
      </w:r>
      <w:r w:rsidRPr="00576ED7">
        <w:rPr>
          <w:szCs w:val="24"/>
        </w:rPr>
        <w:t xml:space="preserve"> (or more accurately “net capital gain”) plus most dividend income of an </w:t>
      </w:r>
      <w:r w:rsidRPr="00576ED7">
        <w:rPr>
          <w:i/>
          <w:szCs w:val="24"/>
        </w:rPr>
        <w:t>individual</w:t>
      </w:r>
      <w:r w:rsidRPr="00576ED7">
        <w:rPr>
          <w:szCs w:val="24"/>
        </w:rPr>
        <w:t xml:space="preserve"> is taxed at a lower rate than wage or salary income.  Interest income derived from the bonds of state and local governments is not subject to any federal income tax.  Certain other income derived from partic</w:t>
      </w:r>
      <w:r w:rsidRPr="00576ED7">
        <w:rPr>
          <w:szCs w:val="24"/>
        </w:rPr>
        <w:t>u</w:t>
      </w:r>
      <w:r w:rsidRPr="00576ED7">
        <w:rPr>
          <w:szCs w:val="24"/>
        </w:rPr>
        <w:t>lar sources is subject to a marginal tax rate that is less than the tax rate applicable to so-called ordinary income.  This encourages many taxpayers to obtain income from tax-favored sources and/or to try to change the character of income from o</w:t>
      </w:r>
      <w:r w:rsidRPr="00576ED7">
        <w:rPr>
          <w:szCs w:val="24"/>
        </w:rPr>
        <w:t>r</w:t>
      </w:r>
      <w:r w:rsidRPr="00576ED7">
        <w:rPr>
          <w:szCs w:val="24"/>
        </w:rPr>
        <w:t>dinary to long-term capital gain income.  The Code addresses some of these e</w:t>
      </w:r>
      <w:r w:rsidRPr="00576ED7">
        <w:rPr>
          <w:szCs w:val="24"/>
        </w:rPr>
        <w:t>f</w:t>
      </w:r>
      <w:r w:rsidRPr="00576ED7">
        <w:rPr>
          <w:szCs w:val="24"/>
        </w:rPr>
        <w:t>forts.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6" w:name="_Toc375132913"/>
      <w:r w:rsidRPr="00576ED7">
        <w:lastRenderedPageBreak/>
        <w:t>V.  Layout of the Code</w:t>
      </w:r>
      <w:bookmarkEnd w:id="26"/>
      <w:r w:rsidRPr="00576ED7">
        <w:fldChar w:fldCharType="begin"/>
      </w:r>
      <w:r w:rsidRPr="00576ED7">
        <w:instrText xml:space="preserve"> TC \l1 "V.  Layout of the Code</w:instrText>
      </w:r>
      <w:r w:rsidRPr="00576ED7">
        <w:fldChar w:fldCharType="end"/>
      </w:r>
    </w:p>
    <w:p w:rsidR="0049128E" w:rsidRPr="00576ED7" w:rsidRDefault="0049128E" w:rsidP="009A1BF0">
      <w:pPr>
        <w:widowControl w:val="0"/>
        <w:jc w:val="both"/>
        <w:rPr>
          <w:szCs w:val="24"/>
        </w:rPr>
      </w:pPr>
      <w:r w:rsidRPr="00576ED7">
        <w:rPr>
          <w:szCs w:val="24"/>
        </w:rPr>
        <w:t xml:space="preserve">We will be studying only certain portions of the Internal Revenue Code.  You should learn the basic outline of Code provisions that establish the basic income tax.  This will give you a good hunch of where to find the answer to particular questions.  Some prominent research tools are organized according to the sections of the Code.  Specifically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 and 11 establish rates;</w:t>
      </w:r>
    </w:p>
    <w:p w:rsidR="0049128E" w:rsidRPr="00576ED7" w:rsidRDefault="0049128E" w:rsidP="009A1BF0">
      <w:pPr>
        <w:widowControl w:val="0"/>
        <w:ind w:left="720"/>
        <w:jc w:val="both"/>
        <w:rPr>
          <w:szCs w:val="24"/>
        </w:rPr>
      </w:pPr>
      <w:r w:rsidRPr="00576ED7">
        <w:rPr>
          <w:szCs w:val="24"/>
        </w:rPr>
        <w:t>§§ 21-54AA provide credits against tax liability;</w:t>
      </w:r>
    </w:p>
    <w:p w:rsidR="0049128E" w:rsidRPr="00576ED7" w:rsidRDefault="0049128E" w:rsidP="009A1BF0">
      <w:pPr>
        <w:widowControl w:val="0"/>
        <w:ind w:left="720"/>
        <w:jc w:val="both"/>
        <w:rPr>
          <w:szCs w:val="24"/>
        </w:rPr>
      </w:pPr>
      <w:r w:rsidRPr="00576ED7">
        <w:rPr>
          <w:szCs w:val="24"/>
        </w:rPr>
        <w:t>§§ 55-59 establish the alternative minimum tax;</w:t>
      </w:r>
    </w:p>
    <w:p w:rsidR="0049128E" w:rsidRPr="00576ED7" w:rsidRDefault="0049128E" w:rsidP="009A1BF0">
      <w:pPr>
        <w:widowControl w:val="0"/>
        <w:ind w:left="720"/>
        <w:jc w:val="both"/>
        <w:rPr>
          <w:szCs w:val="24"/>
        </w:rPr>
      </w:pPr>
      <w:r w:rsidRPr="00576ED7">
        <w:rPr>
          <w:szCs w:val="24"/>
        </w:rPr>
        <w:t>§§ 61-65 provide some key definitions concerning “gross income,” “a</w:t>
      </w:r>
      <w:r w:rsidRPr="00576ED7">
        <w:rPr>
          <w:szCs w:val="24"/>
        </w:rPr>
        <w:t>d</w:t>
      </w:r>
      <w:r w:rsidRPr="00576ED7">
        <w:rPr>
          <w:szCs w:val="24"/>
        </w:rPr>
        <w:t>justed gross income,” and “taxable income;”</w:t>
      </w:r>
    </w:p>
    <w:p w:rsidR="0049128E" w:rsidRPr="00576ED7" w:rsidRDefault="0049128E" w:rsidP="009A1BF0">
      <w:pPr>
        <w:widowControl w:val="0"/>
        <w:ind w:left="720"/>
        <w:jc w:val="both"/>
        <w:rPr>
          <w:szCs w:val="24"/>
        </w:rPr>
      </w:pPr>
      <w:r w:rsidRPr="00576ED7">
        <w:rPr>
          <w:szCs w:val="24"/>
        </w:rPr>
        <w:t>§§ 67-68 provide rules limiting deductions;</w:t>
      </w:r>
    </w:p>
    <w:p w:rsidR="0049128E" w:rsidRPr="00576ED7" w:rsidRDefault="0049128E" w:rsidP="009A1BF0">
      <w:pPr>
        <w:widowControl w:val="0"/>
        <w:ind w:left="720"/>
        <w:jc w:val="both"/>
        <w:rPr>
          <w:szCs w:val="24"/>
        </w:rPr>
      </w:pPr>
      <w:r w:rsidRPr="00576ED7">
        <w:rPr>
          <w:szCs w:val="24"/>
        </w:rPr>
        <w:t>§§ 71-90 require inclusion of specific items (or portions of them) in gross income;</w:t>
      </w:r>
    </w:p>
    <w:p w:rsidR="0049128E" w:rsidRPr="00576ED7" w:rsidRDefault="0049128E" w:rsidP="009A1BF0">
      <w:pPr>
        <w:widowControl w:val="0"/>
        <w:ind w:left="720"/>
        <w:jc w:val="both"/>
        <w:rPr>
          <w:szCs w:val="24"/>
        </w:rPr>
      </w:pPr>
      <w:r w:rsidRPr="00576ED7">
        <w:rPr>
          <w:szCs w:val="24"/>
        </w:rPr>
        <w:t>§§ 101-139E state rules concerning exclusions from gross income;</w:t>
      </w:r>
    </w:p>
    <w:p w:rsidR="0049128E" w:rsidRPr="00576ED7" w:rsidRDefault="0049128E" w:rsidP="009A1BF0">
      <w:pPr>
        <w:widowControl w:val="0"/>
        <w:ind w:left="720"/>
        <w:jc w:val="both"/>
        <w:rPr>
          <w:szCs w:val="24"/>
        </w:rPr>
      </w:pPr>
      <w:r w:rsidRPr="00576ED7">
        <w:rPr>
          <w:szCs w:val="24"/>
        </w:rPr>
        <w:t>§§ 141-149 establish rules governing state and local bonds whose interest is exempt from gross income;</w:t>
      </w:r>
    </w:p>
    <w:p w:rsidR="0049128E" w:rsidRPr="00576ED7" w:rsidRDefault="0049128E" w:rsidP="009A1BF0">
      <w:pPr>
        <w:widowControl w:val="0"/>
        <w:ind w:left="720"/>
        <w:jc w:val="both"/>
        <w:rPr>
          <w:szCs w:val="24"/>
        </w:rPr>
      </w:pPr>
      <w:r w:rsidRPr="00576ED7">
        <w:rPr>
          <w:szCs w:val="24"/>
        </w:rPr>
        <w:t>§§ 151-153 establish rules governing personal exemptions;</w:t>
      </w:r>
    </w:p>
    <w:p w:rsidR="0049128E" w:rsidRPr="00576ED7" w:rsidRDefault="0049128E" w:rsidP="009A1BF0">
      <w:pPr>
        <w:widowControl w:val="0"/>
        <w:ind w:left="720"/>
        <w:jc w:val="both"/>
        <w:rPr>
          <w:szCs w:val="24"/>
        </w:rPr>
      </w:pPr>
      <w:r w:rsidRPr="00576ED7">
        <w:rPr>
          <w:szCs w:val="24"/>
        </w:rPr>
        <w:t>§§ 161-199 establish rules governing deductions available both to indivi</w:t>
      </w:r>
      <w:r w:rsidRPr="00576ED7">
        <w:rPr>
          <w:szCs w:val="24"/>
        </w:rPr>
        <w:t>d</w:t>
      </w:r>
      <w:r w:rsidRPr="00576ED7">
        <w:rPr>
          <w:szCs w:val="24"/>
        </w:rPr>
        <w:t>uals and corporations;</w:t>
      </w:r>
    </w:p>
    <w:p w:rsidR="0049128E" w:rsidRPr="00576ED7" w:rsidRDefault="0049128E" w:rsidP="009A1BF0">
      <w:pPr>
        <w:widowControl w:val="0"/>
        <w:ind w:left="720"/>
        <w:jc w:val="both"/>
        <w:rPr>
          <w:szCs w:val="24"/>
        </w:rPr>
      </w:pPr>
      <w:r w:rsidRPr="00576ED7">
        <w:rPr>
          <w:szCs w:val="24"/>
        </w:rPr>
        <w:t>§§ 211-223 establish rules governing deductions available only to indivi</w:t>
      </w:r>
      <w:r w:rsidRPr="00576ED7">
        <w:rPr>
          <w:szCs w:val="24"/>
        </w:rPr>
        <w:t>d</w:t>
      </w:r>
      <w:r w:rsidRPr="00576ED7">
        <w:rPr>
          <w:szCs w:val="24"/>
        </w:rPr>
        <w:t>uals;</w:t>
      </w:r>
    </w:p>
    <w:p w:rsidR="0049128E" w:rsidRPr="00576ED7" w:rsidRDefault="0049128E" w:rsidP="009A1BF0">
      <w:pPr>
        <w:widowControl w:val="0"/>
        <w:ind w:left="720"/>
        <w:jc w:val="both"/>
        <w:rPr>
          <w:szCs w:val="24"/>
        </w:rPr>
      </w:pPr>
      <w:r w:rsidRPr="00576ED7">
        <w:rPr>
          <w:szCs w:val="24"/>
        </w:rPr>
        <w:t>§§ 241-249 establish rules governing deductions available only to corpor</w:t>
      </w:r>
      <w:r w:rsidRPr="00576ED7">
        <w:rPr>
          <w:szCs w:val="24"/>
        </w:rPr>
        <w:t>a</w:t>
      </w:r>
      <w:r w:rsidRPr="00576ED7">
        <w:rPr>
          <w:szCs w:val="24"/>
        </w:rPr>
        <w:t>tions;</w:t>
      </w:r>
    </w:p>
    <w:p w:rsidR="0049128E" w:rsidRPr="00576ED7" w:rsidRDefault="0049128E" w:rsidP="009A1BF0">
      <w:pPr>
        <w:widowControl w:val="0"/>
        <w:ind w:left="720"/>
        <w:jc w:val="both"/>
        <w:rPr>
          <w:szCs w:val="24"/>
        </w:rPr>
      </w:pPr>
      <w:r w:rsidRPr="00576ED7">
        <w:rPr>
          <w:szCs w:val="24"/>
        </w:rPr>
        <w:t xml:space="preserve">§§ 261-280H deny or limit deductions that </w:t>
      </w:r>
      <w:r w:rsidRPr="00576ED7">
        <w:rPr>
          <w:i/>
          <w:szCs w:val="24"/>
        </w:rPr>
        <w:t>might</w:t>
      </w:r>
      <w:r w:rsidRPr="00576ED7">
        <w:rPr>
          <w:szCs w:val="24"/>
        </w:rPr>
        <w:t xml:space="preserve"> otherwise be available;</w:t>
      </w:r>
    </w:p>
    <w:p w:rsidR="0049128E" w:rsidRPr="00576ED7" w:rsidRDefault="0049128E" w:rsidP="009A1BF0">
      <w:pPr>
        <w:widowControl w:val="0"/>
        <w:ind w:left="720"/>
        <w:jc w:val="both"/>
        <w:rPr>
          <w:szCs w:val="24"/>
        </w:rPr>
      </w:pPr>
      <w:r w:rsidRPr="00576ED7">
        <w:rPr>
          <w:szCs w:val="24"/>
        </w:rPr>
        <w:t>§§ 441-483 provide various rules of accounting, including timing of recognition of income and deductions;</w:t>
      </w:r>
    </w:p>
    <w:p w:rsidR="0049128E" w:rsidRPr="00576ED7" w:rsidRDefault="0049128E" w:rsidP="009A1BF0">
      <w:pPr>
        <w:widowControl w:val="0"/>
        <w:ind w:left="720"/>
        <w:jc w:val="both"/>
        <w:rPr>
          <w:szCs w:val="24"/>
        </w:rPr>
      </w:pPr>
      <w:r w:rsidRPr="00576ED7">
        <w:rPr>
          <w:szCs w:val="24"/>
        </w:rPr>
        <w:t>§§ 1001-1021 provide rules governing the recognition of gain or loss on the disposition of property;</w:t>
      </w:r>
    </w:p>
    <w:p w:rsidR="0049128E" w:rsidRPr="00576ED7" w:rsidRDefault="0049128E" w:rsidP="009A1BF0">
      <w:pPr>
        <w:widowControl w:val="0"/>
        <w:ind w:left="720"/>
        <w:jc w:val="both"/>
        <w:rPr>
          <w:szCs w:val="24"/>
        </w:rPr>
      </w:pPr>
      <w:r w:rsidRPr="00576ED7">
        <w:rPr>
          <w:szCs w:val="24"/>
        </w:rPr>
        <w:t>§§ 1031-1045 provide rules governing non-recognition of gain or loss u</w:t>
      </w:r>
      <w:r w:rsidRPr="00576ED7">
        <w:rPr>
          <w:szCs w:val="24"/>
        </w:rPr>
        <w:t>p</w:t>
      </w:r>
      <w:r w:rsidRPr="00576ED7">
        <w:rPr>
          <w:szCs w:val="24"/>
        </w:rPr>
        <w:t>on the disposition of property, accompanied by a transfer and adjustment to basis;</w:t>
      </w:r>
    </w:p>
    <w:p w:rsidR="0049128E" w:rsidRPr="00576ED7" w:rsidRDefault="0049128E" w:rsidP="009A1BF0">
      <w:pPr>
        <w:widowControl w:val="0"/>
        <w:ind w:left="720"/>
        <w:jc w:val="both"/>
        <w:rPr>
          <w:szCs w:val="24"/>
        </w:rPr>
      </w:pPr>
      <w:r w:rsidRPr="00576ED7">
        <w:rPr>
          <w:szCs w:val="24"/>
        </w:rPr>
        <w:t>§§ 1201-1260 provide rules for defining and calculating capital gains/losses;</w:t>
      </w:r>
    </w:p>
    <w:p w:rsidR="0049128E" w:rsidRPr="00576ED7" w:rsidRDefault="0049128E" w:rsidP="009A1BF0">
      <w:pPr>
        <w:widowControl w:val="0"/>
        <w:ind w:left="720"/>
        <w:jc w:val="both"/>
        <w:rPr>
          <w:szCs w:val="24"/>
        </w:rPr>
      </w:pPr>
      <w:r w:rsidRPr="00576ED7">
        <w:rPr>
          <w:szCs w:val="24"/>
        </w:rPr>
        <w:t>§§ 1271-1288 provide rules for original issue discount.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These are (more than) the code sections that will be pertinent to this course.  O</w:t>
      </w:r>
      <w:r w:rsidRPr="00576ED7">
        <w:rPr>
          <w:szCs w:val="24"/>
        </w:rPr>
        <w:t>b</w:t>
      </w:r>
      <w:r w:rsidRPr="00576ED7">
        <w:rPr>
          <w:szCs w:val="24"/>
        </w:rPr>
        <w:lastRenderedPageBreak/>
        <w:t>viously, there are many more code provisions that govern other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27" w:name="_Toc375132914"/>
      <w:r w:rsidRPr="00576ED7">
        <w:t>VI.  Illustration of the Tax Formula:</w:t>
      </w:r>
      <w:bookmarkEnd w:id="27"/>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Bill and Mary are husband and wife.  They have two children, Thomas who is 14 and Stephen who is 10.  Bill works as a manager for a large retailer.  Last year, he earned a salary of $60,000.  His employer provided the family with health insu</w:t>
      </w:r>
      <w:r w:rsidRPr="00576ED7">
        <w:rPr>
          <w:szCs w:val="24"/>
        </w:rPr>
        <w:t>r</w:t>
      </w:r>
      <w:r w:rsidRPr="00576ED7">
        <w:rPr>
          <w:szCs w:val="24"/>
        </w:rPr>
        <w:t>ance that cost $14,000.  Mary is a schoolteacher who earned a salary of $45,000.  Her employer provided her a group term life insurance policy with a death benefit of $50,000; her employer paid $250 to provide her this benefit.  Their respective employers deducted employment taxes from every paycheck and paid each of them the balance.  In addition to the above items, Bill and Mary own stock in a large American corporation, and that corporation paid them a dividend of $500.  Bill and Mary later sold that stock for $10,000; they had paid $8000 for it several years ago.  Bill and Mary have a joint bank account that paid interest of $400.  Bill and Mary paid $3000 for daycare for Stephen.  They also paid $3000 of inte</w:t>
      </w:r>
      <w:r w:rsidRPr="00576ED7">
        <w:rPr>
          <w:szCs w:val="24"/>
        </w:rPr>
        <w:t>r</w:t>
      </w:r>
      <w:r w:rsidRPr="00576ED7">
        <w:rPr>
          <w:szCs w:val="24"/>
        </w:rPr>
        <w:t>est on a student loan that Bill took out when he was in college.  What is Bill and Mary’s tax liability? Assume that they will file as married filing jointly.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How much are Bill’s employment taxes? How much are Mary’s employment ta</w:t>
      </w:r>
      <w:r w:rsidRPr="00576ED7">
        <w:rPr>
          <w:szCs w:val="24"/>
        </w:rPr>
        <w:t>x</w:t>
      </w:r>
      <w:r w:rsidRPr="00576ED7">
        <w:rPr>
          <w:szCs w:val="24"/>
        </w:rPr>
        <w:t>es?</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w:t>
      </w:r>
      <w:r w:rsidRPr="00576ED7">
        <w:rPr>
          <w:rStyle w:val="FootnoteReference"/>
          <w:szCs w:val="24"/>
        </w:rPr>
        <w:footnoteReference w:id="18"/>
      </w:r>
      <w:r w:rsidRPr="00576ED7">
        <w:rPr>
          <w:szCs w:val="24"/>
        </w:rPr>
        <w:t xml:space="preserve"> for “social security” and 1.45% for “Medicare.”  The total is 7.65%.  The tax base of employment taxes  is wages.</w:t>
      </w:r>
    </w:p>
    <w:p w:rsidR="0049128E" w:rsidRPr="00576ED7" w:rsidRDefault="0049128E" w:rsidP="009A1BF0">
      <w:pPr>
        <w:widowControl w:val="0"/>
        <w:ind w:left="1440"/>
        <w:jc w:val="both"/>
        <w:rPr>
          <w:szCs w:val="24"/>
        </w:rPr>
      </w:pPr>
      <w:r w:rsidRPr="00576ED7">
        <w:rPr>
          <w:szCs w:val="24"/>
        </w:rPr>
        <w:t xml:space="preserve">•Bill: Bill’s wages were $60,000.  7.65% of $60,000 = </w:t>
      </w:r>
      <w:r w:rsidRPr="00576ED7">
        <w:rPr>
          <w:szCs w:val="24"/>
          <w:u w:val="single"/>
        </w:rPr>
        <w:t>$4590</w:t>
      </w:r>
      <w:r w:rsidRPr="00576ED7">
        <w:rPr>
          <w:szCs w:val="24"/>
        </w:rPr>
        <w:t>.</w:t>
      </w:r>
    </w:p>
    <w:p w:rsidR="0049128E" w:rsidRPr="00576ED7" w:rsidRDefault="0049128E" w:rsidP="009A1BF0">
      <w:pPr>
        <w:widowControl w:val="0"/>
        <w:ind w:left="1440"/>
        <w:jc w:val="both"/>
        <w:rPr>
          <w:szCs w:val="24"/>
        </w:rPr>
      </w:pPr>
      <w:r w:rsidRPr="00576ED7">
        <w:rPr>
          <w:szCs w:val="24"/>
        </w:rPr>
        <w:t xml:space="preserve">•Mary: Mary’s wages were $45,000.  7.65% of $45,000 = </w:t>
      </w:r>
      <w:r w:rsidRPr="00576ED7">
        <w:rPr>
          <w:szCs w:val="24"/>
          <w:u w:val="single"/>
        </w:rPr>
        <w:t>$3098.25</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“gross income?” You should see that this is the first line of the tax formula.  We need to determine what </w:t>
      </w:r>
      <w:r w:rsidRPr="00576ED7">
        <w:rPr>
          <w:i/>
          <w:szCs w:val="24"/>
        </w:rPr>
        <w:t>is</w:t>
      </w:r>
      <w:r w:rsidRPr="00576ED7">
        <w:rPr>
          <w:szCs w:val="24"/>
        </w:rPr>
        <w:t xml:space="preserve"> and what is </w:t>
      </w:r>
      <w:r w:rsidRPr="00576ED7">
        <w:rPr>
          <w:i/>
          <w:szCs w:val="24"/>
        </w:rPr>
        <w:t>not</w:t>
      </w:r>
      <w:r w:rsidRPr="00576ED7">
        <w:rPr>
          <w:szCs w:val="24"/>
        </w:rPr>
        <w:t xml:space="preserve"> included in “gross income.”  </w:t>
      </w:r>
      <w:r w:rsidRPr="00576ED7">
        <w:rPr>
          <w:i/>
          <w:szCs w:val="24"/>
        </w:rPr>
        <w:t>See</w:t>
      </w:r>
      <w:r w:rsidRPr="00576ED7">
        <w:rPr>
          <w:szCs w:val="24"/>
        </w:rPr>
        <w:t xml:space="preserve"> §§ 61, 79, and 106.</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w:t>
      </w:r>
      <w:r w:rsidRPr="00576ED7">
        <w:rPr>
          <w:szCs w:val="24"/>
        </w:rPr>
        <w:t>n</w:t>
      </w:r>
      <w:r w:rsidRPr="00576ED7">
        <w:rPr>
          <w:szCs w:val="24"/>
        </w:rPr>
        <w:t xml:space="preserve">come figures.  Notice that the employment taxes do not reduce Bill and Mary’s adjusted gross income.  Thus, they must pay income taxes on at </w:t>
      </w:r>
      <w:r w:rsidRPr="00576ED7">
        <w:rPr>
          <w:szCs w:val="24"/>
        </w:rPr>
        <w:lastRenderedPageBreak/>
        <w:t>least some of the employment taxes that they have already paid.</w:t>
      </w:r>
    </w:p>
    <w:p w:rsidR="0049128E" w:rsidRPr="00576ED7" w:rsidRDefault="0049128E" w:rsidP="009A1BF0">
      <w:pPr>
        <w:widowControl w:val="0"/>
        <w:ind w:left="720"/>
        <w:jc w:val="both"/>
        <w:rPr>
          <w:szCs w:val="24"/>
        </w:rPr>
      </w:pPr>
      <w:r w:rsidRPr="00576ED7">
        <w:rPr>
          <w:szCs w:val="24"/>
        </w:rPr>
        <w:t>•“Gross income,” § 61, is a topic that we take up in chapter 2.  It enco</w:t>
      </w:r>
      <w:r w:rsidRPr="00576ED7">
        <w:rPr>
          <w:szCs w:val="24"/>
        </w:rPr>
        <w:t>m</w:t>
      </w:r>
      <w:r w:rsidRPr="00576ED7">
        <w:rPr>
          <w:szCs w:val="24"/>
        </w:rPr>
        <w:t>passes all “accessions to wealth.”  However, there are some “accessions to wealth” that we do not include in a taxpayer’s “gross income.”  The Code defines these exclusions in §§101 to 139E.  The Code also defines the scope of certain inclusions in §§ 71 to 90 – and implicitly excludes what is outside the scope of those inclusions.</w:t>
      </w:r>
    </w:p>
    <w:p w:rsidR="0049128E" w:rsidRPr="00576ED7" w:rsidRDefault="0049128E" w:rsidP="009A1BF0">
      <w:pPr>
        <w:widowControl w:val="0"/>
        <w:ind w:left="720"/>
        <w:jc w:val="both"/>
        <w:rPr>
          <w:szCs w:val="24"/>
        </w:rPr>
      </w:pPr>
      <w:r w:rsidRPr="00576ED7">
        <w:rPr>
          <w:szCs w:val="24"/>
        </w:rPr>
        <w:t xml:space="preserve">•Bill and Mary must include the following: Bill’s salary (§ 61(a)(1)) of $60,000; Mary’s salary (§ 61(a)(1)) of $45,000; dividend (§ 61(a)(7)) of $500; capital gain (§ 61(a)(3)) of $2000; interest income (§ 61(a)(4)) from the bank of $400.  TOTAL: </w:t>
      </w:r>
      <w:r w:rsidRPr="00576ED7">
        <w:rPr>
          <w:szCs w:val="24"/>
          <w:u w:val="single"/>
        </w:rPr>
        <w:t>$107,900</w:t>
      </w:r>
      <w:r w:rsidRPr="00576ED7">
        <w:rPr>
          <w:szCs w:val="24"/>
        </w:rPr>
        <w:t>.</w:t>
      </w:r>
    </w:p>
    <w:p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 106)(a)), $14,000, or the amount that Mary’s employer paid for her group term life insurance (§ 79(a)(1)), $250.  Bill and Mary certainly benefitted from the </w:t>
      </w:r>
      <w:r w:rsidRPr="00576ED7">
        <w:rPr>
          <w:szCs w:val="24"/>
          <w:u w:val="single"/>
        </w:rPr>
        <w:t>$14,250</w:t>
      </w:r>
      <w:r w:rsidRPr="00576ED7">
        <w:rPr>
          <w:szCs w:val="24"/>
        </w:rPr>
        <w:t xml:space="preserve"> that their employers spent on their behalf, but §§ 106 and 79 provide that they do not have to count these amounts in their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 221 and  62(a)(17).  </w:t>
      </w:r>
      <w:r w:rsidRPr="00576ED7">
        <w:rPr>
          <w:i/>
          <w:szCs w:val="24"/>
        </w:rPr>
        <w:t>Do not adjust the § 221 phaseout by the inflation adjustment of § 221(f)</w:t>
      </w:r>
      <w:r w:rsidRPr="00576ED7">
        <w:rPr>
          <w:szCs w:val="24"/>
        </w:rPr>
        <w:t>.</w:t>
      </w:r>
    </w:p>
    <w:p w:rsidR="0049128E" w:rsidRPr="00576ED7" w:rsidRDefault="0049128E" w:rsidP="009A1BF0">
      <w:pPr>
        <w:widowControl w:val="0"/>
        <w:ind w:left="720"/>
        <w:jc w:val="both"/>
        <w:rPr>
          <w:szCs w:val="24"/>
        </w:rPr>
      </w:pPr>
      <w:r w:rsidRPr="00576ED7">
        <w:rPr>
          <w:szCs w:val="24"/>
        </w:rPr>
        <w:t>•Section 221 entitles Bill and Mary to deduct interest on the repayment of a student loan.  While the couple paid $3000 in student loan interest, § 221(b)(1) limits the deduction to $2500.</w:t>
      </w:r>
    </w:p>
    <w:p w:rsidR="0049128E" w:rsidRPr="00576ED7" w:rsidRDefault="0049128E" w:rsidP="009A1BF0">
      <w:pPr>
        <w:widowControl w:val="0"/>
        <w:ind w:left="720"/>
        <w:jc w:val="both"/>
        <w:rPr>
          <w:szCs w:val="24"/>
        </w:rPr>
      </w:pPr>
      <w:r w:rsidRPr="00576ED7">
        <w:rPr>
          <w:szCs w:val="24"/>
        </w:rPr>
        <w:t>•Section 221(b)(2) requires the computation of a phaseout – or a phasedown, in this case.  Section 221(b)(2)(A) provides that the deductible amount must be reduced by an amount determined as per the rules of § 221(b)(2)(B).  Section 221(a)(2)(B) establishes a ratio.</w:t>
      </w:r>
    </w:p>
    <w:p w:rsidR="0049128E" w:rsidRPr="00576ED7" w:rsidRDefault="0049128E" w:rsidP="009A1BF0">
      <w:pPr>
        <w:widowControl w:val="0"/>
        <w:ind w:left="720"/>
        <w:jc w:val="both"/>
        <w:rPr>
          <w:szCs w:val="24"/>
        </w:rPr>
      </w:pPr>
      <w:r w:rsidRPr="00576ED7">
        <w:rPr>
          <w:szCs w:val="24"/>
        </w:rPr>
        <w:t>•Since Bill and Mary are married filing a joint return, § 221(a)(2)(B)(</w:t>
      </w:r>
      <w:r w:rsidR="00BC5697" w:rsidRPr="00576ED7">
        <w:rPr>
          <w:szCs w:val="24"/>
        </w:rPr>
        <w:t>i</w:t>
      </w:r>
      <w:r w:rsidRPr="00576ED7">
        <w:rPr>
          <w:szCs w:val="24"/>
        </w:rPr>
        <w:t>) e</w:t>
      </w:r>
      <w:r w:rsidRPr="00576ED7">
        <w:rPr>
          <w:szCs w:val="24"/>
        </w:rPr>
        <w:t>s</w:t>
      </w:r>
      <w:r w:rsidRPr="00576ED7">
        <w:rPr>
          <w:szCs w:val="24"/>
        </w:rPr>
        <w:t>tablishes a numerator of: $107,900 − $100,000 = $7900.  Section 221(b)(2)(b)(ii) establishes a denominator of $30,000.</w:t>
      </w:r>
    </w:p>
    <w:p w:rsidR="0049128E" w:rsidRPr="00576ED7" w:rsidRDefault="0049128E" w:rsidP="009A1BF0">
      <w:pPr>
        <w:widowControl w:val="0"/>
        <w:ind w:left="1440"/>
        <w:jc w:val="both"/>
        <w:rPr>
          <w:szCs w:val="24"/>
        </w:rPr>
      </w:pPr>
      <w:r w:rsidRPr="00576ED7">
        <w:rPr>
          <w:szCs w:val="24"/>
        </w:rPr>
        <w:t>•The § 221(b)(2)(B) ratio is $7900/$30,000 = 0.26333.</w:t>
      </w:r>
    </w:p>
    <w:p w:rsidR="0049128E" w:rsidRPr="00576ED7" w:rsidRDefault="0049128E" w:rsidP="009A1BF0">
      <w:pPr>
        <w:widowControl w:val="0"/>
        <w:ind w:left="1440"/>
        <w:jc w:val="both"/>
        <w:rPr>
          <w:szCs w:val="24"/>
        </w:rPr>
      </w:pPr>
      <w:r w:rsidRPr="00576ED7">
        <w:rPr>
          <w:szCs w:val="24"/>
        </w:rPr>
        <w:t>•§ 221(b)(2)(B) requires that we multiply this by the amount of the deduction otherwise allowable, i.e., $2500.</w:t>
      </w:r>
    </w:p>
    <w:p w:rsidR="0049128E" w:rsidRPr="00576ED7" w:rsidRDefault="0049128E" w:rsidP="009A1BF0">
      <w:pPr>
        <w:widowControl w:val="0"/>
        <w:ind w:left="1440"/>
        <w:jc w:val="both"/>
        <w:rPr>
          <w:szCs w:val="24"/>
        </w:rPr>
      </w:pPr>
      <w:r w:rsidRPr="00576ED7">
        <w:rPr>
          <w:szCs w:val="24"/>
        </w:rPr>
        <w:t xml:space="preserve">•0.2633 x $2500 = $658.33.  </w:t>
      </w:r>
      <w:r w:rsidRPr="00576ED7">
        <w:rPr>
          <w:i/>
          <w:szCs w:val="24"/>
        </w:rPr>
        <w:t>Reduce</w:t>
      </w:r>
      <w:r w:rsidRPr="00576ED7">
        <w:rPr>
          <w:szCs w:val="24"/>
        </w:rPr>
        <w:t xml:space="preserve"> the otherwise allowable d</w:t>
      </w:r>
      <w:r w:rsidRPr="00576ED7">
        <w:rPr>
          <w:szCs w:val="24"/>
        </w:rPr>
        <w:t>e</w:t>
      </w:r>
      <w:r w:rsidRPr="00576ED7">
        <w:rPr>
          <w:szCs w:val="24"/>
        </w:rPr>
        <w:t>duction by that amount, i.e., $2500 − $658.33 = $1841.67.</w:t>
      </w:r>
    </w:p>
    <w:p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rsidR="0049128E" w:rsidRPr="00576ED7" w:rsidRDefault="0049128E" w:rsidP="009A1BF0">
      <w:pPr>
        <w:widowControl w:val="0"/>
        <w:ind w:left="720"/>
        <w:jc w:val="both"/>
        <w:rPr>
          <w:szCs w:val="24"/>
        </w:rPr>
      </w:pPr>
      <w:r w:rsidRPr="00576ED7">
        <w:rPr>
          <w:szCs w:val="24"/>
        </w:rPr>
        <w:t xml:space="preserve">•Thus: Bill and Mary’s AGI = $107,900 − $1841.67 = </w:t>
      </w:r>
      <w:r w:rsidRPr="00576ED7">
        <w:rPr>
          <w:szCs w:val="24"/>
          <w:u w:val="single"/>
        </w:rPr>
        <w:t>$106,058.33</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 151, 63.</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Sections 151(a, b, and c) allow a deduction of an exemption amount for taxpayer and spouse and for dependents.  Sections 151(d and e) provide that this amount is $2000; it is subject to adjustment for infl</w:t>
      </w:r>
      <w:r w:rsidRPr="00576ED7">
        <w:rPr>
          <w:szCs w:val="24"/>
        </w:rPr>
        <w:t>a</w:t>
      </w:r>
      <w:r w:rsidRPr="00576ED7">
        <w:rPr>
          <w:szCs w:val="24"/>
        </w:rPr>
        <w:t>tion.</w:t>
      </w:r>
    </w:p>
    <w:p w:rsidR="0049128E" w:rsidRPr="00576ED7" w:rsidRDefault="0049128E" w:rsidP="009A1BF0">
      <w:pPr>
        <w:widowControl w:val="0"/>
        <w:ind w:left="720"/>
        <w:jc w:val="both"/>
        <w:rPr>
          <w:szCs w:val="24"/>
        </w:rPr>
      </w:pPr>
      <w:r w:rsidRPr="00576ED7">
        <w:rPr>
          <w:szCs w:val="24"/>
        </w:rPr>
        <w:t>•Section 63(a and b) defines ‘taxable income” as EITHER “gross income” minus allowable deductions OR AGI minus standard deduction minus d</w:t>
      </w:r>
      <w:r w:rsidRPr="00576ED7">
        <w:rPr>
          <w:szCs w:val="24"/>
        </w:rPr>
        <w:t>e</w:t>
      </w:r>
      <w:r w:rsidRPr="00576ED7">
        <w:rPr>
          <w:szCs w:val="24"/>
        </w:rPr>
        <w:t>duction for personal exemptions.</w:t>
      </w:r>
    </w:p>
    <w:p w:rsidR="0049128E" w:rsidRPr="00576ED7" w:rsidRDefault="0049128E" w:rsidP="009A1BF0">
      <w:pPr>
        <w:widowControl w:val="0"/>
        <w:ind w:left="720"/>
        <w:jc w:val="both"/>
        <w:rPr>
          <w:szCs w:val="24"/>
        </w:rPr>
      </w:pPr>
      <w:r w:rsidRPr="00576ED7">
        <w:rPr>
          <w:szCs w:val="24"/>
        </w:rPr>
        <w:t>•We are told of no deductions that would be “itemized,” so Bill and Mary will elect to take the standard deduction.  Bill and Mary may claim a total of four personal exemptions: one each for themselves and one for each of their children.</w:t>
      </w:r>
    </w:p>
    <w:p w:rsidR="0049128E" w:rsidRPr="00576ED7" w:rsidRDefault="0049128E" w:rsidP="009A1BF0">
      <w:pPr>
        <w:widowControl w:val="0"/>
        <w:ind w:left="720"/>
        <w:jc w:val="both"/>
        <w:rPr>
          <w:szCs w:val="24"/>
        </w:rPr>
      </w:pPr>
      <w:r w:rsidRPr="00576ED7">
        <w:rPr>
          <w:szCs w:val="24"/>
        </w:rPr>
        <w:t>•Go to the pages for “Consumer Price Index Adjustments for</w:t>
      </w:r>
      <w:r w:rsidR="00111C5E" w:rsidRPr="00576ED7">
        <w:rPr>
          <w:szCs w:val="24"/>
        </w:rPr>
        <w:t>”</w:t>
      </w:r>
      <w:r w:rsidRPr="00576ED7">
        <w:rPr>
          <w:szCs w:val="24"/>
        </w:rPr>
        <w:t xml:space="preserve"> </w:t>
      </w:r>
      <w:r w:rsidR="00111C5E" w:rsidRPr="00576ED7">
        <w:rPr>
          <w:szCs w:val="24"/>
        </w:rPr>
        <w:t>for the cu</w:t>
      </w:r>
      <w:r w:rsidR="00111C5E" w:rsidRPr="00576ED7">
        <w:rPr>
          <w:szCs w:val="24"/>
        </w:rPr>
        <w:t>r</w:t>
      </w:r>
      <w:r w:rsidR="00111C5E" w:rsidRPr="00576ED7">
        <w:rPr>
          <w:szCs w:val="24"/>
        </w:rPr>
        <w:t>rent year</w:t>
      </w:r>
      <w:r w:rsidRPr="00576ED7">
        <w:rPr>
          <w:szCs w:val="24"/>
        </w:rPr>
        <w:t xml:space="preserve"> that appear at the front of your Code.</w:t>
      </w:r>
    </w:p>
    <w:p w:rsidR="0049128E" w:rsidRPr="00576ED7" w:rsidRDefault="0049128E" w:rsidP="009A1BF0">
      <w:pPr>
        <w:widowControl w:val="0"/>
        <w:ind w:left="720"/>
        <w:jc w:val="both"/>
        <w:rPr>
          <w:szCs w:val="24"/>
        </w:rPr>
      </w:pPr>
      <w:r w:rsidRPr="00576ED7">
        <w:rPr>
          <w:szCs w:val="24"/>
        </w:rPr>
        <w:t>•The standard deduction for taxpayers who are married and filing jointly is $1</w:t>
      </w:r>
      <w:r w:rsidR="00111C5E" w:rsidRPr="00576ED7">
        <w:rPr>
          <w:szCs w:val="24"/>
        </w:rPr>
        <w:t>2</w:t>
      </w:r>
      <w:r w:rsidRPr="00576ED7">
        <w:rPr>
          <w:szCs w:val="24"/>
        </w:rPr>
        <w:t>,</w:t>
      </w:r>
      <w:r w:rsidR="00111C5E" w:rsidRPr="00576ED7">
        <w:rPr>
          <w:szCs w:val="24"/>
        </w:rPr>
        <w:t>20</w:t>
      </w:r>
      <w:r w:rsidRPr="00576ED7">
        <w:rPr>
          <w:szCs w:val="24"/>
        </w:rPr>
        <w:t>0.  The personal exemption amount is $3</w:t>
      </w:r>
      <w:r w:rsidR="00111C5E" w:rsidRPr="00576ED7">
        <w:rPr>
          <w:szCs w:val="24"/>
        </w:rPr>
        <w:t>9</w:t>
      </w:r>
      <w:r w:rsidRPr="00576ED7">
        <w:rPr>
          <w:szCs w:val="24"/>
        </w:rPr>
        <w:t>00.  Do the math: $106,058.33 MINUS $1</w:t>
      </w:r>
      <w:r w:rsidR="00BC5697" w:rsidRPr="00576ED7">
        <w:rPr>
          <w:szCs w:val="24"/>
        </w:rPr>
        <w:t>2</w:t>
      </w:r>
      <w:r w:rsidRPr="00576ED7">
        <w:rPr>
          <w:szCs w:val="24"/>
        </w:rPr>
        <w:t>,</w:t>
      </w:r>
      <w:r w:rsidR="00BC5697" w:rsidRPr="00576ED7">
        <w:rPr>
          <w:szCs w:val="24"/>
        </w:rPr>
        <w:t>2</w:t>
      </w:r>
      <w:r w:rsidRPr="00576ED7">
        <w:rPr>
          <w:szCs w:val="24"/>
        </w:rPr>
        <w:t>00 MINUS $15,</w:t>
      </w:r>
      <w:r w:rsidR="00BC5697" w:rsidRPr="00576ED7">
        <w:rPr>
          <w:szCs w:val="24"/>
        </w:rPr>
        <w:t>6</w:t>
      </w:r>
      <w:r w:rsidRPr="00576ED7">
        <w:rPr>
          <w:szCs w:val="24"/>
        </w:rPr>
        <w:t xml:space="preserve">00 equals </w:t>
      </w:r>
      <w:r w:rsidRPr="00576ED7">
        <w:rPr>
          <w:szCs w:val="24"/>
          <w:u w:val="single"/>
        </w:rPr>
        <w:t>$78,</w:t>
      </w:r>
      <w:r w:rsidR="00BC5697" w:rsidRPr="00576ED7">
        <w:rPr>
          <w:szCs w:val="24"/>
          <w:u w:val="single"/>
        </w:rPr>
        <w:t>2</w:t>
      </w:r>
      <w:r w:rsidRPr="00576ED7">
        <w:rPr>
          <w:szCs w:val="24"/>
          <w:u w:val="single"/>
        </w:rPr>
        <w:t>58.33</w:t>
      </w:r>
      <w:r w:rsidRPr="00576ED7">
        <w:rPr>
          <w:szCs w:val="24"/>
        </w:rPr>
        <w:t xml:space="preserve"> of “ta</w:t>
      </w:r>
      <w:r w:rsidRPr="00576ED7">
        <w:rPr>
          <w:szCs w:val="24"/>
        </w:rPr>
        <w:t>x</w:t>
      </w:r>
      <w:r w:rsidRPr="00576ED7">
        <w:rPr>
          <w:szCs w:val="24"/>
        </w:rPr>
        <w:t>able income.”</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 1(a and h), 1222(3 and 11).</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taxed alike.  Long-term capital gain and many dividends are taxed at a maximum rate of </w:t>
      </w:r>
      <w:r w:rsidR="00BC5697" w:rsidRPr="00576ED7">
        <w:rPr>
          <w:szCs w:val="24"/>
        </w:rPr>
        <w:t>20</w:t>
      </w:r>
      <w:r w:rsidRPr="00576ED7">
        <w:rPr>
          <w:szCs w:val="24"/>
        </w:rPr>
        <w:t>%.  § 1(h)(1)(</w:t>
      </w:r>
      <w:r w:rsidR="00BC5697" w:rsidRPr="00576ED7">
        <w:rPr>
          <w:szCs w:val="24"/>
        </w:rPr>
        <w:t>D</w:t>
      </w:r>
      <w:r w:rsidRPr="00576ED7">
        <w:rPr>
          <w:szCs w:val="24"/>
        </w:rPr>
        <w:t xml:space="preserve">) </w:t>
      </w:r>
      <w:r w:rsidR="00BC5697" w:rsidRPr="00576ED7">
        <w:rPr>
          <w:szCs w:val="24"/>
        </w:rPr>
        <w:t>a</w:t>
      </w:r>
      <w:r w:rsidRPr="00576ED7">
        <w:rPr>
          <w:szCs w:val="24"/>
        </w:rPr>
        <w:t xml:space="preserve">nd § 1(h)(11).  Bill and Mary received $2000 in long-term capital gain and $500 in dividends.  </w:t>
      </w:r>
      <w:r w:rsidR="00BC5697" w:rsidRPr="00576ED7">
        <w:rPr>
          <w:szCs w:val="24"/>
        </w:rPr>
        <w:t>Bill and Mary’s taxable income will not put them in the 39.6% bracket, so t</w:t>
      </w:r>
      <w:r w:rsidRPr="00576ED7">
        <w:rPr>
          <w:szCs w:val="24"/>
        </w:rPr>
        <w:t>his portion of their taxable income will be taxed at the rate of 15%, i.e., $375.</w:t>
      </w:r>
    </w:p>
    <w:p w:rsidR="0049128E" w:rsidRPr="00576ED7" w:rsidRDefault="0049128E" w:rsidP="009A1BF0">
      <w:pPr>
        <w:widowControl w:val="0"/>
        <w:ind w:left="720"/>
        <w:jc w:val="both"/>
        <w:rPr>
          <w:szCs w:val="24"/>
        </w:rPr>
      </w:pPr>
      <w:r w:rsidRPr="00576ED7">
        <w:rPr>
          <w:szCs w:val="24"/>
        </w:rPr>
        <w:t>•The tax on the balance of their taxable income will be computed using the tables at the front of your Code. $78,</w:t>
      </w:r>
      <w:r w:rsidR="00BC5697" w:rsidRPr="00576ED7">
        <w:rPr>
          <w:szCs w:val="24"/>
        </w:rPr>
        <w:t>2</w:t>
      </w:r>
      <w:r w:rsidRPr="00576ED7">
        <w:rPr>
          <w:szCs w:val="24"/>
        </w:rPr>
        <w:t>58.33 MINUS $2500 equals $7</w:t>
      </w:r>
      <w:r w:rsidR="00BC5697" w:rsidRPr="00576ED7">
        <w:rPr>
          <w:szCs w:val="24"/>
        </w:rPr>
        <w:t>5</w:t>
      </w:r>
      <w:r w:rsidRPr="00576ED7">
        <w:rPr>
          <w:szCs w:val="24"/>
        </w:rPr>
        <w:t>,</w:t>
      </w:r>
      <w:r w:rsidR="00BC5697" w:rsidRPr="00576ED7">
        <w:rPr>
          <w:szCs w:val="24"/>
        </w:rPr>
        <w:t>7</w:t>
      </w:r>
      <w:r w:rsidRPr="00576ED7">
        <w:rPr>
          <w:szCs w:val="24"/>
        </w:rPr>
        <w:t>58.33.  Go to table 1(a).  Bill and Mary’s taxable income is more than $7</w:t>
      </w:r>
      <w:r w:rsidR="00BC5697" w:rsidRPr="00576ED7">
        <w:rPr>
          <w:szCs w:val="24"/>
        </w:rPr>
        <w:t>2</w:t>
      </w:r>
      <w:r w:rsidRPr="00576ED7">
        <w:rPr>
          <w:szCs w:val="24"/>
        </w:rPr>
        <w:t>,</w:t>
      </w:r>
      <w:r w:rsidR="00BC5697" w:rsidRPr="00576ED7">
        <w:rPr>
          <w:szCs w:val="24"/>
        </w:rPr>
        <w:t>5</w:t>
      </w:r>
      <w:r w:rsidRPr="00576ED7">
        <w:rPr>
          <w:szCs w:val="24"/>
        </w:rPr>
        <w:t>00 and less than $14</w:t>
      </w:r>
      <w:r w:rsidR="00BC5697" w:rsidRPr="00576ED7">
        <w:rPr>
          <w:szCs w:val="24"/>
        </w:rPr>
        <w:t>6</w:t>
      </w:r>
      <w:r w:rsidRPr="00576ED7">
        <w:rPr>
          <w:szCs w:val="24"/>
        </w:rPr>
        <w:t>,7</w:t>
      </w:r>
      <w:r w:rsidR="00BC5697" w:rsidRPr="00576ED7">
        <w:rPr>
          <w:szCs w:val="24"/>
        </w:rPr>
        <w:t>4</w:t>
      </w:r>
      <w:r w:rsidRPr="00576ED7">
        <w:rPr>
          <w:szCs w:val="24"/>
        </w:rPr>
        <w:t>0.  Hence their federal income tax li</w:t>
      </w:r>
      <w:r w:rsidRPr="00576ED7">
        <w:rPr>
          <w:szCs w:val="24"/>
        </w:rPr>
        <w:t>a</w:t>
      </w:r>
      <w:r w:rsidRPr="00576ED7">
        <w:rPr>
          <w:szCs w:val="24"/>
        </w:rPr>
        <w:t>bility on their ordinary income equals $9</w:t>
      </w:r>
      <w:r w:rsidR="00BC5697" w:rsidRPr="00576ED7">
        <w:rPr>
          <w:szCs w:val="24"/>
        </w:rPr>
        <w:t>982.50</w:t>
      </w:r>
      <w:r w:rsidRPr="00576ED7">
        <w:rPr>
          <w:szCs w:val="24"/>
        </w:rPr>
        <w:t xml:space="preserve"> PLUS 25% of ($7</w:t>
      </w:r>
      <w:r w:rsidR="00BC5697" w:rsidRPr="00576ED7">
        <w:rPr>
          <w:szCs w:val="24"/>
        </w:rPr>
        <w:t>5</w:t>
      </w:r>
      <w:r w:rsidRPr="00576ED7">
        <w:rPr>
          <w:szCs w:val="24"/>
        </w:rPr>
        <w:t>,</w:t>
      </w:r>
      <w:r w:rsidR="00BC5697" w:rsidRPr="00576ED7">
        <w:rPr>
          <w:szCs w:val="24"/>
        </w:rPr>
        <w:t>7</w:t>
      </w:r>
      <w:r w:rsidRPr="00576ED7">
        <w:rPr>
          <w:szCs w:val="24"/>
        </w:rPr>
        <w:t>58.33 − $7</w:t>
      </w:r>
      <w:r w:rsidR="00BC5697" w:rsidRPr="00576ED7">
        <w:rPr>
          <w:szCs w:val="24"/>
        </w:rPr>
        <w:t>2</w:t>
      </w:r>
      <w:r w:rsidRPr="00576ED7">
        <w:rPr>
          <w:szCs w:val="24"/>
        </w:rPr>
        <w:t>,</w:t>
      </w:r>
      <w:r w:rsidR="00BC5697" w:rsidRPr="00576ED7">
        <w:rPr>
          <w:szCs w:val="24"/>
        </w:rPr>
        <w:t>5</w:t>
      </w:r>
      <w:r w:rsidRPr="00576ED7">
        <w:rPr>
          <w:szCs w:val="24"/>
        </w:rPr>
        <w:t>00) = $9</w:t>
      </w:r>
      <w:r w:rsidR="00BC5697" w:rsidRPr="00576ED7">
        <w:rPr>
          <w:szCs w:val="24"/>
        </w:rPr>
        <w:t>982.50</w:t>
      </w:r>
      <w:r w:rsidRPr="00576ED7">
        <w:rPr>
          <w:szCs w:val="24"/>
        </w:rPr>
        <w:t xml:space="preserve"> + $</w:t>
      </w:r>
      <w:r w:rsidR="00792BF7" w:rsidRPr="00576ED7">
        <w:rPr>
          <w:szCs w:val="24"/>
        </w:rPr>
        <w:t>814.58</w:t>
      </w:r>
      <w:r w:rsidRPr="00576ED7">
        <w:rPr>
          <w:szCs w:val="24"/>
        </w:rPr>
        <w:t xml:space="preserve"> = $1</w:t>
      </w:r>
      <w:r w:rsidR="00792BF7" w:rsidRPr="00576ED7">
        <w:rPr>
          <w:szCs w:val="24"/>
        </w:rPr>
        <w:t>0</w:t>
      </w:r>
      <w:r w:rsidRPr="00576ED7">
        <w:rPr>
          <w:szCs w:val="24"/>
        </w:rPr>
        <w:t>,</w:t>
      </w:r>
      <w:r w:rsidR="00792BF7" w:rsidRPr="00576ED7">
        <w:rPr>
          <w:szCs w:val="24"/>
        </w:rPr>
        <w:t>797</w:t>
      </w:r>
      <w:r w:rsidRPr="00576ED7">
        <w:rPr>
          <w:szCs w:val="24"/>
        </w:rPr>
        <w:t>.</w:t>
      </w:r>
      <w:r w:rsidR="00792BF7" w:rsidRPr="00576ED7">
        <w:rPr>
          <w:szCs w:val="24"/>
        </w:rPr>
        <w:t>08</w:t>
      </w:r>
      <w:r w:rsidRPr="00576ED7">
        <w:rPr>
          <w:szCs w:val="24"/>
        </w:rPr>
        <w:t>.</w:t>
      </w:r>
    </w:p>
    <w:p w:rsidR="0049128E" w:rsidRPr="00576ED7" w:rsidRDefault="0049128E" w:rsidP="009A1BF0">
      <w:pPr>
        <w:widowControl w:val="0"/>
        <w:ind w:left="1440"/>
        <w:jc w:val="both"/>
        <w:rPr>
          <w:szCs w:val="24"/>
        </w:rPr>
      </w:pPr>
      <w:r w:rsidRPr="00576ED7">
        <w:rPr>
          <w:szCs w:val="24"/>
        </w:rPr>
        <w:t>•Do you see the progressiveness in the brackets?</w:t>
      </w:r>
    </w:p>
    <w:p w:rsidR="0049128E" w:rsidRPr="00576ED7" w:rsidRDefault="0049128E" w:rsidP="009A1BF0">
      <w:pPr>
        <w:widowControl w:val="0"/>
        <w:ind w:left="720"/>
        <w:jc w:val="both"/>
        <w:rPr>
          <w:szCs w:val="24"/>
        </w:rPr>
      </w:pPr>
      <w:r w:rsidRPr="00576ED7">
        <w:rPr>
          <w:szCs w:val="24"/>
        </w:rPr>
        <w:t>•Total tax liability = $375 + $1</w:t>
      </w:r>
      <w:r w:rsidR="00792BF7" w:rsidRPr="00576ED7">
        <w:rPr>
          <w:szCs w:val="24"/>
        </w:rPr>
        <w:t>0,797.08</w:t>
      </w:r>
      <w:r w:rsidRPr="00576ED7">
        <w:rPr>
          <w:szCs w:val="24"/>
        </w:rPr>
        <w:t xml:space="preserve"> = </w:t>
      </w:r>
      <w:r w:rsidRPr="00576ED7">
        <w:rPr>
          <w:szCs w:val="24"/>
          <w:u w:val="single"/>
        </w:rPr>
        <w:t>$1</w:t>
      </w:r>
      <w:r w:rsidR="00792BF7" w:rsidRPr="00576ED7">
        <w:rPr>
          <w:szCs w:val="24"/>
          <w:u w:val="single"/>
        </w:rPr>
        <w:t>1,172</w:t>
      </w:r>
      <w:r w:rsidRPr="00576ED7">
        <w:rPr>
          <w:szCs w:val="24"/>
          <w:u w:val="single"/>
        </w:rPr>
        <w:t>.08</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Pr="00576ED7">
        <w:rPr>
          <w:szCs w:val="24"/>
        </w:rPr>
        <w:t xml:space="preserve"> §§ 21 and 24.  Do not use indexed figures to determine the </w:t>
      </w:r>
      <w:r w:rsidRPr="00576ED7">
        <w:rPr>
          <w:szCs w:val="24"/>
        </w:rPr>
        <w:lastRenderedPageBreak/>
        <w:t>amount of any credit.</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Section 21 provides a credit of up to $3000 for the “dependent care” expenses for a “qualifying individual.”  Stephen is a “qualifying i</w:t>
      </w:r>
      <w:r w:rsidRPr="00576ED7">
        <w:rPr>
          <w:szCs w:val="24"/>
        </w:rPr>
        <w:t>n</w:t>
      </w:r>
      <w:r w:rsidRPr="00576ED7">
        <w:rPr>
          <w:szCs w:val="24"/>
        </w:rPr>
        <w:t>dividual,” § 21(b)(1)(A).  Thomas is not a “qualifying individual,” but Bill and Mary did not spend any money for Thomas’s “dependent care.”  The credit is 35% of the amount that Bill and Mary spent on such care that is subject to a phasedown of 1 percentage point for each $2000 of AGI that Bill and Mary have over $15,000 down to a minimum credit of 20%.  § 21(a)(2). Bill and Mary may claim a tax credit for dependent care expen</w:t>
      </w:r>
      <w:r w:rsidRPr="00576ED7">
        <w:rPr>
          <w:szCs w:val="24"/>
        </w:rPr>
        <w:t>s</w:t>
      </w:r>
      <w:r w:rsidRPr="00576ED7">
        <w:rPr>
          <w:szCs w:val="24"/>
        </w:rPr>
        <w:t>es of $600.</w:t>
      </w:r>
    </w:p>
    <w:p w:rsidR="0049128E" w:rsidRPr="00576ED7" w:rsidRDefault="0049128E" w:rsidP="009A1BF0">
      <w:pPr>
        <w:widowControl w:val="0"/>
        <w:ind w:left="720"/>
        <w:jc w:val="both"/>
        <w:rPr>
          <w:szCs w:val="24"/>
        </w:rPr>
      </w:pPr>
      <w:r w:rsidRPr="00576ED7">
        <w:rPr>
          <w:szCs w:val="24"/>
        </w:rPr>
        <w:t>•Bill and Mary may also claim a “child tax credit” for each of their chi</w:t>
      </w:r>
      <w:r w:rsidRPr="00576ED7">
        <w:rPr>
          <w:szCs w:val="24"/>
        </w:rPr>
        <w:t>l</w:t>
      </w:r>
      <w:r w:rsidRPr="00576ED7">
        <w:rPr>
          <w:szCs w:val="24"/>
        </w:rPr>
        <w:t>dren equal to $1000.  § 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 24(c)(1).  While § 24 provides for a phasedown of the credit. Bill and Mary’s income is less than the threshold of that phasedown.  Hence, Bill and Mary may claim a “child tax credit” of $2000.</w:t>
      </w:r>
    </w:p>
    <w:p w:rsidR="0049128E" w:rsidRPr="00576ED7" w:rsidRDefault="0049128E" w:rsidP="009A1BF0">
      <w:pPr>
        <w:widowControl w:val="0"/>
        <w:ind w:left="720"/>
        <w:jc w:val="both"/>
        <w:rPr>
          <w:szCs w:val="24"/>
        </w:rPr>
      </w:pPr>
      <w:r w:rsidRPr="00576ED7">
        <w:rPr>
          <w:szCs w:val="24"/>
        </w:rPr>
        <w:t xml:space="preserve">•Total tax credits = $600 + $2000 = </w:t>
      </w:r>
      <w:r w:rsidRPr="00576ED7">
        <w:rPr>
          <w:szCs w:val="24"/>
          <w:u w:val="single"/>
        </w:rPr>
        <w:t>$2600</w:t>
      </w:r>
      <w:r w:rsidRPr="00576ED7">
        <w:rPr>
          <w:szCs w:val="24"/>
        </w:rPr>
        <w:t>.</w:t>
      </w:r>
    </w:p>
    <w:p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$1</w:t>
      </w:r>
      <w:r w:rsidR="0058241C" w:rsidRPr="00576ED7">
        <w:rPr>
          <w:szCs w:val="24"/>
        </w:rPr>
        <w:t>1</w:t>
      </w:r>
      <w:r w:rsidRPr="00576ED7">
        <w:rPr>
          <w:szCs w:val="24"/>
        </w:rPr>
        <w:t>,</w:t>
      </w:r>
      <w:r w:rsidR="0058241C" w:rsidRPr="00576ED7">
        <w:rPr>
          <w:szCs w:val="24"/>
        </w:rPr>
        <w:t>172</w:t>
      </w:r>
      <w:r w:rsidRPr="00576ED7">
        <w:rPr>
          <w:szCs w:val="24"/>
        </w:rPr>
        <w:t xml:space="preserve">.08 minus $2600 equals </w:t>
      </w:r>
      <w:r w:rsidRPr="00576ED7">
        <w:rPr>
          <w:szCs w:val="24"/>
          <w:u w:val="single"/>
        </w:rPr>
        <w:t>$</w:t>
      </w:r>
      <w:r w:rsidR="0058241C" w:rsidRPr="00576ED7">
        <w:rPr>
          <w:szCs w:val="24"/>
          <w:u w:val="single"/>
        </w:rPr>
        <w:t>8572.08</w:t>
      </w:r>
      <w:r w:rsidRPr="00576ED7">
        <w:rPr>
          <w:szCs w:val="24"/>
        </w:rPr>
        <w:t>.</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effective income tax rate?</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Bill and Mary’s federal income tax liability is $</w:t>
      </w:r>
      <w:r w:rsidR="0058241C" w:rsidRPr="00576ED7">
        <w:rPr>
          <w:szCs w:val="24"/>
        </w:rPr>
        <w:t>8572.08</w:t>
      </w:r>
      <w:r w:rsidRPr="00576ED7">
        <w:rPr>
          <w:szCs w:val="24"/>
        </w:rPr>
        <w:t>.  Their effective tax rate computed with respect to their “taxable income” is $</w:t>
      </w:r>
      <w:r w:rsidR="00371AC1" w:rsidRPr="00576ED7">
        <w:rPr>
          <w:szCs w:val="24"/>
        </w:rPr>
        <w:t>8572.08</w:t>
      </w:r>
      <w:r w:rsidRPr="00576ED7">
        <w:rPr>
          <w:szCs w:val="24"/>
        </w:rPr>
        <w:t>/78,</w:t>
      </w:r>
      <w:r w:rsidR="00371AC1" w:rsidRPr="00576ED7">
        <w:rPr>
          <w:szCs w:val="24"/>
        </w:rPr>
        <w:t>2</w:t>
      </w:r>
      <w:r w:rsidRPr="00576ED7">
        <w:rPr>
          <w:szCs w:val="24"/>
        </w:rPr>
        <w:t xml:space="preserve">58.33, i.e., </w:t>
      </w:r>
      <w:r w:rsidRPr="00576ED7">
        <w:rPr>
          <w:szCs w:val="24"/>
          <w:u w:val="single"/>
        </w:rPr>
        <w:t>1</w:t>
      </w:r>
      <w:r w:rsidR="00371AC1" w:rsidRPr="00576ED7">
        <w:rPr>
          <w:szCs w:val="24"/>
          <w:u w:val="single"/>
        </w:rPr>
        <w:t>0</w:t>
      </w:r>
      <w:r w:rsidRPr="00576ED7">
        <w:rPr>
          <w:szCs w:val="24"/>
          <w:u w:val="single"/>
        </w:rPr>
        <w:t>.</w:t>
      </w:r>
      <w:r w:rsidR="00371AC1" w:rsidRPr="00576ED7">
        <w:rPr>
          <w:szCs w:val="24"/>
          <w:u w:val="single"/>
        </w:rPr>
        <w:t>95</w:t>
      </w:r>
      <w:r w:rsidRPr="00576ED7">
        <w:rPr>
          <w:szCs w:val="24"/>
          <w:u w:val="single"/>
        </w:rPr>
        <w:t>%</w:t>
      </w:r>
      <w:r w:rsidRPr="00576ED7">
        <w:rPr>
          <w:szCs w:val="24"/>
        </w:rPr>
        <w:t>.</w:t>
      </w:r>
    </w:p>
    <w:p w:rsidR="0049128E" w:rsidRPr="00576ED7" w:rsidRDefault="0049128E" w:rsidP="009A1BF0">
      <w:pPr>
        <w:widowControl w:val="0"/>
        <w:ind w:left="1440"/>
        <w:jc w:val="both"/>
        <w:rPr>
          <w:szCs w:val="24"/>
        </w:rPr>
      </w:pPr>
      <w:r w:rsidRPr="00576ED7">
        <w:rPr>
          <w:szCs w:val="24"/>
        </w:rPr>
        <w:t>•Notice that we could use a different income figure to determine their effective tax rate, e.g., “gross income,” “gross income plus exclusions,” AGI.</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marginal tax bracket?</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We answer this question with another question.  Bill and Mary had $78,</w:t>
      </w:r>
      <w:r w:rsidR="00371AC1" w:rsidRPr="00576ED7">
        <w:rPr>
          <w:szCs w:val="24"/>
        </w:rPr>
        <w:t>2</w:t>
      </w:r>
      <w:r w:rsidRPr="00576ED7">
        <w:rPr>
          <w:szCs w:val="24"/>
        </w:rPr>
        <w:t>58.33 of taxable income.  After making $78,</w:t>
      </w:r>
      <w:r w:rsidR="00371AC1" w:rsidRPr="00576ED7">
        <w:rPr>
          <w:szCs w:val="24"/>
        </w:rPr>
        <w:t>2</w:t>
      </w:r>
      <w:r w:rsidRPr="00576ED7">
        <w:rPr>
          <w:szCs w:val="24"/>
        </w:rPr>
        <w:t>5</w:t>
      </w:r>
      <w:r w:rsidR="00371AC1" w:rsidRPr="00576ED7">
        <w:rPr>
          <w:szCs w:val="24"/>
        </w:rPr>
        <w:t>8</w:t>
      </w:r>
      <w:r w:rsidRPr="00576ED7">
        <w:rPr>
          <w:szCs w:val="24"/>
        </w:rPr>
        <w:t xml:space="preserve">.33, what was the tax rate that they paid on the </w:t>
      </w:r>
      <w:r w:rsidRPr="00576ED7">
        <w:rPr>
          <w:i/>
          <w:szCs w:val="24"/>
        </w:rPr>
        <w:t>last dollar</w:t>
      </w:r>
      <w:r w:rsidRPr="00576ED7">
        <w:rPr>
          <w:szCs w:val="24"/>
        </w:rPr>
        <w:t xml:space="preserve"> </w:t>
      </w:r>
      <w:r w:rsidR="00371AC1" w:rsidRPr="00576ED7">
        <w:rPr>
          <w:szCs w:val="24"/>
        </w:rPr>
        <w:t>(i.e., 78,258</w:t>
      </w:r>
      <w:r w:rsidR="00371AC1" w:rsidRPr="00576ED7">
        <w:rPr>
          <w:szCs w:val="24"/>
          <w:vertAlign w:val="superscript"/>
        </w:rPr>
        <w:t>th</w:t>
      </w:r>
      <w:r w:rsidR="00371AC1" w:rsidRPr="00576ED7">
        <w:rPr>
          <w:szCs w:val="24"/>
        </w:rPr>
        <w:t xml:space="preserve"> dollar) </w:t>
      </w:r>
      <w:r w:rsidRPr="00576ED7">
        <w:rPr>
          <w:szCs w:val="24"/>
        </w:rPr>
        <w:t>that they made?</w:t>
      </w:r>
    </w:p>
    <w:p w:rsidR="0049128E" w:rsidRPr="00576ED7" w:rsidRDefault="0049128E" w:rsidP="009A1BF0">
      <w:pPr>
        <w:widowControl w:val="0"/>
        <w:ind w:left="1440"/>
        <w:jc w:val="both"/>
        <w:rPr>
          <w:szCs w:val="24"/>
        </w:rPr>
      </w:pPr>
      <w:r w:rsidRPr="00576ED7">
        <w:rPr>
          <w:szCs w:val="24"/>
        </w:rPr>
        <w:t>•25%.  You should recognize this as the multiplier that we o</w:t>
      </w:r>
      <w:r w:rsidRPr="00576ED7">
        <w:rPr>
          <w:szCs w:val="24"/>
        </w:rPr>
        <w:t>b</w:t>
      </w:r>
      <w:r w:rsidRPr="00576ED7">
        <w:rPr>
          <w:szCs w:val="24"/>
        </w:rPr>
        <w:t>tained from the tax table.</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p>
    <w:p w:rsidR="0049128E" w:rsidRPr="00576ED7" w:rsidRDefault="0049128E" w:rsidP="009A1BF0">
      <w:pPr>
        <w:widowControl w:val="0"/>
        <w:ind w:left="1440"/>
        <w:jc w:val="both"/>
        <w:rPr>
          <w:szCs w:val="24"/>
        </w:rPr>
      </w:pPr>
      <w:r w:rsidRPr="00576ED7">
        <w:rPr>
          <w:szCs w:val="24"/>
        </w:rPr>
        <w:t>•25% of the amount they contributed, i.e., $0.25.</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the neighbors paid Bill for mowing their lawn, how much additional federal income tax liability would Bill and Mary incur?</w:t>
      </w:r>
    </w:p>
    <w:p w:rsidR="0049128E" w:rsidRPr="00576ED7" w:rsidRDefault="0049128E" w:rsidP="009A1BF0">
      <w:pPr>
        <w:widowControl w:val="0"/>
        <w:ind w:left="1440"/>
        <w:jc w:val="both"/>
        <w:rPr>
          <w:szCs w:val="24"/>
        </w:rPr>
      </w:pPr>
      <w:r w:rsidRPr="00576ED7">
        <w:rPr>
          <w:szCs w:val="24"/>
        </w:rPr>
        <w:lastRenderedPageBreak/>
        <w:t>•25% of the additional income that Bill and Mary received, i.e., $2.50.</w:t>
      </w:r>
    </w:p>
    <w:p w:rsidR="0049128E" w:rsidRPr="00576ED7" w:rsidRDefault="0049128E" w:rsidP="009A1BF0">
      <w:pPr>
        <w:widowControl w:val="0"/>
        <w:jc w:val="both"/>
        <w:rPr>
          <w:szCs w:val="24"/>
        </w:rPr>
      </w:pPr>
    </w:p>
    <w:p w:rsidR="0049128E" w:rsidRPr="00576ED7" w:rsidRDefault="000F2BAE"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7B963B5C" wp14:editId="4D7020CC">
                <wp:simplePos x="0" y="0"/>
                <wp:positionH relativeFrom="margin">
                  <wp:posOffset>1607820</wp:posOffset>
                </wp:positionH>
                <wp:positionV relativeFrom="paragraph">
                  <wp:posOffset>127635</wp:posOffset>
                </wp:positionV>
                <wp:extent cx="3357880" cy="5518150"/>
                <wp:effectExtent l="0" t="0" r="13970" b="2540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51815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FF5E72" w:rsidRDefault="00FF5E72">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FF5E72" w:rsidRDefault="00FF5E72">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FF5E72" w:rsidRDefault="00FF5E72">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26.6pt;margin-top:10.05pt;width:264.4pt;height:434.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t/KwIAAFwEAAAOAAAAZHJzL2Uyb0RvYy54bWysVNtu2zAMfR+wfxD0vthOkdYz4hRdugwD&#10;ugvQ7gNkWbaFSaImKbG7rx8lp2nQbS/D/CCIEnVInkN6fT1pRQ7CeQmmpsUip0QYDq00fU2/Peze&#10;lJT4wEzLFBhR00fh6fXm9av1aCuxhAFUKxxBEOOr0dZ0CMFWWeb5IDTzC7DC4GUHTrOApuuz1rER&#10;0bXKlnl+mY3gWuuAC+/x9Ha+pJuE33WChy9d50UgqqaYW0irS2sT12yzZlXvmB0kP6bB/iELzaTB&#10;oCeoWxYY2Tv5G5SW3IGHLiw46Ay6TnKRasBqivxFNfcDsyLVguR4e6LJ/z9Y/vnw1RHZonY5SmWY&#10;RpEexBTIO5hIkQgara/Q796iZ5jwHJ1Tsd7eAf/uiYHtwEwvbpyDcRCsxQSLSG129jRK4isfQZrx&#10;E7QYh+0DJKCpczqyh3wQREehHk/ixFw4Hl5crK7KEq843q1WRVmsUnYZq56eW+fDBwGaxE1NHaqf&#10;4NnhzoeYDqueXGI0D0q2O6lUMlzfbJUjB4adsktfquCFmzJkxOKWxdvlTMFfMfL0/QlDy4A9r6Su&#10;aXlyYlUk7r1pU0cGJtW8x5yVOTIZyZtpDFMzJdXKGCAS20D7iNQ6mFscRxI3A7iflIzY3jX1P/bM&#10;CUrUR4PyXF3i9OA8nBvu3GjODWY4QtU0UDJvt2Geob11sh8w0twQBm5Q0k4msp+zOqaPLZw0OI5b&#10;nJFzO3k9/xQ2vwAAAP//AwBQSwMEFAAGAAgAAAAhANVjTV/dAAAACgEAAA8AAABkcnMvZG93bnJl&#10;di54bWxMj8FOhDAQhu8mvkMzJt7cAkZFlrIxJN4X1OixS2cpkU6Rdhd8e8eT3mYyX/75/nK3ulGc&#10;cQ6DJwXpJgGB1HkzUK/g9eX5JgcRoiajR0+o4BsD7KrLi1IXxi/U4LmNveAQCoVWYGOcCilDZ9Hp&#10;sPETEt+OfnY68jr30sx64XA3yixJ7qXTA/EHqyesLXaf7ckp8E1Tv2Xt1/69XkzdL/s1Th9Wqeur&#10;9WkLIuIa/2D41Wd1qNjp4E9kghgVZHe3GaM8JCkIBh7yjMsdFOT5YwqyKuX/CtUPAAAA//8DAFBL&#10;AQItABQABgAIAAAAIQC2gziS/gAAAOEBAAATAAAAAAAAAAAAAAAAAAAAAABbQ29udGVudF9UeXBl&#10;c10ueG1sUEsBAi0AFAAGAAgAAAAhADj9If/WAAAAlAEAAAsAAAAAAAAAAAAAAAAALwEAAF9yZWxz&#10;Ly5yZWxzUEsBAi0AFAAGAAgAAAAhACobC38rAgAAXAQAAA4AAAAAAAAAAAAAAAAALgIAAGRycy9l&#10;Mm9Eb2MueG1sUEsBAi0AFAAGAAgAAAAhANVjTV/dAAAACgEAAA8AAAAAAAAAAAAAAAAAhQ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w:t>
                      </w:r>
                      <w:r>
                        <w:rPr>
                          <w:rFonts w:ascii="Tw Cen MT" w:hAnsi="Tw Cen MT"/>
                        </w:rPr>
                        <w:t>n</w:t>
                      </w:r>
                      <w:r>
                        <w:rPr>
                          <w:rFonts w:ascii="Tw Cen MT" w:hAnsi="Tw Cen MT"/>
                        </w:rPr>
                        <w:t>forces the federal tax code.  It follows various pr</w:t>
                      </w:r>
                      <w:r>
                        <w:rPr>
                          <w:rFonts w:ascii="Tw Cen MT" w:hAnsi="Tw Cen MT"/>
                        </w:rPr>
                        <w:t>o</w:t>
                      </w:r>
                      <w:r>
                        <w:rPr>
                          <w:rFonts w:ascii="Tw Cen MT" w:hAnsi="Tw Cen MT"/>
                        </w:rPr>
                        <w:t>cedures in examining tax returns – and we will leave that to a course on tax practice and proc</w:t>
                      </w:r>
                      <w:r>
                        <w:rPr>
                          <w:rFonts w:ascii="Tw Cen MT" w:hAnsi="Tw Cen MT"/>
                        </w:rPr>
                        <w:t>e</w:t>
                      </w:r>
                      <w:r>
                        <w:rPr>
                          <w:rFonts w:ascii="Tw Cen MT" w:hAnsi="Tw Cen MT"/>
                        </w:rPr>
                        <w:t>dure or to a tax clinic.  When it is time to go to court because there is no resolution of a problem, a ta</w:t>
                      </w:r>
                      <w:r>
                        <w:rPr>
                          <w:rFonts w:ascii="Tw Cen MT" w:hAnsi="Tw Cen MT"/>
                        </w:rPr>
                        <w:t>x</w:t>
                      </w:r>
                      <w:r>
                        <w:rPr>
                          <w:rFonts w:ascii="Tw Cen MT" w:hAnsi="Tw Cen MT"/>
                        </w:rPr>
                        <w:t>payer has three choices:</w:t>
                      </w:r>
                    </w:p>
                    <w:p w:rsidR="00FF5E72" w:rsidRDefault="00FF5E72">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FF5E72" w:rsidRDefault="00FF5E72">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w:t>
                      </w:r>
                      <w:r>
                        <w:rPr>
                          <w:rFonts w:ascii="Tw Cen MT" w:hAnsi="Tw Cen MT"/>
                        </w:rPr>
                        <w:t>m</w:t>
                      </w:r>
                      <w:r>
                        <w:rPr>
                          <w:rFonts w:ascii="Tw Cen MT" w:hAnsi="Tw Cen MT"/>
                        </w:rPr>
                        <w:t>self/herself of review by the Claims Court.  Appeals from a decision of the Court of Claims are to the United States Court of Appeals for the Federal Ci</w:t>
                      </w:r>
                      <w:r>
                        <w:rPr>
                          <w:rFonts w:ascii="Tw Cen MT" w:hAnsi="Tw Cen MT"/>
                        </w:rPr>
                        <w:t>r</w:t>
                      </w:r>
                      <w:r>
                        <w:rPr>
                          <w:rFonts w:ascii="Tw Cen MT" w:hAnsi="Tw Cen MT"/>
                        </w:rPr>
                        <w:t>cuit.</w:t>
                      </w:r>
                    </w:p>
                    <w:p w:rsidR="00FF5E72" w:rsidRDefault="00FF5E72">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rsidR="0049128E" w:rsidRPr="00576ED7" w:rsidRDefault="0049128E" w:rsidP="00910345">
      <w:pPr>
        <w:pStyle w:val="Heading3"/>
      </w:pPr>
      <w:bookmarkStart w:id="28" w:name="_Toc375132915"/>
      <w:r w:rsidRPr="00576ED7">
        <w:t>VII.  Sources of Tax Law and the Role of Courts</w:t>
      </w:r>
      <w:bookmarkEnd w:id="28"/>
      <w:r w:rsidRPr="00576ED7">
        <w:fldChar w:fldCharType="begin"/>
      </w:r>
      <w:r w:rsidRPr="00576ED7">
        <w:instrText xml:space="preserve"> TC \l1 "VII.  Sources of Tax Law and the Role of Courts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Think of the sources of tax law and their a</w:t>
      </w:r>
      <w:r w:rsidRPr="00576ED7">
        <w:rPr>
          <w:szCs w:val="24"/>
        </w:rPr>
        <w:t>u</w:t>
      </w:r>
      <w:r w:rsidRPr="00576ED7">
        <w:rPr>
          <w:szCs w:val="24"/>
        </w:rPr>
        <w:t>thoritative weight as a pyramid.  As we move down the pyramid, the binding power of sources diminishes.  Moreover, every source noted on the pyramid must be consistent with every source above it.  Inconsistency with a higher source is a ground to challenge enforcement.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Every source of tax law below the United States must be consistent with the Constitution.  I</w:t>
      </w:r>
      <w:r w:rsidRPr="00576ED7">
        <w:rPr>
          <w:szCs w:val="24"/>
        </w:rPr>
        <w:t>m</w:t>
      </w:r>
      <w:r w:rsidRPr="00576ED7">
        <w:rPr>
          <w:szCs w:val="24"/>
        </w:rPr>
        <w:t xml:space="preserve">mediately below the Constitution is the </w:t>
      </w:r>
      <w:r w:rsidRPr="00576ED7">
        <w:rPr>
          <w:i/>
          <w:szCs w:val="24"/>
        </w:rPr>
        <w:t>I</w:t>
      </w:r>
      <w:r w:rsidRPr="00576ED7">
        <w:rPr>
          <w:i/>
          <w:szCs w:val="24"/>
        </w:rPr>
        <w:t>n</w:t>
      </w:r>
      <w:r w:rsidRPr="00576ED7">
        <w:rPr>
          <w:i/>
          <w:szCs w:val="24"/>
        </w:rPr>
        <w:t>ternal Revenue Code</w:t>
      </w:r>
      <w:r w:rsidRPr="00576ED7">
        <w:rPr>
          <w:szCs w:val="24"/>
        </w:rPr>
        <w:t>.  Courts may construe provisions of the Code.  Depending on the level of the court and the geographic area (i.e., federal circuit) subject to its rulings, those decisions are binding co</w:t>
      </w:r>
      <w:r w:rsidRPr="00576ED7">
        <w:rPr>
          <w:szCs w:val="24"/>
        </w:rPr>
        <w:t>n</w:t>
      </w:r>
      <w:r w:rsidRPr="00576ED7">
        <w:rPr>
          <w:szCs w:val="24"/>
        </w:rPr>
        <w:lastRenderedPageBreak/>
        <w:t>structions of the Code’s provisions.</w:t>
      </w:r>
      <w:r w:rsidRPr="00576ED7">
        <w:rPr>
          <w:rStyle w:val="FootnoteReference"/>
          <w:szCs w:val="24"/>
        </w:rPr>
        <w:footnoteReference w:id="19"/>
      </w:r>
      <w:r w:rsidRPr="00576ED7">
        <w:rPr>
          <w:szCs w:val="24"/>
        </w:rPr>
        <w:t xml:space="preserve">  The IRS may announce that it does or does not acquiesce in the decision of a court other than the Supreme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Immediately below the Code are </w:t>
      </w:r>
      <w:r w:rsidRPr="00576ED7">
        <w:rPr>
          <w:i/>
          <w:szCs w:val="24"/>
        </w:rPr>
        <w:t>regulations</w:t>
      </w:r>
      <w:r w:rsidRPr="00576ED7">
        <w:rPr>
          <w:szCs w:val="24"/>
        </w:rPr>
        <w:t xml:space="preserve"> that the Secretary of the Treasury promulgates.  These regulations are generally interpretive in nature.  So long as these regulations are consistent with the Code</w:t>
      </w:r>
      <w:r w:rsidRPr="00576ED7">
        <w:rPr>
          <w:rStyle w:val="FootnoteReference"/>
          <w:szCs w:val="24"/>
        </w:rPr>
        <w:footnoteReference w:id="20"/>
      </w:r>
      <w:r w:rsidRPr="00576ED7">
        <w:rPr>
          <w:szCs w:val="24"/>
        </w:rPr>
        <w:t xml:space="preserve"> and the Constitution, they are </w:t>
      </w:r>
      <w:r w:rsidRPr="00576ED7">
        <w:rPr>
          <w:i/>
          <w:szCs w:val="24"/>
        </w:rPr>
        <w:t>law</w:t>
      </w:r>
      <w:r w:rsidRPr="00576ED7">
        <w:rPr>
          <w:szCs w:val="24"/>
        </w:rPr>
        <w:t>.  The same subsidiary rules of court construction of the Code apply to construction of regulations.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enforce the law.  Since the tax liability of a taxpayer is (generally) the business of no one but the taxpayer and the IRS,</w:t>
      </w:r>
      <w:r w:rsidRPr="00576ED7">
        <w:rPr>
          <w:rStyle w:val="FootnoteReference"/>
          <w:szCs w:val="24"/>
        </w:rPr>
        <w:footnoteReference w:id="21"/>
      </w:r>
      <w:r w:rsidRPr="00576ED7">
        <w:rPr>
          <w:szCs w:val="24"/>
        </w:rPr>
        <w:t xml:space="preserve"> 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w:t>
      </w:r>
      <w:r w:rsidRPr="00576ED7">
        <w:rPr>
          <w:szCs w:val="24"/>
        </w:rPr>
        <w:t>x</w:t>
      </w:r>
      <w:r w:rsidRPr="00576ED7">
        <w:rPr>
          <w:szCs w:val="24"/>
        </w:rPr>
        <w:t>penses of litigating such questions as whether an expenditure is “reasonable,” “substantial,” or “de minimis” in amount.  Revenue rulings and revenue proc</w:t>
      </w:r>
      <w:r w:rsidRPr="00576ED7">
        <w:rPr>
          <w:szCs w:val="24"/>
        </w:rPr>
        <w:t>e</w:t>
      </w:r>
      <w:r w:rsidRPr="00576ED7">
        <w:rPr>
          <w:szCs w:val="24"/>
        </w:rPr>
        <w:t xml:space="preserve">dures are </w:t>
      </w:r>
      <w:r w:rsidRPr="00576ED7">
        <w:rPr>
          <w:i/>
          <w:szCs w:val="24"/>
        </w:rPr>
        <w:t>not</w:t>
      </w:r>
      <w:r w:rsidRPr="00576ED7">
        <w:rPr>
          <w:szCs w:val="24"/>
        </w:rPr>
        <w:t xml:space="preserve"> law, and courts may choose to ignore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A </w:t>
      </w:r>
      <w:r w:rsidRPr="00576ED7">
        <w:rPr>
          <w:i/>
          <w:szCs w:val="24"/>
        </w:rPr>
        <w:t>private letter ruling</w:t>
      </w:r>
      <w:r w:rsidRPr="00576ED7">
        <w:rPr>
          <w:szCs w:val="24"/>
        </w:rPr>
        <w:t xml:space="preserve"> is legal advice that the IRS gives to a private citizen upon request (and the fulfillment of other conditions).  These rulings are binding on the IRS only with respect to the person or entity for whom the IRS has issued the le</w:t>
      </w:r>
      <w:r w:rsidRPr="00576ED7">
        <w:rPr>
          <w:szCs w:val="24"/>
        </w:rPr>
        <w:t>t</w:t>
      </w:r>
      <w:r w:rsidRPr="00576ED7">
        <w:rPr>
          <w:szCs w:val="24"/>
        </w:rPr>
        <w:t>ter ruling.  Publication of these rulings is in a form where the party is not identif</w:t>
      </w:r>
      <w:r w:rsidRPr="00576ED7">
        <w:rPr>
          <w:szCs w:val="24"/>
        </w:rPr>
        <w:t>i</w:t>
      </w:r>
      <w:r w:rsidRPr="00576ED7">
        <w:rPr>
          <w:szCs w:val="24"/>
        </w:rPr>
        <w:t>able.  While not binding on the IRS with respect to other parties, the IRS would hardly want to establish a pattern of inconsistency.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Other statements of the IRS’s position can take various forms, e.g., technical a</w:t>
      </w:r>
      <w:r w:rsidRPr="00576ED7">
        <w:rPr>
          <w:szCs w:val="24"/>
        </w:rPr>
        <w:t>d</w:t>
      </w:r>
      <w:r w:rsidRPr="00576ED7">
        <w:rPr>
          <w:szCs w:val="24"/>
        </w:rPr>
        <w:t>vice memoranda, notices.  These statements are advisory only, but remember: the source of such advice is the only entity who can act or not act on it with respect to a particular taxpayer.</w:t>
      </w:r>
    </w:p>
    <w:p w:rsidR="0049128E" w:rsidRPr="00576ED7" w:rsidRDefault="0049128E" w:rsidP="009A1BF0">
      <w:pPr>
        <w:widowControl w:val="0"/>
        <w:jc w:val="both"/>
        <w:rPr>
          <w:szCs w:val="24"/>
        </w:rPr>
      </w:pPr>
    </w:p>
    <w:p w:rsidR="0049128E" w:rsidRPr="00576ED7" w:rsidRDefault="0049128E" w:rsidP="00910345">
      <w:pPr>
        <w:pStyle w:val="Heading3"/>
      </w:pPr>
      <w:bookmarkStart w:id="29" w:name="_Toc375132916"/>
      <w:r w:rsidRPr="00576ED7">
        <w:t>VIII.  Some Income Tax Policy and Some Income Tax Principles</w:t>
      </w:r>
      <w:bookmarkEnd w:id="29"/>
      <w:r w:rsidRPr="00576ED7">
        <w:fldChar w:fldCharType="begin"/>
      </w:r>
      <w:r w:rsidRPr="00576ED7">
        <w:instrText xml:space="preserve"> TC \l1 "VIII.  Some Income Tax Policy and Some Income Tax Principles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United States has adopted an income tax code, and the discussion now zeroes in on the income tax that Congress has adopted.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Pr="00576ED7">
        <w:rPr>
          <w:szCs w:val="24"/>
        </w:rPr>
        <w:t>:  Issues of fairness as between those who must pay an i</w:t>
      </w:r>
      <w:r w:rsidRPr="00576ED7">
        <w:rPr>
          <w:szCs w:val="24"/>
        </w:rPr>
        <w:t>n</w:t>
      </w:r>
      <w:r w:rsidRPr="00576ED7">
        <w:rPr>
          <w:szCs w:val="24"/>
        </w:rPr>
        <w:t xml:space="preserve">come tax arise.  </w:t>
      </w:r>
      <w:r w:rsidRPr="00576ED7">
        <w:rPr>
          <w:i/>
          <w:szCs w:val="24"/>
        </w:rPr>
        <w:t>A reduction in one taxpayer’s taxable income of course produces a reduction in that taxpayer’s taxes.  If the government is to raise a certain amount of money through an income tax, a reduction in one taxpayer’s tax liabi</w:t>
      </w:r>
      <w:r w:rsidRPr="00576ED7">
        <w:rPr>
          <w:i/>
          <w:szCs w:val="24"/>
        </w:rPr>
        <w:t>l</w:t>
      </w:r>
      <w:r w:rsidRPr="00576ED7">
        <w:rPr>
          <w:i/>
          <w:szCs w:val="24"/>
        </w:rPr>
        <w:t xml:space="preserve">ity necessarily means that someone else’s taxes must increase.  This is why the reduction of some taxpayers’ tax liability is a matter of concern for everyone else.  The government may </w:t>
      </w:r>
      <w:r w:rsidRPr="00576ED7">
        <w:rPr>
          <w:b/>
          <w:i/>
          <w:szCs w:val="24"/>
        </w:rPr>
        <w:t>choose</w:t>
      </w:r>
      <w:r w:rsidRPr="00576ED7">
        <w:rPr>
          <w:i/>
          <w:szCs w:val="24"/>
        </w:rPr>
        <w:t xml:space="preserve"> to discriminate in its assessment of tax liability.  The policy considerations that justify reducing one taxpayer’s tax liability but not a</w:t>
      </w:r>
      <w:r w:rsidRPr="00576ED7">
        <w:rPr>
          <w:i/>
          <w:szCs w:val="24"/>
        </w:rPr>
        <w:t>n</w:t>
      </w:r>
      <w:r w:rsidRPr="00576ED7">
        <w:rPr>
          <w:i/>
          <w:szCs w:val="24"/>
        </w:rPr>
        <w:t>other’s are the essence of tax policy.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Pr="00576ED7">
        <w:rPr>
          <w:szCs w:val="24"/>
        </w:rPr>
        <w:t xml:space="preserve">:  This leads us to observe that there are three </w:t>
      </w:r>
      <w:r w:rsidRPr="00576ED7">
        <w:rPr>
          <w:i/>
          <w:szCs w:val="24"/>
        </w:rPr>
        <w:t>norms</w:t>
      </w:r>
      <w:r w:rsidRPr="00576ED7">
        <w:rPr>
          <w:szCs w:val="24"/>
        </w:rPr>
        <w:t xml:space="preserve"> against which we measure income tax rules:</w:t>
      </w:r>
    </w:p>
    <w:p w:rsidR="0049128E" w:rsidRPr="00576ED7" w:rsidRDefault="0049128E" w:rsidP="009A1BF0">
      <w:pPr>
        <w:widowControl w:val="0"/>
        <w:ind w:left="720"/>
        <w:jc w:val="both"/>
        <w:rPr>
          <w:szCs w:val="24"/>
        </w:rPr>
      </w:pPr>
      <w:r w:rsidRPr="00576ED7">
        <w:rPr>
          <w:szCs w:val="24"/>
        </w:rPr>
        <w:t xml:space="preserve">1.  Horizontal equity: Taxpayers with the equal accessions to wealth should pay the same amount of income tax.  Like taxpayers should be taxed alike.  Of course, we can argue about which taxpayers are truly alike. </w:t>
      </w:r>
    </w:p>
    <w:p w:rsidR="0049128E" w:rsidRPr="00576ED7" w:rsidRDefault="0049128E" w:rsidP="009A1BF0">
      <w:pPr>
        <w:widowControl w:val="0"/>
        <w:ind w:left="720"/>
        <w:jc w:val="both"/>
        <w:rPr>
          <w:szCs w:val="24"/>
        </w:rPr>
      </w:pPr>
      <w:r w:rsidRPr="00576ED7">
        <w:rPr>
          <w:szCs w:val="24"/>
        </w:rPr>
        <w:t xml:space="preserve">2.  Vertical equity: Taxpayers with different accessions to wealth should not pay the same amount of income tax.  Unlike taxpayers should not be taxed alike.  Those with more income should pay more </w:t>
      </w:r>
      <w:r w:rsidRPr="00576ED7">
        <w:rPr>
          <w:i/>
          <w:szCs w:val="24"/>
        </w:rPr>
        <w:t>and</w:t>
      </w:r>
      <w:r w:rsidRPr="00576ED7">
        <w:rPr>
          <w:szCs w:val="24"/>
        </w:rPr>
        <w:t xml:space="preserve"> pay a higher percentage of their income in taxes.  Income tax rates should be progre</w:t>
      </w:r>
      <w:r w:rsidRPr="00576ED7">
        <w:rPr>
          <w:szCs w:val="24"/>
        </w:rPr>
        <w:t>s</w:t>
      </w:r>
      <w:r w:rsidRPr="00576ED7">
        <w:rPr>
          <w:szCs w:val="24"/>
        </w:rPr>
        <w:t>sive.</w:t>
      </w:r>
    </w:p>
    <w:p w:rsidR="0049128E" w:rsidRPr="00576ED7" w:rsidRDefault="0049128E" w:rsidP="009A1BF0">
      <w:pPr>
        <w:widowControl w:val="0"/>
        <w:ind w:left="720"/>
        <w:jc w:val="both"/>
        <w:rPr>
          <w:szCs w:val="24"/>
        </w:rPr>
      </w:pPr>
      <w:r w:rsidRPr="00576ED7">
        <w:rPr>
          <w:szCs w:val="24"/>
        </w:rPr>
        <w:lastRenderedPageBreak/>
        <w:t>3.  Administrative feasibility: The tax system only applies to persons who have incomes.  The rules should be easy to understand and to apply – for both the taxpayer and the collection agency, the Internal Revenue Service.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first two of these principles are corollaries, i.e., each is little more than a r</w:t>
      </w:r>
      <w:r w:rsidRPr="00576ED7">
        <w:rPr>
          <w:szCs w:val="24"/>
        </w:rPr>
        <w:t>e</w:t>
      </w:r>
      <w:r w:rsidRPr="00576ED7">
        <w:rPr>
          <w:szCs w:val="24"/>
        </w:rPr>
        <w:t>statement of the other.  Without taking up administrative feasibility, consider how closely we can come to defining the “income” that should be subject to an income tax so that compliance with the first two principles would require little more than establishing the progressive rates that would produce (an acceptable level of) ve</w:t>
      </w:r>
      <w:r w:rsidRPr="00576ED7">
        <w:rPr>
          <w:szCs w:val="24"/>
        </w:rPr>
        <w:t>r</w:t>
      </w:r>
      <w:r w:rsidRPr="00576ED7">
        <w:rPr>
          <w:szCs w:val="24"/>
        </w:rPr>
        <w:t>tical equity.</w:t>
      </w:r>
      <w:r w:rsidRPr="00576ED7">
        <w:rPr>
          <w:rStyle w:val="FootnoteReference"/>
          <w:szCs w:val="24"/>
        </w:rPr>
        <w:footnoteReference w:id="22"/>
      </w:r>
    </w:p>
    <w:p w:rsidR="009A1BF0" w:rsidRPr="00576ED7" w:rsidRDefault="009A1BF0" w:rsidP="009A1BF0">
      <w:pPr>
        <w:widowControl w:val="0"/>
        <w:jc w:val="both"/>
        <w:rPr>
          <w:szCs w:val="24"/>
        </w:rPr>
      </w:pPr>
    </w:p>
    <w:p w:rsidR="0049128E" w:rsidRPr="00576ED7" w:rsidRDefault="0049128E" w:rsidP="00910345">
      <w:pPr>
        <w:pStyle w:val="Heading3"/>
      </w:pPr>
      <w:bookmarkStart w:id="30" w:name="_Toc375132917"/>
      <w:r w:rsidRPr="00576ED7">
        <w:t>IX.  What Is Income?</w:t>
      </w:r>
      <w:bookmarkEnd w:id="30"/>
      <w:r w:rsidRPr="00576ED7">
        <w:fldChar w:fldCharType="begin"/>
      </w:r>
      <w:r w:rsidRPr="00576ED7">
        <w:instrText xml:space="preserve"> TC \l1 "IX.  What Is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may think of “income” as the amount of money we receive for working at a job or for investing money that we have saved.  However, if we wish to tax alike all taxpayers whose situations are alike, our notion of income must expand.  Sur</w:t>
      </w:r>
      <w:r w:rsidRPr="00576ED7">
        <w:rPr>
          <w:szCs w:val="24"/>
        </w:rPr>
        <w:t>e</w:t>
      </w:r>
      <w:r w:rsidRPr="00576ED7">
        <w:rPr>
          <w:szCs w:val="24"/>
        </w:rPr>
        <w:t>ly two workers whose wages are the same should not be regarded as like taxpa</w:t>
      </w:r>
      <w:r w:rsidRPr="00576ED7">
        <w:rPr>
          <w:szCs w:val="24"/>
        </w:rPr>
        <w:t>y</w:t>
      </w:r>
      <w:r w:rsidRPr="00576ED7">
        <w:rPr>
          <w:szCs w:val="24"/>
        </w:rPr>
        <w:t>ers if one of them wins $1M in the state’s lottery.  The difference between these two taxpayers is that one has a much greater capacity to consume (i.e., to spend) and/or to save than the other.  This suggests that pursuing the policies of horizo</w:t>
      </w:r>
      <w:r w:rsidRPr="00576ED7">
        <w:rPr>
          <w:szCs w:val="24"/>
        </w:rPr>
        <w:t>n</w:t>
      </w:r>
      <w:r w:rsidRPr="00576ED7">
        <w:rPr>
          <w:szCs w:val="24"/>
        </w:rPr>
        <w:t>tal and vertical equity requires that we not limit the concept of “income” to the fruits of labor or investment.  Rather we should treat the concept of “income” as a function of both spending and saving.  Indeed:</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6496" behindDoc="0" locked="0" layoutInCell="0" allowOverlap="1" wp14:anchorId="61A70CFF" wp14:editId="60AA7923">
                <wp:simplePos x="0" y="0"/>
                <wp:positionH relativeFrom="margin">
                  <wp:posOffset>-205740</wp:posOffset>
                </wp:positionH>
                <wp:positionV relativeFrom="paragraph">
                  <wp:posOffset>24130</wp:posOffset>
                </wp:positionV>
                <wp:extent cx="5367020" cy="3730625"/>
                <wp:effectExtent l="0" t="0" r="24130" b="22225"/>
                <wp:wrapSquare wrapText="largest"/>
                <wp:docPr id="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373062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6.2pt;margin-top:1.9pt;width:422.6pt;height:293.75pt;z-index:25162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UWKgIAAFwEAAAOAAAAZHJzL2Uyb0RvYy54bWysVNuO2yAQfa/Uf0C8N3YcbbJrxVlts01V&#10;aXuRdvsBGGMbFRgKJPb26zvgJE1vL1X9gBgYzsycM+P17agVOQjnJZiKzmc5JcJwaKTpKvr5affq&#10;mhIfmGmYAiMq+iw8vd28fLEebCkK6EE1whEEMb4cbEX7EGyZZZ73QjM/AysMXrbgNAtoui5rHBsQ&#10;XausyPNlNoBrrAMuvMfT++mSbhJ+2woePratF4GoimJuIa0urXVcs82alZ1jtpf8mAb7hyw0kwaD&#10;nqHuWWBk7+RvUFpyBx7aMOOgM2hbyUWqAauZ579U89gzK1ItSI63Z5r8/4PlHw6fHJENapevKDFM&#10;o0hPYgzkNYxkPo8EDdaX6Pdo0TOMeI7OqVhvH4B/8cTAtmemE3fOwdAL1mCC6WV28XTC8RGkHt5D&#10;g3HYPkACGlunI3vIB0F0FOr5LE7MhePh1WK5ygu84ni3WC3yZXEVs8tYeXpunQ9vBWgSNxV1qH6C&#10;Z4cHHybXk0uM5kHJZieVSobr6q1y5MCwU3bpO6L/5KYMGbC4Yn5TTBT8FSNP358wtAzY80rqil6f&#10;nVgZiXtjmtSRgUk17bE8ZbDKyGQkb6IxjPWYVLs5CVRD84zUOphaHEcSNz24b5QM2N4V9V/3zAlK&#10;1DuD8qyWOD04D5eGuzTqS4MZjlAVDZRM222YZmhvnex6jDQ1hIE7lLSVieyY8ZTVMX1s4STXcdzi&#10;jFzayevHT2HzHQAA//8DAFBLAwQUAAYACAAAACEAm7gCDtwAAAAJAQAADwAAAGRycy9kb3ducmV2&#10;LnhtbEyPzU7DMBCE70i8g7VI3FrnB1AJ2VQoEvcmgODoxiaOiNchdpvw9iwnuO1oRrPflPvVjeJs&#10;5jB4Qki3CQhDndcD9Qgvz0+bHYgQFWk1ejII3ybAvrq8KFWh/UKNObexF1xCoVAINsapkDJ01jgV&#10;tn4yxN6Hn52KLOde6lktXO5GmSXJnXRqIP5g1WRqa7rP9uQQfNPUr1n7dXirF133y2GN07tFvL5a&#10;Hx9ARLPGvzD84jM6VMx09CfSQYwImzy74ShCzgvY36UZH0eE2/s0B1mV8v+C6gcAAP//AwBQSwEC&#10;LQAUAAYACAAAACEAtoM4kv4AAADhAQAAEwAAAAAAAAAAAAAAAAAAAAAAW0NvbnRlbnRfVHlwZXNd&#10;LnhtbFBLAQItABQABgAIAAAAIQA4/SH/1gAAAJQBAAALAAAAAAAAAAAAAAAAAC8BAABfcmVscy8u&#10;cmVsc1BLAQItABQABgAIAAAAIQAJS8UWKgIAAFwEAAAOAAAAAAAAAAAAAAAAAC4CAABkcnMvZTJv&#10;RG9jLnhtbFBLAQItABQABgAIAAAAIQCbuAIO3AAAAAkBAAAPAAAAAAAAAAAAAAAAAIQEAABkcnMv&#10;ZG93bnJldi54bWxQSwUGAAAAAAQABADzAAAAjQUAAAAA&#10;" o:allowincell="f" strokeweight=".96pt">
                <v:textbox inset="6pt,6pt,6pt,6pt">
                  <w:txbxContent>
                    <w:p w:rsidR="00FF5E72" w:rsidRDefault="00FF5E72">
                      <w:pPr>
                        <w:widowControl w:val="0"/>
                        <w:jc w:val="both"/>
                        <w:rPr>
                          <w:rFonts w:ascii="Tw Cen MT" w:hAnsi="Tw Cen MT"/>
                        </w:rPr>
                      </w:pPr>
                      <w:r>
                        <w:rPr>
                          <w:rFonts w:ascii="Tw Cen MT" w:hAnsi="Tw Cen MT"/>
                          <w:i/>
                        </w:rPr>
                        <w:t>Consumption plus or minus increments to savings</w:t>
                      </w:r>
                      <w:r>
                        <w:rPr>
                          <w:rFonts w:ascii="Tw Cen MT" w:hAnsi="Tw Cen MT"/>
                        </w:rPr>
                        <w:t>: We may accept the idea that “i</w:t>
                      </w:r>
                      <w:r>
                        <w:rPr>
                          <w:rFonts w:ascii="Tw Cen MT" w:hAnsi="Tw Cen MT"/>
                        </w:rPr>
                        <w:t>n</w:t>
                      </w:r>
                      <w:r>
                        <w:rPr>
                          <w:rFonts w:ascii="Tw Cen MT" w:hAnsi="Tw Cen MT"/>
                        </w:rPr>
                        <w:t xml:space="preserve">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w:t>
                      </w:r>
                      <w:r>
                        <w:rPr>
                          <w:rFonts w:ascii="Tw Cen MT" w:hAnsi="Tw Cen MT"/>
                        </w:rPr>
                        <w:t>r</w:t>
                      </w:r>
                      <w:r>
                        <w:rPr>
                          <w:rFonts w:ascii="Tw Cen MT" w:hAnsi="Tw Cen MT"/>
                        </w:rPr>
                        <w:t>ty rights).  Consumption and additions to the store of property rights are the two el</w:t>
                      </w:r>
                      <w:r>
                        <w:rPr>
                          <w:rFonts w:ascii="Tw Cen MT" w:hAnsi="Tw Cen MT"/>
                        </w:rPr>
                        <w:t>e</w:t>
                      </w:r>
                      <w:r>
                        <w:rPr>
                          <w:rFonts w:ascii="Tw Cen MT" w:hAnsi="Tw Cen MT"/>
                        </w:rPr>
                        <w:t>ments of income in the SHS definition of income.  What the SHS formula of income can incorporate quite easily are “non-traditional” forms of income such as winning a lo</w:t>
                      </w:r>
                      <w:r>
                        <w:rPr>
                          <w:rFonts w:ascii="Tw Cen MT" w:hAnsi="Tw Cen MT"/>
                        </w:rPr>
                        <w:t>t</w:t>
                      </w:r>
                      <w:r>
                        <w:rPr>
                          <w:rFonts w:ascii="Tw Cen MT" w:hAnsi="Tw Cen MT"/>
                        </w:rPr>
                        <w:t>tery or winning a sizeable addition to savings, even when one cannot spend (co</w:t>
                      </w:r>
                      <w:r>
                        <w:rPr>
                          <w:rFonts w:ascii="Tw Cen MT" w:hAnsi="Tw Cen MT"/>
                        </w:rPr>
                        <w:t>n</w:t>
                      </w:r>
                      <w:r>
                        <w:rPr>
                          <w:rFonts w:ascii="Tw Cen MT" w:hAnsi="Tw Cen MT"/>
                        </w:rPr>
                        <w:t xml:space="preserve">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v:textbox>
                <w10:wrap type="square" side="largest" anchorx="margin"/>
              </v:shape>
            </w:pict>
          </mc:Fallback>
        </mc:AlternateContent>
      </w:r>
    </w:p>
    <w:p w:rsidR="0049128E" w:rsidRPr="00576ED7" w:rsidRDefault="0049128E" w:rsidP="009A1BF0">
      <w:pPr>
        <w:widowControl w:val="0"/>
        <w:ind w:left="720"/>
        <w:jc w:val="both"/>
        <w:rPr>
          <w:szCs w:val="24"/>
        </w:rPr>
      </w:pPr>
      <w:r w:rsidRPr="00576ED7">
        <w:rPr>
          <w:szCs w:val="24"/>
        </w:rPr>
        <w:t>Personal income may be defined as the algebraic sum of (1) the market value of rights exercised in consumption and (2) the change in the value of the store of property rights between the beginning and end of the period in question.</w:t>
      </w:r>
      <w:r w:rsidRPr="00576ED7">
        <w:rPr>
          <w:rStyle w:val="FootnoteReference"/>
          <w:szCs w:val="24"/>
        </w:rPr>
        <w:footnoteReference w:id="2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economist Henry Simons propounded this definition.  Derivation of the same formula is also attributed to Georg von Schanz and to Robert Murray Haig.  We may refer to this formula to as the Schanz-Haig-Simons formula, the Haig-Simons formula, or the SHS formula.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The terminology of the SHS formula is not as daunting as might appear.  The phrase “rights exercised in consumption” merely reflects what a taxpayer spent (or would have spent if s/he received something for which s/he did not have to pay)  to purchase something.  The phrase “additions to the storehouse of property rights” merely reflects a taxpayer’s saving money, perhaps by depositing some of his/her income in a savings account or in a more sophisticated investment.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SHS definition is in fact an (enormously convenient) “algebraic sum.”  If it is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(Consumption) + (Additions to the store of property rights)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then it is equally true that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(Income) − (A</w:t>
      </w:r>
      <w:r w:rsidRPr="00576ED7">
        <w:rPr>
          <w:szCs w:val="24"/>
        </w:rPr>
        <w:t>d</w:t>
      </w:r>
      <w:r w:rsidRPr="00576ED7">
        <w:rPr>
          <w:szCs w:val="24"/>
        </w:rPr>
        <w:t>ditions to the store of property right) = (Co</w:t>
      </w:r>
      <w:r w:rsidRPr="00576ED7">
        <w:rPr>
          <w:szCs w:val="24"/>
        </w:rPr>
        <w:t>n</w:t>
      </w:r>
      <w:r w:rsidRPr="00576ED7">
        <w:rPr>
          <w:szCs w:val="24"/>
        </w:rPr>
        <w:t>sumption).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point is quite useful to those who (believe that they) want the government to tax consumption rather than income, perhaps because they believe that those who save rather than spend will pay less in taxes than they do under the current sy</w:t>
      </w:r>
      <w:r w:rsidRPr="00576ED7">
        <w:rPr>
          <w:szCs w:val="24"/>
        </w:rPr>
        <w:t>s</w:t>
      </w:r>
      <w:r w:rsidRPr="00576ED7">
        <w:rPr>
          <w:szCs w:val="24"/>
        </w:rPr>
        <w:t>tem.  Use of the algebraic quality of this definition means that no matter what our tax base is, we would never have to bear the expense or endure the inconvenience of keeping keep track of what we individually spend on consumption.  Anyone who has received a W-2 from an employer or a 1099-INT from a bank knows that we can expect an e</w:t>
      </w:r>
      <w:r w:rsidRPr="00576ED7">
        <w:rPr>
          <w:szCs w:val="24"/>
        </w:rPr>
        <w:t>m</w:t>
      </w:r>
      <w:r w:rsidRPr="00576ED7">
        <w:rPr>
          <w:szCs w:val="24"/>
        </w:rPr>
        <w:t>ployer or a bank to provide the pertinent information about wages or savings with an acceptable degree of accuracy.  We already understand that the disposition of these funds is either going to be consumption or additions to saving.  From this information, the amount a taxpayer spent on consumption can easily be dete</w:t>
      </w:r>
      <w:r w:rsidRPr="00576ED7">
        <w:rPr>
          <w:szCs w:val="24"/>
        </w:rPr>
        <w:t>r</w:t>
      </w:r>
      <w:r w:rsidRPr="00576ED7">
        <w:rPr>
          <w:szCs w:val="24"/>
        </w:rPr>
        <w:t>mined simply by manipulating the SHS formula as above.  When a(n odd) que</w:t>
      </w:r>
      <w:r w:rsidRPr="00576ED7">
        <w:rPr>
          <w:szCs w:val="24"/>
        </w:rPr>
        <w:t>s</w:t>
      </w:r>
      <w:r w:rsidRPr="00576ED7">
        <w:rPr>
          <w:szCs w:val="24"/>
        </w:rPr>
        <w:t>tion arises outside the ambit of W-2s or 1099s, e.g., whether a taxpayer should include in his/her taxable income the value of a sumptuous meal that s/he would never have purchased for himself/herself, an affirmative answer requires no more than to add that value to “Consumption” which in turn increases the algebraic sum that is “Income.”  Identifying a particular element of consum</w:t>
      </w:r>
      <w:r w:rsidRPr="00576ED7">
        <w:rPr>
          <w:szCs w:val="24"/>
        </w:rPr>
        <w:t>p</w:t>
      </w:r>
      <w:r w:rsidRPr="00576ED7">
        <w:rPr>
          <w:szCs w:val="24"/>
        </w:rPr>
        <w:t>tion, savings, or income will drive the others.  Income, consumption, and savings are functions of each 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Some Obvious or Not-so-Obvious Implications of the SHS Definition of “Income”</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7520" behindDoc="0" locked="0" layoutInCell="0" allowOverlap="1" wp14:anchorId="06F62024" wp14:editId="2B3BB230">
                <wp:simplePos x="0" y="0"/>
                <wp:positionH relativeFrom="margin">
                  <wp:posOffset>1686560</wp:posOffset>
                </wp:positionH>
                <wp:positionV relativeFrom="margin">
                  <wp:posOffset>1770380</wp:posOffset>
                </wp:positionV>
                <wp:extent cx="3352800" cy="2585085"/>
                <wp:effectExtent l="0" t="0" r="19050" b="2476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8508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FF5E72" w:rsidRDefault="00FF5E72">
                            <w:pPr>
                              <w:widowControl w:val="0"/>
                              <w:jc w:val="both"/>
                              <w:rPr>
                                <w:rFonts w:ascii="Tw Cen MT" w:hAnsi="Tw Cen MT"/>
                              </w:rPr>
                            </w:pPr>
                            <w:r>
                              <w:rPr>
                                <w:rFonts w:ascii="Tw Cen MT" w:hAnsi="Tw Cen MT"/>
                              </w:rPr>
                              <w:t>1.  We tax income of a particular taxpayer once and only once.</w:t>
                            </w:r>
                          </w:p>
                          <w:p w:rsidR="00FF5E72" w:rsidRDefault="00FF5E72">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FF5E72" w:rsidRDefault="00FF5E72">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b/>
                              </w:rPr>
                              <w:t>Know</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32.8pt;margin-top:139.4pt;width:264pt;height:203.5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IiKgIAAF0EAAAOAAAAZHJzL2Uyb0RvYy54bWysVF+P2yAMf5+074B4X5Pm1K6Lmp5uvXWa&#10;dLtNutsHoIQkaIAZ0Cbdp58huV7372UaD8gG87P9s836etCKHIXzEkxF57OcEmE41NK0Ff3yuHu1&#10;osQHZmqmwIiKnoSn15uXL9a9LUUBHahaOIIgxpe9rWgXgi2zzPNOaOZnYIXBywacZgFV12a1Yz2i&#10;a5UVeb7MenC1dcCF93h6O17STcJvGsHDp6bxIhBVUYwtpN2lfR/3bLNmZeuY7SSfwmD/EIVm0qDT&#10;M9QtC4wcnPwNSkvuwEMTZhx0Bk0juUg5YDbz/JdsHjpmRcoFyfH2TJP/f7D8/vjZEVlj7fIlJYZp&#10;LNKjGAJ5CwOZF5Gg3voS7R4sWoYBz9E4JevtHfCvnhjYdsy04sY56DvBagxwHl9mF09HHB9B9v1H&#10;qNEPOwRIQEPjdGQP+SCIjoU6nYsTY+F4eHW1KFY5XnG8KxarRb5aJB+sfHpunQ/vBWgShYo6rH6C&#10;Z8c7H2I4rHwyid48KFnvpFJJce1+qxw5MuyUXVoT+k9mypAekyvmb4qRgr9i5Gn9CUPLgD2vpK4o&#10;JoQrGrEyEvfO1EkOTKpRxpiVmZiM5I00hmE/TFWLjyPNe6hPyK2DscdxJlHowH2npMf+rqj/dmBO&#10;UKI+GKzP6yWODw7EpeIulf2lwgxHqIoGSkZxG8YhOlgn2w49jR1h4AZr2sjE9nNUU/zYw6kI07zF&#10;IbnUk9Xzr7D5AQAA//8DAFBLAwQUAAYACAAAACEAZxLVTt4AAAALAQAADwAAAGRycy9kb3ducmV2&#10;LnhtbEyPQU+DQBCF7yb+h82YeLOLmFJKWRpD4r1gjR637Aik7Cyy24L/3vGkt5l5L2++l+8XO4gr&#10;Tr53pOBxFYFAapzpqVVwfH15SEH4oMnowREq+EYP++L2JteZcTNVeK1DKziEfKYVdCGMmZS+6dBq&#10;v3IjEmufbrI68Dq10kx65nA7yDiKEml1T/yh0yOWHTbn+mIVuKoq3+L66/BezqZs58MSxo9Oqfu7&#10;5XkHIuAS/szwi8/oUDDTyV3IeDEoiJN1wlYeNil3YMdm+8SXk4IkXW9BFrn836H4AQAA//8DAFBL&#10;AQItABQABgAIAAAAIQC2gziS/gAAAOEBAAATAAAAAAAAAAAAAAAAAAAAAABbQ29udGVudF9UeXBl&#10;c10ueG1sUEsBAi0AFAAGAAgAAAAhADj9If/WAAAAlAEAAAsAAAAAAAAAAAAAAAAALwEAAF9yZWxz&#10;Ly5yZWxzUEsBAi0AFAAGAAgAAAAhACMg8iIqAgAAXQQAAA4AAAAAAAAAAAAAAAAALgIAAGRycy9l&#10;Mm9Eb2MueG1sUEsBAi0AFAAGAAgAAAAhAGcS1U7eAAAACwEAAA8AAAAAAAAAAAAAAAAAhA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FF5E72" w:rsidRDefault="00FF5E72">
                      <w:pPr>
                        <w:widowControl w:val="0"/>
                        <w:jc w:val="both"/>
                        <w:rPr>
                          <w:rFonts w:ascii="Tw Cen MT" w:hAnsi="Tw Cen MT"/>
                        </w:rPr>
                      </w:pPr>
                      <w:r>
                        <w:rPr>
                          <w:rFonts w:ascii="Tw Cen MT" w:hAnsi="Tw Cen MT"/>
                        </w:rPr>
                        <w:t>1.  We tax income of a particular taxpayer once and only once.</w:t>
                      </w:r>
                    </w:p>
                    <w:p w:rsidR="00FF5E72" w:rsidRDefault="00FF5E72">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FF5E72" w:rsidRDefault="00FF5E72">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FF5E72" w:rsidRDefault="00FF5E72">
                      <w:pPr>
                        <w:widowControl w:val="0"/>
                        <w:jc w:val="both"/>
                        <w:rPr>
                          <w:rFonts w:ascii="Tw Cen MT" w:hAnsi="Tw Cen MT"/>
                        </w:rPr>
                      </w:pPr>
                    </w:p>
                    <w:p w:rsidR="00FF5E72" w:rsidRDefault="00FF5E72">
                      <w:pPr>
                        <w:widowControl w:val="0"/>
                        <w:jc w:val="both"/>
                        <w:rPr>
                          <w:rFonts w:ascii="Tw Cen MT" w:hAnsi="Tw Cen MT"/>
                        </w:rPr>
                      </w:pPr>
                      <w:r>
                        <w:rPr>
                          <w:rFonts w:ascii="Tw Cen MT" w:hAnsi="Tw Cen MT"/>
                          <w:b/>
                        </w:rPr>
                        <w:t>Know</w:t>
                      </w:r>
                      <w:r>
                        <w:rPr>
                          <w:rFonts w:ascii="Tw Cen MT" w:hAnsi="Tw Cen MT"/>
                        </w:rPr>
                        <w:t xml:space="preserve"> these principles.</w:t>
                      </w:r>
                    </w:p>
                  </w:txbxContent>
                </v:textbox>
                <w10:wrap type="square" side="largest" anchorx="margin" anchory="margin"/>
              </v:shape>
            </w:pict>
          </mc:Fallback>
        </mc:AlternateContent>
      </w:r>
      <w:r w:rsidR="0049128E" w:rsidRPr="00576ED7">
        <w:rPr>
          <w:szCs w:val="24"/>
        </w:rPr>
        <w:t xml:space="preserve">If we choose to tax what we spend and what we save, then in some manner we are taxing only </w:t>
      </w:r>
      <w:r w:rsidR="0049128E" w:rsidRPr="00576ED7">
        <w:rPr>
          <w:i/>
          <w:szCs w:val="24"/>
        </w:rPr>
        <w:t>incr</w:t>
      </w:r>
      <w:r w:rsidR="0049128E" w:rsidRPr="00576ED7">
        <w:rPr>
          <w:i/>
          <w:szCs w:val="24"/>
        </w:rPr>
        <w:t>e</w:t>
      </w:r>
      <w:r w:rsidR="0049128E" w:rsidRPr="00576ED7">
        <w:rPr>
          <w:i/>
          <w:szCs w:val="24"/>
        </w:rPr>
        <w:t>ments</w:t>
      </w:r>
      <w:r w:rsidR="0049128E" w:rsidRPr="00576ED7">
        <w:rPr>
          <w:szCs w:val="24"/>
        </w:rPr>
        <w:t xml:space="preserve"> to a taxpayer’s overall well-being.  Our tax code demands an annual accounting and assessment even though this can be inconve</w:t>
      </w:r>
      <w:r w:rsidR="0049128E" w:rsidRPr="00576ED7">
        <w:rPr>
          <w:szCs w:val="24"/>
        </w:rPr>
        <w:t>n</w:t>
      </w:r>
      <w:r w:rsidR="0049128E" w:rsidRPr="00576ED7">
        <w:rPr>
          <w:szCs w:val="24"/>
        </w:rPr>
        <w:t>ient – and even inaccurate – for some taxpayers. What happens during the year is treated as an i</w:t>
      </w:r>
      <w:r w:rsidR="0049128E" w:rsidRPr="00576ED7">
        <w:rPr>
          <w:szCs w:val="24"/>
        </w:rPr>
        <w:t>n</w:t>
      </w:r>
      <w:r w:rsidR="0049128E" w:rsidRPr="00576ED7">
        <w:rPr>
          <w:szCs w:val="24"/>
        </w:rPr>
        <w:t>crement to what happened before, e.g., we added to a savings account that we already had, we consumed (o</w:t>
      </w:r>
      <w:r w:rsidR="0049128E" w:rsidRPr="00576ED7">
        <w:rPr>
          <w:szCs w:val="24"/>
        </w:rPr>
        <w:t>n</w:t>
      </w:r>
      <w:r w:rsidR="0049128E" w:rsidRPr="00576ED7">
        <w:rPr>
          <w:szCs w:val="24"/>
        </w:rPr>
        <w:t xml:space="preserve">ly) a small portion of an asset we already own.  We are not taxing </w:t>
      </w:r>
      <w:r w:rsidR="0049128E" w:rsidRPr="00576ED7">
        <w:rPr>
          <w:i/>
          <w:szCs w:val="24"/>
        </w:rPr>
        <w:t>accumulated</w:t>
      </w:r>
      <w:r w:rsidR="0049128E" w:rsidRPr="00576ED7">
        <w:rPr>
          <w:szCs w:val="24"/>
        </w:rPr>
        <w:t xml:space="preserve"> wealth – property taxes and estate taxes do that.  A concept integral to our income tax is “basis,” and its function is to assure that our income tax does </w:t>
      </w:r>
      <w:r w:rsidR="0049128E" w:rsidRPr="00576ED7">
        <w:rPr>
          <w:i/>
          <w:szCs w:val="24"/>
        </w:rPr>
        <w:t>not</w:t>
      </w:r>
      <w:r w:rsidR="0049128E" w:rsidRPr="00576ED7">
        <w:rPr>
          <w:szCs w:val="24"/>
        </w:rPr>
        <w:t xml:space="preserve"> tax acc</w:t>
      </w:r>
      <w:r w:rsidR="0049128E" w:rsidRPr="00576ED7">
        <w:rPr>
          <w:szCs w:val="24"/>
        </w:rPr>
        <w:t>u</w:t>
      </w:r>
      <w:r w:rsidR="0049128E" w:rsidRPr="00576ED7">
        <w:rPr>
          <w:szCs w:val="24"/>
        </w:rPr>
        <w:t xml:space="preserve">mulated wealth but only </w:t>
      </w:r>
      <w:r w:rsidR="0049128E" w:rsidRPr="00576ED7">
        <w:rPr>
          <w:i/>
          <w:szCs w:val="24"/>
        </w:rPr>
        <w:t>increments</w:t>
      </w:r>
      <w:r w:rsidR="0049128E" w:rsidRPr="00576ED7">
        <w:rPr>
          <w:szCs w:val="24"/>
        </w:rPr>
        <w:t xml:space="preserve"> to it.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a.  Taxing I</w:t>
      </w:r>
      <w:r w:rsidRPr="00576ED7">
        <w:rPr>
          <w:i/>
          <w:szCs w:val="24"/>
        </w:rPr>
        <w:t>n</w:t>
      </w:r>
      <w:r w:rsidRPr="00576ED7">
        <w:rPr>
          <w:i/>
          <w:szCs w:val="24"/>
        </w:rPr>
        <w:t xml:space="preserve">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Focus for now only on additions to “the store of property rights” that a taxpayer may accum</w:t>
      </w:r>
      <w:r w:rsidRPr="00576ED7">
        <w:rPr>
          <w:szCs w:val="24"/>
        </w:rPr>
        <w:t>u</w:t>
      </w:r>
      <w:r w:rsidRPr="00576ED7">
        <w:rPr>
          <w:szCs w:val="24"/>
        </w:rPr>
        <w:t>late during a relevant period and not on the consumption element of the SHS definition.  By taxing increments to savings and investment, we actually tax a taxpayer’s add</w:t>
      </w:r>
      <w:r w:rsidRPr="00576ED7">
        <w:rPr>
          <w:szCs w:val="24"/>
        </w:rPr>
        <w:t>i</w:t>
      </w:r>
      <w:r w:rsidRPr="00576ED7">
        <w:rPr>
          <w:szCs w:val="24"/>
        </w:rPr>
        <w:t xml:space="preserve">tions to his/her </w:t>
      </w:r>
      <w:r w:rsidRPr="00576ED7">
        <w:rPr>
          <w:i/>
          <w:szCs w:val="24"/>
        </w:rPr>
        <w:t>unexercised power</w:t>
      </w:r>
      <w:r w:rsidRPr="00576ED7">
        <w:rPr>
          <w:szCs w:val="24"/>
        </w:rPr>
        <w:t xml:space="preserve"> to consume.  Taxation of income is therefore the taxation of consumption and additional increments to the </w:t>
      </w:r>
      <w:r w:rsidRPr="00576ED7">
        <w:rPr>
          <w:i/>
          <w:szCs w:val="24"/>
        </w:rPr>
        <w:t>power</w:t>
      </w:r>
      <w:r w:rsidRPr="00576ED7">
        <w:rPr>
          <w:szCs w:val="24"/>
        </w:rPr>
        <w:t xml:space="preserve"> to consume.</w:t>
      </w:r>
    </w:p>
    <w:p w:rsidR="0049128E" w:rsidRPr="00576ED7" w:rsidRDefault="000F2BA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8544" behindDoc="0" locked="0" layoutInCell="0" allowOverlap="1" wp14:anchorId="2C2F9C41" wp14:editId="398A21A9">
                <wp:simplePos x="0" y="0"/>
                <wp:positionH relativeFrom="margin">
                  <wp:posOffset>-264160</wp:posOffset>
                </wp:positionH>
                <wp:positionV relativeFrom="margin">
                  <wp:posOffset>69850</wp:posOffset>
                </wp:positionV>
                <wp:extent cx="2980055" cy="3409950"/>
                <wp:effectExtent l="0" t="0" r="10795" b="1905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40995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0.8pt;margin-top:5.5pt;width:234.65pt;height:268.5pt;z-index:251628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mkLAIAAF0EAAAOAAAAZHJzL2Uyb0RvYy54bWysVNtu2zAMfR+wfxD0vthJl64x4hRdugwD&#10;ugvQ7gNkWY6FyaJGKbGzry8lp2nQbS/D9CCQMnVEnkN6eT10hu0Veg225NNJzpmyEmpttyX//rB5&#10;c8WZD8LWwoBVJT8oz69Xr18te1eoGbRgaoWMQKwvelfyNgRXZJmXreqEn4BTlj42gJ0I5OI2q1H0&#10;hN6ZbJbnl1kPWDsEqbyn09vxI18l/KZRMnxtGq8CMyWn3ELaMe1V3LPVUhRbFK7V8piG+IcsOqEt&#10;PXqCuhVBsB3q36A6LRE8NGEiocugabRUqQaqZpq/qOa+FU6lWogc7040+f8HK7/svyHTNWmXzzmz&#10;oiORHtQQ2HsY2PQiEtQ7X1DcvaPIMNA5BadivbsD+cMzC+tW2K26QYS+VaKmBKfxZnZ2dcTxEaTq&#10;P0NN74hdgAQ0NNhF9ogPRugk1OEkTsxF0uFscZXnc8pR0reLt/liMU/yZaJ4uu7Qh48KOhaNkiOp&#10;n+DF/s6HmI4onkLiax6MrjfamOTgtlobZHtBnbJJK1XwIsxY1lNxs+liNlLwV4w8rT9hdDpQzxvd&#10;lZxKohWDRBGJ+2DrZAehzWhTzsYemYzkjTSGoRpG1RLPkeYK6gNxizD2OM0kGS3gL8566u+S+587&#10;gYoz88mSPu8uaXxoIM4dPHeqc0dYSVAlD5yN5jqMQ7RzqLctvTR2hIUb0rTRie3nrI75Uw8nEY7z&#10;Fofk3E9Rz3+F1SMAAAD//wMAUEsDBBQABgAIAAAAIQBD6yML3QAAAAoBAAAPAAAAZHJzL2Rvd25y&#10;ZXYueG1sTI9BT4NAEIXvJv6HzTTx1i4QbBtkaQyJ94I2etyyI5Cys8huC/57x5MeJ+/Lm+/lh8UO&#10;4oaT7x0piDcRCKTGmZ5aBW+vL+s9CB80GT04QgXf6OFQ3N/lOjNupgpvdWgFl5DPtIIuhDGT0jcd&#10;Wu03bkTi7NNNVgc+p1aaSc9cbgeZRNFWWt0Tf+j0iGWHzaW+WgWuqspTUn8d38vZlO18XML40Sn1&#10;sFqen0AEXMIfDL/6rA4FO53dlYwXg4J1Gm8Z5SDmTQykyW4H4qzgMd1HIItc/p9Q/AAAAP//AwBQ&#10;SwECLQAUAAYACAAAACEAtoM4kv4AAADhAQAAEwAAAAAAAAAAAAAAAAAAAAAAW0NvbnRlbnRfVHlw&#10;ZXNdLnhtbFBLAQItABQABgAIAAAAIQA4/SH/1gAAAJQBAAALAAAAAAAAAAAAAAAAAC8BAABfcmVs&#10;cy8ucmVsc1BLAQItABQABgAIAAAAIQAdJmmkLAIAAF0EAAAOAAAAAAAAAAAAAAAAAC4CAABkcnMv&#10;ZTJvRG9jLnhtbFBLAQItABQABgAIAAAAIQBD6yML3QAAAAoBAAAPAAAAAAAAAAAAAAAAAIY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The Unit of Measurement of Income, Consum</w:t>
                      </w:r>
                      <w:r>
                        <w:rPr>
                          <w:rFonts w:ascii="Tw Cen MT" w:hAnsi="Tw Cen MT"/>
                          <w:i/>
                        </w:rPr>
                        <w:t>p</w:t>
                      </w:r>
                      <w:r>
                        <w:rPr>
                          <w:rFonts w:ascii="Tw Cen MT" w:hAnsi="Tw Cen MT"/>
                          <w:i/>
                        </w:rPr>
                        <w:t>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w:t>
                      </w:r>
                      <w:r>
                        <w:rPr>
                          <w:rFonts w:ascii="Tw Cen MT" w:hAnsi="Tw Cen MT"/>
                        </w:rPr>
                        <w:t>s</w:t>
                      </w:r>
                      <w:r>
                        <w:rPr>
                          <w:rFonts w:ascii="Tw Cen MT" w:hAnsi="Tw Cen MT"/>
                        </w:rPr>
                        <w:t>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w:t>
                      </w:r>
                      <w:r>
                        <w:rPr>
                          <w:rFonts w:ascii="Tw Cen MT" w:hAnsi="Tw Cen MT"/>
                        </w:rPr>
                        <w:t>n</w:t>
                      </w:r>
                      <w:r>
                        <w:rPr>
                          <w:rFonts w:ascii="Tw Cen MT" w:hAnsi="Tw Cen MT"/>
                        </w:rPr>
                        <w:t>stead, we require that transactions carried out in other currencies be valued in terms of do</w:t>
                      </w:r>
                      <w:r>
                        <w:rPr>
                          <w:rFonts w:ascii="Tw Cen MT" w:hAnsi="Tw Cen MT"/>
                        </w:rPr>
                        <w:t>l</w:t>
                      </w:r>
                      <w:r>
                        <w:rPr>
                          <w:rFonts w:ascii="Tw Cen MT" w:hAnsi="Tw Cen MT"/>
                        </w:rPr>
                        <w:t>lars at the time of the relevant income-determinant events, i.e., purchase and sale.</w:t>
                      </w:r>
                    </w:p>
                  </w:txbxContent>
                </v:textbox>
                <w10:wrap type="square" side="largest" anchorx="margin" anchory="margin"/>
              </v:shape>
            </w:pict>
          </mc:Fallback>
        </mc:AlternateContent>
      </w:r>
    </w:p>
    <w:p w:rsidR="0049128E" w:rsidRPr="00576ED7" w:rsidRDefault="0049128E" w:rsidP="009A1BF0">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w:t>
      </w:r>
      <w:r w:rsidRPr="00576ED7">
        <w:rPr>
          <w:szCs w:val="24"/>
        </w:rPr>
        <w:t>e</w:t>
      </w:r>
      <w:r w:rsidRPr="00576ED7">
        <w:rPr>
          <w:szCs w:val="24"/>
        </w:rPr>
        <w:t>lieve that they can spend their sa</w:t>
      </w:r>
      <w:r w:rsidRPr="00576ED7">
        <w:rPr>
          <w:szCs w:val="24"/>
        </w:rPr>
        <w:t>v</w:t>
      </w:r>
      <w:r w:rsidRPr="00576ED7">
        <w:rPr>
          <w:szCs w:val="24"/>
        </w:rPr>
        <w:t>ings on future consumption.  I</w:t>
      </w:r>
      <w:r w:rsidRPr="00576ED7">
        <w:rPr>
          <w:szCs w:val="24"/>
        </w:rPr>
        <w:t>m</w:t>
      </w:r>
      <w:r w:rsidRPr="00576ED7">
        <w:rPr>
          <w:szCs w:val="24"/>
        </w:rPr>
        <w:t>agine living in a country where inflation is so high that a single unit of the local currency now buys virtually nothing.</w:t>
      </w:r>
      <w:r w:rsidRPr="00576ED7">
        <w:rPr>
          <w:rStyle w:val="FootnoteReference"/>
          <w:szCs w:val="24"/>
        </w:rPr>
        <w:footnoteReference w:id="24"/>
      </w:r>
      <w:r w:rsidRPr="00576ED7">
        <w:rPr>
          <w:szCs w:val="24"/>
        </w:rPr>
        <w:t xml:space="preserve">  Would you expect the savings rate in such a country to be very high? Why not? Discuss this for awhile, but ultimately your answer will be that such savings will not buy anything for consumption in the future.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citizens of a country may manifest their lack of confidence in the future spending power of their savings by biasing their spending decisions towards current consumption or by choosing to hold their wealth in more stable but perhaps illiquid forms.  After the fall of the Soviet U</w:t>
      </w:r>
      <w:r w:rsidRPr="00576ED7">
        <w:rPr>
          <w:szCs w:val="24"/>
        </w:rPr>
        <w:t>n</w:t>
      </w:r>
      <w:r w:rsidRPr="00576ED7">
        <w:rPr>
          <w:szCs w:val="24"/>
        </w:rPr>
        <w:t>ion, Russian citizens did not save very much money in banks but chose instead to consume (e.g., trips abroad) or to purchase items such as Sony television sets whose consumption could be spread over many years.  Purchase of a Sony telev</w:t>
      </w:r>
      <w:r w:rsidRPr="00576ED7">
        <w:rPr>
          <w:szCs w:val="24"/>
        </w:rPr>
        <w:t>i</w:t>
      </w:r>
      <w:r w:rsidRPr="00576ED7">
        <w:rPr>
          <w:szCs w:val="24"/>
        </w:rPr>
        <w:t xml:space="preserve">sion set had elements of both consumption and saving.  The property in which the spending power of savings was most stable after the demise of the Soviet Union was the flats that former Soviet citizens received.  </w:t>
      </w:r>
    </w:p>
    <w:p w:rsidR="00DC5840" w:rsidRPr="00576ED7" w:rsidRDefault="00DC5840" w:rsidP="009A1BF0">
      <w:pPr>
        <w:widowControl w:val="0"/>
        <w:ind w:firstLine="720"/>
        <w:jc w:val="both"/>
        <w:rPr>
          <w:i/>
          <w:szCs w:val="24"/>
        </w:rPr>
      </w:pPr>
    </w:p>
    <w:p w:rsidR="00DC5840" w:rsidRPr="00576ED7" w:rsidRDefault="00DC5840" w:rsidP="009A1BF0">
      <w:pPr>
        <w:widowControl w:val="0"/>
        <w:ind w:firstLine="720"/>
        <w:jc w:val="both"/>
        <w:rPr>
          <w:i/>
          <w:szCs w:val="24"/>
        </w:rPr>
      </w:pPr>
    </w:p>
    <w:p w:rsidR="0049128E" w:rsidRPr="00576ED7" w:rsidRDefault="0049128E" w:rsidP="009A1BF0">
      <w:pPr>
        <w:widowControl w:val="0"/>
        <w:ind w:firstLine="720"/>
        <w:jc w:val="both"/>
        <w:rPr>
          <w:szCs w:val="24"/>
        </w:rPr>
      </w:pPr>
      <w:r w:rsidRPr="00576ED7">
        <w:rPr>
          <w:i/>
          <w:szCs w:val="24"/>
        </w:rPr>
        <w:t>b.  Income, Consumption, and Value</w:t>
      </w:r>
      <w:r w:rsidRPr="00576ED7">
        <w:rPr>
          <w:szCs w:val="24"/>
        </w:rPr>
        <w:fldChar w:fldCharType="begin"/>
      </w:r>
      <w:r w:rsidRPr="00576ED7">
        <w:rPr>
          <w:i/>
          <w:szCs w:val="24"/>
        </w:rPr>
        <w:instrText xml:space="preserve"> TC \l3 "b.  Income, Consumption, and Value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measure of value is what a person is willing to pay for something s/he does not have or the price at which a person is willing to sell something s/he does have.  A person cannot value something more than what s/he has to give in exchange.  There are no truly “priceless” things.  A person should pay no more than the value </w:t>
      </w:r>
      <w:r w:rsidRPr="00576ED7">
        <w:rPr>
          <w:szCs w:val="24"/>
        </w:rPr>
        <w:lastRenderedPageBreak/>
        <w:t>s/he places on an item s/he wants or s</w:t>
      </w:r>
      <w:r w:rsidR="00DC5840" w:rsidRPr="00576ED7">
        <w:rPr>
          <w:szCs w:val="24"/>
        </w:rPr>
        <w:t xml:space="preserve">ell an item for </w:t>
      </w:r>
      <w:r w:rsidRPr="00576ED7">
        <w:rPr>
          <w:szCs w:val="24"/>
        </w:rPr>
        <w:t>less than the value s/he places on it.</w:t>
      </w:r>
      <w:r w:rsidRPr="00576ED7">
        <w:rPr>
          <w:rStyle w:val="FootnoteReference"/>
          <w:szCs w:val="24"/>
        </w:rPr>
        <w:footnoteReference w:id="25"/>
      </w:r>
    </w:p>
    <w:p w:rsidR="0049128E" w:rsidRPr="00576ED7" w:rsidRDefault="0049128E" w:rsidP="009A1BF0">
      <w:pPr>
        <w:widowControl w:val="0"/>
        <w:jc w:val="both"/>
        <w:rPr>
          <w:szCs w:val="24"/>
        </w:rPr>
      </w:pPr>
    </w:p>
    <w:p w:rsidR="0049128E" w:rsidRPr="00576ED7" w:rsidRDefault="00DC5840" w:rsidP="009A1BF0">
      <w:pPr>
        <w:widowControl w:val="0"/>
        <w:jc w:val="both"/>
        <w:rPr>
          <w:szCs w:val="24"/>
        </w:rPr>
      </w:pPr>
      <w:r w:rsidRPr="00576ED7">
        <w:rPr>
          <w:noProof/>
          <w:szCs w:val="24"/>
        </w:rPr>
        <mc:AlternateContent>
          <mc:Choice Requires="wps">
            <w:drawing>
              <wp:anchor distT="152400" distB="152400" distL="152400" distR="152400" simplePos="0" relativeHeight="251629568" behindDoc="0" locked="0" layoutInCell="0" allowOverlap="1" wp14:anchorId="033A2524" wp14:editId="68AF9A43">
                <wp:simplePos x="0" y="0"/>
                <wp:positionH relativeFrom="margin">
                  <wp:posOffset>1962785</wp:posOffset>
                </wp:positionH>
                <wp:positionV relativeFrom="paragraph">
                  <wp:posOffset>38735</wp:posOffset>
                </wp:positionV>
                <wp:extent cx="3089910" cy="2065020"/>
                <wp:effectExtent l="0" t="0" r="15240" b="1143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6502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54.55pt;margin-top:3.05pt;width:243.3pt;height:162.6pt;z-index:251629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wbKwIAAF0EAAAOAAAAZHJzL2Uyb0RvYy54bWysVNuO0zAQfUfiHyy/06RhK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qF1+RYlh&#10;GkV6EGMg72Ak86tI0GB9iX73Fj3DiOfonIr19g74d08MbHtmOnHjHAy9YA0mOI8vs4unE46PIPXw&#10;CRqMw/YBEtDYOh3ZQz4IoqNQj2dxYi4cD1/ny9Vqjlcc74p88SYvknwZK0/PrfPhgwBN4qaiDtVP&#10;8Oxw50NMh5UnlxjNg5LNTiqVDNfVW+XIgWGn7NKXKnjmpgwZsLhiviomCv6KkafvTxhaBux5JXVF&#10;l2cnVkbi3psmdWRgUk17zFmZI5ORvInGMNbjpFpxUqiG5hG5dTD1OM4kbnpwPykZsL8r6n/smROU&#10;qI8G9Xm7wPHBgbg03KVRXxrMcISqaKBk2m7DNER762TXY6SpIwzcoKatTGxH8aesjvljDycRjvMW&#10;h+TSTl6//gqbJwAAAP//AwBQSwMEFAAGAAgAAAAhAK0ZAvrcAAAACQEAAA8AAABkcnMvZG93bnJl&#10;di54bWxMj8FOwzAMhu9IvENkJG4s7So2VppOqBL3tQzBMWtMU9E4pcnW8vaYE5ws6/v1+3OxX9wg&#10;LjiF3pOCdJWAQGq96alTcHx5vnsAEaImowdPqOAbA+zL66tC58bPVOOliZ3gEgq5VmBjHHMpQ2vR&#10;6bDyIxKzDz85HXmdOmkmPXO5G+Q6STbS6Z74gtUjVhbbz+bsFPi6rl7XzdfhrZpN1c2HJY7vVqnb&#10;m+XpEUTEJf6F4Vef1aFkp5M/kwliUJAlu5SjCjY8mG9391sQJwZZmoEsC/n/g/IHAAD//wMAUEsB&#10;Ai0AFAAGAAgAAAAhALaDOJL+AAAA4QEAABMAAAAAAAAAAAAAAAAAAAAAAFtDb250ZW50X1R5cGVz&#10;XS54bWxQSwECLQAUAAYACAAAACEAOP0h/9YAAACUAQAACwAAAAAAAAAAAAAAAAAvAQAAX3JlbHMv&#10;LnJlbHNQSwECLQAUAAYACAAAACEAI9tcGysCAABdBAAADgAAAAAAAAAAAAAAAAAuAgAAZHJzL2Uy&#10;b0RvYy54bWxQSwECLQAUAAYACAAAACEArRkC+twAAAAJAQAADwAAAAAAAAAAAAAAAACF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w:t>
                      </w:r>
                      <w:r>
                        <w:rPr>
                          <w:rFonts w:ascii="Tw Cen MT" w:hAnsi="Tw Cen MT"/>
                        </w:rPr>
                        <w:t>b</w:t>
                      </w:r>
                      <w:r>
                        <w:rPr>
                          <w:rFonts w:ascii="Tw Cen MT" w:hAnsi="Tw Cen MT"/>
                        </w:rPr>
                        <w:t>jects to income tax.  Arguably, the Code should not subject to tax events that everyone unde</w:t>
                      </w:r>
                      <w:r>
                        <w:rPr>
                          <w:rFonts w:ascii="Tw Cen MT" w:hAnsi="Tw Cen MT"/>
                        </w:rPr>
                        <w:t>r</w:t>
                      </w:r>
                      <w:r>
                        <w:rPr>
                          <w:rFonts w:ascii="Tw Cen MT" w:hAnsi="Tw Cen MT"/>
                        </w:rPr>
                        <w:t xml:space="preserve">stands (probably) </w:t>
                      </w:r>
                      <w:r>
                        <w:rPr>
                          <w:rFonts w:ascii="Tw Cen MT" w:hAnsi="Tw Cen MT"/>
                          <w:i/>
                        </w:rPr>
                        <w:t>reduce</w:t>
                      </w:r>
                      <w:r>
                        <w:rPr>
                          <w:rFonts w:ascii="Tw Cen MT" w:hAnsi="Tw Cen MT"/>
                        </w:rPr>
                        <w:t xml:space="preserve"> a taxpayer’s wealth, but this is not the case.  Court-ordered damages that a plaintiff deems inadequate to compe</w:t>
                      </w:r>
                      <w:r>
                        <w:rPr>
                          <w:rFonts w:ascii="Tw Cen MT" w:hAnsi="Tw Cen MT"/>
                        </w:rPr>
                        <w:t>n</w:t>
                      </w:r>
                      <w:r>
                        <w:rPr>
                          <w:rFonts w:ascii="Tw Cen MT" w:hAnsi="Tw Cen MT"/>
                        </w:rPr>
                        <w:t xml:space="preserve">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In fact, buyers try to pu</w:t>
      </w:r>
      <w:r w:rsidR="0049128E" w:rsidRPr="00576ED7">
        <w:rPr>
          <w:szCs w:val="24"/>
        </w:rPr>
        <w:t>r</w:t>
      </w:r>
      <w:r w:rsidR="0049128E" w:rsidRPr="00576ED7">
        <w:rPr>
          <w:szCs w:val="24"/>
        </w:rPr>
        <w:t>chase items at prices less than they value them.  The e</w:t>
      </w:r>
      <w:r w:rsidR="0049128E" w:rsidRPr="00576ED7">
        <w:rPr>
          <w:szCs w:val="24"/>
        </w:rPr>
        <w:t>x</w:t>
      </w:r>
      <w:r w:rsidR="0049128E" w:rsidRPr="00576ED7">
        <w:rPr>
          <w:szCs w:val="24"/>
        </w:rPr>
        <w:t>cess is “buyer surplus.”  Sellers try to sell items at prices higher than those at which they are actually wil</w:t>
      </w:r>
      <w:r w:rsidR="0049128E" w:rsidRPr="00576ED7">
        <w:rPr>
          <w:szCs w:val="24"/>
        </w:rPr>
        <w:t>l</w:t>
      </w:r>
      <w:r w:rsidR="0049128E" w:rsidRPr="00576ED7">
        <w:rPr>
          <w:szCs w:val="24"/>
        </w:rPr>
        <w:t>ing to sell them.  The excess is “seller surplus.”  “Buyer surplus” plus “seller surplus” equals “cooperative surplus.”  The cooper</w:t>
      </w:r>
      <w:r w:rsidR="0049128E" w:rsidRPr="00576ED7">
        <w:rPr>
          <w:szCs w:val="24"/>
        </w:rPr>
        <w:t>a</w:t>
      </w:r>
      <w:r w:rsidR="0049128E" w:rsidRPr="00576ED7">
        <w:rPr>
          <w:szCs w:val="24"/>
        </w:rPr>
        <w:t>tive surplus that buyer and seller create may or may not be shared equally – in fact there is no way to determine with certainty how they share the surplus.  Those buyers or sellers with more market power than their counterparts – perhaps they have a monopoly or a monopsony – may capture all or almost all of the cooperative surplus.  Nevertheless, every voluntary transa</w:t>
      </w:r>
      <w:r w:rsidR="0049128E" w:rsidRPr="00576ED7">
        <w:rPr>
          <w:szCs w:val="24"/>
        </w:rPr>
        <w:t>c</w:t>
      </w:r>
      <w:r w:rsidR="0049128E" w:rsidRPr="00576ED7">
        <w:rPr>
          <w:szCs w:val="24"/>
        </w:rPr>
        <w:t>tion should increase the overall wealth of the nation, i.e., the sum of the values we all place on what we have.</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We assume that taxpayers who voluntarily enter transactions know best what will increase surplus value to themselves, and that the choices each taxpayer makes concerning what to buy and what to sell are no concern of any other taxpayer.  The Internal Revenue Code, insofar as it taxes income, assumes that all taxpayers make purchasing choices with income that has already been subject to tax.  I</w:t>
      </w:r>
      <w:r w:rsidRPr="00576ED7">
        <w:rPr>
          <w:szCs w:val="24"/>
        </w:rPr>
        <w:t>n</w:t>
      </w:r>
      <w:r w:rsidRPr="00576ED7">
        <w:rPr>
          <w:szCs w:val="24"/>
        </w:rPr>
        <w:t>deed, § 262(a) reflects this by denying dedu</w:t>
      </w:r>
      <w:r w:rsidRPr="00576ED7">
        <w:rPr>
          <w:szCs w:val="24"/>
        </w:rPr>
        <w:t>c</w:t>
      </w:r>
      <w:r w:rsidRPr="00576ED7">
        <w:rPr>
          <w:szCs w:val="24"/>
        </w:rPr>
        <w:t>tions to taxpa</w:t>
      </w:r>
      <w:r w:rsidRPr="00576ED7">
        <w:rPr>
          <w:szCs w:val="24"/>
        </w:rPr>
        <w:t>y</w:t>
      </w:r>
      <w:r w:rsidRPr="00576ED7">
        <w:rPr>
          <w:szCs w:val="24"/>
        </w:rPr>
        <w:t>ers for purcha</w:t>
      </w:r>
      <w:r w:rsidRPr="00576ED7">
        <w:rPr>
          <w:szCs w:val="24"/>
        </w:rPr>
        <w:t>s</w:t>
      </w:r>
      <w:r w:rsidRPr="00576ED7">
        <w:rPr>
          <w:szCs w:val="24"/>
        </w:rPr>
        <w:t>es of items for personal co</w:t>
      </w:r>
      <w:r w:rsidRPr="00576ED7">
        <w:rPr>
          <w:szCs w:val="24"/>
        </w:rPr>
        <w:t>n</w:t>
      </w:r>
      <w:r w:rsidRPr="00576ED7">
        <w:rPr>
          <w:szCs w:val="24"/>
        </w:rPr>
        <w:t>sumption, i</w:t>
      </w:r>
      <w:r w:rsidRPr="00576ED7">
        <w:rPr>
          <w:szCs w:val="24"/>
        </w:rPr>
        <w:t>n</w:t>
      </w:r>
      <w:r w:rsidRPr="00576ED7">
        <w:rPr>
          <w:szCs w:val="24"/>
        </w:rPr>
        <w:t>cluding e</w:t>
      </w:r>
      <w:r w:rsidRPr="00576ED7">
        <w:rPr>
          <w:szCs w:val="24"/>
        </w:rPr>
        <w:t>x</w:t>
      </w:r>
      <w:r w:rsidRPr="00576ED7">
        <w:rPr>
          <w:szCs w:val="24"/>
        </w:rPr>
        <w:t>penditures for basic living expenses.  The statement that an expenditure is “personal” implies a legal conclusion co</w:t>
      </w:r>
      <w:r w:rsidRPr="00576ED7">
        <w:rPr>
          <w:szCs w:val="24"/>
        </w:rPr>
        <w:t>n</w:t>
      </w:r>
      <w:r w:rsidRPr="00576ED7">
        <w:rPr>
          <w:szCs w:val="24"/>
        </w:rPr>
        <w:t>cerning deductibility.  If the money used to purchase items for personal consum</w:t>
      </w:r>
      <w:r w:rsidRPr="00576ED7">
        <w:rPr>
          <w:szCs w:val="24"/>
        </w:rPr>
        <w:t>p</w:t>
      </w:r>
      <w:r w:rsidRPr="00576ED7">
        <w:rPr>
          <w:szCs w:val="24"/>
        </w:rPr>
        <w:t xml:space="preserve">tion is subject to income tax, as a matter of policy the choices of any taxpayer with respect to such purchases should be unfettered.  This observation supports </w:t>
      </w:r>
      <w:r w:rsidRPr="00576ED7">
        <w:rPr>
          <w:i/>
          <w:szCs w:val="24"/>
        </w:rPr>
        <w:t>not</w:t>
      </w:r>
      <w:r w:rsidRPr="00576ED7">
        <w:rPr>
          <w:szCs w:val="24"/>
        </w:rPr>
        <w:t xml:space="preserve"> taxing the money taxpayer spends to make purchases over which the taxpayer exercises no choice.</w:t>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w:lastRenderedPageBreak/>
        <mc:AlternateContent>
          <mc:Choice Requires="wps">
            <w:drawing>
              <wp:anchor distT="152400" distB="152400" distL="152400" distR="152400" simplePos="0" relativeHeight="251630592" behindDoc="0" locked="0" layoutInCell="0" allowOverlap="1" wp14:anchorId="33BDE16C" wp14:editId="167DB7FD">
                <wp:simplePos x="0" y="0"/>
                <wp:positionH relativeFrom="margin">
                  <wp:posOffset>1174115</wp:posOffset>
                </wp:positionH>
                <wp:positionV relativeFrom="paragraph">
                  <wp:posOffset>628650</wp:posOffset>
                </wp:positionV>
                <wp:extent cx="3884930" cy="3667760"/>
                <wp:effectExtent l="0" t="0" r="20320" b="2794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366776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$10,000 from an employer for “qualified adoption e</w:t>
                            </w:r>
                            <w:r>
                              <w:rPr>
                                <w:rFonts w:ascii="Tw Cen MT" w:hAnsi="Tw Cen MT"/>
                              </w:rPr>
                              <w:t>x</w:t>
                            </w:r>
                            <w:r>
                              <w:rPr>
                                <w:rFonts w:ascii="Tw Cen MT" w:hAnsi="Tw Cen MT"/>
                              </w:rPr>
                              <w:t>penses” may exclude that amount – as adjusted for inflation and subject to a phaseout – from his/her “gross income.”  § 137.  A taxpayer who pays such expenses may claim a credit equal to the amount that s/he paid.  § 36C.  A ta</w:t>
                            </w:r>
                            <w:r>
                              <w:rPr>
                                <w:rFonts w:ascii="Tw Cen MT" w:hAnsi="Tw Cen MT"/>
                              </w:rPr>
                              <w:t>x</w:t>
                            </w:r>
                            <w:r>
                              <w:rPr>
                                <w:rFonts w:ascii="Tw Cen MT" w:hAnsi="Tw Cen MT"/>
                              </w:rPr>
                              <w:t>payer who benefits from either of these two provisions e</w:t>
                            </w:r>
                            <w:r>
                              <w:rPr>
                                <w:rFonts w:ascii="Tw Cen MT" w:hAnsi="Tw Cen MT"/>
                              </w:rPr>
                              <w:t>n</w:t>
                            </w:r>
                            <w:r>
                              <w:rPr>
                                <w:rFonts w:ascii="Tw Cen MT" w:hAnsi="Tw Cen MT"/>
                              </w:rPr>
                              <w:t>joys a reduction in the federal income tax that s/he othe</w:t>
                            </w:r>
                            <w:r>
                              <w:rPr>
                                <w:rFonts w:ascii="Tw Cen MT" w:hAnsi="Tw Cen MT"/>
                              </w:rPr>
                              <w:t>r</w:t>
                            </w:r>
                            <w:r>
                              <w:rPr>
                                <w:rFonts w:ascii="Tw Cen MT" w:hAnsi="Tw Cen MT"/>
                              </w:rPr>
                              <w:t>wise would have paid.  We can view that reduction as a government expenditure.  In fact, we call it a “tax expend</w:t>
                            </w:r>
                            <w:r>
                              <w:rPr>
                                <w:rFonts w:ascii="Tw Cen MT" w:hAnsi="Tw Cen MT"/>
                              </w:rPr>
                              <w:t>i</w:t>
                            </w:r>
                            <w:r>
                              <w:rPr>
                                <w:rFonts w:ascii="Tw Cen MT" w:hAnsi="Tw Cen MT"/>
                              </w:rPr>
                              <w:t xml:space="preserve">ture.”  These two tax expenditures were expected to be $0.5B in tax year 2012.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expenditure for employer contributions for employee health care was expected to be $109.3B.  </w:t>
                            </w:r>
                            <w:r>
                              <w:rPr>
                                <w:rFonts w:ascii="Tw Cen MT" w:hAnsi="Tw Cen MT"/>
                                <w:i/>
                              </w:rPr>
                              <w:t>Id.</w:t>
                            </w:r>
                            <w:r>
                              <w:rPr>
                                <w:rFonts w:ascii="Tw Cen MT" w:hAnsi="Tw Cen MT"/>
                              </w:rPr>
                              <w:t xml:space="preserve"> at 5.  Total tax expenditures for tax year 2015 were expected to be $1366.3B.  </w:t>
                            </w:r>
                            <w:r>
                              <w:rPr>
                                <w:rFonts w:ascii="Tw Cen MT" w:hAnsi="Tw Cen MT"/>
                                <w:i/>
                              </w:rPr>
                              <w:t>Id.</w:t>
                            </w:r>
                            <w:r>
                              <w:rPr>
                                <w:rFonts w:ascii="Tw Cen MT" w:hAnsi="Tw Cen MT"/>
                              </w:rPr>
                              <w:t xml:space="preserve"> at 11.  A go</w:t>
                            </w:r>
                            <w:r>
                              <w:rPr>
                                <w:rFonts w:ascii="Tw Cen MT" w:hAnsi="Tw Cen MT"/>
                              </w:rPr>
                              <w:t>v</w:t>
                            </w:r>
                            <w:r>
                              <w:rPr>
                                <w:rFonts w:ascii="Tw Cen MT" w:hAnsi="Tw Cen MT"/>
                              </w:rPr>
                              <w:t>ernment expenditure of nearly $1.4 trillion should be a ma</w:t>
                            </w:r>
                            <w:r>
                              <w:rPr>
                                <w:rFonts w:ascii="Tw Cen MT" w:hAnsi="Tw Cen MT"/>
                              </w:rPr>
                              <w:t>t</w:t>
                            </w:r>
                            <w:r>
                              <w:rPr>
                                <w:rFonts w:ascii="Tw Cen MT" w:hAnsi="Tw Cen MT"/>
                              </w:rPr>
                              <w:t>ter of some policy concern.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92.45pt;margin-top:49.5pt;width:305.9pt;height:288.8pt;z-index:2516305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N9KwIAAF0EAAAOAAAAZHJzL2Uyb0RvYy54bWysVNuO0zAQfUfiHyy/06QttN2o6WrpUoS0&#10;XKRdPsBxnMTC9hjbbVK+nrHTlmqBF0QeLI89PjNzzkzWt4NW5CCcl2BKOp3klAjDoZamLenXp92r&#10;FSU+MFMzBUaU9Cg8vd28fLHubSFm0IGqhSMIYnzR25J2IdgiyzzvhGZ+AlYYvGzAaRbQdG1WO9Yj&#10;ulbZLM8XWQ+utg648B5P78dLukn4TSN4+Nw0XgSiSoq5hbS6tFZxzTZrVrSO2U7yUxrsH7LQTBoM&#10;eoG6Z4GRvZO/QWnJHXhowoSDzqBpJBepBqxmmj+r5rFjVqRakBxvLzT5/wfLPx2+OCJr1C6fU2KY&#10;RpGexBDIWxjI9E0kqLe+QL9Hi55hwHN0TsV6+wD8mycGth0zrbhzDvpOsBoTnMaX2dXTEcdHkKr/&#10;CDXGYfsACWhonI7sIR8E0VGo40WcmAvHw/lq9fpmjlcc7+aLxXK5SPJlrDg/t86H9wI0iZuSOlQ/&#10;wbPDgw8xHVacXWI0D0rWO6lUMlxbbZUjB4adsktfquCZmzKkx+Jm05vZSMFfMfL0/QlDy4A9r6Qu&#10;6erixIpI3DtTp44MTKpxjzkrc2IykjfSGIZqGFWbnxWqoD4itw7GHseZxE0H7gclPfZ3Sf33PXOC&#10;EvXBoD7LBY4PDsS14a6N6tpghiNUSQMl43YbxiHaWyfbDiONHWHgDjVtZGI7ij9mdcofeziJcJq3&#10;OCTXdvL69VfY/AQAAP//AwBQSwMEFAAGAAgAAAAhAHTrIdrcAAAACgEAAA8AAABkcnMvZG93bnJl&#10;di54bWxMj0FPhDAQhe8m/odmTLy5xY2BBSkbQ+J9QTd67NKREukUaXfBf+940uPLfHnzvXK/ulFc&#10;cA6DJwX3mwQEUufNQL2C15fnux2IEDUZPXpCBd8YYF9dX5W6MH6hBi9t7AWXUCi0AhvjVEgZOotO&#10;h42fkPj24WenI8e5l2bWC5e7UW6TJJVOD8QfrJ6wtth9tmenwDdNfdy2X4e3ejF1vxzWOL1bpW5v&#10;1qdHEBHX+AfDrz6rQ8VOJ38mE8TIefeQM6ogz3kTA1meZiBOCtIsTUFWpfw/ofoBAAD//wMAUEsB&#10;Ai0AFAAGAAgAAAAhALaDOJL+AAAA4QEAABMAAAAAAAAAAAAAAAAAAAAAAFtDb250ZW50X1R5cGVz&#10;XS54bWxQSwECLQAUAAYACAAAACEAOP0h/9YAAACUAQAACwAAAAAAAAAAAAAAAAAvAQAAX3JlbHMv&#10;LnJlbHNQSwECLQAUAAYACAAAACEAOqLTfSsCAABdBAAADgAAAAAAAAAAAAAAAAAuAgAAZHJzL2Uy&#10;b0RvYy54bWxQSwECLQAUAAYACAAAACEAdOsh2twAAAAKAQAADwAAAAAAAAAAAAAAAACF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Tax Expenditures</w:t>
                      </w:r>
                      <w:r>
                        <w:rPr>
                          <w:rFonts w:ascii="Tw Cen MT" w:hAnsi="Tw Cen MT"/>
                        </w:rPr>
                        <w:t>: Congress may choose not to make citizens pay income tax on receipt of certain benefits or on purchase of certain items.  For example, an employee who receives up to $10,000 from an employer for “qualified adoption e</w:t>
                      </w:r>
                      <w:r>
                        <w:rPr>
                          <w:rFonts w:ascii="Tw Cen MT" w:hAnsi="Tw Cen MT"/>
                        </w:rPr>
                        <w:t>x</w:t>
                      </w:r>
                      <w:r>
                        <w:rPr>
                          <w:rFonts w:ascii="Tw Cen MT" w:hAnsi="Tw Cen MT"/>
                        </w:rPr>
                        <w:t>penses” may exclude that amount – as adjusted for inflation and subject to a phaseout – from his/her “gross income.”  § 137.  A taxpayer who pays such expenses may claim a credit equal to the amount that s/he paid.  § 36C.  A ta</w:t>
                      </w:r>
                      <w:r>
                        <w:rPr>
                          <w:rFonts w:ascii="Tw Cen MT" w:hAnsi="Tw Cen MT"/>
                        </w:rPr>
                        <w:t>x</w:t>
                      </w:r>
                      <w:r>
                        <w:rPr>
                          <w:rFonts w:ascii="Tw Cen MT" w:hAnsi="Tw Cen MT"/>
                        </w:rPr>
                        <w:t>payer who benefits from either of these two provisions e</w:t>
                      </w:r>
                      <w:r>
                        <w:rPr>
                          <w:rFonts w:ascii="Tw Cen MT" w:hAnsi="Tw Cen MT"/>
                        </w:rPr>
                        <w:t>n</w:t>
                      </w:r>
                      <w:r>
                        <w:rPr>
                          <w:rFonts w:ascii="Tw Cen MT" w:hAnsi="Tw Cen MT"/>
                        </w:rPr>
                        <w:t>joys a reduction in the federal income tax that s/he othe</w:t>
                      </w:r>
                      <w:r>
                        <w:rPr>
                          <w:rFonts w:ascii="Tw Cen MT" w:hAnsi="Tw Cen MT"/>
                        </w:rPr>
                        <w:t>r</w:t>
                      </w:r>
                      <w:r>
                        <w:rPr>
                          <w:rFonts w:ascii="Tw Cen MT" w:hAnsi="Tw Cen MT"/>
                        </w:rPr>
                        <w:t>wise would have paid.  We can view that reduction as a government expenditure.  In fact, we call it a “tax expend</w:t>
                      </w:r>
                      <w:r>
                        <w:rPr>
                          <w:rFonts w:ascii="Tw Cen MT" w:hAnsi="Tw Cen MT"/>
                        </w:rPr>
                        <w:t>i</w:t>
                      </w:r>
                      <w:r>
                        <w:rPr>
                          <w:rFonts w:ascii="Tw Cen MT" w:hAnsi="Tw Cen MT"/>
                        </w:rPr>
                        <w:t xml:space="preserve">ture.”  These two tax expenditures were expected to be $0.5B in tax year 2012.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791 (2012).  The tax expenditure for employer contributions for employee health care was expected to be $109.3B.  </w:t>
                      </w:r>
                      <w:r>
                        <w:rPr>
                          <w:rFonts w:ascii="Tw Cen MT" w:hAnsi="Tw Cen MT"/>
                          <w:i/>
                        </w:rPr>
                        <w:t>Id.</w:t>
                      </w:r>
                      <w:r>
                        <w:rPr>
                          <w:rFonts w:ascii="Tw Cen MT" w:hAnsi="Tw Cen MT"/>
                        </w:rPr>
                        <w:t xml:space="preserve"> at 5.  Total tax expenditures for tax year 2015 were expected to be $1366.3B.  </w:t>
                      </w:r>
                      <w:r>
                        <w:rPr>
                          <w:rFonts w:ascii="Tw Cen MT" w:hAnsi="Tw Cen MT"/>
                          <w:i/>
                        </w:rPr>
                        <w:t>Id.</w:t>
                      </w:r>
                      <w:r>
                        <w:rPr>
                          <w:rFonts w:ascii="Tw Cen MT" w:hAnsi="Tw Cen MT"/>
                        </w:rPr>
                        <w:t xml:space="preserve"> at 11.  A go</w:t>
                      </w:r>
                      <w:r>
                        <w:rPr>
                          <w:rFonts w:ascii="Tw Cen MT" w:hAnsi="Tw Cen MT"/>
                        </w:rPr>
                        <w:t>v</w:t>
                      </w:r>
                      <w:r>
                        <w:rPr>
                          <w:rFonts w:ascii="Tw Cen MT" w:hAnsi="Tw Cen MT"/>
                        </w:rPr>
                        <w:t>ernment expenditure of nearly $1.4 trillion should be a ma</w:t>
                      </w:r>
                      <w:r>
                        <w:rPr>
                          <w:rFonts w:ascii="Tw Cen MT" w:hAnsi="Tw Cen MT"/>
                        </w:rPr>
                        <w:t>t</w:t>
                      </w:r>
                      <w:r>
                        <w:rPr>
                          <w:rFonts w:ascii="Tw Cen MT" w:hAnsi="Tw Cen MT"/>
                        </w:rPr>
                        <w:t>ter of some policy concern.</w:t>
                      </w:r>
                    </w:p>
                  </w:txbxContent>
                </v:textbox>
                <w10:wrap type="square" side="largest" anchorx="margin"/>
              </v:shape>
            </w:pict>
          </mc:Fallback>
        </mc:AlternateContent>
      </w:r>
      <w:r w:rsidR="0049128E" w:rsidRPr="00576ED7">
        <w:rPr>
          <w:szCs w:val="24"/>
        </w:rPr>
        <w:t>On the seller’s side, we should not have a tax code that favors selling one type of good or service over another.  Sellers should be encouraged to utilize their r</w:t>
      </w:r>
      <w:r w:rsidR="0049128E" w:rsidRPr="00576ED7">
        <w:rPr>
          <w:szCs w:val="24"/>
        </w:rPr>
        <w:t>e</w:t>
      </w:r>
      <w:r w:rsidR="0049128E" w:rsidRPr="00576ED7">
        <w:rPr>
          <w:szCs w:val="24"/>
        </w:rPr>
        <w:t>sources in wha</w:t>
      </w:r>
      <w:r w:rsidR="0049128E" w:rsidRPr="00576ED7">
        <w:rPr>
          <w:szCs w:val="24"/>
        </w:rPr>
        <w:t>t</w:t>
      </w:r>
      <w:r w:rsidR="0049128E" w:rsidRPr="00576ED7">
        <w:rPr>
          <w:szCs w:val="24"/>
        </w:rPr>
        <w:t>ever trade or business ma</w:t>
      </w:r>
      <w:r w:rsidR="0049128E" w:rsidRPr="00576ED7">
        <w:rPr>
          <w:szCs w:val="24"/>
        </w:rPr>
        <w:t>x</w:t>
      </w:r>
      <w:r w:rsidR="0049128E" w:rsidRPr="00576ED7">
        <w:rPr>
          <w:szCs w:val="24"/>
        </w:rPr>
        <w:t>imizes their own seller surplus, even illegal ones.</w:t>
      </w:r>
      <w:r w:rsidR="0049128E" w:rsidRPr="00576ED7">
        <w:rPr>
          <w:rStyle w:val="FootnoteReference"/>
          <w:szCs w:val="24"/>
        </w:rPr>
        <w:footnoteReference w:id="26"/>
      </w:r>
      <w:r w:rsidR="0049128E" w:rsidRPr="00576ED7">
        <w:rPr>
          <w:szCs w:val="24"/>
        </w:rPr>
        <w:t xml:space="preserve">  This is good for buyers because sellers should choose to produce those things whose sale will create buyer surplus.  A seller’s choice of which good or service to offer should not depend on the cost of pr</w:t>
      </w:r>
      <w:r w:rsidR="0049128E" w:rsidRPr="00576ED7">
        <w:rPr>
          <w:szCs w:val="24"/>
        </w:rPr>
        <w:t>o</w:t>
      </w:r>
      <w:r w:rsidR="0049128E" w:rsidRPr="00576ED7">
        <w:rPr>
          <w:szCs w:val="24"/>
        </w:rPr>
        <w:t>ducing or providing that good or service.  A necessary i</w:t>
      </w:r>
      <w:r w:rsidR="0049128E" w:rsidRPr="00576ED7">
        <w:rPr>
          <w:szCs w:val="24"/>
        </w:rPr>
        <w:t>m</w:t>
      </w:r>
      <w:r w:rsidR="0049128E" w:rsidRPr="00576ED7">
        <w:rPr>
          <w:szCs w:val="24"/>
        </w:rPr>
        <w:t xml:space="preserve">plication of this is that we should tax only the </w:t>
      </w:r>
      <w:r w:rsidR="0049128E" w:rsidRPr="00576ED7">
        <w:rPr>
          <w:i/>
          <w:szCs w:val="24"/>
        </w:rPr>
        <w:t>net</w:t>
      </w:r>
      <w:r w:rsidR="0049128E" w:rsidRPr="00576ED7">
        <w:rPr>
          <w:szCs w:val="24"/>
        </w:rPr>
        <w:t xml:space="preserve"> income of those engaged in a trade or business – not gross proceeds.  Se</w:t>
      </w:r>
      <w:r w:rsidR="0049128E" w:rsidRPr="00576ED7">
        <w:rPr>
          <w:szCs w:val="24"/>
        </w:rPr>
        <w:t>c</w:t>
      </w:r>
      <w:r w:rsidR="0049128E" w:rsidRPr="00576ED7">
        <w:rPr>
          <w:szCs w:val="24"/>
        </w:rPr>
        <w:t>tion 162 implements this policy by allowing a deduction for ordinary and nece</w:t>
      </w:r>
      <w:r w:rsidR="0049128E" w:rsidRPr="00576ED7">
        <w:rPr>
          <w:szCs w:val="24"/>
        </w:rPr>
        <w:t>s</w:t>
      </w:r>
      <w:r w:rsidR="0049128E" w:rsidRPr="00576ED7">
        <w:rPr>
          <w:szCs w:val="24"/>
        </w:rPr>
        <w:t>sary trade or business expenses.  One engaged in a trade or business generates profits by consuming produ</w:t>
      </w:r>
      <w:r w:rsidR="0049128E" w:rsidRPr="00576ED7">
        <w:rPr>
          <w:szCs w:val="24"/>
        </w:rPr>
        <w:t>c</w:t>
      </w:r>
      <w:r w:rsidR="0049128E" w:rsidRPr="00576ED7">
        <w:rPr>
          <w:szCs w:val="24"/>
        </w:rPr>
        <w:t>tive inputs, and the cost of those inputs should not be subject to tax.  If a taxpayer’s trade or business consumes productive inputs only slowly, i.e., over the course of more than a year, principles of depreciation</w:t>
      </w:r>
      <w:r w:rsidR="0049128E" w:rsidRPr="00576ED7">
        <w:rPr>
          <w:rStyle w:val="FootnoteReference"/>
          <w:szCs w:val="24"/>
        </w:rPr>
        <w:footnoteReference w:id="27"/>
      </w:r>
      <w:r w:rsidR="0049128E" w:rsidRPr="00576ED7">
        <w:rPr>
          <w:szCs w:val="24"/>
        </w:rPr>
        <w:t xml:space="preserve"> r</w:t>
      </w:r>
      <w:r w:rsidR="0049128E" w:rsidRPr="00576ED7">
        <w:rPr>
          <w:szCs w:val="24"/>
        </w:rPr>
        <w:t>e</w:t>
      </w:r>
      <w:r w:rsidR="0049128E" w:rsidRPr="00576ED7">
        <w:rPr>
          <w:szCs w:val="24"/>
        </w:rPr>
        <w:t xml:space="preserve">quire the taxpayer to spread those costs over the longer period during which such consumption occurs.  </w:t>
      </w:r>
      <w:r w:rsidR="0049128E" w:rsidRPr="00576ED7">
        <w:rPr>
          <w:i/>
          <w:szCs w:val="24"/>
        </w:rPr>
        <w:t>See, e.g.</w:t>
      </w:r>
      <w:r w:rsidR="0049128E" w:rsidRPr="00576ED7">
        <w:rPr>
          <w:szCs w:val="24"/>
        </w:rPr>
        <w:t xml:space="preserve">, §§ 167 </w:t>
      </w:r>
      <w:r w:rsidR="0049128E" w:rsidRPr="00576ED7">
        <w:rPr>
          <w:szCs w:val="24"/>
        </w:rPr>
        <w:lastRenderedPageBreak/>
        <w:t>and 168.  Those who engage in activities that cannot create value but which really amount to a zero-sum game, e.g., ga</w:t>
      </w:r>
      <w:r w:rsidR="0049128E" w:rsidRPr="00576ED7">
        <w:rPr>
          <w:szCs w:val="24"/>
        </w:rPr>
        <w:t>m</w:t>
      </w:r>
      <w:r w:rsidR="0049128E" w:rsidRPr="00576ED7">
        <w:rPr>
          <w:szCs w:val="24"/>
        </w:rPr>
        <w:t xml:space="preserve">bling, should not be permitted to reduce the income on which they pay income tax to less than zero.  </w:t>
      </w:r>
      <w:r w:rsidR="0049128E" w:rsidRPr="00576ED7">
        <w:rPr>
          <w:i/>
          <w:szCs w:val="24"/>
        </w:rPr>
        <w:t>See</w:t>
      </w:r>
      <w:r w:rsidR="0049128E" w:rsidRPr="00576ED7">
        <w:rPr>
          <w:szCs w:val="24"/>
        </w:rPr>
        <w:t xml:space="preserve"> § 165(d).</w:t>
      </w:r>
      <w:r w:rsidR="0049128E" w:rsidRPr="00576ED7">
        <w:rPr>
          <w:rStyle w:val="FootnoteReference"/>
          <w:szCs w:val="24"/>
        </w:rPr>
        <w:footnoteReference w:id="28"/>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mc:AlternateContent>
          <mc:Choice Requires="wps">
            <w:drawing>
              <wp:anchor distT="152400" distB="152400" distL="152400" distR="152400" simplePos="0" relativeHeight="251631616" behindDoc="0" locked="0" layoutInCell="0" allowOverlap="1" wp14:anchorId="700830E3" wp14:editId="0548555A">
                <wp:simplePos x="0" y="0"/>
                <wp:positionH relativeFrom="margin">
                  <wp:posOffset>2044065</wp:posOffset>
                </wp:positionH>
                <wp:positionV relativeFrom="paragraph">
                  <wp:posOffset>210820</wp:posOffset>
                </wp:positionV>
                <wp:extent cx="3170555" cy="3741420"/>
                <wp:effectExtent l="0" t="0" r="10795" b="1143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741420"/>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FF5E72" w:rsidRDefault="00FF5E72">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160.95pt;margin-top:16.6pt;width:249.65pt;height:294.6pt;z-index:251631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b/LAIAAF0EAAAOAAAAZHJzL2Uyb0RvYy54bWysVNtu2zAMfR+wfxD0vvjSJO2MOEWXLsOA&#10;7gK0+wBZlm1hsqhJSuzs60vJSRZ028swPwiiRB2S55Be3Y69InthnQRd0myWUiI0h1rqtqTfnrZv&#10;bihxnumaKdCipAfh6O369avVYAqRQweqFpYgiHbFYEraeW+KJHG8Ez1zMzBC42UDtmceTdsmtWUD&#10;ovcqydN0mQxga2OBC+fw9H66pOuI3zSC+y9N44QnqqSYm4+rjWsV1mS9YkVrmekkP6bB/iGLnkmN&#10;Qc9Q98wzsrPyN6hecgsOGj/j0CfQNJKLWANWk6UvqnnsmBGxFiTHmTNN7v/B8s/7r5bIGrVLc0o0&#10;61GkJzF68g5Gki0DQYNxBfo9GvT0I56jcyzWmQfg3x3RsOmYbsWdtTB0gtWYYBZeJhdPJxwXQKrh&#10;E9QYh+08RKCxsX1gD/kgiI5CHc7ihFw4Hl5l1+lisaCE493V9Tyb51G+hBWn58Y6/0FAT8KmpBbV&#10;j/Bs/+B8SIcVJ5cQzYGS9VYqFQ3bVhtlyZ5hp2zjFyt44aY0GbC4PHubTxT8FSON358weumx55Xs&#10;S3pzdmJFIO69rmNHeibVtMeclT4yGcibaPRjNU6qzU8KVVAfkFsLU4/jTOKmA/uTkgH7u6Tux45Z&#10;QYn6qFGf6yWODw7EpWEvjerSYJojVEk9JdN246ch2hkr2w4jTR2h4Q41bWRkO4g/ZXXMH3s4inCc&#10;tzAkl3b0+vVXWD8DAAD//wMAUEsDBBQABgAIAAAAIQB4Ynyd3AAAAAoBAAAPAAAAZHJzL2Rvd25y&#10;ZXYueG1sTI/BTsMwDIbvSLxDZCRuLG2GplGaTqgS97UwwTFrvLZa45QmW8vbY05w+y1/+v053y1u&#10;EFecQu9JQ7pKQCA13vbUanh/e33YggjRkDWDJ9TwjQF2xe1NbjLrZ6rwWsdWcAmFzGjoYhwzKUPT&#10;oTNh5Uck3p385EzkcWqlnczM5W6QKkk20pme+EJnRiw7bM71xWnwVVUeVP21/yhnW7bzfonjZ6f1&#10;/d3y8gwi4hL/YPjVZ3Uo2OnoL2SDGDSsVfrEKIe1AsHAVqUcjho2Sj2CLHL5/4XiBwAA//8DAFBL&#10;AQItABQABgAIAAAAIQC2gziS/gAAAOEBAAATAAAAAAAAAAAAAAAAAAAAAABbQ29udGVudF9UeXBl&#10;c10ueG1sUEsBAi0AFAAGAAgAAAAhADj9If/WAAAAlAEAAAsAAAAAAAAAAAAAAAAALwEAAF9yZWxz&#10;Ly5yZWxzUEsBAi0AFAAGAAgAAAAhAJ4jBv8sAgAAXQQAAA4AAAAAAAAAAAAAAAAALgIAAGRycy9l&#10;Mm9Eb2MueG1sUEsBAi0AFAAGAAgAAAAhAHhifJ3cAAAACgEAAA8AAAAAAAAAAAAAAAAAhgQAAGRy&#10;cy9kb3ducmV2LnhtbFBLBQYAAAAABAAEAPMAAACPBQAAAAA=&#10;" o:allowincell="f" strokeweight=".96pt">
                <v:textbox inset="6pt,6pt,6pt,6pt">
                  <w:txbxContent>
                    <w:p w:rsidR="00FF5E72" w:rsidRDefault="00FF5E72">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w:t>
                      </w:r>
                      <w:r>
                        <w:rPr>
                          <w:rFonts w:ascii="Tw Cen MT" w:hAnsi="Tw Cen MT"/>
                        </w:rPr>
                        <w:t>x</w:t>
                      </w:r>
                      <w:r>
                        <w:rPr>
                          <w:rFonts w:ascii="Tw Cen MT" w:hAnsi="Tw Cen MT"/>
                        </w:rPr>
                        <w:t>payer already paid income tax on a greater sum of money.  More pithily: basis is “money that has already been taxed” (and so can’t be taxed again).</w:t>
                      </w:r>
                    </w:p>
                    <w:p w:rsidR="00FF5E72" w:rsidRDefault="00FF5E72">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w:t>
                      </w:r>
                      <w:r>
                        <w:rPr>
                          <w:rFonts w:ascii="Tw Cen MT" w:hAnsi="Tw Cen MT"/>
                          <w:i/>
                        </w:rPr>
                        <w:t>x</w:t>
                      </w:r>
                      <w:r>
                        <w:rPr>
                          <w:rFonts w:ascii="Tw Cen MT" w:hAnsi="Tw Cen MT"/>
                          <w:i/>
                        </w:rPr>
                        <w:t>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49128E" w:rsidRPr="00576ED7">
        <w:rPr>
          <w:szCs w:val="24"/>
        </w:rPr>
        <w:t>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w:t>
      </w:r>
      <w:r w:rsidR="0049128E" w:rsidRPr="00576ED7">
        <w:rPr>
          <w:szCs w:val="24"/>
        </w:rPr>
        <w:t>i</w:t>
      </w:r>
      <w:r w:rsidR="0049128E" w:rsidRPr="00576ED7">
        <w:rPr>
          <w:szCs w:val="24"/>
        </w:rPr>
        <w:t>ble.  We recognize (or will soon reco</w:t>
      </w:r>
      <w:r w:rsidR="0049128E" w:rsidRPr="00576ED7">
        <w:rPr>
          <w:szCs w:val="24"/>
        </w:rPr>
        <w:t>g</w:t>
      </w:r>
      <w:r w:rsidR="0049128E" w:rsidRPr="00576ED7">
        <w:rPr>
          <w:szCs w:val="24"/>
        </w:rPr>
        <w:t>nize) that the tax code that the nation’s po</w:t>
      </w:r>
      <w:r w:rsidR="0049128E" w:rsidRPr="00576ED7">
        <w:rPr>
          <w:szCs w:val="24"/>
        </w:rPr>
        <w:t>l</w:t>
      </w:r>
      <w:r w:rsidR="0049128E" w:rsidRPr="00576ED7">
        <w:rPr>
          <w:szCs w:val="24"/>
        </w:rPr>
        <w:t xml:space="preserve">icy-makers, i.e. Congress, have created is </w:t>
      </w:r>
      <w:r w:rsidR="0049128E" w:rsidRPr="00576ED7">
        <w:rPr>
          <w:i/>
          <w:szCs w:val="24"/>
        </w:rPr>
        <w:t>not</w:t>
      </w:r>
      <w:r w:rsidR="0049128E" w:rsidRPr="00576ED7">
        <w:rPr>
          <w:szCs w:val="24"/>
        </w:rPr>
        <w:t xml:space="preserve"> neutral.  Rather, we reward certain choices regarding pu</w:t>
      </w:r>
      <w:r w:rsidR="0049128E" w:rsidRPr="00576ED7">
        <w:rPr>
          <w:szCs w:val="24"/>
        </w:rPr>
        <w:t>r</w:t>
      </w:r>
      <w:r w:rsidR="0049128E" w:rsidRPr="00576ED7">
        <w:rPr>
          <w:szCs w:val="24"/>
        </w:rPr>
        <w:t>chase and sale by not taxing the income necessary for their purchase or by taxing less the income resulting from certain sales.  Such deviations from neutrality cost the U.S. Treasury because they repr</w:t>
      </w:r>
      <w:r w:rsidR="0049128E" w:rsidRPr="00576ED7">
        <w:rPr>
          <w:szCs w:val="24"/>
        </w:rPr>
        <w:t>e</w:t>
      </w:r>
      <w:r w:rsidR="0049128E" w:rsidRPr="00576ED7">
        <w:rPr>
          <w:szCs w:val="24"/>
        </w:rPr>
        <w:t>sent co</w:t>
      </w:r>
      <w:r w:rsidR="0049128E" w:rsidRPr="00576ED7">
        <w:rPr>
          <w:szCs w:val="24"/>
        </w:rPr>
        <w:t>n</w:t>
      </w:r>
      <w:r w:rsidR="0049128E" w:rsidRPr="00576ED7">
        <w:rPr>
          <w:szCs w:val="24"/>
        </w:rPr>
        <w:t>gressional choices to forego revenue and/or to increase the tax burden of other taxpayers who do not make the same purchase and sale choices.  Such dev</w:t>
      </w:r>
      <w:r w:rsidR="0049128E" w:rsidRPr="00576ED7">
        <w:rPr>
          <w:szCs w:val="24"/>
        </w:rPr>
        <w:t>i</w:t>
      </w:r>
      <w:r w:rsidR="0049128E" w:rsidRPr="00576ED7">
        <w:rPr>
          <w:szCs w:val="24"/>
        </w:rPr>
        <w:t>ations take us into the realm of tax policy.</w:t>
      </w:r>
    </w:p>
    <w:p w:rsidR="0049128E" w:rsidRPr="00576ED7" w:rsidRDefault="0049128E" w:rsidP="009A1BF0">
      <w:pPr>
        <w:jc w:val="both"/>
        <w:rPr>
          <w:szCs w:val="24"/>
        </w:rPr>
      </w:pPr>
    </w:p>
    <w:p w:rsidR="0049128E" w:rsidRPr="00576ED7" w:rsidRDefault="00727F69" w:rsidP="009A1BF0">
      <w:pPr>
        <w:jc w:val="both"/>
        <w:rPr>
          <w:szCs w:val="24"/>
        </w:rPr>
      </w:pPr>
      <w:r w:rsidRPr="00576ED7">
        <w:rPr>
          <w:noProof/>
          <w:szCs w:val="24"/>
        </w:rPr>
        <w:lastRenderedPageBreak/>
        <mc:AlternateContent>
          <mc:Choice Requires="wps">
            <w:drawing>
              <wp:anchor distT="152400" distB="152400" distL="152400" distR="152400" simplePos="0" relativeHeight="251632640" behindDoc="0" locked="0" layoutInCell="0" allowOverlap="1" wp14:anchorId="42FF0BED" wp14:editId="4D795FB5">
                <wp:simplePos x="0" y="0"/>
                <wp:positionH relativeFrom="margin">
                  <wp:posOffset>-457200</wp:posOffset>
                </wp:positionH>
                <wp:positionV relativeFrom="paragraph">
                  <wp:posOffset>1263650</wp:posOffset>
                </wp:positionV>
                <wp:extent cx="3352800" cy="3904615"/>
                <wp:effectExtent l="0" t="0" r="19050" b="19685"/>
                <wp:wrapSquare wrapText="largest"/>
                <wp:docPr id="1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90461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FF5E72" w:rsidRDefault="00FF5E72">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36pt;margin-top:99.5pt;width:264pt;height:307.45pt;z-index:2516326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4KwIAAF0EAAAOAAAAZHJzL2Uyb0RvYy54bWysVNtu2zAMfR+wfxD0vthO1rQ14hRdugwD&#10;ugvQ7gNkWbaFSaImKbGzrx8lp2l2exmmB4GUqEPykNTqZtSK7IXzEkxFi1lOiTAcGmm6in553L66&#10;osQHZhqmwIiKHoSnN+uXL1aDLcUcelCNcARBjC8HW9E+BFtmmee90MzPwAqDly04zQKqrssaxwZE&#10;1yqb5/kyG8A11gEX3uPp3XRJ1wm/bQUPn9rWi0BURTG2kHaX9jru2XrFys4x20t+DIP9QxSaSYNO&#10;T1B3LDCyc/I3KC25Aw9tmHHQGbSt5CLlgNkU+S/ZPPTMipQLkuPtiSb//2D5x/1nR2SDtcsLSgzT&#10;WKRHMQbyBkZSXEaCButLtHuwaBlGPEfjlKy398C/emJg0zPTiVvnYOgFazDAIr7Mzp5OOD6C1MMH&#10;aNAP2wVIQGPrdGQP+SCIjoU6nIoTY+F4uFhczK9yvOJ4t7jOXy+Li+SDlU/PrfPhnQBNolBRh9VP&#10;8Gx/70MMh5VPJtGbByWbrVQqKa6rN8qRPcNO2aZ1RP/JTBkyYHLz4no+UfBXjDytP2FoGbDnldQV&#10;xYRwRSNWRuLemibJgUk1yRizMkcmI3kTjWGsx6lqiYNIcw3NAbl1MPU4ziQKPbjvlAzY3xX133bM&#10;CUrUe4P1uVzi+OBAnCvuXKnPFWY4QlU0UDKJmzAN0c462fXoaeoIA7dY01Ymtp+jOsaPPZyKcJy3&#10;OCTnerJ6/hXWPwAAAP//AwBQSwMEFAAGAAgAAAAhAA4aM07eAAAACwEAAA8AAABkcnMvZG93bnJl&#10;di54bWxMj8FOwzAQRO9I/IO1SNxapwFKE+JUKBL3JoDg6MZLHBGvQ+w24e9ZTnCb1Yxm3xT7xQ3i&#10;jFPoPSnYrBMQSK03PXUKXp6fVjsQIWoyevCECr4xwL68vCh0bvxMNZ6b2AkuoZBrBTbGMZcytBad&#10;Dms/IrH34SenI59TJ82kZy53g0yTZCud7ok/WD1iZbH9bE5Oga/r6jVtvg5v1Wyqbj4scXy3Sl1f&#10;LY8PICIu8S8Mv/iMDiUzHf2JTBCDgtV9ylsiG1nGghO3d1sWRwW7zU0Gsizk/w3lDwAAAP//AwBQ&#10;SwECLQAUAAYACAAAACEAtoM4kv4AAADhAQAAEwAAAAAAAAAAAAAAAAAAAAAAW0NvbnRlbnRfVHlw&#10;ZXNdLnhtbFBLAQItABQABgAIAAAAIQA4/SH/1gAAAJQBAAALAAAAAAAAAAAAAAAAAC8BAABfcmVs&#10;cy8ucmVsc1BLAQItABQABgAIAAAAIQCsc+z4KwIAAF0EAAAOAAAAAAAAAAAAAAAAAC4CAABkcnMv&#10;ZTJvRG9jLnhtbFBLAQItABQABgAIAAAAIQAOGjNO3gAAAAsBAAAPAAAAAAAAAAAAAAAAAIUEAABk&#10;cnMvZG93bnJldi54bWxQSwUGAAAAAAQABADzAAAAkAUAAAAA&#10;" o:allowincell="f" strokeweight=".96pt">
                <v:textbox inset="6pt,6pt,6pt,6pt">
                  <w:txbxContent>
                    <w:p w:rsidR="00FF5E72" w:rsidRDefault="00FF5E72">
                      <w:pPr>
                        <w:widowControl w:val="0"/>
                        <w:jc w:val="both"/>
                        <w:rPr>
                          <w:rFonts w:ascii="Tw Cen MT" w:hAnsi="Tw Cen MT"/>
                        </w:rPr>
                      </w:pPr>
                      <w:r>
                        <w:rPr>
                          <w:rFonts w:ascii="Tw Cen MT" w:hAnsi="Tw Cen MT"/>
                          <w:i/>
                        </w:rPr>
                        <w:t>Losses and Basis</w:t>
                      </w:r>
                      <w:r>
                        <w:rPr>
                          <w:rFonts w:ascii="Tw Cen MT" w:hAnsi="Tw Cen MT"/>
                        </w:rPr>
                        <w:t>: When the Code permits the ta</w:t>
                      </w:r>
                      <w:r>
                        <w:rPr>
                          <w:rFonts w:ascii="Tw Cen MT" w:hAnsi="Tw Cen MT"/>
                        </w:rPr>
                        <w:t>x</w:t>
                      </w:r>
                      <w:r>
                        <w:rPr>
                          <w:rFonts w:ascii="Tw Cen MT" w:hAnsi="Tw Cen MT"/>
                        </w:rPr>
                        <w:t xml:space="preserve">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w:t>
                      </w:r>
                      <w:r>
                        <w:rPr>
                          <w:rFonts w:ascii="Tw Cen MT" w:hAnsi="Tw Cen MT"/>
                        </w:rPr>
                        <w:t>e</w:t>
                      </w:r>
                      <w:r>
                        <w:rPr>
                          <w:rFonts w:ascii="Tw Cen MT" w:hAnsi="Tw Cen MT"/>
                        </w:rPr>
                        <w:t>low $0.  Do you see that this prevents the Code from becoming a government payment program?</w:t>
                      </w:r>
                    </w:p>
                    <w:p w:rsidR="00FF5E72" w:rsidRDefault="00FF5E72">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w:t>
                      </w:r>
                      <w:r>
                        <w:rPr>
                          <w:rFonts w:ascii="Tw Cen MT" w:hAnsi="Tw Cen MT"/>
                        </w:rPr>
                        <w:t>r</w:t>
                      </w:r>
                      <w:r>
                        <w:rPr>
                          <w:rFonts w:ascii="Tw Cen MT" w:hAnsi="Tw Cen MT"/>
                        </w:rPr>
                        <w:t>sonal physical injury set forth in § 104 particularly important.</w:t>
                      </w:r>
                    </w:p>
                  </w:txbxContent>
                </v:textbox>
                <w10:wrap type="square" side="largest" anchorx="margin"/>
              </v:shape>
            </w:pict>
          </mc:Fallback>
        </mc:AlternateContent>
      </w:r>
      <w:r w:rsidR="0049128E" w:rsidRPr="00576ED7">
        <w:rPr>
          <w:szCs w:val="24"/>
        </w:rPr>
        <w:t>Deviations from neutrality can ripple through the economy.  They cause over-production of some things that do not increase the nation’s wealth as much as the production of other things would.  We tolerate such sacrifices in overall value b</w:t>
      </w:r>
      <w:r w:rsidR="0049128E" w:rsidRPr="00576ED7">
        <w:rPr>
          <w:szCs w:val="24"/>
        </w:rPr>
        <w:t>e</w:t>
      </w:r>
      <w:r w:rsidR="0049128E" w:rsidRPr="00576ED7">
        <w:rPr>
          <w:szCs w:val="24"/>
        </w:rPr>
        <w:t>cause we believe that there are other benefits that override such foregone value.  When deviations are limited to transactions between two particular parties who can negotiate the purchase and sale of an item or benefit only from each other, e.g., employer and employee, one party may be able to ca</w:t>
      </w:r>
      <w:r w:rsidR="0049128E" w:rsidRPr="00576ED7">
        <w:rPr>
          <w:szCs w:val="24"/>
        </w:rPr>
        <w:t>p</w:t>
      </w:r>
      <w:r w:rsidR="0049128E" w:rsidRPr="00576ED7">
        <w:rPr>
          <w:szCs w:val="24"/>
        </w:rPr>
        <w:t>ture more of the coo</w:t>
      </w:r>
      <w:r w:rsidR="0049128E" w:rsidRPr="00576ED7">
        <w:rPr>
          <w:szCs w:val="24"/>
        </w:rPr>
        <w:t>p</w:t>
      </w:r>
      <w:r w:rsidR="0049128E" w:rsidRPr="00576ED7">
        <w:rPr>
          <w:szCs w:val="24"/>
        </w:rPr>
        <w:t>erative surplus for itself than it othe</w:t>
      </w:r>
      <w:r w:rsidR="0049128E" w:rsidRPr="00576ED7">
        <w:rPr>
          <w:szCs w:val="24"/>
        </w:rPr>
        <w:t>r</w:t>
      </w:r>
      <w:r w:rsidR="0049128E" w:rsidRPr="00576ED7">
        <w:rPr>
          <w:szCs w:val="24"/>
        </w:rPr>
        <w:t>wise might.  An employer might provide a benefit (e.g., group health insurance) to its employees, reduce employee wages by what would be the before-income-tax cost of the benefit, and pocket all of the tax savings.  Such capture might be contrary to what Co</w:t>
      </w:r>
      <w:r w:rsidR="0049128E" w:rsidRPr="00576ED7">
        <w:rPr>
          <w:szCs w:val="24"/>
        </w:rPr>
        <w:t>n</w:t>
      </w:r>
      <w:r w:rsidR="0049128E" w:rsidRPr="00576ED7">
        <w:rPr>
          <w:szCs w:val="24"/>
        </w:rPr>
        <w:t>gress intended or anticipa</w:t>
      </w:r>
      <w:r w:rsidR="0049128E" w:rsidRPr="00576ED7">
        <w:rPr>
          <w:szCs w:val="24"/>
        </w:rPr>
        <w:t>t</w:t>
      </w:r>
      <w:r w:rsidR="0049128E" w:rsidRPr="00576ED7">
        <w:rPr>
          <w:szCs w:val="24"/>
        </w:rPr>
        <w:t>ed.</w:t>
      </w:r>
    </w:p>
    <w:p w:rsidR="0049128E" w:rsidRPr="00576ED7" w:rsidRDefault="0049128E" w:rsidP="009A1BF0">
      <w:pPr>
        <w:jc w:val="both"/>
        <w:rPr>
          <w:szCs w:val="24"/>
        </w:rPr>
      </w:pP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Basis – 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Section 61(a)(3) informs us that a taxpayer’s “gross income” includes gains derived from dealings in property.  Intuitiv</w:t>
      </w:r>
      <w:r w:rsidRPr="00576ED7">
        <w:rPr>
          <w:szCs w:val="24"/>
        </w:rPr>
        <w:t>e</w:t>
      </w:r>
      <w:r w:rsidRPr="00576ED7">
        <w:rPr>
          <w:szCs w:val="24"/>
        </w:rPr>
        <w:t>ly, we know that a gain derived from a dealing in property is the price at which a seller sells pro</w:t>
      </w:r>
      <w:r w:rsidRPr="00576ED7">
        <w:rPr>
          <w:szCs w:val="24"/>
        </w:rPr>
        <w:t>p</w:t>
      </w:r>
      <w:r w:rsidRPr="00576ED7">
        <w:rPr>
          <w:szCs w:val="24"/>
        </w:rPr>
        <w:t>erty minus the price that the seller paid for the property.  In the context of an income tax, why should we subtract an</w:t>
      </w:r>
      <w:r w:rsidRPr="00576ED7">
        <w:rPr>
          <w:szCs w:val="24"/>
        </w:rPr>
        <w:t>y</w:t>
      </w:r>
      <w:r w:rsidRPr="00576ED7">
        <w:rPr>
          <w:szCs w:val="24"/>
        </w:rPr>
        <w:t>thing to determine what income arises from gains derived from dealing in property? “It’s obvious” is not an answer.  After all, in the case of a property tax, the tax author</w:t>
      </w:r>
      <w:r w:rsidRPr="00576ED7">
        <w:rPr>
          <w:szCs w:val="24"/>
        </w:rPr>
        <w:t>i</w:t>
      </w:r>
      <w:r w:rsidRPr="00576ED7">
        <w:rPr>
          <w:szCs w:val="24"/>
        </w:rPr>
        <w:t>ties would not care what price the owner of property paid except as evidence of its current fair market value.</w:t>
      </w:r>
    </w:p>
    <w:p w:rsidR="0049128E" w:rsidRPr="00576ED7" w:rsidRDefault="00D957EA" w:rsidP="009A1BF0">
      <w:pPr>
        <w:jc w:val="both"/>
        <w:rPr>
          <w:szCs w:val="24"/>
        </w:rPr>
      </w:pPr>
      <w:r w:rsidRPr="00576ED7">
        <w:rPr>
          <w:noProof/>
          <w:szCs w:val="24"/>
        </w:rPr>
        <w:lastRenderedPageBreak/>
        <mc:AlternateContent>
          <mc:Choice Requires="wps">
            <w:drawing>
              <wp:anchor distT="152400" distB="152400" distL="152400" distR="152400" simplePos="0" relativeHeight="251633664" behindDoc="0" locked="0" layoutInCell="0" allowOverlap="1" wp14:anchorId="44599013" wp14:editId="3AF90344">
                <wp:simplePos x="0" y="0"/>
                <wp:positionH relativeFrom="margin">
                  <wp:posOffset>1715770</wp:posOffset>
                </wp:positionH>
                <wp:positionV relativeFrom="paragraph">
                  <wp:posOffset>897890</wp:posOffset>
                </wp:positionV>
                <wp:extent cx="3324860" cy="3399155"/>
                <wp:effectExtent l="0" t="0" r="27940" b="10795"/>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399155"/>
                        </a:xfrm>
                        <a:prstGeom prst="rect">
                          <a:avLst/>
                        </a:prstGeom>
                        <a:solidFill>
                          <a:srgbClr val="FFFFFF"/>
                        </a:solidFill>
                        <a:ln w="12192">
                          <a:solidFill>
                            <a:srgbClr val="000000"/>
                          </a:solidFill>
                          <a:miter lim="800000"/>
                          <a:headEnd/>
                          <a:tailEnd/>
                        </a:ln>
                      </wps:spPr>
                      <wps:txbx>
                        <w:txbxContent>
                          <w:p w:rsidR="00FF5E72" w:rsidRDefault="00FF5E72">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w:t>
                            </w:r>
                            <w:r>
                              <w:rPr>
                                <w:rFonts w:ascii="Tw Cen MT" w:hAnsi="Tw Cen MT"/>
                              </w:rPr>
                              <w:t>a</w:t>
                            </w:r>
                            <w:r>
                              <w:rPr>
                                <w:rFonts w:ascii="Tw Cen MT" w:hAnsi="Tw Cen MT"/>
                              </w:rPr>
                              <w:t>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w:t>
                            </w:r>
                            <w:r>
                              <w:rPr>
                                <w:rFonts w:ascii="Tw Cen MT" w:hAnsi="Tw Cen MT"/>
                              </w:rPr>
                              <w:t>n</w:t>
                            </w:r>
                            <w:r>
                              <w:rPr>
                                <w:rFonts w:ascii="Tw Cen MT" w:hAnsi="Tw Cen MT"/>
                              </w:rPr>
                              <w:t>come-producing asset.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35.1pt;margin-top:70.7pt;width:261.8pt;height:267.65pt;z-index:251633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oSKgIAAF0EAAAOAAAAZHJzL2Uyb0RvYy54bWysVNuO2yAQfa/Uf0C8N3aSbppYcVbbbFNV&#10;2l6k3X4AxthGBYYCiZ1+/Q44m01vL1X9gBgYzpw5M+P19aAVOQjnJZiSTic5JcJwqKVpS/r1Yfdq&#10;SYkPzNRMgRElPQpPrzcvX6x7W4gZdKBq4QiCGF/0tqRdCLbIMs87oZmfgBUGLxtwmgU0XZvVjvWI&#10;rlU2y/NF1oOrrQMuvMfT2/GSbhJ+0wgePjeNF4GokiK3kFaX1iqu2WbNitYx20l+osH+gYVm0mDQ&#10;M9QtC4zsnfwNSkvuwEMTJhx0Bk0juUg5YDbT/Jds7jtmRcoFxfH2LJP/f7D80+GLI7LG2uWoj2Ea&#10;i/QghkDewkCmyyhQb32BfvcWPcOA5+ickvX2Dvg3TwxsO2ZaceMc9J1gNRKcxpfZxdMRx0eQqv8I&#10;NcZh+wAJaGicjuqhHgTRkcjxXJzIhePhfD57vVzgFce7+Xy1ml5dpRiseHpunQ/vBWgSNyV1WP0E&#10;zw53PkQ6rHhyidE8KFnvpFLJcG21VY4cGHbKLn0n9J/clCE9JjebrmajBH/FyNP3JwwtA/a8krqk&#10;y7MTK6Jw70ydOjIwqcY9clbmpGQUb5QxDNUwVm0RI0SZK6iPqK2DscdxJnHTgftBSY/9XVL/fc+c&#10;oER9MFifNwscHxyIS8NdGtWlwQxHqJIGSsbtNoxDtLdOth1GGjvCwA3WtJFJ7WdWJ/7Yw6kIp3mL&#10;Q3JpJ6/nv8LmEQAA//8DAFBLAwQUAAYACAAAACEAFNQ2Tt0AAAALAQAADwAAAGRycy9kb3ducmV2&#10;LnhtbEyPQU+EMBCF7yb+h2ZMvLllcQOKlI0h8b6gRo9dOlIinSLtLvjvHU96nLwvb75X7lc3ijPO&#10;YfCkYLtJQCB13gzUK3h5frq5AxGiJqNHT6jgGwPsq8uLUhfGL9TguY294BIKhVZgY5wKKUNn0emw&#10;8RMSZx9+djryOffSzHrhcjfKNEky6fRA/MHqCWuL3Wd7cgp809Svaft1eKsXU/fLYY3Tu1Xq+mp9&#10;fAARcY1/MPzqszpU7HT0JzJBjArSPEkZ5WC33YFgIr+/5TFHBVme5SCrUv7fUP0AAAD//wMAUEsB&#10;Ai0AFAAGAAgAAAAhALaDOJL+AAAA4QEAABMAAAAAAAAAAAAAAAAAAAAAAFtDb250ZW50X1R5cGVz&#10;XS54bWxQSwECLQAUAAYACAAAACEAOP0h/9YAAACUAQAACwAAAAAAAAAAAAAAAAAvAQAAX3JlbHMv&#10;LnJlbHNQSwECLQAUAAYACAAAACEADL36EioCAABdBAAADgAAAAAAAAAAAAAAAAAuAgAAZHJzL2Uy&#10;b0RvYy54bWxQSwECLQAUAAYACAAAACEAFNQ2Tt0AAAALAQAADwAAAAAAAAAAAAAAAACEBAAAZHJz&#10;L2Rvd25yZXYueG1sUEsFBgAAAAAEAAQA8wAAAI4FAAAAAA==&#10;" o:allowincell="f" strokeweight=".96pt">
                <v:textbox inset="6pt,6pt,6pt,6pt">
                  <w:txbxContent>
                    <w:p w:rsidR="00FF5E72" w:rsidRDefault="00FF5E72">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w:t>
                      </w:r>
                      <w:r>
                        <w:rPr>
                          <w:rFonts w:ascii="Tw Cen MT" w:hAnsi="Tw Cen MT"/>
                        </w:rPr>
                        <w:t>a</w:t>
                      </w:r>
                      <w:r>
                        <w:rPr>
                          <w:rFonts w:ascii="Tw Cen MT" w:hAnsi="Tw Cen MT"/>
                        </w:rPr>
                        <w:t>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w:t>
                      </w:r>
                      <w:r>
                        <w:rPr>
                          <w:rFonts w:ascii="Tw Cen MT" w:hAnsi="Tw Cen MT"/>
                        </w:rPr>
                        <w:t>n</w:t>
                      </w:r>
                      <w:r>
                        <w:rPr>
                          <w:rFonts w:ascii="Tw Cen MT" w:hAnsi="Tw Cen MT"/>
                        </w:rPr>
                        <w:t>come-producing asset.</w:t>
                      </w:r>
                    </w:p>
                  </w:txbxContent>
                </v:textbox>
                <w10:wrap type="square" side="largest" anchorx="margin"/>
              </v:shape>
            </w:pict>
          </mc:Fallback>
        </mc:AlternateContent>
      </w:r>
      <w:r w:rsidR="0049128E" w:rsidRPr="00576ED7">
        <w:rPr>
          <w:szCs w:val="24"/>
        </w:rPr>
        <w:t xml:space="preserve">Section 1001(a) instructs us how to determine the measure of gains derived from dealing in property.  Subtract “adjusted basis” from the “amount realized,” i.e., the amount of money and the fair market value of any property received in the transaction.  Hence, a taxpayer’s adjusted basis in an item is not subject to income tax.  </w:t>
      </w:r>
      <w:r w:rsidR="0049128E" w:rsidRPr="00576ED7">
        <w:rPr>
          <w:i/>
          <w:szCs w:val="24"/>
        </w:rPr>
        <w:t>The reason for this is that a taxpayer’s a</w:t>
      </w:r>
      <w:r w:rsidR="0049128E" w:rsidRPr="00576ED7">
        <w:rPr>
          <w:i/>
          <w:szCs w:val="24"/>
        </w:rPr>
        <w:t>d</w:t>
      </w:r>
      <w:r w:rsidR="0049128E" w:rsidRPr="00576ED7">
        <w:rPr>
          <w:i/>
          <w:szCs w:val="24"/>
        </w:rPr>
        <w:t>justed basis represents savings that remain from income that has already been taxed</w:t>
      </w:r>
      <w:r w:rsidR="0049128E" w:rsidRPr="00576ED7">
        <w:rPr>
          <w:szCs w:val="24"/>
        </w:rPr>
        <w:t>.  The pu</w:t>
      </w:r>
      <w:r w:rsidR="0049128E" w:rsidRPr="00576ED7">
        <w:rPr>
          <w:szCs w:val="24"/>
        </w:rPr>
        <w:t>r</w:t>
      </w:r>
      <w:r w:rsidR="0049128E" w:rsidRPr="00576ED7">
        <w:rPr>
          <w:szCs w:val="24"/>
        </w:rPr>
        <w:t xml:space="preserve">chase of something from a taxpayer’s “store of property rights,” </w:t>
      </w:r>
      <w:r w:rsidR="0049128E" w:rsidRPr="00576ED7">
        <w:rPr>
          <w:i/>
          <w:szCs w:val="24"/>
        </w:rPr>
        <w:t>to the extent that it is not for co</w:t>
      </w:r>
      <w:r w:rsidR="0049128E" w:rsidRPr="00576ED7">
        <w:rPr>
          <w:i/>
          <w:szCs w:val="24"/>
        </w:rPr>
        <w:t>n</w:t>
      </w:r>
      <w:r w:rsidR="0049128E" w:rsidRPr="00576ED7">
        <w:rPr>
          <w:i/>
          <w:szCs w:val="24"/>
        </w:rPr>
        <w:t>sumption</w:t>
      </w:r>
      <w:r w:rsidR="0049128E" w:rsidRPr="00576ED7">
        <w:rPr>
          <w:szCs w:val="24"/>
        </w:rPr>
        <w:t>, represents only a change in the form in which taxpayer holds his/her wealth.  It does not represent an add</w:t>
      </w:r>
      <w:r w:rsidR="0049128E" w:rsidRPr="00576ED7">
        <w:rPr>
          <w:szCs w:val="24"/>
        </w:rPr>
        <w:t>i</w:t>
      </w:r>
      <w:r w:rsidR="0049128E" w:rsidRPr="00576ED7">
        <w:rPr>
          <w:szCs w:val="24"/>
        </w:rPr>
        <w:t>tional increment to wealth and so does not fall within the SHS def</w:t>
      </w:r>
      <w:r w:rsidR="0049128E" w:rsidRPr="00576ED7">
        <w:rPr>
          <w:szCs w:val="24"/>
        </w:rPr>
        <w:t>i</w:t>
      </w:r>
      <w:r w:rsidR="0049128E" w:rsidRPr="00576ED7">
        <w:rPr>
          <w:szCs w:val="24"/>
        </w:rPr>
        <w:t>nition of “income.”  It should ne</w:t>
      </w:r>
      <w:r w:rsidR="0049128E" w:rsidRPr="00576ED7">
        <w:rPr>
          <w:szCs w:val="24"/>
        </w:rPr>
        <w:t>v</w:t>
      </w:r>
      <w:r w:rsidR="0049128E" w:rsidRPr="00576ED7">
        <w:rPr>
          <w:szCs w:val="24"/>
        </w:rPr>
        <w:t>er again be subject to income tax lest we violate the first of our guiding principles by taxing the income necessary to purchase the item twice.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Section 1012(a) tells us that a taxpayer’s “basis” in something is its cost.  Ta</w:t>
      </w:r>
      <w:r w:rsidRPr="00576ED7">
        <w:rPr>
          <w:szCs w:val="24"/>
        </w:rPr>
        <w:t>x</w:t>
      </w:r>
      <w:r w:rsidRPr="00576ED7">
        <w:rPr>
          <w:szCs w:val="24"/>
        </w:rPr>
        <w:t>payer will pay for the item with money that was already subject to tax upon its addition to his/her store of property rights.  Section 1011(a) tells us that “adjusted basis” is basis after adjustment.  Section 1016 tells us to adjust basis upwards or downwards according to whether taxpayer converts more assets from his/her store of property rights in connection with the property (§ 1016(a)(1)) or consumes a portion (§ 1016(a)(2)) of the property, i.e., improves it, or consumes some of it in connection with his/her trade or business, or in connection with his/her activity engaged in for profit (i.e., depreciation (cost recovery) or amortization).  The u</w:t>
      </w:r>
      <w:r w:rsidRPr="00576ED7">
        <w:rPr>
          <w:szCs w:val="24"/>
        </w:rPr>
        <w:t>p</w:t>
      </w:r>
      <w:r w:rsidRPr="00576ED7">
        <w:rPr>
          <w:szCs w:val="24"/>
        </w:rPr>
        <w:t>shot of all this is that adjusted basis represents the current score in the game b</w:t>
      </w:r>
      <w:r w:rsidRPr="00576ED7">
        <w:rPr>
          <w:szCs w:val="24"/>
        </w:rPr>
        <w:t>e</w:t>
      </w:r>
      <w:r w:rsidRPr="00576ED7">
        <w:rPr>
          <w:szCs w:val="24"/>
        </w:rPr>
        <w:lastRenderedPageBreak/>
        <w:t>tween taxpayer and the Government of what wealth has already been subject to tax and so should not be subject to tax again.</w:t>
      </w:r>
    </w:p>
    <w:p w:rsidR="0049128E" w:rsidRPr="00576ED7" w:rsidRDefault="00D957EA"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6368" behindDoc="0" locked="0" layoutInCell="0" allowOverlap="1" wp14:anchorId="7DFF23C9" wp14:editId="400CDF4A">
                <wp:simplePos x="0" y="0"/>
                <wp:positionH relativeFrom="margin">
                  <wp:posOffset>3810</wp:posOffset>
                </wp:positionH>
                <wp:positionV relativeFrom="margin">
                  <wp:posOffset>949960</wp:posOffset>
                </wp:positionV>
                <wp:extent cx="3200400" cy="3594100"/>
                <wp:effectExtent l="0" t="0" r="19050" b="2540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94100"/>
                        </a:xfrm>
                        <a:prstGeom prst="rect">
                          <a:avLst/>
                        </a:prstGeom>
                        <a:solidFill>
                          <a:srgbClr val="FFFFFF"/>
                        </a:solidFill>
                        <a:ln w="12192">
                          <a:solidFill>
                            <a:srgbClr val="000000"/>
                          </a:solidFill>
                          <a:miter lim="800000"/>
                          <a:headEnd/>
                          <a:tailEnd/>
                        </a:ln>
                      </wps:spPr>
                      <wps:txbx>
                        <w:txbxContent>
                          <w:p w:rsidR="00FF5E72" w:rsidRDefault="00FF5E72"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pt;margin-top:74.8pt;width:252pt;height:283pt;z-index:25170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KQIAAFwEAAAOAAAAZHJzL2Uyb0RvYy54bWysVNtu2zAMfR+wfxD0vthJu7Yx4hRdugwD&#10;ugvQ7gNkWbaFyaJGKbG7rx8lp2l2exnmB0GUqEPyHNKr67E3bK/Qa7Aln89yzpSVUGvblvzLw/bV&#10;FWc+CFsLA1aV/FF5fr1++WI1uEItoANTK2QEYn0xuJJ3Ibgiy7zsVC/8DJyydNkA9iKQiW1WoxgI&#10;vTfZIs8vsgGwdghSeU+nt9MlXyf8plEyfGoarwIzJafcQloxrVVcs/VKFC0K12l5SEP8Qxa90JaC&#10;HqFuRRBsh/o3qF5LBA9NmEnoM2gaLVWqgaqZ579Uc98Jp1ItRI53R5r8/4OVH/efkem65EtSyoqe&#10;NHpQY2BvYGSLxM/gfEFu944cw0jnpHOq1bs7kF89s7DphG3VDSIMnRI15TePzGYnT6MivvARpBo+&#10;QE1xxC5AAhob7CN5RAcjdNLp8ahNzEXS4RmpfZ7TlaS7s9fL8zkZMYYonp479OGdgp7FTcmRxE/w&#10;Yn/nw+T65BKjeTC63mpjkoFttTHI9oIaZZu+A/pPbsaygYpbzJeLiYK/YuTp+xNGrwO1vNF9ya+O&#10;TqKIxL21dWrIILSZ9lSesQcmI3kTjWGsxiTa/DJGiMxWUD8StwhTi9NI0qYD/M7ZQO1dcv9tJ1Bx&#10;Zt5b0ufygvikeTg18NSoTg1hJUGVPHA2bTdhmqGdQ912FGnqCAs3pGmjE9vPWR3ypxZOeh3GLc7I&#10;qZ28nn8K6x8AAAD//wMAUEsDBBQABgAIAAAAIQDxcEPY2wAAAAgBAAAPAAAAZHJzL2Rvd25yZXYu&#10;eG1sTI9BT8MwDIXvSPsPkSdxY+mmrUBpOk2VuK8FBMesMU1F43RNtpZ/jznB7dnv6flzvp9dL644&#10;hs6TgvUqAYHUeNNRq+D15fnuAUSImozuPaGCbwywLxY3uc6Mn6jCax1bwSUUMq3AxjhkUobGotNh&#10;5Qck9j796HTkcWylGfXE5a6XmyRJpdMd8QWrBywtNl/1xSnwVVW+berz8b2cTNlOxzkOH1ap2+V8&#10;eAIRcY5/YfjFZ3QomOnkL2SC6BWknOPt9pEF27tky+Kk4H69S0EWufz/QPEDAAD//wMAUEsBAi0A&#10;FAAGAAgAAAAhALaDOJL+AAAA4QEAABMAAAAAAAAAAAAAAAAAAAAAAFtDb250ZW50X1R5cGVzXS54&#10;bWxQSwECLQAUAAYACAAAACEAOP0h/9YAAACUAQAACwAAAAAAAAAAAAAAAAAvAQAAX3JlbHMvLnJl&#10;bHNQSwECLQAUAAYACAAAACEAh/47oSkCAABcBAAADgAAAAAAAAAAAAAAAAAuAgAAZHJzL2Uyb0Rv&#10;Yy54bWxQSwECLQAUAAYACAAAACEA8XBD2NsAAAAIAQAADwAAAAAAAAAAAAAAAACDBAAAZHJzL2Rv&#10;d25yZXYueG1sUEsFBgAAAAAEAAQA8wAAAIsFAAAAAA==&#10;" o:allowincell="f" strokeweight=".96pt">
                <v:textbox inset="6pt,6pt,6pt,6pt">
                  <w:txbxContent>
                    <w:p w:rsidR="00FF5E72" w:rsidRDefault="00FF5E72" w:rsidP="006269B6">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w:t>
                      </w:r>
                      <w:r>
                        <w:rPr>
                          <w:rFonts w:ascii="Tw Cen MT" w:hAnsi="Tw Cen MT"/>
                        </w:rPr>
                        <w:t>n</w:t>
                      </w:r>
                      <w:r>
                        <w:rPr>
                          <w:rFonts w:ascii="Tw Cen MT" w:hAnsi="Tw Cen MT"/>
                        </w:rPr>
                        <w:t>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w:t>
                      </w:r>
                      <w:r>
                        <w:rPr>
                          <w:rFonts w:ascii="Tw Cen MT" w:hAnsi="Tw Cen MT"/>
                        </w:rPr>
                        <w:t>e</w:t>
                      </w:r>
                      <w:r>
                        <w:rPr>
                          <w:rFonts w:ascii="Tw Cen MT" w:hAnsi="Tw Cen MT"/>
                        </w:rPr>
                        <w:t>duction of contributions made to charitable o</w:t>
                      </w:r>
                      <w:r>
                        <w:rPr>
                          <w:rFonts w:ascii="Tw Cen MT" w:hAnsi="Tw Cen MT"/>
                        </w:rPr>
                        <w:t>r</w:t>
                      </w:r>
                      <w:r>
                        <w:rPr>
                          <w:rFonts w:ascii="Tw Cen MT" w:hAnsi="Tw Cen MT"/>
                        </w:rPr>
                        <w:t>ganizations.  In point of fact, a charitable dedu</w:t>
                      </w:r>
                      <w:r>
                        <w:rPr>
                          <w:rFonts w:ascii="Tw Cen MT" w:hAnsi="Tw Cen MT"/>
                        </w:rPr>
                        <w:t>c</w:t>
                      </w:r>
                      <w:r>
                        <w:rPr>
                          <w:rFonts w:ascii="Tw Cen MT" w:hAnsi="Tw Cen MT"/>
                        </w:rPr>
                        <w:t>tion only reduces the taxable income in which taxpayer has adjusted basis.  This explains why the taxpayer may deduct the costs of transport</w:t>
                      </w:r>
                      <w:r>
                        <w:rPr>
                          <w:rFonts w:ascii="Tw Cen MT" w:hAnsi="Tw Cen MT"/>
                        </w:rPr>
                        <w:t>a</w:t>
                      </w:r>
                      <w:r>
                        <w:rPr>
                          <w:rFonts w:ascii="Tw Cen MT" w:hAnsi="Tw Cen MT"/>
                        </w:rPr>
                        <w:t>tion to get himself/herself to the place where s/he renders services to a charity, but not the va</w:t>
                      </w:r>
                      <w:r>
                        <w:rPr>
                          <w:rFonts w:ascii="Tw Cen MT" w:hAnsi="Tw Cen MT"/>
                        </w:rPr>
                        <w:t>l</w:t>
                      </w:r>
                      <w:r>
                        <w:rPr>
                          <w:rFonts w:ascii="Tw Cen MT" w:hAnsi="Tw Cen MT"/>
                        </w:rPr>
                        <w:t>ue of his/her services for which the charity pays him/her nothing.  Presumably taxpayer incurred the costs of transportation from after-tax income and paid no income tax on the income s/he did not receive.</w:t>
                      </w:r>
                    </w:p>
                  </w:txbxContent>
                </v:textbox>
                <w10:wrap type="square" side="largest" anchorx="margin" anchory="margin"/>
              </v:shape>
            </w:pict>
          </mc:Fallback>
        </mc:AlternateContent>
      </w: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SHS Accounting for Spending Savings and Borrowing Money</w:t>
      </w:r>
      <w:r w:rsidRPr="00576ED7">
        <w:rPr>
          <w:szCs w:val="24"/>
        </w:rPr>
        <w:fldChar w:fldCharType="begin"/>
      </w:r>
      <w:r w:rsidRPr="00576ED7">
        <w:rPr>
          <w:i/>
          <w:szCs w:val="24"/>
        </w:rPr>
        <w:instrText xml:space="preserve"> TC \l2 "SHS Accounting for Spending Savings and Borrowing Money</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Another implication of the SHS conception of income is that we might have to follow the money into or out of taxpayer’s store of property rights and/or his expenditures on consum</w:t>
      </w:r>
      <w:r w:rsidRPr="00576ED7">
        <w:rPr>
          <w:szCs w:val="24"/>
        </w:rPr>
        <w:t>p</w:t>
      </w:r>
      <w:r w:rsidRPr="00576ED7">
        <w:rPr>
          <w:szCs w:val="24"/>
        </w:rPr>
        <w:t>tion.  If a taxpayer takes money from savings and spends it on instant gratif</w:t>
      </w:r>
      <w:r w:rsidRPr="00576ED7">
        <w:rPr>
          <w:szCs w:val="24"/>
        </w:rPr>
        <w:t>i</w:t>
      </w:r>
      <w:r w:rsidRPr="00576ED7">
        <w:rPr>
          <w:szCs w:val="24"/>
        </w:rPr>
        <w:t>cation so that s/he acquires no asset in which s/he has an adjusted basis, intu</w:t>
      </w:r>
      <w:r w:rsidRPr="00576ED7">
        <w:rPr>
          <w:szCs w:val="24"/>
        </w:rPr>
        <w:t>i</w:t>
      </w:r>
      <w:r w:rsidRPr="00576ED7">
        <w:rPr>
          <w:szCs w:val="24"/>
        </w:rPr>
        <w:t>tively we know that ta</w:t>
      </w:r>
      <w:r w:rsidRPr="00576ED7">
        <w:rPr>
          <w:szCs w:val="24"/>
        </w:rPr>
        <w:t>x</w:t>
      </w:r>
      <w:r w:rsidRPr="00576ED7">
        <w:rPr>
          <w:szCs w:val="24"/>
        </w:rPr>
        <w:t>payer does not have any income on which s/he must pay income tax.  The SHS definition of income accounts for this by an offsetting decrease to taxpayer’s store of property rights and increase in rights e</w:t>
      </w:r>
      <w:r w:rsidRPr="00576ED7">
        <w:rPr>
          <w:szCs w:val="24"/>
        </w:rPr>
        <w:t>x</w:t>
      </w:r>
      <w:r w:rsidRPr="00576ED7">
        <w:rPr>
          <w:szCs w:val="24"/>
        </w:rPr>
        <w:t>ercised in consumption.</w:t>
      </w:r>
    </w:p>
    <w:p w:rsidR="00DC5840" w:rsidRPr="00576ED7" w:rsidRDefault="00DC5840" w:rsidP="009A1BF0">
      <w:pPr>
        <w:jc w:val="both"/>
        <w:rPr>
          <w:i/>
          <w:szCs w:val="24"/>
        </w:rPr>
      </w:pPr>
    </w:p>
    <w:p w:rsidR="00DC5840" w:rsidRPr="00576ED7" w:rsidRDefault="00DC5840" w:rsidP="009A1BF0">
      <w:pPr>
        <w:jc w:val="both"/>
        <w:rPr>
          <w:i/>
          <w:szCs w:val="24"/>
        </w:rPr>
      </w:pPr>
    </w:p>
    <w:p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 xml:space="preserve">So also, the taxpayer who borrows money may use the funds so borrowed either to exercise a right of consumption or to increase his/her store of property rights.  In either case, SHS might provide that taxpayer has realized income.  However, an obligation to repay accompanies any loan.  </w:t>
      </w:r>
      <w:r w:rsidRPr="00576ED7">
        <w:rPr>
          <w:i/>
          <w:szCs w:val="24"/>
        </w:rPr>
        <w:t>This obligation counts as a d</w:t>
      </w:r>
      <w:r w:rsidRPr="00576ED7">
        <w:rPr>
          <w:i/>
          <w:szCs w:val="24"/>
        </w:rPr>
        <w:t>e</w:t>
      </w:r>
      <w:r w:rsidRPr="00576ED7">
        <w:rPr>
          <w:i/>
          <w:szCs w:val="24"/>
        </w:rPr>
        <w:t>crease in taxpayer’s store of property rights</w:t>
      </w:r>
      <w:r w:rsidRPr="00576ED7">
        <w:rPr>
          <w:szCs w:val="24"/>
        </w:rPr>
        <w:t xml:space="preserve">.  Hence, the addition to income is precisely offset by this decrease in the value of taxpayer’s store of property rights.  </w:t>
      </w:r>
      <w:r w:rsidRPr="00576ED7">
        <w:rPr>
          <w:szCs w:val="24"/>
        </w:rPr>
        <w:lastRenderedPageBreak/>
        <w:t>Incidentally, the Code nowhere states that loan proceeds are not included in a ta</w:t>
      </w:r>
      <w:r w:rsidRPr="00576ED7">
        <w:rPr>
          <w:szCs w:val="24"/>
        </w:rPr>
        <w:t>x</w:t>
      </w:r>
      <w:r w:rsidRPr="00576ED7">
        <w:rPr>
          <w:szCs w:val="24"/>
        </w:rPr>
        <w:t>payer’s gross income.</w:t>
      </w:r>
    </w:p>
    <w:p w:rsidR="0049128E" w:rsidRPr="00576ED7" w:rsidRDefault="0049128E" w:rsidP="009A1BF0">
      <w:pPr>
        <w:jc w:val="both"/>
        <w:rPr>
          <w:szCs w:val="24"/>
        </w:rPr>
      </w:pPr>
    </w:p>
    <w:p w:rsidR="0049128E" w:rsidRPr="00576ED7" w:rsidRDefault="008C4A98"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708416" behindDoc="0" locked="0" layoutInCell="0" allowOverlap="1" wp14:anchorId="48DEEABB" wp14:editId="2ADFE166">
                <wp:simplePos x="0" y="0"/>
                <wp:positionH relativeFrom="margin">
                  <wp:posOffset>1770380</wp:posOffset>
                </wp:positionH>
                <wp:positionV relativeFrom="paragraph">
                  <wp:posOffset>926465</wp:posOffset>
                </wp:positionV>
                <wp:extent cx="3383915" cy="2206625"/>
                <wp:effectExtent l="0" t="0" r="26035" b="22225"/>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206625"/>
                        </a:xfrm>
                        <a:prstGeom prst="rect">
                          <a:avLst/>
                        </a:prstGeom>
                        <a:solidFill>
                          <a:srgbClr val="FFFFFF"/>
                        </a:solidFill>
                        <a:ln w="12192">
                          <a:solidFill>
                            <a:srgbClr val="000000"/>
                          </a:solidFill>
                          <a:miter lim="800000"/>
                          <a:headEnd/>
                          <a:tailEnd/>
                        </a:ln>
                      </wps:spPr>
                      <wps:txbx>
                        <w:txbxContent>
                          <w:p w:rsidR="00FF5E72" w:rsidRDefault="00FF5E72"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39.4pt;margin-top:72.95pt;width:266.45pt;height:173.75pt;z-index:251708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FKwIAAFwEAAAOAAAAZHJzL2Uyb0RvYy54bWysVNuO2yAQfa/Uf0C8N75EmyZWnNU221SV&#10;thdptx+AMY5RgaFAYm+/vgPOZtPbS1U/IAaGM2fOzHh9PWpFjsJ5CaamxSynRBgOrTT7mn552L1a&#10;UuIDMy1TYERNH4Wn15uXL9aDrUQJPahWOIIgxleDrWkfgq2yzPNeaOZnYIXByw6cZgFNt89axwZE&#10;1yor83yRDeBa64AL7/H0drqkm4TfdYKHT13nRSCqpsgtpNWltYlrtlmzau+Y7SU/0WD/wEIzaTDo&#10;GeqWBUYOTv4GpSV34KELMw46g66TXKQcMJsi/yWb+55ZkXJBcbw9y+T/Hyz/ePzsiGxrulpRYpjG&#10;Gj2IMZA3MJJiFfUZrK/Q7d6iYxjxHOuccvX2DvhXTwxse2b24sY5GHrBWuRXxJfZxdMJx0eQZvgA&#10;LcZhhwAJaOycjuKhHATRsU6P59pELhwP5/PlfFVcUcLxrizzxaK8SjFY9fTcOh/eCdAkbmrqsPgJ&#10;nh3vfIh0WPXkEqN5ULLdSaWS4fbNVjlyZNgou/Sd0H9yU4YMmFxZrMpJgr9i5On7E4aWAVteSV3T&#10;5dmJVVG4t6ZNDRmYVNMeOStzUjKKN8kYxmZMRSuWMUKUuYH2EbV1MLU4jiRuenDfKRmwvWvqvx2Y&#10;E5So9wbr83qB04PzcGm4S6O5NJjhCFXTQMm03YZphg7WyX2PkaaOMHCDNe1kUvuZ1Yk/tnAqwmnc&#10;4oxc2snr+aew+QEAAP//AwBQSwMEFAAGAAgAAAAhANyNgLDeAAAACwEAAA8AAABkcnMvZG93bnJl&#10;di54bWxMj0FPhDAUhO8m/ofmmXhzC4gui5SNIfG+oEaPXfoEIn1F2l3w3/s86XEyk5lviv1qR3HG&#10;2Q+OFMSbCARS68xAnYKX56ebDIQPmoweHaGCb/SwLy8vCp0bt1CN5yZ0gkvI51pBH8KUS+nbHq32&#10;GzchsffhZqsDy7mTZtYLl9tRJlF0L60eiBd6PWHVY/vZnKwCV9fVa9J8Hd6qxVTdcljD9N4rdX21&#10;Pj6ACLiGvzD84jM6lMx0dCcyXowKkm3G6IGN9G4HghNZHG9BHBWku9sUZFnI/x/KHwAAAP//AwBQ&#10;SwECLQAUAAYACAAAACEAtoM4kv4AAADhAQAAEwAAAAAAAAAAAAAAAAAAAAAAW0NvbnRlbnRfVHlw&#10;ZXNdLnhtbFBLAQItABQABgAIAAAAIQA4/SH/1gAAAJQBAAALAAAAAAAAAAAAAAAAAC8BAABfcmVs&#10;cy8ucmVsc1BLAQItABQABgAIAAAAIQBtaxiFKwIAAFwEAAAOAAAAAAAAAAAAAAAAAC4CAABkcnMv&#10;ZTJvRG9jLnhtbFBLAQItABQABgAIAAAAIQDcjYCw3gAAAAsBAAAPAAAAAAAAAAAAAAAAAIUEAABk&#10;cnMvZG93bnJldi54bWxQSwUGAAAAAAQABADzAAAAkAUAAAAA&#10;" o:allowincell="f" strokeweight=".96pt">
                <v:textbox inset="6pt,6pt,6pt,6pt">
                  <w:txbxContent>
                    <w:p w:rsidR="00FF5E72" w:rsidRDefault="00FF5E72" w:rsidP="00D957EA">
                      <w:pPr>
                        <w:widowControl w:val="0"/>
                        <w:jc w:val="both"/>
                        <w:rPr>
                          <w:rFonts w:ascii="Tw Cen MT" w:hAnsi="Tw Cen MT"/>
                        </w:rPr>
                      </w:pPr>
                      <w:r>
                        <w:rPr>
                          <w:rFonts w:ascii="Tw Cen MT" w:hAnsi="Tw Cen MT"/>
                          <w:i/>
                        </w:rPr>
                        <w:t>Building a Stronger Economy</w:t>
                      </w:r>
                      <w:r>
                        <w:rPr>
                          <w:rFonts w:ascii="Tw Cen MT" w:hAnsi="Tw Cen MT"/>
                        </w:rPr>
                        <w:t>:  Not taxing loan pr</w:t>
                      </w:r>
                      <w:r>
                        <w:rPr>
                          <w:rFonts w:ascii="Tw Cen MT" w:hAnsi="Tw Cen MT"/>
                        </w:rPr>
                        <w:t>o</w:t>
                      </w:r>
                      <w:r>
                        <w:rPr>
                          <w:rFonts w:ascii="Tw Cen MT" w:hAnsi="Tw Cen MT"/>
                        </w:rPr>
                        <w:t>ceeds but permitting a taxpayer to use loan pr</w:t>
                      </w:r>
                      <w:r>
                        <w:rPr>
                          <w:rFonts w:ascii="Tw Cen MT" w:hAnsi="Tw Cen MT"/>
                        </w:rPr>
                        <w:t>o</w:t>
                      </w:r>
                      <w:r>
                        <w:rPr>
                          <w:rFonts w:ascii="Tw Cen MT" w:hAnsi="Tw Cen MT"/>
                        </w:rPr>
                        <w:t>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w:t>
                      </w:r>
                      <w:r>
                        <w:rPr>
                          <w:rFonts w:ascii="Tw Cen MT" w:hAnsi="Tw Cen MT"/>
                        </w:rPr>
                        <w:t>r</w:t>
                      </w:r>
                      <w:r>
                        <w:rPr>
                          <w:rFonts w:ascii="Tw Cen MT" w:hAnsi="Tw Cen MT"/>
                        </w:rPr>
                        <w:t>chases for consumption); the economy grows.</w:t>
                      </w:r>
                    </w:p>
                  </w:txbxContent>
                </v:textbox>
                <w10:wrap type="square" side="largest" anchorx="margin"/>
              </v:shape>
            </w:pict>
          </mc:Fallback>
        </mc:AlternateContent>
      </w:r>
      <w:r w:rsidR="0049128E" w:rsidRPr="00576ED7">
        <w:rPr>
          <w:szCs w:val="24"/>
        </w:rPr>
        <w:t>AND: taxpayer may use loan proceeds to purchase an item for which s/he is cre</w:t>
      </w:r>
      <w:r w:rsidR="0049128E" w:rsidRPr="00576ED7">
        <w:rPr>
          <w:szCs w:val="24"/>
        </w:rPr>
        <w:t>d</w:t>
      </w:r>
      <w:r w:rsidR="0049128E" w:rsidRPr="00576ED7">
        <w:rPr>
          <w:szCs w:val="24"/>
        </w:rPr>
        <w:t>ited with basis, just as if s/he had paid tax on the income used to make the pu</w:t>
      </w:r>
      <w:r w:rsidR="0049128E" w:rsidRPr="00576ED7">
        <w:rPr>
          <w:szCs w:val="24"/>
        </w:rPr>
        <w:t>r</w:t>
      </w:r>
      <w:r w:rsidR="0049128E" w:rsidRPr="00576ED7">
        <w:rPr>
          <w:szCs w:val="24"/>
        </w:rPr>
        <w:t xml:space="preserve">chase.  Doesn’t this seem to violate the first principle of income taxation noted above? No.  Taxpayer will repay the loan from future income that will be subject to tax.  Taxpayer actually pays for his/her basis with money to be earned </w:t>
      </w:r>
      <w:r w:rsidR="0049128E" w:rsidRPr="00576ED7">
        <w:rPr>
          <w:i/>
          <w:szCs w:val="24"/>
        </w:rPr>
        <w:t>and taxed</w:t>
      </w:r>
      <w:r w:rsidR="0049128E" w:rsidRPr="00576ED7">
        <w:rPr>
          <w:szCs w:val="24"/>
        </w:rPr>
        <w:t xml:space="preserve"> in the future.  R</w:t>
      </w:r>
      <w:r w:rsidR="0049128E" w:rsidRPr="00576ED7">
        <w:rPr>
          <w:szCs w:val="24"/>
        </w:rPr>
        <w:t>e</w:t>
      </w:r>
      <w:r w:rsidR="0049128E" w:rsidRPr="00576ED7">
        <w:rPr>
          <w:szCs w:val="24"/>
        </w:rPr>
        <w:t xml:space="preserve">payment of loan </w:t>
      </w:r>
      <w:r w:rsidR="0049128E" w:rsidRPr="00576ED7">
        <w:rPr>
          <w:i/>
          <w:szCs w:val="24"/>
        </w:rPr>
        <w:t>principal</w:t>
      </w:r>
      <w:r w:rsidR="0049128E" w:rsidRPr="00576ED7">
        <w:rPr>
          <w:szCs w:val="24"/>
        </w:rPr>
        <w:t xml:space="preserve"> is never deductible.  Sometimes the cost of borrowing, i.e., interest, is deductible.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In the pages ahead, we examine various topics concerning income tax.  In all cases, keep in mind how they fit into the pri</w:t>
      </w:r>
      <w:r w:rsidRPr="00576ED7">
        <w:rPr>
          <w:szCs w:val="24"/>
        </w:rPr>
        <w:t>n</w:t>
      </w:r>
      <w:r w:rsidRPr="00576ED7">
        <w:rPr>
          <w:szCs w:val="24"/>
        </w:rPr>
        <w:t>ciples described in this chapter.  Hopefully, the text will provide enough remin</w:t>
      </w:r>
      <w:r w:rsidRPr="00576ED7">
        <w:rPr>
          <w:szCs w:val="24"/>
        </w:rPr>
        <w:t>d</w:t>
      </w:r>
      <w:r w:rsidRPr="00576ED7">
        <w:rPr>
          <w:szCs w:val="24"/>
        </w:rPr>
        <w:t>ers to make this a relatively easy task.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1" w:name="_Toc375132918"/>
      <w:r w:rsidRPr="00576ED7">
        <w:t>Wrap-up Questions for Chapter 1</w:t>
      </w:r>
      <w:bookmarkEnd w:id="31"/>
      <w:r w:rsidRPr="00576ED7">
        <w:fldChar w:fldCharType="begin"/>
      </w:r>
      <w:r w:rsidRPr="00576ED7">
        <w:instrText xml:space="preserve"> TC \l1 "Wrap-up Questions for Chapter 1</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 major issue in recent presidential elections has been whether the income tax on high income earners should be increased.  Can you think of any standard by which to determine the appropriate level of progressivity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more progressive the Code, the greater the “upside-downness” of dedu</w:t>
      </w:r>
      <w:r w:rsidRPr="00576ED7">
        <w:rPr>
          <w:szCs w:val="24"/>
        </w:rPr>
        <w:t>c</w:t>
      </w:r>
      <w:r w:rsidRPr="00576ED7">
        <w:rPr>
          <w:szCs w:val="24"/>
        </w:rPr>
        <w:t>tions.  How might this be a good thing?  What would be the advantage of granting tax credits instead of deductions or exclusions?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Taxpayer received a tax-free benefit, perhaps a gift from a company that wan</w:t>
      </w:r>
      <w:r w:rsidRPr="00576ED7">
        <w:rPr>
          <w:szCs w:val="24"/>
        </w:rPr>
        <w:t>t</w:t>
      </w:r>
      <w:r w:rsidRPr="00576ED7">
        <w:rPr>
          <w:szCs w:val="24"/>
        </w:rPr>
        <w:t>ed to increase its business.  Why must taxpayer have a fmv basis in the item?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must live with </w:t>
      </w:r>
      <w:r w:rsidR="00DC5840" w:rsidRPr="00576ED7">
        <w:rPr>
          <w:szCs w:val="24"/>
        </w:rPr>
        <w:t xml:space="preserve">his family in the lighthouse – </w:t>
      </w:r>
      <w:r w:rsidRPr="00576ED7">
        <w:rPr>
          <w:szCs w:val="24"/>
        </w:rPr>
        <w:t>should ta</w:t>
      </w:r>
      <w:r w:rsidRPr="00576ED7">
        <w:rPr>
          <w:szCs w:val="24"/>
        </w:rPr>
        <w:t>x</w:t>
      </w:r>
      <w:r w:rsidRPr="00576ED7">
        <w:rPr>
          <w:szCs w:val="24"/>
        </w:rPr>
        <w:t>payer be taxed on the value of the benefit? Why or why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Taxpayer owned some commercial property.  Taxpayer recorded the property on its corporate books at a certain value.  Over the course of several years, the value of the property fluctuated up and down.  Taxpayer did not pay income tax on the increase in the property’s value.  Why should taxpayer not be permitted to deduct decreases in the property’s value?</w:t>
      </w:r>
    </w:p>
    <w:p w:rsidR="0049128E" w:rsidRPr="00576ED7" w:rsidRDefault="0049128E" w:rsidP="009A1BF0">
      <w:pPr>
        <w:widowControl w:val="0"/>
        <w:jc w:val="both"/>
        <w:rPr>
          <w:szCs w:val="24"/>
        </w:rPr>
      </w:pPr>
      <w:r w:rsidRPr="00576ED7">
        <w:rPr>
          <w:szCs w:val="24"/>
        </w:rPr>
        <w:br w:type="page"/>
      </w:r>
      <w:r w:rsidR="00C64157" w:rsidRPr="00576ED7">
        <w:rPr>
          <w:szCs w:val="24"/>
        </w:rPr>
        <w:fldChar w:fldCharType="begin"/>
      </w:r>
      <w:r w:rsidR="00C64157" w:rsidRPr="00576ED7">
        <w:rPr>
          <w:szCs w:val="24"/>
        </w:rPr>
        <w:instrText xml:space="preserve"> TOC \f \* MERGEFORMAT \l "1-5" </w:instrText>
      </w:r>
      <w:r w:rsidR="00C64157" w:rsidRPr="00576ED7">
        <w:rPr>
          <w:szCs w:val="24"/>
        </w:rPr>
        <w:fldChar w:fldCharType="end"/>
      </w:r>
    </w:p>
    <w:p w:rsidR="0049128E" w:rsidRPr="00576ED7" w:rsidRDefault="0049128E" w:rsidP="00AB61A1">
      <w:pPr>
        <w:pStyle w:val="Heading2"/>
      </w:pPr>
      <w:bookmarkStart w:id="32" w:name="_Toc375132919"/>
      <w:r w:rsidRPr="00576ED7">
        <w:lastRenderedPageBreak/>
        <w:t>Chapter 2: What Is Gross Income: Section 61 and the Sixteenth Amendment</w:t>
      </w:r>
      <w:bookmarkEnd w:id="32"/>
      <w:r w:rsidRPr="00576ED7">
        <w:fldChar w:fldCharType="begin"/>
      </w:r>
      <w:r w:rsidRPr="00576ED7">
        <w:instrText xml:space="preserve"> TC \l1 "Chapter 2: What Is Gross Income: Section 61 and the Sixteenth Amendment</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Recall the “tax formula” in chapter 1.  Now we take up various elements of the formula.  You should place whatever we are studying at the moment (the “trees”) within that formula (the “forest”).  This chapter introduces you to the concept of “gross income,” the very first item in the tax formula.</w:t>
      </w:r>
    </w:p>
    <w:p w:rsidR="0049128E" w:rsidRPr="00576ED7" w:rsidRDefault="0049128E" w:rsidP="009A1BF0">
      <w:pPr>
        <w:widowControl w:val="0"/>
        <w:jc w:val="both"/>
        <w:rPr>
          <w:szCs w:val="24"/>
        </w:rPr>
      </w:pPr>
    </w:p>
    <w:p w:rsidR="0049128E" w:rsidRPr="00576ED7" w:rsidRDefault="00C007EA" w:rsidP="009A1BF0">
      <w:pPr>
        <w:widowControl w:val="0"/>
        <w:jc w:val="both"/>
        <w:rPr>
          <w:szCs w:val="24"/>
        </w:rPr>
      </w:pPr>
      <w:r w:rsidRPr="00576ED7">
        <w:rPr>
          <w:noProof/>
          <w:szCs w:val="24"/>
        </w:rPr>
        <mc:AlternateContent>
          <mc:Choice Requires="wps">
            <w:drawing>
              <wp:anchor distT="152400" distB="152400" distL="152400" distR="152400" simplePos="0" relativeHeight="251636736" behindDoc="0" locked="0" layoutInCell="0" allowOverlap="1" wp14:anchorId="16DC139A" wp14:editId="13E8B671">
                <wp:simplePos x="0" y="0"/>
                <wp:positionH relativeFrom="margin">
                  <wp:posOffset>-121285</wp:posOffset>
                </wp:positionH>
                <wp:positionV relativeFrom="paragraph">
                  <wp:posOffset>393700</wp:posOffset>
                </wp:positionV>
                <wp:extent cx="2769870" cy="2364740"/>
                <wp:effectExtent l="0" t="0" r="11430" b="1651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2364740"/>
                        </a:xfrm>
                        <a:prstGeom prst="rect">
                          <a:avLst/>
                        </a:prstGeom>
                        <a:solidFill>
                          <a:srgbClr val="FFFFFF"/>
                        </a:solidFill>
                        <a:ln w="12192">
                          <a:solidFill>
                            <a:srgbClr val="000000"/>
                          </a:solidFill>
                          <a:miter lim="800000"/>
                          <a:headEnd/>
                          <a:tailEnd/>
                        </a:ln>
                      </wps:spPr>
                      <wps:txbx>
                        <w:txbxContent>
                          <w:p w:rsidR="00FF5E72" w:rsidRDefault="00FF5E72" w:rsidP="001B6356">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   (gross income)</w:t>
                            </w:r>
                          </w:p>
                          <w:p w:rsidR="00FF5E72" w:rsidRDefault="00FF5E72" w:rsidP="001B6356">
                            <w:pPr>
                              <w:widowControl w:val="0"/>
                              <w:jc w:val="both"/>
                              <w:rPr>
                                <w:rFonts w:ascii="Tw Cen MT" w:hAnsi="Tw Cen MT"/>
                              </w:rPr>
                            </w:pPr>
                            <w:r>
                              <w:rPr>
                                <w:rFonts w:ascii="Tw Cen MT" w:hAnsi="Tw Cen MT"/>
                                <w:u w:val="single"/>
                              </w:rPr>
                              <w:t>MINUS deductions named in § 62</w:t>
                            </w:r>
                          </w:p>
                          <w:p w:rsidR="00FF5E72" w:rsidRDefault="00FF5E72" w:rsidP="001B6356">
                            <w:pPr>
                              <w:widowControl w:val="0"/>
                              <w:jc w:val="both"/>
                              <w:rPr>
                                <w:rFonts w:ascii="Tw Cen MT" w:hAnsi="Tw Cen MT"/>
                              </w:rPr>
                            </w:pPr>
                            <w:r>
                              <w:rPr>
                                <w:rFonts w:ascii="Tw Cen MT" w:hAnsi="Tw Cen MT"/>
                              </w:rPr>
                              <w:t>EQUALS (adjusted gross income (AGI))</w:t>
                            </w:r>
                          </w:p>
                          <w:p w:rsidR="00FF5E72" w:rsidRDefault="00FF5E72" w:rsidP="001B6356">
                            <w:pPr>
                              <w:widowControl w:val="0"/>
                              <w:jc w:val="both"/>
                              <w:rPr>
                                <w:rFonts w:ascii="Tw Cen MT" w:hAnsi="Tw Cen MT"/>
                              </w:rPr>
                            </w:pPr>
                            <w:r>
                              <w:rPr>
                                <w:rFonts w:ascii="Tw Cen MT" w:hAnsi="Tw Cen MT"/>
                              </w:rPr>
                              <w:t>MINUS (standard deduction or itemized deductions)</w:t>
                            </w:r>
                          </w:p>
                          <w:p w:rsidR="00FF5E72" w:rsidRDefault="00FF5E72" w:rsidP="001B6356">
                            <w:pPr>
                              <w:widowControl w:val="0"/>
                              <w:jc w:val="both"/>
                              <w:rPr>
                                <w:rFonts w:ascii="Tw Cen MT" w:hAnsi="Tw Cen MT"/>
                              </w:rPr>
                            </w:pPr>
                            <w:r>
                              <w:rPr>
                                <w:rFonts w:ascii="Tw Cen MT" w:hAnsi="Tw Cen MT"/>
                              </w:rPr>
                              <w:t>MINUS (personal exemptions)</w:t>
                            </w:r>
                          </w:p>
                          <w:p w:rsidR="00FF5E72" w:rsidRDefault="00FF5E72" w:rsidP="001B6356">
                            <w:pPr>
                              <w:widowControl w:val="0"/>
                              <w:jc w:val="both"/>
                              <w:rPr>
                                <w:rFonts w:ascii="Tw Cen MT" w:hAnsi="Tw Cen MT"/>
                              </w:rPr>
                            </w:pPr>
                            <w:r>
                              <w:rPr>
                                <w:rFonts w:ascii="Tw Cen MT" w:hAnsi="Tw Cen MT"/>
                              </w:rPr>
                              <w:t>EQUALS (taxable income)</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Compute income tax liability from tables in § 1 (indexed for inflation)</w:t>
                            </w:r>
                          </w:p>
                          <w:p w:rsidR="00FF5E72" w:rsidRDefault="00FF5E72" w:rsidP="001B6356">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9.55pt;margin-top:31pt;width:218.1pt;height:186.2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kQLQIAAFwEAAAOAAAAZHJzL2Uyb0RvYy54bWysVNuO0zAQfUfiHyy/07Rh1UvUdLV0KUJa&#10;FqRdPsBxnMTC9hjbbVK+nrHTlnJ7QeTB8tgzxzPnzGR9O2hFDsJ5Caaks8mUEmE41NK0Jf38vHu1&#10;pMQHZmqmwIiSHoWnt5uXL9a9LUQOHahaOIIgxhe9LWkXgi2yzPNOaOYnYIXBywacZgFN12a1Yz2i&#10;a5Xl0+k868HV1gEX3uPp/XhJNwm/aQQPH5vGi0BUSTG3kFaX1iqu2WbNitYx20l+SoP9QxaaSYOP&#10;XqDuWWBk7+RvUFpyBx6aMOGgM2gayUWqAauZTX+p5qljVqRakBxvLzT5/wfLHw+fHJF1SVcLSgzT&#10;qNGzGAJ5AwPJZ5Gf3voC3Z4sOoYBz1HnVKu3D8C/eGJg2zHTijvnoO8EqzG/FJldhY44PoJU/Qeo&#10;8R22D5CAhsbpSB7SQRAddTpetIm5cDzMF/PVcoFXHO/y1/ObxU1SL2PFOdw6H94J0CRuSupQ/ATP&#10;Dg8+YCHoenaJr3lQst5JpZLh2mqrHDkwbJRd+mLtGPKTmzKkx+Ly2SofKfgrxjR9f8LQMmDLK6lL&#10;urw4sSIS99bUqSEDk2rcYwLKYB6RyUjeSGMYqiGJNludFaqgPiK3DsYWx5HETQfuGyU9tndJ/dc9&#10;c4IS9d6gPos5Tg/Ow7Xhro3q2mCGI1RJAyXjdhvGGdpbJ9sOXxo7wsAdatrIxHZMeczqlD+2cGL0&#10;NG5xRq7t5PXjp7D5DgAA//8DAFBLAwQUAAYACAAAACEAMQPL8t0AAAAKAQAADwAAAGRycy9kb3du&#10;cmV2LnhtbEyPQU+EMBCF7yb+h2ZMvO0WkKyKlI0h8b6gRo9dOlIinSLtLvjvHU96m5n38uZ75X51&#10;ozjjHAZPCtJtAgKp82agXsHL89PmDkSImowePaGCbwywry4vSl0Yv1CD5zb2gkMoFFqBjXEqpAyd&#10;RafD1k9IrH342enI69xLM+uFw90osyTZSacH4g9WT1hb7D7bk1Pgm6Z+zdqvw1u9mLpfDmuc3q1S&#10;11fr4wOIiGv8M8MvPqNDxUxHfyITxKhgk96nbFWwy7gTG/L0lg9HHm7yHGRVyv8Vqh8AAAD//wMA&#10;UEsBAi0AFAAGAAgAAAAhALaDOJL+AAAA4QEAABMAAAAAAAAAAAAAAAAAAAAAAFtDb250ZW50X1R5&#10;cGVzXS54bWxQSwECLQAUAAYACAAAACEAOP0h/9YAAACUAQAACwAAAAAAAAAAAAAAAAAvAQAAX3Jl&#10;bHMvLnJlbHNQSwECLQAUAAYACAAAACEAFbS5EC0CAABcBAAADgAAAAAAAAAAAAAAAAAuAgAAZHJz&#10;L2Uyb0RvYy54bWxQSwECLQAUAAYACAAAACEAMQPL8t0AAAAKAQAADwAAAAAAAAAAAAAAAACHBAAA&#10;ZHJzL2Rvd25yZXYueG1sUEsFBgAAAAAEAAQA8wAAAJEFAAAAAA==&#10;" o:allowincell="f" strokeweight=".96pt">
                <v:textbox inset="6pt,6pt,6pt,6pt">
                  <w:txbxContent>
                    <w:p w:rsidR="00FF5E72" w:rsidRDefault="00FF5E72" w:rsidP="001B6356">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   (gross income)</w:t>
                      </w:r>
                    </w:p>
                    <w:p w:rsidR="00FF5E72" w:rsidRDefault="00FF5E72" w:rsidP="001B6356">
                      <w:pPr>
                        <w:widowControl w:val="0"/>
                        <w:jc w:val="both"/>
                        <w:rPr>
                          <w:rFonts w:ascii="Tw Cen MT" w:hAnsi="Tw Cen MT"/>
                        </w:rPr>
                      </w:pPr>
                      <w:r>
                        <w:rPr>
                          <w:rFonts w:ascii="Tw Cen MT" w:hAnsi="Tw Cen MT"/>
                          <w:u w:val="single"/>
                        </w:rPr>
                        <w:t>MINUS deductions named in § 62</w:t>
                      </w:r>
                    </w:p>
                    <w:p w:rsidR="00FF5E72" w:rsidRDefault="00FF5E72" w:rsidP="001B6356">
                      <w:pPr>
                        <w:widowControl w:val="0"/>
                        <w:jc w:val="both"/>
                        <w:rPr>
                          <w:rFonts w:ascii="Tw Cen MT" w:hAnsi="Tw Cen MT"/>
                        </w:rPr>
                      </w:pPr>
                      <w:r>
                        <w:rPr>
                          <w:rFonts w:ascii="Tw Cen MT" w:hAnsi="Tw Cen MT"/>
                        </w:rPr>
                        <w:t>EQUALS (adjusted gross income (AGI))</w:t>
                      </w:r>
                    </w:p>
                    <w:p w:rsidR="00FF5E72" w:rsidRDefault="00FF5E72" w:rsidP="001B6356">
                      <w:pPr>
                        <w:widowControl w:val="0"/>
                        <w:jc w:val="both"/>
                        <w:rPr>
                          <w:rFonts w:ascii="Tw Cen MT" w:hAnsi="Tw Cen MT"/>
                        </w:rPr>
                      </w:pPr>
                      <w:r>
                        <w:rPr>
                          <w:rFonts w:ascii="Tw Cen MT" w:hAnsi="Tw Cen MT"/>
                        </w:rPr>
                        <w:t>MINUS (standard deduction or itemized deductions)</w:t>
                      </w:r>
                    </w:p>
                    <w:p w:rsidR="00FF5E72" w:rsidRDefault="00FF5E72" w:rsidP="001B6356">
                      <w:pPr>
                        <w:widowControl w:val="0"/>
                        <w:jc w:val="both"/>
                        <w:rPr>
                          <w:rFonts w:ascii="Tw Cen MT" w:hAnsi="Tw Cen MT"/>
                        </w:rPr>
                      </w:pPr>
                      <w:r>
                        <w:rPr>
                          <w:rFonts w:ascii="Tw Cen MT" w:hAnsi="Tw Cen MT"/>
                        </w:rPr>
                        <w:t>MINUS (personal exemptions)</w:t>
                      </w:r>
                    </w:p>
                    <w:p w:rsidR="00FF5E72" w:rsidRDefault="00FF5E72" w:rsidP="001B6356">
                      <w:pPr>
                        <w:widowControl w:val="0"/>
                        <w:jc w:val="both"/>
                        <w:rPr>
                          <w:rFonts w:ascii="Tw Cen MT" w:hAnsi="Tw Cen MT"/>
                        </w:rPr>
                      </w:pPr>
                      <w:r>
                        <w:rPr>
                          <w:rFonts w:ascii="Tw Cen MT" w:hAnsi="Tw Cen MT"/>
                        </w:rPr>
                        <w:t>EQUALS (taxable income)</w:t>
                      </w:r>
                    </w:p>
                    <w:p w:rsidR="00FF5E72" w:rsidRDefault="00FF5E72" w:rsidP="001B6356">
                      <w:pPr>
                        <w:widowControl w:val="0"/>
                        <w:jc w:val="both"/>
                        <w:rPr>
                          <w:rFonts w:ascii="Tw Cen MT" w:hAnsi="Tw Cen MT"/>
                        </w:rPr>
                      </w:pPr>
                    </w:p>
                    <w:p w:rsidR="00FF5E72" w:rsidRDefault="00FF5E72" w:rsidP="001B6356">
                      <w:pPr>
                        <w:widowControl w:val="0"/>
                        <w:jc w:val="both"/>
                        <w:rPr>
                          <w:rFonts w:ascii="Tw Cen MT" w:hAnsi="Tw Cen MT"/>
                        </w:rPr>
                      </w:pPr>
                      <w:r>
                        <w:rPr>
                          <w:rFonts w:ascii="Tw Cen MT" w:hAnsi="Tw Cen MT"/>
                        </w:rPr>
                        <w:t>Compute income tax liability from tables in § 1 (indexed for inflation)</w:t>
                      </w:r>
                    </w:p>
                    <w:p w:rsidR="00FF5E72" w:rsidRDefault="00FF5E72" w:rsidP="001B6356">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You will notice that after adding up all of the items encompassed by the phrase “gross income,” every succeeding arithmetical operation is a subtra</w:t>
      </w:r>
      <w:r w:rsidR="0049128E" w:rsidRPr="00576ED7">
        <w:rPr>
          <w:szCs w:val="24"/>
        </w:rPr>
        <w:t>c</w:t>
      </w:r>
      <w:r w:rsidR="0049128E" w:rsidRPr="00576ED7">
        <w:rPr>
          <w:szCs w:val="24"/>
        </w:rPr>
        <w:t>tion.  If an item is not encompassed by the phrase “gross income,” it will not be subject to federal i</w:t>
      </w:r>
      <w:r w:rsidR="0049128E" w:rsidRPr="00576ED7">
        <w:rPr>
          <w:szCs w:val="24"/>
        </w:rPr>
        <w:t>n</w:t>
      </w:r>
      <w:r w:rsidR="0049128E" w:rsidRPr="00576ED7">
        <w:rPr>
          <w:szCs w:val="24"/>
        </w:rPr>
        <w:t>come tax.  The materials that follow consider various aspects of gross income: its definition, whether ce</w:t>
      </w:r>
      <w:r w:rsidR="0049128E" w:rsidRPr="00576ED7">
        <w:rPr>
          <w:szCs w:val="24"/>
        </w:rPr>
        <w:t>r</w:t>
      </w:r>
      <w:r w:rsidR="0049128E" w:rsidRPr="00576ED7">
        <w:rPr>
          <w:szCs w:val="24"/>
        </w:rPr>
        <w:t>tain items that taxpayer has r</w:t>
      </w:r>
      <w:r w:rsidR="0049128E" w:rsidRPr="00576ED7">
        <w:rPr>
          <w:szCs w:val="24"/>
        </w:rPr>
        <w:t>e</w:t>
      </w:r>
      <w:r w:rsidR="0049128E" w:rsidRPr="00576ED7">
        <w:rPr>
          <w:szCs w:val="24"/>
        </w:rPr>
        <w:t>ceived constitute “gross income,” the timing of “gross income,” and  valuation.</w:t>
      </w:r>
    </w:p>
    <w:p w:rsidR="0049128E" w:rsidRPr="00576ED7" w:rsidRDefault="0049128E" w:rsidP="009A1BF0">
      <w:pPr>
        <w:widowControl w:val="0"/>
        <w:jc w:val="both"/>
        <w:rPr>
          <w:szCs w:val="24"/>
        </w:rPr>
      </w:pPr>
    </w:p>
    <w:p w:rsidR="0041139C" w:rsidRPr="00576ED7" w:rsidRDefault="0041139C" w:rsidP="009A1BF0">
      <w:pPr>
        <w:widowControl w:val="0"/>
        <w:jc w:val="both"/>
        <w:rPr>
          <w:szCs w:val="24"/>
        </w:rPr>
      </w:pPr>
      <w:r w:rsidRPr="00576ED7">
        <w:rPr>
          <w:noProof/>
          <w:szCs w:val="24"/>
        </w:rPr>
        <w:drawing>
          <wp:inline distT="0" distB="0" distL="0" distR="0" wp14:anchorId="61ABC911" wp14:editId="164D7DF9">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1139C" w:rsidP="009A1BF0">
      <w:pPr>
        <w:widowControl w:val="0"/>
        <w:jc w:val="both"/>
        <w:rPr>
          <w:szCs w:val="24"/>
        </w:rPr>
      </w:pPr>
      <w:r w:rsidRPr="00576ED7">
        <w:rPr>
          <w:szCs w:val="24"/>
        </w:rPr>
        <w:t xml:space="preserve">Do the CALI lessons, </w:t>
      </w:r>
      <w:r w:rsidR="0049128E" w:rsidRPr="00576ED7">
        <w:rPr>
          <w:i/>
          <w:szCs w:val="24"/>
        </w:rPr>
        <w:t>Basic Income Taxation: Gross Income: Realiz</w:t>
      </w:r>
      <w:r w:rsidR="0049128E" w:rsidRPr="00576ED7">
        <w:rPr>
          <w:i/>
          <w:szCs w:val="24"/>
        </w:rPr>
        <w:t>a</w:t>
      </w:r>
      <w:r w:rsidR="0049128E" w:rsidRPr="00576ED7">
        <w:rPr>
          <w:i/>
          <w:szCs w:val="24"/>
        </w:rPr>
        <w:t>tion Concepts in Gross Income</w:t>
      </w:r>
      <w:r w:rsidRPr="00576ED7">
        <w:rPr>
          <w:szCs w:val="24"/>
        </w:rPr>
        <w:t xml:space="preserve"> and </w:t>
      </w:r>
      <w:r w:rsidR="0049128E" w:rsidRPr="00576ED7">
        <w:rPr>
          <w:i/>
          <w:szCs w:val="24"/>
        </w:rPr>
        <w:t>Basic Income Taxation: Gross Income: Ind</w:t>
      </w:r>
      <w:r w:rsidR="0049128E" w:rsidRPr="00576ED7">
        <w:rPr>
          <w:i/>
          <w:szCs w:val="24"/>
        </w:rPr>
        <w:t>i</w:t>
      </w:r>
      <w:r w:rsidR="0049128E" w:rsidRPr="00576ED7">
        <w:rPr>
          <w:i/>
          <w:szCs w:val="24"/>
        </w:rPr>
        <w:t>rect Transfers for Services</w:t>
      </w:r>
      <w:r w:rsidRPr="00576ED7">
        <w:rPr>
          <w:szCs w:val="24"/>
        </w:rPr>
        <w:t xml:space="preserve">.  </w:t>
      </w:r>
      <w:r w:rsidR="0049128E" w:rsidRPr="00576ED7">
        <w:rPr>
          <w:szCs w:val="24"/>
        </w:rPr>
        <w:t xml:space="preserve">These are fairly short </w:t>
      </w:r>
      <w:r w:rsidR="0093600D" w:rsidRPr="00576ED7">
        <w:rPr>
          <w:szCs w:val="24"/>
        </w:rPr>
        <w:t>Lesson</w:t>
      </w:r>
      <w:r w:rsidR="0049128E" w:rsidRPr="00576ED7">
        <w:rPr>
          <w:szCs w:val="24"/>
        </w:rPr>
        <w:t>s that you may do seve</w:t>
      </w:r>
      <w:r w:rsidR="0049128E" w:rsidRPr="00576ED7">
        <w:rPr>
          <w:szCs w:val="24"/>
        </w:rPr>
        <w:t>r</w:t>
      </w:r>
      <w:r w:rsidR="0049128E" w:rsidRPr="00576ED7">
        <w:rPr>
          <w:szCs w:val="24"/>
        </w:rPr>
        <w:t>al times as we cover this chapter.</w:t>
      </w:r>
    </w:p>
    <w:p w:rsidR="0049128E" w:rsidRPr="00576ED7" w:rsidRDefault="0049128E" w:rsidP="009A1BF0">
      <w:pPr>
        <w:widowControl w:val="0"/>
        <w:jc w:val="both"/>
        <w:rPr>
          <w:szCs w:val="24"/>
        </w:rPr>
      </w:pPr>
    </w:p>
    <w:p w:rsidR="0049128E" w:rsidRPr="00576ED7" w:rsidRDefault="0049128E" w:rsidP="00910345">
      <w:pPr>
        <w:pStyle w:val="Heading3"/>
      </w:pPr>
      <w:bookmarkStart w:id="33" w:name="_Toc375132920"/>
      <w:r w:rsidRPr="00576ED7">
        <w:t>I.  The Constitutional and Statutory Definitions of “Gross Income”</w:t>
      </w:r>
      <w:bookmarkEnd w:id="33"/>
      <w:r w:rsidRPr="00576ED7">
        <w:fldChar w:fldCharType="begin"/>
      </w:r>
      <w:r w:rsidRPr="00576ED7">
        <w:instrText xml:space="preserve"> TC \l1 "I.  The Constitutional and Statutory Definitions of “Gross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Article I of the Constitution, which grants legislative powers to the Congress, co</w:t>
      </w:r>
      <w:r w:rsidRPr="00576ED7">
        <w:rPr>
          <w:szCs w:val="24"/>
        </w:rPr>
        <w:t>n</w:t>
      </w:r>
      <w:r w:rsidRPr="00576ED7">
        <w:rPr>
          <w:szCs w:val="24"/>
        </w:rPr>
        <w:t>tains several provisions concerning federal taxes.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2, clause 3: Representatives and direct Taxes shall be appo</w:t>
      </w:r>
      <w:r w:rsidRPr="00576ED7">
        <w:rPr>
          <w:szCs w:val="24"/>
        </w:rPr>
        <w:t>r</w:t>
      </w:r>
      <w:r w:rsidRPr="00576ED7">
        <w:rPr>
          <w:szCs w:val="24"/>
        </w:rPr>
        <w:t xml:space="preserve">tioned among the several States which may be included within this Union, </w:t>
      </w:r>
      <w:r w:rsidRPr="00576ED7">
        <w:rPr>
          <w:szCs w:val="24"/>
        </w:rPr>
        <w:lastRenderedPageBreak/>
        <w:t>according to their respective Numbers, which shall be determined by ad</w:t>
      </w:r>
      <w:r w:rsidRPr="00576ED7">
        <w:rPr>
          <w:szCs w:val="24"/>
        </w:rPr>
        <w:t>d</w:t>
      </w:r>
      <w:r w:rsidRPr="00576ED7">
        <w:rPr>
          <w:szCs w:val="24"/>
        </w:rPr>
        <w:t>ing to the whole Number of free Persons, including those bound to Service 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7, clause 1:  All Bills for raising Revenue shall originate in the House of Representatives; but the Senate may propose or concur with Amendments as on other Bills.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8, 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Article I, § 9, clause 4:  No Capitation, or other direct, Tax shall be laid, unless in Proportion to the Census or Enumeration herein before directed to be taken.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Constitution does not delegate to any other branch of the government any a</w:t>
      </w:r>
      <w:r w:rsidRPr="00576ED7">
        <w:rPr>
          <w:szCs w:val="24"/>
        </w:rPr>
        <w:t>u</w:t>
      </w:r>
      <w:r w:rsidRPr="00576ED7">
        <w:rPr>
          <w:szCs w:val="24"/>
        </w:rPr>
        <w:t xml:space="preserve">thority to impose taxes.  In Article I, § 9, cl. 4, the Constitution refers to “direct” taxes, and restricts them to impositions upon states according to their population.  The founding fathers regarded consumption taxes as “indirect taxes” and regarded them as superior to “direct taxes” in terms of fairness and for purposes of raising revenue.  </w:t>
      </w:r>
      <w:r w:rsidRPr="00576ED7">
        <w:rPr>
          <w:i/>
          <w:szCs w:val="24"/>
        </w:rPr>
        <w:t>See</w:t>
      </w:r>
      <w:r w:rsidRPr="00576ED7">
        <w:rPr>
          <w:szCs w:val="24"/>
        </w:rPr>
        <w:t xml:space="preserve"> Alexander Hamilton, </w:t>
      </w:r>
      <w:r w:rsidRPr="00576ED7">
        <w:rPr>
          <w:smallCaps/>
          <w:szCs w:val="24"/>
        </w:rPr>
        <w:t xml:space="preserve"> Federalist No. 21</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  Imposition of an income tax r</w:t>
      </w:r>
      <w:r w:rsidRPr="00576ED7">
        <w:rPr>
          <w:szCs w:val="24"/>
        </w:rPr>
        <w:t>e</w:t>
      </w:r>
      <w:r w:rsidRPr="00576ED7">
        <w:rPr>
          <w:szCs w:val="24"/>
        </w:rPr>
        <w:t>quired an amendment to the Constitution.  That came in 1913:</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Read § 61(a) of the Code.  Notice that it encompasses “all” income “from wha</w:t>
      </w:r>
      <w:r w:rsidRPr="00576ED7">
        <w:rPr>
          <w:szCs w:val="24"/>
        </w:rPr>
        <w:t>t</w:t>
      </w:r>
      <w:r w:rsidRPr="00576ED7">
        <w:rPr>
          <w:szCs w:val="24"/>
        </w:rPr>
        <w:t xml:space="preserve">ever source derived.”  The language of the Code tracks that of the Sixteenth Amendment, and it has been noted many times that in taxing income, Congress </w:t>
      </w:r>
      <w:r w:rsidRPr="00576ED7">
        <w:rPr>
          <w:szCs w:val="24"/>
        </w:rPr>
        <w:lastRenderedPageBreak/>
        <w:t>exercised all of the constitutional power that it has to do so.  However, that point left open the question of what exactly is “income[], from whatever source d</w:t>
      </w:r>
      <w:r w:rsidRPr="00576ED7">
        <w:rPr>
          <w:szCs w:val="24"/>
        </w:rPr>
        <w:t>e</w:t>
      </w:r>
      <w:r w:rsidRPr="00576ED7">
        <w:rPr>
          <w:szCs w:val="24"/>
        </w:rPr>
        <w:t xml:space="preserve">rived.”  Taxpayers have argued many times that the “income” that Congress wants to tax is beyond the scope of “income” as the term is used in the Sixteenth Amendment.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consider here two cases in which the Supreme Court undertook to provide</w:t>
      </w:r>
      <w:r w:rsidR="00A7698B">
        <w:rPr>
          <w:szCs w:val="24"/>
        </w:rPr>
        <w:t xml:space="preserve"> a definition of “gross income,</w:t>
      </w:r>
      <w:r w:rsidRPr="00576ED7">
        <w:rPr>
          <w:szCs w:val="24"/>
        </w:rPr>
        <w:t xml:space="preserve">” the phrase that Congress used in § 61(a).  In </w:t>
      </w:r>
      <w:r w:rsidRPr="00576ED7">
        <w:rPr>
          <w:i/>
          <w:szCs w:val="24"/>
        </w:rPr>
        <w:t>M</w:t>
      </w:r>
      <w:r w:rsidRPr="00576ED7">
        <w:rPr>
          <w:i/>
          <w:szCs w:val="24"/>
        </w:rPr>
        <w:t>a</w:t>
      </w:r>
      <w:r w:rsidRPr="00576ED7">
        <w:rPr>
          <w:i/>
          <w:szCs w:val="24"/>
        </w:rPr>
        <w:t>comber</w:t>
      </w:r>
      <w:r w:rsidRPr="00576ED7">
        <w:rPr>
          <w:szCs w:val="24"/>
        </w:rPr>
        <w:t>, notice the justices’ differing views on the internal accounting of a corp</w:t>
      </w:r>
      <w:r w:rsidRPr="00576ED7">
        <w:rPr>
          <w:szCs w:val="24"/>
        </w:rPr>
        <w:t>o</w:t>
      </w:r>
      <w:r w:rsidRPr="00576ED7">
        <w:rPr>
          <w:szCs w:val="24"/>
        </w:rPr>
        <w:t>ration.</w:t>
      </w:r>
    </w:p>
    <w:p w:rsidR="0049128E" w:rsidRPr="00576ED7" w:rsidRDefault="0049128E" w:rsidP="009A1BF0">
      <w:pPr>
        <w:widowControl w:val="0"/>
        <w:ind w:left="720"/>
        <w:jc w:val="both"/>
        <w:rPr>
          <w:szCs w:val="24"/>
        </w:rPr>
      </w:pPr>
      <w:r w:rsidRPr="00576ED7">
        <w:rPr>
          <w:szCs w:val="24"/>
        </w:rPr>
        <w:t>•What does the Court mean by “capitalization?”</w:t>
      </w:r>
    </w:p>
    <w:p w:rsidR="0049128E" w:rsidRPr="00576ED7" w:rsidRDefault="0049128E" w:rsidP="009A1BF0">
      <w:pPr>
        <w:widowControl w:val="0"/>
        <w:ind w:left="720"/>
        <w:jc w:val="both"/>
        <w:rPr>
          <w:szCs w:val="24"/>
        </w:rPr>
      </w:pPr>
      <w:r w:rsidRPr="00576ED7">
        <w:rPr>
          <w:szCs w:val="24"/>
        </w:rPr>
        <w:t>•What does the Court mean by “surplus?”</w:t>
      </w:r>
    </w:p>
    <w:p w:rsidR="0049128E" w:rsidRPr="00576ED7" w:rsidRDefault="0049128E" w:rsidP="009A1BF0">
      <w:pPr>
        <w:widowControl w:val="0"/>
        <w:ind w:left="720"/>
        <w:jc w:val="both"/>
        <w:rPr>
          <w:szCs w:val="24"/>
        </w:rPr>
      </w:pPr>
      <w:r w:rsidRPr="00576ED7">
        <w:rPr>
          <w:szCs w:val="24"/>
        </w:rPr>
        <w:t xml:space="preserve">•By way of review: a demurrer is a creature of code pleading and is the equivalent of a motion to dismiss for failure to state a claim.  In </w:t>
      </w:r>
      <w:r w:rsidRPr="00576ED7">
        <w:rPr>
          <w:i/>
          <w:szCs w:val="24"/>
        </w:rPr>
        <w:t>Macom</w:t>
      </w:r>
      <w:r w:rsidRPr="00576ED7">
        <w:rPr>
          <w:i/>
          <w:szCs w:val="24"/>
        </w:rPr>
        <w:t>b</w:t>
      </w:r>
      <w:r w:rsidRPr="00576ED7">
        <w:rPr>
          <w:i/>
          <w:szCs w:val="24"/>
        </w:rPr>
        <w:t>er</w:t>
      </w:r>
      <w:r w:rsidRPr="00576ED7">
        <w:rPr>
          <w:szCs w:val="24"/>
        </w:rPr>
        <w:t>, taxpayer sued for a refund.  The Commissioner (Eisner) demurred.  The federal district court overruled the demurrer, so taxpayer-plaintiff prevailed.  The Supreme Court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Eisner v. Macomber</w:t>
      </w:r>
      <w:r w:rsidRPr="00576ED7">
        <w:rPr>
          <w:szCs w:val="24"/>
        </w:rPr>
        <w:t>, 252 U.S. 189 (1919)</w:t>
      </w:r>
      <w:r w:rsidRPr="00576ED7">
        <w:rPr>
          <w:szCs w:val="24"/>
        </w:rPr>
        <w:fldChar w:fldCharType="begin"/>
      </w:r>
      <w:r w:rsidRPr="00576ED7">
        <w:rPr>
          <w:szCs w:val="24"/>
        </w:rPr>
        <w:instrText xml:space="preserve"> TC \l2 "Eisner v. Macomber, 252 U.S. 189 (1919)</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PITNEY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w:t>
      </w:r>
      <w:r w:rsidRPr="00576ED7">
        <w:rPr>
          <w:szCs w:val="24"/>
        </w:rPr>
        <w:t>r</w:t>
      </w:r>
      <w:r w:rsidRPr="00576ED7">
        <w:rPr>
          <w:szCs w:val="24"/>
        </w:rPr>
        <w:t>tionment, a stock dividend made lawfully and in good faith against profits acc</w:t>
      </w:r>
      <w:r w:rsidRPr="00576ED7">
        <w:rPr>
          <w:szCs w:val="24"/>
        </w:rPr>
        <w:t>u</w:t>
      </w:r>
      <w:r w:rsidRPr="00576ED7">
        <w:rPr>
          <w:szCs w:val="24"/>
        </w:rPr>
        <w:t>mulated by the corporation since March 1, 1913.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arises under the Revenue Act of September 8, 1916, 39 Stat. 756 et seq., which, in our opinion (notwithstanding a contention of the government that will be n</w:t>
      </w:r>
      <w:r w:rsidRPr="00576ED7">
        <w:rPr>
          <w:szCs w:val="24"/>
        </w:rPr>
        <w:t>o</w:t>
      </w:r>
      <w:r w:rsidRPr="00576ED7">
        <w:rPr>
          <w:szCs w:val="24"/>
        </w:rPr>
        <w:t>ticed), plainly evinces the purpose of Congress to tax stock dividends as income.</w:t>
      </w:r>
      <w:r w:rsidRPr="00576ED7">
        <w:rPr>
          <w:rStyle w:val="FootnoteReference"/>
          <w:szCs w:val="24"/>
        </w:rPr>
        <w:footnoteReference w:id="29"/>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in outline,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w:t>
      </w:r>
      <w:r w:rsidRPr="00576ED7">
        <w:rPr>
          <w:szCs w:val="24"/>
        </w:rPr>
        <w:t>a</w:t>
      </w:r>
      <w:r w:rsidRPr="00576ED7">
        <w:rPr>
          <w:szCs w:val="24"/>
        </w:rPr>
        <w:t>tion, the board of directors decided to issue additional shares sufficient to const</w:t>
      </w:r>
      <w:r w:rsidRPr="00576ED7">
        <w:rPr>
          <w:szCs w:val="24"/>
        </w:rPr>
        <w:t>i</w:t>
      </w:r>
      <w:r w:rsidRPr="00576ED7">
        <w:rPr>
          <w:szCs w:val="24"/>
        </w:rPr>
        <w:t>tute a stock dividend of 50 percent of the outstanding stock, and to transfer from surplus account to capital stock account an amount equivalent to such issue.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Defendant in error, being the owner of 2,200 shares of the old stock, received ce</w:t>
      </w:r>
      <w:r w:rsidRPr="00576ED7">
        <w:rPr>
          <w:szCs w:val="24"/>
        </w:rPr>
        <w:t>r</w:t>
      </w:r>
      <w:r w:rsidRPr="00576ED7">
        <w:rPr>
          <w:szCs w:val="24"/>
        </w:rPr>
        <w:t>tificates for 1,100 additional shares, of which 18.07 percent, or 198.77 shares, par value $19,877, were treated as representing surplus earned between March 1, 1913, and January 1, 1916.  She was called upon to pay, and did pay under pr</w:t>
      </w:r>
      <w:r w:rsidRPr="00576ED7">
        <w:rPr>
          <w:szCs w:val="24"/>
        </w:rPr>
        <w:t>o</w:t>
      </w:r>
      <w:r w:rsidRPr="00576ED7">
        <w:rPr>
          <w:szCs w:val="24"/>
        </w:rPr>
        <w:t>test, a tax imposed under the Revenue Act of 1916, based upon a supposed i</w:t>
      </w:r>
      <w:r w:rsidRPr="00576ED7">
        <w:rPr>
          <w:szCs w:val="24"/>
        </w:rPr>
        <w:t>n</w:t>
      </w:r>
      <w:r w:rsidRPr="00576ED7">
        <w:rPr>
          <w:szCs w:val="24"/>
        </w:rPr>
        <w:t>come of $19,877 because of the new shares, and, an appeal to the Commissioner of Internal Revenue having been disallowed, she brought action against the Co</w:t>
      </w:r>
      <w:r w:rsidRPr="00576ED7">
        <w:rPr>
          <w:szCs w:val="24"/>
        </w:rPr>
        <w:t>l</w:t>
      </w:r>
      <w:r w:rsidRPr="00576ED7">
        <w:rPr>
          <w:szCs w:val="24"/>
        </w:rPr>
        <w:t>lector to recover the tax.  In her complaint, she alleged the above facts and co</w:t>
      </w:r>
      <w:r w:rsidRPr="00576ED7">
        <w:rPr>
          <w:szCs w:val="24"/>
        </w:rPr>
        <w:t>n</w:t>
      </w:r>
      <w:r w:rsidRPr="00576ED7">
        <w:rPr>
          <w:szCs w:val="24"/>
        </w:rPr>
        <w:t>tended that, in imposing such a tax the Revenue Act of 1916 violated article 1, § 2, cl. 3, and Article I, § 9, cl. 4, of the Constitution of the United States, requiring direct taxes to be apportioned according to population, and that the stock dividend was not income within the meaning of the Sixteenth Amendment.  A general d</w:t>
      </w:r>
      <w:r w:rsidRPr="00576ED7">
        <w:rPr>
          <w:szCs w:val="24"/>
        </w:rPr>
        <w:t>e</w:t>
      </w:r>
      <w:r w:rsidRPr="00576ED7">
        <w:rPr>
          <w:szCs w:val="24"/>
        </w:rPr>
        <w:t xml:space="preserv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are constrained to hold that the judgment of the district court must be a</w:t>
      </w:r>
      <w:r w:rsidRPr="00576ED7">
        <w:rPr>
          <w:szCs w:val="24"/>
        </w:rPr>
        <w:t>f</w:t>
      </w:r>
      <w:r w:rsidRPr="00576ED7">
        <w:rPr>
          <w:szCs w:val="24"/>
        </w:rPr>
        <w:t>firmed[.]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view of the importance of the matter, and the fact that Congress in the Rev</w:t>
      </w:r>
      <w:r w:rsidRPr="00576ED7">
        <w:rPr>
          <w:szCs w:val="24"/>
        </w:rPr>
        <w:t>e</w:t>
      </w:r>
      <w:r w:rsidRPr="00576ED7">
        <w:rPr>
          <w:szCs w:val="24"/>
        </w:rPr>
        <w:t>nue Act of 1916 declared (39 Stat. 757) that a “stock dividend shall be considered income, to the amount of its cash value,” we will deal at length with the constit</w:t>
      </w:r>
      <w:r w:rsidRPr="00576ED7">
        <w:rPr>
          <w:szCs w:val="24"/>
        </w:rPr>
        <w:t>u</w:t>
      </w:r>
      <w:r w:rsidRPr="00576ED7">
        <w:rPr>
          <w:szCs w:val="24"/>
        </w:rPr>
        <w:t>tional question, incidentally testing the soundness of our previous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w:t>
      </w:r>
      <w:r w:rsidRPr="00576ED7">
        <w:rPr>
          <w:szCs w:val="24"/>
        </w:rPr>
        <w:t>e</w:t>
      </w:r>
      <w:r w:rsidRPr="00576ED7">
        <w:rPr>
          <w:szCs w:val="24"/>
        </w:rPr>
        <w:t>quire an apportionment according to population for direct taxes upon property, real and personal.  This limitation still has an appropriate and important function, and is not to be overridden by Congress or disregarded by the courts.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w:t>
      </w:r>
      <w:r w:rsidRPr="00576ED7">
        <w:rPr>
          <w:szCs w:val="24"/>
        </w:rPr>
        <w:t>e</w:t>
      </w:r>
      <w:r w:rsidRPr="00576ED7">
        <w:rPr>
          <w:szCs w:val="24"/>
        </w:rPr>
        <w:t xml:space="preserve">sent purpose, we require only a clear definition of the term “income,” as used in common speech, in order to determine its meaning in the amendment, and, having formed also a correct judgment as to the nature of a stock dividend, we shall find </w:t>
      </w:r>
      <w:r w:rsidRPr="00576ED7">
        <w:rPr>
          <w:szCs w:val="24"/>
        </w:rPr>
        <w:lastRenderedPageBreak/>
        <w:t>it easy to decide the matter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examining dictionaries in common use (Bouv. L.D.; Standard Dict.; We</w:t>
      </w:r>
      <w:r w:rsidRPr="00576ED7">
        <w:rPr>
          <w:szCs w:val="24"/>
        </w:rPr>
        <w:t>b</w:t>
      </w:r>
      <w:r w:rsidRPr="00576ED7">
        <w:rPr>
          <w:szCs w:val="24"/>
        </w:rPr>
        <w:t>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w:t>
      </w:r>
      <w:r w:rsidRPr="00576ED7">
        <w:rPr>
          <w:szCs w:val="24"/>
        </w:rPr>
        <w:t>t</w:t>
      </w:r>
      <w:r w:rsidRPr="00576ED7">
        <w:rPr>
          <w:szCs w:val="24"/>
        </w:rPr>
        <w:t>hough basing its argument upon the definition as quoted, placed chief emphasis upon the word “gain,” which was extended to include a variety of meanings; while the significance of the next three words was either overlooked or misco</w:t>
      </w:r>
      <w:r w:rsidRPr="00576ED7">
        <w:rPr>
          <w:szCs w:val="24"/>
        </w:rPr>
        <w:t>n</w:t>
      </w:r>
      <w:r w:rsidRPr="00576ED7">
        <w:rPr>
          <w:szCs w:val="24"/>
        </w:rPr>
        <w:t>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w:t>
      </w:r>
      <w:r w:rsidRPr="00576ED7">
        <w:rPr>
          <w:szCs w:val="24"/>
        </w:rPr>
        <w:t>m</w:t>
      </w:r>
      <w:r w:rsidRPr="00576ED7">
        <w:rPr>
          <w:szCs w:val="24"/>
        </w:rPr>
        <w:t xml:space="preserve">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w:t>
      </w:r>
      <w:r w:rsidRPr="00576ED7">
        <w:rPr>
          <w:szCs w:val="24"/>
        </w:rPr>
        <w:t>i</w:t>
      </w:r>
      <w:r w:rsidRPr="00576ED7">
        <w:rPr>
          <w:szCs w:val="24"/>
        </w:rPr>
        <w:t xml:space="preserve">ent (the taxpayer) for his </w:t>
      </w:r>
      <w:r w:rsidRPr="00576ED7">
        <w:rPr>
          <w:i/>
          <w:szCs w:val="24"/>
        </w:rPr>
        <w:t>separate</w:t>
      </w:r>
      <w:r w:rsidRPr="00576ED7">
        <w:rPr>
          <w:szCs w:val="24"/>
        </w:rPr>
        <w:t xml:space="preserve"> use, benefit and disposal – that is income d</w:t>
      </w:r>
      <w:r w:rsidRPr="00576ED7">
        <w:rPr>
          <w:szCs w:val="24"/>
        </w:rPr>
        <w:t>e</w:t>
      </w:r>
      <w:r w:rsidRPr="00576ED7">
        <w:rPr>
          <w:szCs w:val="24"/>
        </w:rPr>
        <w:t>rived from property.  Nothing else answers the description.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w:t>
      </w:r>
      <w:r w:rsidRPr="00576ED7">
        <w:rPr>
          <w:szCs w:val="24"/>
        </w:rPr>
        <w:t>x</w:t>
      </w:r>
      <w:r w:rsidRPr="00576ED7">
        <w:rPr>
          <w:szCs w:val="24"/>
        </w:rPr>
        <w:t>pressed with a conciseness and lucidity entirely in harmony with the form and style of the Constitution.</w:t>
      </w:r>
    </w:p>
    <w:p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w:t>
      </w:r>
      <w:r w:rsidRPr="00576ED7">
        <w:rPr>
          <w:szCs w:val="24"/>
        </w:rPr>
        <w:lastRenderedPageBreak/>
        <w:t>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w:t>
      </w:r>
      <w:r w:rsidRPr="00576ED7">
        <w:rPr>
          <w:szCs w:val="24"/>
        </w:rPr>
        <w:t>r</w:t>
      </w:r>
      <w:r w:rsidRPr="00576ED7">
        <w:rPr>
          <w:szCs w:val="24"/>
        </w:rPr>
        <w:t>sist, subject to the risks of the enterprise, and looking only to dividends for his return.  If he desires to dissociate himself from the company, he can do so only by disposing of his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w:t>
      </w:r>
      <w:r w:rsidRPr="00576ED7">
        <w:rPr>
          <w:szCs w:val="24"/>
        </w:rPr>
        <w:t>i</w:t>
      </w:r>
      <w:r w:rsidRPr="00576ED7">
        <w:rPr>
          <w:szCs w:val="24"/>
        </w:rPr>
        <w:t>dends shall be made and a part of the company’s assets segregated from the co</w:t>
      </w:r>
      <w:r w:rsidRPr="00576ED7">
        <w:rPr>
          <w:szCs w:val="24"/>
        </w:rPr>
        <w:t>m</w:t>
      </w:r>
      <w:r w:rsidRPr="00576ED7">
        <w:rPr>
          <w:szCs w:val="24"/>
        </w:rPr>
        <w:t>mon fund for the purpose.  The dividend normally is payable in money, under e</w:t>
      </w:r>
      <w:r w:rsidRPr="00576ED7">
        <w:rPr>
          <w:szCs w:val="24"/>
        </w:rPr>
        <w:t>x</w:t>
      </w:r>
      <w:r w:rsidRPr="00576ED7">
        <w:rPr>
          <w:szCs w:val="24"/>
        </w:rPr>
        <w:t>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w:t>
      </w:r>
      <w:r w:rsidRPr="00576ED7">
        <w:rPr>
          <w:szCs w:val="24"/>
        </w:rPr>
        <w:t>e</w:t>
      </w:r>
      <w:r w:rsidRPr="00576ED7">
        <w:rPr>
          <w:szCs w:val="24"/>
        </w:rPr>
        <w:t>decessor has invested.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w:t>
      </w:r>
      <w:r w:rsidRPr="00576ED7">
        <w:rPr>
          <w:szCs w:val="24"/>
        </w:rPr>
        <w:lastRenderedPageBreak/>
        <w:t>capable of division, the remainder having been absorbed in the acquisition of i</w:t>
      </w:r>
      <w:r w:rsidRPr="00576ED7">
        <w:rPr>
          <w:szCs w:val="24"/>
        </w:rPr>
        <w:t>n</w:t>
      </w:r>
      <w:r w:rsidRPr="00576ED7">
        <w:rPr>
          <w:szCs w:val="24"/>
        </w:rPr>
        <w:t>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w:t>
      </w:r>
      <w:r w:rsidRPr="00576ED7">
        <w:rPr>
          <w:szCs w:val="24"/>
        </w:rPr>
        <w:t>i</w:t>
      </w:r>
      <w:r w:rsidRPr="00576ED7">
        <w:rPr>
          <w:szCs w:val="24"/>
        </w:rPr>
        <w:t>vided profits; otherwise it may go on for years conducting a successful business, but requiring more and more working capital because of the extension of its ope</w:t>
      </w:r>
      <w:r w:rsidRPr="00576ED7">
        <w:rPr>
          <w:szCs w:val="24"/>
        </w:rPr>
        <w:t>r</w:t>
      </w:r>
      <w:r w:rsidRPr="00576ED7">
        <w:rPr>
          <w:szCs w:val="24"/>
        </w:rPr>
        <w:t>ations, and therefore unable to declare dividends approximating the amount of its profits.  Thus, the surplus may increase until it equals or even exceeds the par value of the outstanding capital stock.  This may be adjusted upon the books in the mode adopted in the case at bar – by declaring a “stock dividend.” This, ho</w:t>
      </w:r>
      <w:r w:rsidRPr="00576ED7">
        <w:rPr>
          <w:szCs w:val="24"/>
        </w:rPr>
        <w:t>w</w:t>
      </w:r>
      <w:r w:rsidRPr="00576ED7">
        <w:rPr>
          <w:szCs w:val="24"/>
        </w:rPr>
        <w:t>ever, is no more than a book adjustment, in essence – not a dividend, but rather the opposite; no part of the assets of the company is separated from the common fund, nothing distributed except paper certificates that evidence an antecedent i</w:t>
      </w:r>
      <w:r w:rsidRPr="00576ED7">
        <w:rPr>
          <w:szCs w:val="24"/>
        </w:rPr>
        <w:t>n</w:t>
      </w:r>
      <w:r w:rsidRPr="00576ED7">
        <w:rPr>
          <w:szCs w:val="24"/>
        </w:rPr>
        <w:t>crease in the value of the stockholder’s capital interest resulting from an accum</w:t>
      </w:r>
      <w:r w:rsidRPr="00576ED7">
        <w:rPr>
          <w:szCs w:val="24"/>
        </w:rPr>
        <w:t>u</w:t>
      </w:r>
      <w:r w:rsidRPr="00576ED7">
        <w:rPr>
          <w:szCs w:val="24"/>
        </w:rPr>
        <w:t>lation of profits by the company, but profits so far absorbed in the business as to render it impracticable to separate them for withdrawal and distribution.  In order to make the adjustment, a charge is made against surplus account with corr</w:t>
      </w:r>
      <w:r w:rsidRPr="00576ED7">
        <w:rPr>
          <w:szCs w:val="24"/>
        </w:rPr>
        <w:t>e</w:t>
      </w:r>
      <w:r w:rsidRPr="00576ED7">
        <w:rPr>
          <w:szCs w:val="24"/>
        </w:rPr>
        <w:t>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w:t>
      </w:r>
      <w:r w:rsidRPr="00576ED7">
        <w:rPr>
          <w:szCs w:val="24"/>
        </w:rPr>
        <w:t>t</w:t>
      </w:r>
      <w:r w:rsidRPr="00576ED7">
        <w:rPr>
          <w:szCs w:val="24"/>
        </w:rPr>
        <w:t>standing liabilities; it affects only the form, not the essence, of the “liability” acknowledged by the corporation to its own shareholders, and this through a rea</w:t>
      </w:r>
      <w:r w:rsidRPr="00576ED7">
        <w:rPr>
          <w:szCs w:val="24"/>
        </w:rPr>
        <w:t>d</w:t>
      </w:r>
      <w:r w:rsidRPr="00576ED7">
        <w:rPr>
          <w:szCs w:val="24"/>
        </w:rPr>
        <w:t>justment of accounts on one side of the balance sheet only, increasing “capital stock” at the expense of “surplus”; it does not alter the preexisting proportionate interest of any stockholder or increase the intrinsic value of his holding or of the aggregate holdings of the other stockholders as they stood before.  The new certi</w:t>
      </w:r>
      <w:r w:rsidRPr="00576ED7">
        <w:rPr>
          <w:szCs w:val="24"/>
        </w:rPr>
        <w:t>f</w:t>
      </w:r>
      <w:r w:rsidRPr="00576ED7">
        <w:rPr>
          <w:szCs w:val="24"/>
        </w:rPr>
        <w:t>icates simply increase the number of the shares, with consequent dilution of the value of each share.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w:t>
      </w:r>
      <w:r w:rsidRPr="00576ED7">
        <w:rPr>
          <w:szCs w:val="24"/>
        </w:rPr>
        <w:t>a</w:t>
      </w:r>
      <w:r w:rsidRPr="00576ED7">
        <w:rPr>
          <w:szCs w:val="24"/>
        </w:rPr>
        <w:t>ble for distribution in money or in kind should opportunity offer.  Far from being a realization of profits of the stockholder, it tends rather to postpone such realiz</w:t>
      </w:r>
      <w:r w:rsidRPr="00576ED7">
        <w:rPr>
          <w:szCs w:val="24"/>
        </w:rPr>
        <w:t>a</w:t>
      </w:r>
      <w:r w:rsidRPr="00576ED7">
        <w:rPr>
          <w:szCs w:val="24"/>
        </w:rPr>
        <w:t>tion, in that the fund represented by the new stock has been transferred from su</w:t>
      </w:r>
      <w:r w:rsidRPr="00576ED7">
        <w:rPr>
          <w:szCs w:val="24"/>
        </w:rPr>
        <w:t>r</w:t>
      </w:r>
      <w:r w:rsidRPr="00576ED7">
        <w:rPr>
          <w:szCs w:val="24"/>
        </w:rPr>
        <w:t>plus to capital, and no longer is available for actual distribution.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The essential and controlling fact is that the stockholder has received nothing out of the company’s assets for his separate use and benefit; on the contrary, every dollar of his original investment, together with whatever accretions and accumul</w:t>
      </w:r>
      <w:r w:rsidRPr="00576ED7">
        <w:rPr>
          <w:szCs w:val="24"/>
        </w:rPr>
        <w:t>a</w:t>
      </w:r>
      <w:r w:rsidRPr="00576ED7">
        <w:rPr>
          <w:szCs w:val="24"/>
        </w:rPr>
        <w:t>tions have resulted from employment of his money and that of the other stoc</w:t>
      </w:r>
      <w:r w:rsidRPr="00576ED7">
        <w:rPr>
          <w:szCs w:val="24"/>
        </w:rPr>
        <w:t>k</w:t>
      </w:r>
      <w:r w:rsidRPr="00576ED7">
        <w:rPr>
          <w:szCs w:val="24"/>
        </w:rPr>
        <w:t>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that a stockholder may sell the new shares acquired in the stock div</w:t>
      </w:r>
      <w:r w:rsidRPr="00576ED7">
        <w:rPr>
          <w:szCs w:val="24"/>
        </w:rPr>
        <w:t>i</w:t>
      </w:r>
      <w:r w:rsidRPr="00576ED7">
        <w:rPr>
          <w:szCs w:val="24"/>
        </w:rPr>
        <w:t>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his ori</w:t>
      </w:r>
      <w:r w:rsidRPr="00576ED7">
        <w:rPr>
          <w:szCs w:val="24"/>
        </w:rPr>
        <w:t>g</w:t>
      </w:r>
      <w:r w:rsidRPr="00576ED7">
        <w:rPr>
          <w:szCs w:val="24"/>
        </w:rPr>
        <w:t>inal shares at a profit.  But if a shareholder sells dividend stock, he necessarily disposes of a part of his capital interest, just as if he should sell a part of his old stock, either before or after the dividend.  What he retains no longer entitles him to the same proportion of future dividends as before the sale.  His part in the co</w:t>
      </w:r>
      <w:r w:rsidRPr="00576ED7">
        <w:rPr>
          <w:szCs w:val="24"/>
        </w:rPr>
        <w:t>n</w:t>
      </w:r>
      <w:r w:rsidRPr="00576ED7">
        <w:rPr>
          <w:szCs w:val="24"/>
        </w:rPr>
        <w:t>trol of the company likewise is diminished.  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of the total stock outstanding.  A corresponding and proportionate decrease in capital interest and in voting power would befall a minority holder should he sell dividend stock, it being in the nature of things i</w:t>
      </w:r>
      <w:r w:rsidRPr="00576ED7">
        <w:rPr>
          <w:szCs w:val="24"/>
        </w:rPr>
        <w:t>m</w:t>
      </w:r>
      <w:r w:rsidRPr="00576ED7">
        <w:rPr>
          <w:szCs w:val="24"/>
        </w:rPr>
        <w:t>possible for one to dispose of any part of such an issue without a proportionate disturbance of the distribution of the entire capital stock and a like diminution of the seller’s comparative voting power – that “right preservative of rights” in the control of a corporation.  Yet, without selling, the shareholder, unless possessed of other resources, has not the wherewithal to pay an income tax upon the div</w:t>
      </w:r>
      <w:r w:rsidRPr="00576ED7">
        <w:rPr>
          <w:szCs w:val="24"/>
        </w:rPr>
        <w:t>i</w:t>
      </w:r>
      <w:r w:rsidRPr="00576ED7">
        <w:rPr>
          <w:szCs w:val="24"/>
        </w:rPr>
        <w:lastRenderedPageBreak/>
        <w:t>dend stock.  Nothing could more clearly show that to tax a stock dividend is to tax a capital increase, and not income, than this demonstration that, in the nature of things, it requires conversion of capital in order to pay the tax.</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w:t>
      </w:r>
      <w:r w:rsidRPr="00576ED7">
        <w:rPr>
          <w:szCs w:val="24"/>
        </w:rPr>
        <w:t>s</w:t>
      </w:r>
      <w:r w:rsidRPr="00576ED7">
        <w:rPr>
          <w:szCs w:val="24"/>
        </w:rPr>
        <w:t>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w:t>
      </w:r>
      <w:r w:rsidRPr="00576ED7">
        <w:rPr>
          <w:szCs w:val="24"/>
        </w:rPr>
        <w:t>m</w:t>
      </w:r>
      <w:r w:rsidRPr="00576ED7">
        <w:rPr>
          <w:szCs w:val="24"/>
        </w:rPr>
        <w:t>pany; unless he had held it throughout such operations, the measure would not hold true.  Secondly, and more important for present purposes, enrichment through increase in value of capital investment is not income in any proper mea</w:t>
      </w:r>
      <w:r w:rsidRPr="00576ED7">
        <w:rPr>
          <w:szCs w:val="24"/>
        </w:rPr>
        <w:t>n</w:t>
      </w:r>
      <w:r w:rsidRPr="00576ED7">
        <w:rPr>
          <w:szCs w:val="24"/>
        </w:rPr>
        <w:t>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w:t>
      </w:r>
      <w:r w:rsidRPr="00576ED7">
        <w:rPr>
          <w:szCs w:val="24"/>
        </w:rPr>
        <w:t>i</w:t>
      </w:r>
      <w:r w:rsidRPr="00576ED7">
        <w:rPr>
          <w:szCs w:val="24"/>
        </w:rPr>
        <w:t>tional stock contemporaneously issued by the corporation.  But an actual cash di</w:t>
      </w:r>
      <w:r w:rsidRPr="00576ED7">
        <w:rPr>
          <w:szCs w:val="24"/>
        </w:rPr>
        <w:t>v</w:t>
      </w:r>
      <w:r w:rsidRPr="00576ED7">
        <w:rPr>
          <w:szCs w:val="24"/>
        </w:rPr>
        <w:t>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w:t>
      </w:r>
      <w:r w:rsidRPr="00576ED7">
        <w:rPr>
          <w:szCs w:val="24"/>
        </w:rPr>
        <w:t>r</w:t>
      </w:r>
      <w:r w:rsidRPr="00576ED7">
        <w:rPr>
          <w:szCs w:val="24"/>
        </w:rPr>
        <w:t>ship of the several stockholders and thereby subjected to their disposal.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w:t>
      </w:r>
      <w:r w:rsidRPr="00576ED7">
        <w:rPr>
          <w:szCs w:val="24"/>
        </w:rPr>
        <w:t>i</w:t>
      </w:r>
      <w:r w:rsidRPr="00576ED7">
        <w:rPr>
          <w:szCs w:val="24"/>
        </w:rPr>
        <w:t>dend, contravenes the provisions of Article I, § 2, cl. 3, and Article I, § 9, cl. 4, of the Constitution, and to this extent is invalid notwithstanding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Holmes, dissenting.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 stock received as a dividend.  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 his pro rata of the new stock.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believed will be its market value.  If the stockholder prefers ready money to an increase of his holdings of stock, he may sell his right to take new stock pro rata, which is evidenced by an assignable i</w:t>
      </w:r>
      <w:r w:rsidRPr="00576ED7">
        <w:rPr>
          <w:szCs w:val="24"/>
        </w:rPr>
        <w:t>n</w:t>
      </w:r>
      <w:r w:rsidRPr="00576ED7">
        <w:rPr>
          <w:szCs w:val="24"/>
        </w:rPr>
        <w:t>strument.  In that event the purchaser of the rights repays to the corporation, as the subscription price of the new stock, an amount equal to that which it had paid as a cash dividend to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Both of these methods of retaining accumulated profits while in effect distributing them as a dividend had been in common use in the United States for many years prior to the adoption of the Sixteenth Amendment.  They were recognized equiv</w:t>
      </w:r>
      <w:r w:rsidRPr="00576ED7">
        <w:rPr>
          <w:szCs w:val="24"/>
        </w:rPr>
        <w:t>a</w:t>
      </w:r>
      <w:r w:rsidRPr="00576ED7">
        <w:rPr>
          <w:szCs w:val="24"/>
        </w:rPr>
        <w:t xml:space="preserve">lents.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w:t>
      </w:r>
      <w:r w:rsidRPr="00576ED7">
        <w:rPr>
          <w:szCs w:val="24"/>
        </w:rPr>
        <w:lastRenderedPageBreak/>
        <w:t>that the financial results to the corporation and to the stockholders of the two methods are substantially the same, unless a difference results from the applic</w:t>
      </w:r>
      <w:r w:rsidRPr="00576ED7">
        <w:rPr>
          <w:szCs w:val="24"/>
        </w:rPr>
        <w:t>a</w:t>
      </w:r>
      <w:r w:rsidRPr="00576ED7">
        <w:rPr>
          <w:szCs w:val="24"/>
        </w:rPr>
        <w:t>tion of the federal income tax 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w:t>
      </w:r>
      <w:r w:rsidRPr="00576ED7">
        <w:rPr>
          <w:szCs w:val="24"/>
        </w:rPr>
        <w:t>r</w:t>
      </w:r>
      <w:r w:rsidRPr="00576ED7">
        <w:rPr>
          <w:szCs w:val="24"/>
        </w:rPr>
        <w:t>sued, it must be because Congress is without power to tax as income of the stoc</w:t>
      </w:r>
      <w:r w:rsidRPr="00576ED7">
        <w:rPr>
          <w:szCs w:val="24"/>
        </w:rPr>
        <w:t>k</w:t>
      </w:r>
      <w:r w:rsidRPr="00576ED7">
        <w:rPr>
          <w:szCs w:val="24"/>
        </w:rPr>
        <w:t>holder either the stock received under the latter method or the proceeds of its sale, for Congress has, by the provisions in the Revenue Act of 1916, expressly d</w:t>
      </w:r>
      <w:r w:rsidRPr="00576ED7">
        <w:rPr>
          <w:szCs w:val="24"/>
        </w:rPr>
        <w:t>e</w:t>
      </w:r>
      <w:r w:rsidRPr="00576ED7">
        <w:rPr>
          <w:szCs w:val="24"/>
        </w:rPr>
        <w:t>clared its purpose to make stock dividends, by whichever method paid, taxable as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Is there anything in the phraseology of the Sixteenth Amendment or in the n</w:t>
      </w:r>
      <w:r w:rsidRPr="00576ED7">
        <w:rPr>
          <w:szCs w:val="24"/>
        </w:rPr>
        <w:t>a</w:t>
      </w:r>
      <w:r w:rsidRPr="00576ED7">
        <w:rPr>
          <w:szCs w:val="24"/>
        </w:rPr>
        <w:t>ture of corporate dividends which should lead to a [conclusion] ... that Congress is powerless to prevent a result so extraordinary as that here contended for by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First</w:t>
      </w:r>
      <w:r w:rsidRPr="00576ED7">
        <w:rPr>
          <w:szCs w:val="24"/>
        </w:rPr>
        <w:t>.  The term “income,” when applied to the investment of the stockholder in a corporation, had, before the adoption of the Sixteenth Amendment, been co</w:t>
      </w:r>
      <w:r w:rsidRPr="00576ED7">
        <w:rPr>
          <w:szCs w:val="24"/>
        </w:rPr>
        <w:t>m</w:t>
      </w:r>
      <w:r w:rsidRPr="00576ED7">
        <w:rPr>
          <w:szCs w:val="24"/>
        </w:rPr>
        <w:t>monly understood to mean the returns from time to time received by the stoc</w:t>
      </w:r>
      <w:r w:rsidRPr="00576ED7">
        <w:rPr>
          <w:szCs w:val="24"/>
        </w:rPr>
        <w:t>k</w:t>
      </w:r>
      <w:r w:rsidRPr="00576ED7">
        <w:rPr>
          <w:szCs w:val="24"/>
        </w:rPr>
        <w:t>holder from gains or earnings of the corporation.  A dividend received by a stoc</w:t>
      </w:r>
      <w:r w:rsidRPr="00576ED7">
        <w:rPr>
          <w:szCs w:val="24"/>
        </w:rPr>
        <w:t>k</w:t>
      </w:r>
      <w:r w:rsidRPr="00576ED7">
        <w:rPr>
          <w:szCs w:val="24"/>
        </w:rPr>
        <w:t>holder from a corporation may be either in distribution of capital assets or in di</w:t>
      </w:r>
      <w:r w:rsidRPr="00576ED7">
        <w:rPr>
          <w:szCs w:val="24"/>
        </w:rPr>
        <w:t>s</w:t>
      </w:r>
      <w:r w:rsidRPr="00576ED7">
        <w:rPr>
          <w:szCs w:val="24"/>
        </w:rPr>
        <w:t>tribution of profits.  Whether it is the one or the other is in no way affected by the medium in which it is paid, nor by the method or means through which the parti</w:t>
      </w:r>
      <w:r w:rsidRPr="00576ED7">
        <w:rPr>
          <w:szCs w:val="24"/>
        </w:rPr>
        <w:t>c</w:t>
      </w:r>
      <w:r w:rsidRPr="00576ED7">
        <w:rPr>
          <w:szCs w:val="24"/>
        </w:rPr>
        <w:t>ular thing distributed as a dividend was procured.  If the dividend is declared pa</w:t>
      </w:r>
      <w:r w:rsidRPr="00576ED7">
        <w:rPr>
          <w:szCs w:val="24"/>
        </w:rPr>
        <w:t>y</w:t>
      </w:r>
      <w:r w:rsidRPr="00576ED7">
        <w:rPr>
          <w:szCs w:val="24"/>
        </w:rPr>
        <w:t xml:space="preserve">able in cash, the money with which to pay it is ordinarily taken from surplus cash in the treasury.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[W]hether a dividend declared payable from profits shall be paid in cash or in some other medium is also wholly a matter of financial management.  If some other medium is decided upon, it is also wholly a question of financial manag</w:t>
      </w:r>
      <w:r w:rsidRPr="00576ED7">
        <w:rPr>
          <w:szCs w:val="24"/>
        </w:rPr>
        <w:t>e</w:t>
      </w:r>
      <w:r w:rsidRPr="00576ED7">
        <w:rPr>
          <w:szCs w:val="24"/>
        </w:rPr>
        <w:t>ment whether the distribution shall be, for instance, in bonds, scrip or stock of a</w:t>
      </w:r>
      <w:r w:rsidRPr="00576ED7">
        <w:rPr>
          <w:szCs w:val="24"/>
        </w:rPr>
        <w:t>n</w:t>
      </w:r>
      <w:r w:rsidRPr="00576ED7">
        <w:rPr>
          <w:szCs w:val="24"/>
        </w:rPr>
        <w:t>other corporation or in issues of its own.  And if the dividend is paid in its own issues, why should there be a difference in result dependent upon whether the di</w:t>
      </w:r>
      <w:r w:rsidRPr="00576ED7">
        <w:rPr>
          <w:szCs w:val="24"/>
        </w:rPr>
        <w:t>s</w:t>
      </w:r>
      <w:r w:rsidRPr="00576ED7">
        <w:rPr>
          <w:szCs w:val="24"/>
        </w:rPr>
        <w:t>tribution was made from such securities then in the treasury or from others to be created and issued by the company expressly for that purpose? So far as the di</w:t>
      </w:r>
      <w:r w:rsidRPr="00576ED7">
        <w:rPr>
          <w:szCs w:val="24"/>
        </w:rPr>
        <w:t>s</w:t>
      </w:r>
      <w:r w:rsidRPr="00576ED7">
        <w:rPr>
          <w:szCs w:val="24"/>
        </w:rPr>
        <w:t>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w:t>
      </w:r>
      <w:r w:rsidRPr="00576ED7">
        <w:rPr>
          <w:szCs w:val="24"/>
        </w:rPr>
        <w:t>u</w:t>
      </w:r>
      <w:r w:rsidRPr="00576ED7">
        <w:rPr>
          <w:szCs w:val="24"/>
        </w:rPr>
        <w:t>rity distributed is common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Second</w:t>
      </w:r>
      <w:r w:rsidRPr="00576ED7">
        <w:rPr>
          <w:szCs w:val="24"/>
        </w:rPr>
        <w:t>.  It has been said that a dividend payable in bonds or preferred stock cr</w:t>
      </w:r>
      <w:r w:rsidRPr="00576ED7">
        <w:rPr>
          <w:szCs w:val="24"/>
        </w:rPr>
        <w:t>e</w:t>
      </w:r>
      <w:r w:rsidRPr="00576ED7">
        <w:rPr>
          <w:szCs w:val="24"/>
        </w:rPr>
        <w:t>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w:t>
      </w:r>
      <w:r w:rsidRPr="00576ED7">
        <w:rPr>
          <w:szCs w:val="24"/>
        </w:rPr>
        <w:t>r</w:t>
      </w:r>
      <w:r w:rsidRPr="00576ED7">
        <w:rPr>
          <w:szCs w:val="24"/>
        </w:rPr>
        <w:t>poration has any bearing upon the question here involved.  Another reason a</w:t>
      </w:r>
      <w:r w:rsidRPr="00576ED7">
        <w:rPr>
          <w:szCs w:val="24"/>
        </w:rPr>
        <w:t>s</w:t>
      </w:r>
      <w:r w:rsidRPr="00576ED7">
        <w:rPr>
          <w:szCs w:val="24"/>
        </w:rPr>
        <w:t>signed is that the value of the old stock held is reduced approximately by the va</w:t>
      </w:r>
      <w:r w:rsidRPr="00576ED7">
        <w:rPr>
          <w:szCs w:val="24"/>
        </w:rPr>
        <w:t>l</w:t>
      </w:r>
      <w:r w:rsidRPr="00576ED7">
        <w:rPr>
          <w:szCs w:val="24"/>
        </w:rPr>
        <w:t>ue of the new stock received, so that the stockholder, after receipt of the stock dividend, has no more than he had before it was paid.  That is equally true whet</w:t>
      </w:r>
      <w:r w:rsidRPr="00576ED7">
        <w:rPr>
          <w:szCs w:val="24"/>
        </w:rPr>
        <w:t>h</w:t>
      </w:r>
      <w:r w:rsidRPr="00576ED7">
        <w:rPr>
          <w:szCs w:val="24"/>
        </w:rPr>
        <w:t>er the dividend be paid in cash or in other property – for instance, bonds, scrip, or preferred stock of the company.  The payment from profits of a large cash div</w:t>
      </w:r>
      <w:r w:rsidRPr="00576ED7">
        <w:rPr>
          <w:szCs w:val="24"/>
        </w:rPr>
        <w:t>i</w:t>
      </w:r>
      <w:r w:rsidRPr="00576ED7">
        <w:rPr>
          <w:szCs w:val="24"/>
        </w:rPr>
        <w:t>dend, and even a small one, customarily lowers the then market value of stock because the undivided property represented by each share has been correspon</w:t>
      </w:r>
      <w:r w:rsidRPr="00576ED7">
        <w:rPr>
          <w:szCs w:val="24"/>
        </w:rPr>
        <w:t>d</w:t>
      </w:r>
      <w:r w:rsidRPr="00576ED7">
        <w:rPr>
          <w:szCs w:val="24"/>
        </w:rPr>
        <w:t xml:space="preserve">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w:t>
      </w:r>
      <w:r w:rsidRPr="00576ED7">
        <w:rPr>
          <w:szCs w:val="24"/>
        </w:rPr>
        <w:lastRenderedPageBreak/>
        <w:t>of assets for the stockholder? In each case, he receives a piece of paper which e</w:t>
      </w:r>
      <w:r w:rsidRPr="00576ED7">
        <w:rPr>
          <w:szCs w:val="24"/>
        </w:rPr>
        <w:t>n</w:t>
      </w:r>
      <w:r w:rsidRPr="00576ED7">
        <w:rPr>
          <w:szCs w:val="24"/>
        </w:rPr>
        <w:t>titles him to certain rights in the undivided property.  Clearly, segregation of a</w:t>
      </w:r>
      <w:r w:rsidRPr="00576ED7">
        <w:rPr>
          <w:szCs w:val="24"/>
        </w:rPr>
        <w:t>s</w:t>
      </w:r>
      <w:r w:rsidRPr="00576ED7">
        <w:rPr>
          <w:szCs w:val="24"/>
        </w:rPr>
        <w:t>sets in a physical sense is not an essential of income.  The year’s gains of a par</w:t>
      </w:r>
      <w:r w:rsidRPr="00576ED7">
        <w:rPr>
          <w:szCs w:val="24"/>
        </w:rPr>
        <w:t>t</w:t>
      </w:r>
      <w:r w:rsidRPr="00576ED7">
        <w:rPr>
          <w:szCs w:val="24"/>
        </w:rPr>
        <w:t>ner is [sic] taxable as income although there, likewise, no segregation of his share in the gains from that of his partners is had.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Third</w:t>
      </w:r>
      <w:r w:rsidRPr="00576ED7">
        <w:rPr>
          <w:szCs w:val="24"/>
        </w:rPr>
        <w:t>.  The government urges that it would have been within the power of Co</w:t>
      </w:r>
      <w:r w:rsidRPr="00576ED7">
        <w:rPr>
          <w:szCs w:val="24"/>
        </w:rPr>
        <w:t>n</w:t>
      </w:r>
      <w:r w:rsidRPr="00576ED7">
        <w:rPr>
          <w:szCs w:val="24"/>
        </w:rPr>
        <w:t>gress to have taxed as income of the stockholder his pro rata share of undistribu</w:t>
      </w:r>
      <w:r w:rsidRPr="00576ED7">
        <w:rPr>
          <w:szCs w:val="24"/>
        </w:rPr>
        <w:t>t</w:t>
      </w:r>
      <w:r w:rsidRPr="00576ED7">
        <w:rPr>
          <w:szCs w:val="24"/>
        </w:rPr>
        <w: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w:t>
      </w:r>
      <w:r w:rsidRPr="00576ED7">
        <w:rPr>
          <w:szCs w:val="24"/>
        </w:rPr>
        <w:t>u</w:t>
      </w:r>
      <w:r w:rsidRPr="00576ED7">
        <w:rPr>
          <w:szCs w:val="24"/>
        </w:rPr>
        <w:t>thority for the proposition that, under our law, a partnership or joint stock comp</w:t>
      </w:r>
      <w:r w:rsidRPr="00576ED7">
        <w:rPr>
          <w:szCs w:val="24"/>
        </w:rPr>
        <w:t>a</w:t>
      </w:r>
      <w:r w:rsidRPr="00576ED7">
        <w:rPr>
          <w:szCs w:val="24"/>
        </w:rPr>
        <w:t>ny is just as distinct and palpable an entity in the idea of the law, as distinguished from the individuals composing it, as is a corporation.  No reason appears, why Congress, in legislating under a grant of power so comprehensive as that authori</w:t>
      </w:r>
      <w:r w:rsidRPr="00576ED7">
        <w:rPr>
          <w:szCs w:val="24"/>
        </w:rPr>
        <w:t>z</w:t>
      </w:r>
      <w:r w:rsidRPr="00576ED7">
        <w:rPr>
          <w:szCs w:val="24"/>
        </w:rPr>
        <w:t>ing the levy of an income tax, should be limited by the particular view of the rel</w:t>
      </w:r>
      <w:r w:rsidRPr="00576ED7">
        <w:rPr>
          <w:szCs w:val="24"/>
        </w:rPr>
        <w:t>a</w:t>
      </w:r>
      <w:r w:rsidRPr="00576ED7">
        <w:rPr>
          <w:szCs w:val="24"/>
        </w:rPr>
        <w:t>tion of the stockholder to the corporation and its property which may, in the a</w:t>
      </w:r>
      <w:r w:rsidRPr="00576ED7">
        <w:rPr>
          <w:szCs w:val="24"/>
        </w:rPr>
        <w:t>b</w:t>
      </w:r>
      <w:r w:rsidRPr="00576ED7">
        <w:rPr>
          <w:szCs w:val="24"/>
        </w:rPr>
        <w:t>sence of legislation, have been taken by this Court.  But we have no occasion to decide the question whether Congress might have taxed to the stockholder his u</w:t>
      </w:r>
      <w:r w:rsidRPr="00576ED7">
        <w:rPr>
          <w:szCs w:val="24"/>
        </w:rPr>
        <w:t>n</w:t>
      </w:r>
      <w:r w:rsidRPr="00576ED7">
        <w:rPr>
          <w:szCs w:val="24"/>
        </w:rPr>
        <w:t>divided share of the corporation’s earnings.  For Congress has in this act limited the income tax to that share of the stockholder in the earnings which is, in effect, distributed by means of the stock dividend paid.  In other words, to render the stockholder taxable, there must be both earnings made and a dividend paid.  Ne</w:t>
      </w:r>
      <w:r w:rsidRPr="00576ED7">
        <w:rPr>
          <w:szCs w:val="24"/>
        </w:rPr>
        <w:t>i</w:t>
      </w:r>
      <w:r w:rsidRPr="00576ED7">
        <w:rPr>
          <w:szCs w:val="24"/>
        </w:rPr>
        <w:t>ther earnings without dividend nor a dividend without earnings subjects the stockholder to taxation under the Revenue Act of 1916.</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Fourth</w:t>
      </w:r>
      <w:r w:rsidRPr="00576ED7">
        <w:rPr>
          <w:szCs w:val="24"/>
        </w:rPr>
        <w: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Fifth.</w:t>
      </w: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p>
    <w:p w:rsidR="0049128E" w:rsidRPr="00576ED7" w:rsidRDefault="0018464D" w:rsidP="009A1BF0">
      <w:pPr>
        <w:widowControl w:val="0"/>
        <w:jc w:val="both"/>
        <w:rPr>
          <w:szCs w:val="24"/>
        </w:rPr>
      </w:pPr>
      <w:r w:rsidRPr="00576ED7">
        <w:rPr>
          <w:i/>
          <w:noProof/>
          <w:szCs w:val="24"/>
        </w:rPr>
        <mc:AlternateContent>
          <mc:Choice Requires="wps">
            <w:drawing>
              <wp:anchor distT="152400" distB="152400" distL="152400" distR="152400" simplePos="0" relativeHeight="251637760" behindDoc="0" locked="0" layoutInCell="0" allowOverlap="1" wp14:anchorId="35E68968" wp14:editId="68322D5A">
                <wp:simplePos x="0" y="0"/>
                <wp:positionH relativeFrom="margin">
                  <wp:posOffset>2057400</wp:posOffset>
                </wp:positionH>
                <wp:positionV relativeFrom="paragraph">
                  <wp:posOffset>664845</wp:posOffset>
                </wp:positionV>
                <wp:extent cx="3411855" cy="3293745"/>
                <wp:effectExtent l="0" t="0" r="17145" b="20955"/>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293745"/>
                        </a:xfrm>
                        <a:prstGeom prst="rect">
                          <a:avLst/>
                        </a:prstGeom>
                        <a:solidFill>
                          <a:srgbClr val="FFFFFF"/>
                        </a:solidFill>
                        <a:ln w="12192">
                          <a:solidFill>
                            <a:srgbClr val="000000"/>
                          </a:solidFill>
                          <a:miter lim="800000"/>
                          <a:headEnd/>
                          <a:tailEnd/>
                        </a:ln>
                      </wps:spPr>
                      <wps:txbx>
                        <w:txbxContent>
                          <w:p w:rsidR="00FF5E72" w:rsidRDefault="00FF5E72"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w:t>
                            </w:r>
                            <w:r>
                              <w:rPr>
                                <w:rFonts w:ascii="Tw Cen MT" w:hAnsi="Tw Cen MT"/>
                              </w:rPr>
                              <w:t>f</w:t>
                            </w:r>
                            <w:r>
                              <w:rPr>
                                <w:rFonts w:ascii="Tw Cen MT" w:hAnsi="Tw Cen MT"/>
                              </w:rPr>
                              <w:t>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FF5E72" w:rsidRDefault="00FF5E72"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162pt;margin-top:52.35pt;width:268.65pt;height:259.35pt;z-index:251637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VLAIAAFwEAAAOAAAAZHJzL2Uyb0RvYy54bWysVNtu2zAMfR+wfxD0vjh2mjQx4hRdugwD&#10;ugvQ7gNkWbaFyaImKbGzry8lp2l2exnmB0GUqEPyHNLrm6FT5CCsk6ALmk6mlAjNoZK6KejXx92b&#10;JSXOM10xBVoU9Cgcvdm8frXuTS4yaEFVwhIE0S7vTUFb702eJI63omNuAkZovKzBdsyjaZuksqxH&#10;9E4l2XS6SHqwlbHAhXN4ejde0k3Er2vB/ee6dsITVVDMzcfVxrUMa7JZs7yxzLSSn9Jg/5BFx6TG&#10;oGeoO+YZ2Vv5G1QnuQUHtZ9w6BKoa8lFrAGrSae/VPPQMiNiLUiOM2ea3P+D5Z8OXyyRVUFXC0o0&#10;61CjRzF48hYGkmWBn964HN0eDDr6Ac9R51irM/fAvzmiYdsy3Yhba6FvBaswvzS8TC6ejjgugJT9&#10;R6gwDtt7iEBDbbtAHtJBEB11Op61CblwPJxdpelyPqeE490sW82ur+YxBsufnxvr/HsBHQmbgloU&#10;P8Kzw73zIR2WP7uEaA6UrHZSqWjYptwqSw4MG2UXvxP6T25Kkx6Ly9JVNlLwV4xp/P6E0UmPLa9k&#10;V9Dl2Ynlgbh3uooN6ZlU4x5zVvrEZCBvpNEP5RBFy2IHB5pLqI7IrYWxxXEkcdOC/UFJj+1dUPd9&#10;z6ygRH3QqM/1AqcH5+HSsJdGeWkwzRGqoJ6Scbv14wztjZVNi5HGjtBwi5rWMrL9ktUpf2zhKMJp&#10;3MKMXNrR6+WnsHkCAAD//wMAUEsDBBQABgAIAAAAIQDmSE/43gAAAAsBAAAPAAAAZHJzL2Rvd25y&#10;ZXYueG1sTI9BT4NAFITvJv6HzTPxZpcCwQZZGkPivaBGj1v2CUT2LbLbgv++ryc9TmYy802xX+0o&#10;zjj7wZGC7SYCgdQ6M1Cn4O315WEHwgdNRo+OUMEvetiXtzeFzo1bqMZzEzrBJeRzraAPYcql9G2P&#10;VvuNm5DY+3Kz1YHl3Ekz64XL7SjjKMqk1QPxQq8nrHpsv5uTVeDqunqPm5/DR7WYqlsOa5g+e6Xu&#10;79bnJxAB1/AXhis+o0PJTEd3IuPFqCCJU/4S2IjSRxCc2GXbBMRRQRYnKciykP8/lBcAAAD//wMA&#10;UEsBAi0AFAAGAAgAAAAhALaDOJL+AAAA4QEAABMAAAAAAAAAAAAAAAAAAAAAAFtDb250ZW50X1R5&#10;cGVzXS54bWxQSwECLQAUAAYACAAAACEAOP0h/9YAAACUAQAACwAAAAAAAAAAAAAAAAAvAQAAX3Jl&#10;bHMvLnJlbHNQSwECLQAUAAYACAAAACEATkqHFSwCAABcBAAADgAAAAAAAAAAAAAAAAAuAgAAZHJz&#10;L2Uyb0RvYy54bWxQSwECLQAUAAYACAAAACEA5khP+N4AAAALAQAADwAAAAAAAAAAAAAAAACGBAAA&#10;ZHJzL2Rvd25yZXYueG1sUEsFBgAAAAAEAAQA8wAAAJEFAAAAAA==&#10;" o:allowincell="f" strokeweight=".96pt">
                <v:textbox inset="6pt,6pt,6pt,6pt">
                  <w:txbxContent>
                    <w:p w:rsidR="00FF5E72" w:rsidRDefault="00FF5E72" w:rsidP="006C651E">
                      <w:pPr>
                        <w:widowControl w:val="0"/>
                        <w:jc w:val="both"/>
                        <w:rPr>
                          <w:rFonts w:ascii="Tw Cen MT" w:hAnsi="Tw Cen MT"/>
                        </w:rPr>
                      </w:pPr>
                      <w:r>
                        <w:rPr>
                          <w:rFonts w:ascii="Tw Cen MT" w:hAnsi="Tw Cen MT"/>
                          <w:i/>
                        </w:rPr>
                        <w:t>Capital and Surplus</w:t>
                      </w:r>
                      <w:r>
                        <w:rPr>
                          <w:rFonts w:ascii="Tw Cen MT" w:hAnsi="Tw Cen MT"/>
                        </w:rPr>
                        <w:t>:  The opinions in this case provide a primer on corporation law.  A corporation’s shar</w:t>
                      </w:r>
                      <w:r>
                        <w:rPr>
                          <w:rFonts w:ascii="Tw Cen MT" w:hAnsi="Tw Cen MT"/>
                        </w:rPr>
                        <w:t>e</w:t>
                      </w:r>
                      <w:r>
                        <w:rPr>
                          <w:rFonts w:ascii="Tw Cen MT" w:hAnsi="Tw Cen MT"/>
                        </w:rPr>
                        <w:t>holders are its owners.  They pay money (or transfer other property) to the corporation to purchase shares that represent ownership of the corporation’s produ</w:t>
                      </w:r>
                      <w:r>
                        <w:rPr>
                          <w:rFonts w:ascii="Tw Cen MT" w:hAnsi="Tw Cen MT"/>
                        </w:rPr>
                        <w:t>c</w:t>
                      </w:r>
                      <w:r>
                        <w:rPr>
                          <w:rFonts w:ascii="Tw Cen MT" w:hAnsi="Tw Cen MT"/>
                        </w:rPr>
                        <w:t xml:space="preserve">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w:t>
                      </w:r>
                      <w:r>
                        <w:rPr>
                          <w:rFonts w:ascii="Tw Cen MT" w:hAnsi="Tw Cen MT"/>
                        </w:rPr>
                        <w:t>f</w:t>
                      </w:r>
                      <w:r>
                        <w:rPr>
                          <w:rFonts w:ascii="Tw Cen MT" w:hAnsi="Tw Cen MT"/>
                        </w:rPr>
                        <w:t>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w:t>
                      </w:r>
                      <w:r>
                        <w:rPr>
                          <w:rFonts w:ascii="Tw Cen MT" w:hAnsi="Tw Cen MT"/>
                        </w:rPr>
                        <w:t>a</w:t>
                      </w:r>
                      <w:r>
                        <w:rPr>
                          <w:rFonts w:ascii="Tw Cen MT" w:hAnsi="Tw Cen MT"/>
                        </w:rPr>
                        <w:t>rately accounted for.</w:t>
                      </w:r>
                    </w:p>
                    <w:p w:rsidR="00FF5E72" w:rsidRDefault="00FF5E72" w:rsidP="006C651E">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v:textbox>
                <w10:wrap type="square" side="largest" anchorx="margin"/>
              </v:shape>
            </w:pict>
          </mc:Fallback>
        </mc:AlternateContent>
      </w:r>
      <w:r w:rsidR="0049128E" w:rsidRPr="00576ED7">
        <w:rPr>
          <w:i/>
          <w:szCs w:val="24"/>
        </w:rPr>
        <w:t>Sixth</w:t>
      </w:r>
      <w:r w:rsidR="0049128E" w:rsidRPr="00576ED7">
        <w:rPr>
          <w:szCs w:val="24"/>
        </w:rPr>
        <w:t>.  If stock dividends representing profits are held exempt from taxation under the Sixteenth Amendment, the owners of the most successful businesses in Ame</w:t>
      </w:r>
      <w:r w:rsidR="0049128E" w:rsidRPr="00576ED7">
        <w:rPr>
          <w:szCs w:val="24"/>
        </w:rPr>
        <w:t>r</w:t>
      </w:r>
      <w:r w:rsidR="0049128E" w:rsidRPr="00576ED7">
        <w:rPr>
          <w:szCs w:val="24"/>
        </w:rPr>
        <w:t>ica will, as the facts in this case illustrate, be able to e</w:t>
      </w:r>
      <w:r w:rsidR="0049128E" w:rsidRPr="00576ED7">
        <w:rPr>
          <w:szCs w:val="24"/>
        </w:rPr>
        <w:t>s</w:t>
      </w:r>
      <w:r w:rsidR="0049128E" w:rsidRPr="00576ED7">
        <w:rPr>
          <w:szCs w:val="24"/>
        </w:rPr>
        <w:t>cape taxation on a large part of what is actually their income.  So far as their profits are re</w:t>
      </w:r>
      <w:r w:rsidR="0049128E" w:rsidRPr="00576ED7">
        <w:rPr>
          <w:szCs w:val="24"/>
        </w:rPr>
        <w:t>p</w:t>
      </w:r>
      <w:r w:rsidR="0049128E" w:rsidRPr="00576ED7">
        <w:rPr>
          <w:szCs w:val="24"/>
        </w:rPr>
        <w:t>resented by stock received as dividends, they will pay these taxes not upon their income, but only upon the income of their income.  That such a r</w:t>
      </w:r>
      <w:r w:rsidR="0049128E" w:rsidRPr="00576ED7">
        <w:rPr>
          <w:szCs w:val="24"/>
        </w:rPr>
        <w:t>e</w:t>
      </w:r>
      <w:r w:rsidR="0049128E" w:rsidRPr="00576ED7">
        <w:rPr>
          <w:szCs w:val="24"/>
        </w:rPr>
        <w:t>sult was intended by the pe</w:t>
      </w:r>
      <w:r w:rsidR="0049128E" w:rsidRPr="00576ED7">
        <w:rPr>
          <w:szCs w:val="24"/>
        </w:rPr>
        <w:t>o</w:t>
      </w:r>
      <w:r w:rsidR="0049128E" w:rsidRPr="00576ED7">
        <w:rPr>
          <w:szCs w:val="24"/>
        </w:rPr>
        <w:t>ple of the United States when adopting the Sixteenth Amendment is inco</w:t>
      </w:r>
      <w:r w:rsidR="0049128E" w:rsidRPr="00576ED7">
        <w:rPr>
          <w:szCs w:val="24"/>
        </w:rPr>
        <w:t>n</w:t>
      </w:r>
      <w:r w:rsidR="0049128E" w:rsidRPr="00576ED7">
        <w:rPr>
          <w:szCs w:val="24"/>
        </w:rPr>
        <w:t>ceivable.  Our sole duty is to ascertain their intent as therein e</w:t>
      </w:r>
      <w:r w:rsidR="0049128E" w:rsidRPr="00576ED7">
        <w:rPr>
          <w:szCs w:val="24"/>
        </w:rPr>
        <w:t>x</w:t>
      </w:r>
      <w:r w:rsidR="0049128E" w:rsidRPr="00576ED7">
        <w:rPr>
          <w:szCs w:val="24"/>
        </w:rPr>
        <w:t>pressed.  In terse, comprehe</w:t>
      </w:r>
      <w:r w:rsidR="0049128E" w:rsidRPr="00576ED7">
        <w:rPr>
          <w:szCs w:val="24"/>
        </w:rPr>
        <w:t>n</w:t>
      </w:r>
      <w:r w:rsidR="0049128E" w:rsidRPr="00576ED7">
        <w:rPr>
          <w:szCs w:val="24"/>
        </w:rPr>
        <w:t>sive language befitting the Constitution, they empowered Congress “to lay and collect taxes on incomes from wha</w:t>
      </w:r>
      <w:r w:rsidR="0049128E" w:rsidRPr="00576ED7">
        <w:rPr>
          <w:szCs w:val="24"/>
        </w:rPr>
        <w:t>t</w:t>
      </w:r>
      <w:r w:rsidR="0049128E" w:rsidRPr="00576ED7">
        <w:rPr>
          <w:szCs w:val="24"/>
        </w:rPr>
        <w:t>ever source derived.” They intended to include thereby everything which by reasonable understanding can fairly be regarded as income.  That stock dividends representing profits are so r</w:t>
      </w:r>
      <w:r w:rsidR="0049128E" w:rsidRPr="00576ED7">
        <w:rPr>
          <w:szCs w:val="24"/>
        </w:rPr>
        <w:t>e</w:t>
      </w:r>
      <w:r w:rsidR="0049128E" w:rsidRPr="00576ED7">
        <w:rPr>
          <w:szCs w:val="24"/>
        </w:rPr>
        <w:t>garded not only by the plain people, but by investors and financiers and by most of the courts of the country, is shown beyond peradventure by their acts and by their utterances.  It seems to me clear, therefore, that Congress possesses the po</w:t>
      </w:r>
      <w:r w:rsidR="0049128E" w:rsidRPr="00576ED7">
        <w:rPr>
          <w:szCs w:val="24"/>
        </w:rPr>
        <w:t>w</w:t>
      </w:r>
      <w:r w:rsidR="0049128E" w:rsidRPr="00576ED7">
        <w:rPr>
          <w:szCs w:val="24"/>
        </w:rPr>
        <w:t xml:space="preserve">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1.  In </w:t>
      </w:r>
      <w:r w:rsidRPr="00576ED7">
        <w:rPr>
          <w:i/>
          <w:szCs w:val="24"/>
        </w:rPr>
        <w:t>Macomber</w:t>
      </w:r>
      <w:r w:rsidRPr="00576ED7">
        <w:rPr>
          <w:szCs w:val="24"/>
        </w:rPr>
        <w:t>, consider the different views of the excerpted opinions of a co</w:t>
      </w:r>
      <w:r w:rsidRPr="00576ED7">
        <w:rPr>
          <w:szCs w:val="24"/>
        </w:rPr>
        <w:t>r</w:t>
      </w:r>
      <w:r w:rsidRPr="00576ED7">
        <w:rPr>
          <w:szCs w:val="24"/>
        </w:rPr>
        <w:t xml:space="preserve">poration.  Recall that under the SHS definition of income, an </w:t>
      </w:r>
      <w:r w:rsidRPr="00576ED7">
        <w:rPr>
          <w:i/>
          <w:szCs w:val="24"/>
        </w:rPr>
        <w:t>addition</w:t>
      </w:r>
      <w:r w:rsidRPr="00576ED7">
        <w:rPr>
          <w:szCs w:val="24"/>
        </w:rPr>
        <w:t xml:space="preserve"> to an i</w:t>
      </w:r>
      <w:r w:rsidRPr="00576ED7">
        <w:rPr>
          <w:szCs w:val="24"/>
        </w:rPr>
        <w:t>n</w:t>
      </w:r>
      <w:r w:rsidRPr="00576ED7">
        <w:rPr>
          <w:szCs w:val="24"/>
        </w:rPr>
        <w:t xml:space="preserve">vestment is taxable income, but a mere </w:t>
      </w:r>
      <w:r w:rsidRPr="00576ED7">
        <w:rPr>
          <w:i/>
          <w:szCs w:val="24"/>
        </w:rPr>
        <w:t>change in the form</w:t>
      </w:r>
      <w:r w:rsidRPr="00576ED7">
        <w:rPr>
          <w:szCs w:val="24"/>
        </w:rPr>
        <w:t xml:space="preserve"> in which wealth is held is not a taxable event.  Consider how the two opinions implicitly</w:t>
      </w:r>
      <w:r w:rsidRPr="00576ED7">
        <w:rPr>
          <w:rStyle w:val="FootnoteReference"/>
          <w:szCs w:val="24"/>
        </w:rPr>
        <w:footnoteReference w:id="30"/>
      </w:r>
      <w:r w:rsidRPr="00576ED7">
        <w:rPr>
          <w:szCs w:val="24"/>
        </w:rPr>
        <w:t xml:space="preserve"> handle these points.  Is one view better than the other? Why?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ten shareholders each contribute $100,000 upon the formation of a corpor</w:t>
      </w:r>
      <w:r w:rsidRPr="00576ED7">
        <w:rPr>
          <w:szCs w:val="24"/>
        </w:rPr>
        <w:t>a</w:t>
      </w:r>
      <w:r w:rsidRPr="00576ED7">
        <w:rPr>
          <w:szCs w:val="24"/>
        </w:rPr>
        <w:t>tion so that the corporation’s paid-in capital is $1M and two years later the fair market value (fmv) of the corporation’s assets has not changed but the corporation has accumulated undistributed profits of $200,000, what would be the fmv of each shareholder’s shares?</w:t>
      </w:r>
    </w:p>
    <w:p w:rsidR="0049128E" w:rsidRPr="00576ED7" w:rsidRDefault="0049128E" w:rsidP="009A1BF0">
      <w:pPr>
        <w:widowControl w:val="0"/>
        <w:ind w:left="720"/>
        <w:jc w:val="both"/>
        <w:rPr>
          <w:szCs w:val="24"/>
        </w:rPr>
      </w:pPr>
      <w:r w:rsidRPr="00576ED7">
        <w:rPr>
          <w:szCs w:val="24"/>
        </w:rPr>
        <w:t>•Is it even possible to avoid merging the capital and profits accounts of a corporation when considering whether a shareholder has enjoyed an i</w:t>
      </w:r>
      <w:r w:rsidRPr="00576ED7">
        <w:rPr>
          <w:szCs w:val="24"/>
        </w:rPr>
        <w:t>n</w:t>
      </w:r>
      <w:r w:rsidRPr="00576ED7">
        <w:rPr>
          <w:szCs w:val="24"/>
        </w:rPr>
        <w:t>crement to his/her consumption rights?</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8784" behindDoc="0" locked="0" layoutInCell="0" allowOverlap="1" wp14:anchorId="6802B5FA" wp14:editId="4B0C2152">
                <wp:simplePos x="0" y="0"/>
                <wp:positionH relativeFrom="margin">
                  <wp:posOffset>1755775</wp:posOffset>
                </wp:positionH>
                <wp:positionV relativeFrom="paragraph">
                  <wp:posOffset>295910</wp:posOffset>
                </wp:positionV>
                <wp:extent cx="3641725" cy="2317115"/>
                <wp:effectExtent l="0" t="0" r="15875" b="2603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317115"/>
                        </a:xfrm>
                        <a:prstGeom prst="rect">
                          <a:avLst/>
                        </a:prstGeom>
                        <a:solidFill>
                          <a:srgbClr val="FFFFFF"/>
                        </a:solidFill>
                        <a:ln w="12192">
                          <a:solidFill>
                            <a:srgbClr val="000000"/>
                          </a:solidFill>
                          <a:miter lim="800000"/>
                          <a:headEnd/>
                          <a:tailEnd/>
                        </a:ln>
                      </wps:spPr>
                      <wps:txbx>
                        <w:txbxContent>
                          <w:p w:rsidR="00FF5E72" w:rsidRDefault="00FF5E72"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FF5E72" w:rsidRDefault="00FF5E72"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138.25pt;margin-top:23.3pt;width:286.75pt;height:182.45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oRKwIAAFwEAAAOAAAAZHJzL2Uyb0RvYy54bWysVNtu2zAMfR+wfxD0vjh21rQ14hRdugwD&#10;ugvQ7gNkWbaFSaImKbGzrx8lp2l2exnmB0GUqMPDQ9Krm1ErshfOSzAVzWdzSoTh0EjTVfTL4/bV&#10;FSU+MNMwBUZU9CA8vVm/fLEabCkK6EE1whEEMb4cbEX7EGyZZZ73QjM/AysMXrbgNAtoui5rHBsQ&#10;XausmM+X2QCusQ648B5P76ZLuk74bSt4+NS2XgSiKorcQlpdWuu4ZusVKzvHbC/5kQb7BxaaSYNB&#10;T1B3LDCyc/I3KC25Aw9tmHHQGbSt5CLlgNnk81+yeeiZFSkXFMfbk0z+/8Hyj/vPjsimotcXlBim&#10;sUaPYgzkDYykWER9ButLdHuw6BhGPMc6p1y9vQf+1RMDm56ZTtw6B0MvWIP88vgyO3s64fgIUg8f&#10;oME4bBcgAY2t01E8lIMgOtbpcKpN5MLxcLF8nV8WyJHjXbHIL/P8IsVg5dNz63x4J0CTuKmow+In&#10;eLa/9yHSYeWTS4zmQclmK5VKhuvqjXJkz7BRtuk7ov/kpgwZMLkivy4mCf6KMU/fnzC0DNjySuqK&#10;Xp2cWBmFe2ua1JCBSTXtkbMyRyWjeJOMYazHVLQi6RxlrqE5oLYOphbHkcRND+47JQO2d0X9tx1z&#10;ghL13mB9Lpc4PTgP54Y7N+pzgxmOUBUNlEzbTZhmaGed7HqMNHWEgVusaSuT2s+sjvyxhVMRjuMW&#10;Z+TcTl7PP4X1DwAAAP//AwBQSwMEFAAGAAgAAAAhACf+757dAAAACgEAAA8AAABkcnMvZG93bnJl&#10;di54bWxMj8FOg0AQhu8mvsNmTLzZBSLYIEtjSLwXtNHjlp0CKTuL7Lbg2zue9DgzX/75/mK32lFc&#10;cfaDIwXxJgKB1DozUKfg/e31YQvCB01Gj45QwTd62JW3N4XOjVuoxmsTOsEh5HOtoA9hyqX0bY9W&#10;+42bkPh2crPVgce5k2bWC4fbUSZRlEmrB+IPvZ6w6rE9NxerwNV1dUiar/1HtZiqW/ZrmD57pe7v&#10;1pdnEAHX8AfDrz6rQ8lOR3ch48WoIHnKUkYVPGYZCAa2acTljryI4xRkWcj/FcofAAAA//8DAFBL&#10;AQItABQABgAIAAAAIQC2gziS/gAAAOEBAAATAAAAAAAAAAAAAAAAAAAAAABbQ29udGVudF9UeXBl&#10;c10ueG1sUEsBAi0AFAAGAAgAAAAhADj9If/WAAAAlAEAAAsAAAAAAAAAAAAAAAAALwEAAF9yZWxz&#10;Ly5yZWxzUEsBAi0AFAAGAAgAAAAhAOoq+hErAgAAXAQAAA4AAAAAAAAAAAAAAAAALgIAAGRycy9l&#10;Mm9Eb2MueG1sUEsBAi0AFAAGAAgAAAAhACf+757dAAAACgEAAA8AAAAAAAAAAAAAAAAAhQQAAGRy&#10;cy9kb3ducmV2LnhtbFBLBQYAAAAABAAEAPMAAACPBQAAAAA=&#10;" o:allowincell="f" strokeweight=".96pt">
                <v:textbox inset="6pt,6pt,6pt,6pt">
                  <w:txbxContent>
                    <w:p w:rsidR="00FF5E72" w:rsidRDefault="00FF5E72"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w:t>
                      </w:r>
                      <w:r>
                        <w:rPr>
                          <w:rFonts w:ascii="Tw Cen MT" w:hAnsi="Tw Cen MT"/>
                        </w:rPr>
                        <w:t>h</w:t>
                      </w:r>
                      <w:r>
                        <w:rPr>
                          <w:rFonts w:ascii="Tw Cen MT" w:hAnsi="Tw Cen MT"/>
                        </w:rPr>
                        <w:t>ods he describes in the first paragraph of his opinion by which a corporation can in effect distribute its accumula</w:t>
                      </w:r>
                      <w:r>
                        <w:rPr>
                          <w:rFonts w:ascii="Tw Cen MT" w:hAnsi="Tw Cen MT"/>
                        </w:rPr>
                        <w:t>t</w:t>
                      </w:r>
                      <w:r>
                        <w:rPr>
                          <w:rFonts w:ascii="Tw Cen MT" w:hAnsi="Tw Cen MT"/>
                        </w:rPr>
                        <w:t>ed profits without increasing its indebtedness as “equiv</w:t>
                      </w:r>
                      <w:r>
                        <w:rPr>
                          <w:rFonts w:ascii="Tw Cen MT" w:hAnsi="Tw Cen MT"/>
                        </w:rPr>
                        <w:t>a</w:t>
                      </w:r>
                      <w:r>
                        <w:rPr>
                          <w:rFonts w:ascii="Tw Cen MT" w:hAnsi="Tw Cen MT"/>
                        </w:rPr>
                        <w:t>lent.”  §§ 305(a), 305(b)(1).</w:t>
                      </w:r>
                    </w:p>
                    <w:p w:rsidR="00FF5E72" w:rsidRDefault="00FF5E72"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w:t>
                      </w:r>
                      <w:r>
                        <w:rPr>
                          <w:rFonts w:ascii="Tw Cen MT" w:hAnsi="Tw Cen MT"/>
                        </w:rPr>
                        <w:t>i</w:t>
                      </w:r>
                      <w:r>
                        <w:rPr>
                          <w:rFonts w:ascii="Tw Cen MT" w:hAnsi="Tw Cen MT"/>
                        </w:rPr>
                        <w:t>ty interests (stock) and creditor interests (debt) as equiv</w:t>
                      </w:r>
                      <w:r>
                        <w:rPr>
                          <w:rFonts w:ascii="Tw Cen MT" w:hAnsi="Tw Cen MT"/>
                        </w:rPr>
                        <w:t>a</w:t>
                      </w:r>
                      <w:r>
                        <w:rPr>
                          <w:rFonts w:ascii="Tw Cen MT" w:hAnsi="Tw Cen MT"/>
                        </w:rPr>
                        <w:t>lent – and so treats distributions of stock and debt di</w:t>
                      </w:r>
                      <w:r>
                        <w:rPr>
                          <w:rFonts w:ascii="Tw Cen MT" w:hAnsi="Tw Cen MT"/>
                        </w:rPr>
                        <w:t>f</w:t>
                      </w:r>
                      <w:r>
                        <w:rPr>
                          <w:rFonts w:ascii="Tw Cen MT" w:hAnsi="Tw Cen MT"/>
                        </w:rPr>
                        <w:t>ferently.</w:t>
                      </w:r>
                    </w:p>
                  </w:txbxContent>
                </v:textbox>
                <w10:wrap type="square" side="largest" anchorx="margin"/>
              </v:shape>
            </w:pict>
          </mc:Fallback>
        </mc:AlternateContent>
      </w:r>
      <w:r w:rsidR="0049128E" w:rsidRPr="00576ED7">
        <w:rPr>
          <w:szCs w:val="24"/>
        </w:rPr>
        <w:t>•Should each shareholder pay income tax on a share’s increased fmv if the corp</w:t>
      </w:r>
      <w:r w:rsidR="0049128E" w:rsidRPr="00576ED7">
        <w:rPr>
          <w:szCs w:val="24"/>
        </w:rPr>
        <w:t>o</w:t>
      </w:r>
      <w:r w:rsidR="0049128E" w:rsidRPr="00576ED7">
        <w:rPr>
          <w:szCs w:val="24"/>
        </w:rPr>
        <w:t>ration does not distribute the pro</w:t>
      </w:r>
      <w:r w:rsidR="0049128E" w:rsidRPr="00576ED7">
        <w:rPr>
          <w:szCs w:val="24"/>
        </w:rPr>
        <w:t>f</w:t>
      </w:r>
      <w:r w:rsidR="0049128E" w:rsidRPr="00576ED7">
        <w:rPr>
          <w:szCs w:val="24"/>
        </w:rPr>
        <w:t>its?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Does the concept of realization determine when taxpayer may spend an increment to his/her consumption rights on consumption as s/he sees fit? If the corporation will not pay out undistributed profits, why can’t the shareholder simply borrow against his/her share of the undistributed profits? The interest taxpayer must pay is simply the (nominal?) cost of spending money that s/he “owns” but is not entitled to r</w:t>
      </w:r>
      <w:r w:rsidRPr="00576ED7">
        <w:rPr>
          <w:szCs w:val="24"/>
        </w:rPr>
        <w:t>e</w:t>
      </w:r>
      <w:r w:rsidRPr="00576ED7">
        <w:rPr>
          <w:szCs w:val="24"/>
        </w:rPr>
        <w:t>ceive.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exactly is the holding of the majority with respect to the meaning of “i</w:t>
      </w:r>
      <w:r w:rsidRPr="00576ED7">
        <w:rPr>
          <w:szCs w:val="24"/>
        </w:rPr>
        <w:t>n</w:t>
      </w:r>
      <w:r w:rsidRPr="00576ED7">
        <w:rPr>
          <w:szCs w:val="24"/>
        </w:rPr>
        <w:lastRenderedPageBreak/>
        <w:t>come” under the Sixteenth Amendment? Which of the following are critical?</w:t>
      </w:r>
    </w:p>
    <w:p w:rsidR="0049128E" w:rsidRPr="00576ED7" w:rsidRDefault="0049128E" w:rsidP="009A1BF0">
      <w:pPr>
        <w:widowControl w:val="0"/>
        <w:ind w:left="720"/>
        <w:jc w:val="both"/>
        <w:rPr>
          <w:szCs w:val="24"/>
        </w:rPr>
      </w:pPr>
      <w:r w:rsidRPr="00576ED7">
        <w:rPr>
          <w:szCs w:val="24"/>
        </w:rPr>
        <w:t>•That shareholder did not “realize” any income and that without realiz</w:t>
      </w:r>
      <w:r w:rsidRPr="00576ED7">
        <w:rPr>
          <w:szCs w:val="24"/>
        </w:rPr>
        <w:t>a</w:t>
      </w:r>
      <w:r w:rsidRPr="00576ED7">
        <w:rPr>
          <w:szCs w:val="24"/>
        </w:rPr>
        <w:t>tion, there is no “income?”</w:t>
      </w:r>
    </w:p>
    <w:p w:rsidR="0049128E" w:rsidRPr="00576ED7" w:rsidRDefault="0049128E" w:rsidP="009A1BF0">
      <w:pPr>
        <w:widowControl w:val="0"/>
        <w:ind w:left="720"/>
        <w:jc w:val="both"/>
        <w:rPr>
          <w:szCs w:val="24"/>
        </w:rPr>
      </w:pPr>
      <w:r w:rsidRPr="00576ED7">
        <w:rPr>
          <w:szCs w:val="24"/>
        </w:rPr>
        <w:t>•That shareholder did not receive any property for his/her use and benefit and that in the absence of such receipt, there is no “income?”</w:t>
      </w:r>
    </w:p>
    <w:p w:rsidR="0049128E" w:rsidRPr="00576ED7" w:rsidRDefault="00B93BAC"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39808" behindDoc="0" locked="0" layoutInCell="0" allowOverlap="1" wp14:anchorId="2B67170A" wp14:editId="2CEBA2B7">
                <wp:simplePos x="0" y="0"/>
                <wp:positionH relativeFrom="margin">
                  <wp:posOffset>2077720</wp:posOffset>
                </wp:positionH>
                <wp:positionV relativeFrom="paragraph">
                  <wp:posOffset>481330</wp:posOffset>
                </wp:positionV>
                <wp:extent cx="3314700" cy="1558290"/>
                <wp:effectExtent l="0" t="0" r="19050" b="22860"/>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58290"/>
                        </a:xfrm>
                        <a:prstGeom prst="rect">
                          <a:avLst/>
                        </a:prstGeom>
                        <a:solidFill>
                          <a:srgbClr val="FFFFFF"/>
                        </a:solidFill>
                        <a:ln w="12192">
                          <a:solidFill>
                            <a:srgbClr val="000000"/>
                          </a:solidFill>
                          <a:miter lim="800000"/>
                          <a:headEnd/>
                          <a:tailEnd/>
                        </a:ln>
                      </wps:spPr>
                      <wps:txbx>
                        <w:txbxContent>
                          <w:p w:rsidR="00FF5E72" w:rsidRDefault="00FF5E72"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p w:rsidR="00FF5E72" w:rsidRDefault="00FF5E72">
                            <w:pPr>
                              <w:widowControl w:val="0"/>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63.6pt;margin-top:37.9pt;width:261pt;height:122.7pt;flip:y;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ZvMQIAAGYEAAAOAAAAZHJzL2Uyb0RvYy54bWysVE1v2zAMvQ/YfxB0X/zRtE2MOEWXLsOA&#10;7gNot7ssy7YwWdQkJXb260fJaRp022WYD4IoUY/ke6RXN2OvyF5YJ0GXNJullAjNoZa6LenXx+2b&#10;BSXOM10zBVqU9CAcvVm/frUaTCFy6EDVwhIE0a4YTEk7702RJI53omduBkZovGzA9syjaduktmxA&#10;9F4leZpeJQPY2ljgwjk8vZsu6TriN43g/nPTOOGJKinm5uNq41qFNVmvWNFaZjrJj2mwf8iiZ1Jj&#10;0BPUHfOM7Kz8DaqX3IKDxs849Ak0jeQi1oDVZOmLah46ZkSsBclx5kST+3+w/NP+iyWyLulyTolm&#10;PWr0KEZP3sJI8nngZzCuQLcHg45+xHPUOdbqzD3w745o2HRMt+LWWhg6wWrMLwsvk7OnE44LINXw&#10;EWqMw3YeItDY2J40SppvT9BIDME4qNjhpFLIiuPhxUU2v07xiuNddnm5yJdRx4QVASioYKzz7wX0&#10;JGxKarENYiC2v3c+JPbsEtwdKFlvpVLRsG21UZbsGbbMNn6xlhduSpMBw+fZMp/I+CtGGr8/YfTS&#10;Y/Mr2Zd0cXJiRaDwna5ja3om1bTHnJU+chponAj1YzVG+fL8SasK6gOybGFqdhxO3HRgf1IyYKOX&#10;1P3YMSsoUR80KnV9hXOEk3Fu2HOjOjeY5ghVUk/JtN34aZp2xsq2w0hTb2i4RXUbGdkObTBldcwf&#10;mzmKcBy8MC3ndvR6/j2sfwEAAP//AwBQSwMEFAAGAAgAAAAhABafyFzgAAAACgEAAA8AAABkcnMv&#10;ZG93bnJldi54bWxMj0tPwzAQhO9I/Adrkbig1mkKbRriVDxEJcSJgsTVTZYkrb2OYufBv2d7guPO&#10;fJqdybaTNWLAzjeOFCzmEQikwpUNVQo+P15mCQgfNJXaOEIFP+hhm19eZDot3UjvOOxDJTiEfKoV&#10;1CG0qZS+qNFqP3ctEnvfrrM68NlVsuz0yOHWyDiKVtLqhvhDrVt8qrE47XurILpJaNwtn+nxa9Mf&#10;X99O0hyHQanrq+nhHkTAKfzBcK7P1SHnTgfXU+mFUbCM1zGjCtZ3PIGB5HbDwuHsLGKQeSb/T8h/&#10;AQAA//8DAFBLAQItABQABgAIAAAAIQC2gziS/gAAAOEBAAATAAAAAAAAAAAAAAAAAAAAAABbQ29u&#10;dGVudF9UeXBlc10ueG1sUEsBAi0AFAAGAAgAAAAhADj9If/WAAAAlAEAAAsAAAAAAAAAAAAAAAAA&#10;LwEAAF9yZWxzLy5yZWxzUEsBAi0AFAAGAAgAAAAhACoh1m8xAgAAZgQAAA4AAAAAAAAAAAAAAAAA&#10;LgIAAGRycy9lMm9Eb2MueG1sUEsBAi0AFAAGAAgAAAAhABafyFzgAAAACgEAAA8AAAAAAAAAAAAA&#10;AAAAiwQAAGRycy9kb3ducmV2LnhtbFBLBQYAAAAABAAEAPMAAACYBQAAAAA=&#10;" o:allowincell="f" strokeweight=".96pt">
                <v:textbox inset="6pt,6pt,6pt,6pt">
                  <w:txbxContent>
                    <w:p w:rsidR="00FF5E72" w:rsidRDefault="00FF5E72" w:rsidP="00F07996">
                      <w:pPr>
                        <w:widowControl w:val="0"/>
                        <w:jc w:val="both"/>
                        <w:rPr>
                          <w:rFonts w:ascii="Tw Cen MT" w:hAnsi="Tw Cen MT"/>
                        </w:rPr>
                      </w:pPr>
                      <w:r>
                        <w:rPr>
                          <w:rFonts w:ascii="Tw Cen MT" w:hAnsi="Tw Cen MT"/>
                          <w:i/>
                        </w:rPr>
                        <w:t>The Corporation as Separate Entity</w:t>
                      </w:r>
                      <w:r>
                        <w:rPr>
                          <w:rFonts w:ascii="Tw Cen MT" w:hAnsi="Tw Cen MT"/>
                        </w:rPr>
                        <w:t>:  The most i</w:t>
                      </w:r>
                      <w:r>
                        <w:rPr>
                          <w:rFonts w:ascii="Tw Cen MT" w:hAnsi="Tw Cen MT"/>
                        </w:rPr>
                        <w:t>m</w:t>
                      </w:r>
                      <w:r>
                        <w:rPr>
                          <w:rFonts w:ascii="Tw Cen MT" w:hAnsi="Tw Cen MT"/>
                        </w:rPr>
                        <w:t>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p w:rsidR="00FF5E72" w:rsidRDefault="00FF5E72">
                      <w:pPr>
                        <w:widowControl w:val="0"/>
                        <w:rPr>
                          <w:rFonts w:ascii="Tw Cen MT" w:hAnsi="Tw Cen MT"/>
                        </w:rPr>
                      </w:pPr>
                    </w:p>
                  </w:txbxContent>
                </v:textbox>
                <w10:wrap type="square" side="largest" anchorx="margin"/>
              </v:shape>
            </w:pict>
          </mc:Fallback>
        </mc:AlternateContent>
      </w:r>
      <w:r w:rsidR="0049128E" w:rsidRPr="00576ED7">
        <w:rPr>
          <w:szCs w:val="24"/>
        </w:rPr>
        <w:t>•That a corporation’s undistributed accumulations do not constitute “i</w:t>
      </w:r>
      <w:r w:rsidR="0049128E" w:rsidRPr="00576ED7">
        <w:rPr>
          <w:szCs w:val="24"/>
        </w:rPr>
        <w:t>n</w:t>
      </w:r>
      <w:r w:rsidR="0049128E" w:rsidRPr="00576ED7">
        <w:rPr>
          <w:szCs w:val="24"/>
        </w:rPr>
        <w:t>come” to a sharehol</w:t>
      </w:r>
      <w:r w:rsidR="0049128E" w:rsidRPr="00576ED7">
        <w:rPr>
          <w:szCs w:val="24"/>
        </w:rPr>
        <w:t>d</w:t>
      </w:r>
      <w:r w:rsidR="0049128E" w:rsidRPr="00576ED7">
        <w:rPr>
          <w:szCs w:val="24"/>
        </w:rPr>
        <w:t>er?</w:t>
      </w:r>
    </w:p>
    <w:p w:rsidR="0049128E" w:rsidRPr="00576ED7" w:rsidRDefault="0049128E" w:rsidP="009A1BF0">
      <w:pPr>
        <w:widowControl w:val="0"/>
        <w:ind w:left="720"/>
        <w:jc w:val="both"/>
        <w:rPr>
          <w:szCs w:val="24"/>
        </w:rPr>
      </w:pPr>
      <w:r w:rsidRPr="00576ED7">
        <w:rPr>
          <w:szCs w:val="24"/>
        </w:rPr>
        <w:t>•That if the corporation does not segregate pa</w:t>
      </w:r>
      <w:r w:rsidRPr="00576ED7">
        <w:rPr>
          <w:szCs w:val="24"/>
        </w:rPr>
        <w:t>r</w:t>
      </w:r>
      <w:r w:rsidRPr="00576ED7">
        <w:rPr>
          <w:szCs w:val="24"/>
        </w:rPr>
        <w:t>ticular assets for the shareholder, there is no “income?”</w:t>
      </w:r>
    </w:p>
    <w:p w:rsidR="0049128E" w:rsidRPr="00576ED7" w:rsidRDefault="0049128E" w:rsidP="009A1BF0">
      <w:pPr>
        <w:widowControl w:val="0"/>
        <w:ind w:left="720"/>
        <w:jc w:val="both"/>
        <w:rPr>
          <w:szCs w:val="24"/>
        </w:rPr>
      </w:pPr>
      <w:r w:rsidRPr="00576ED7">
        <w:rPr>
          <w:szCs w:val="24"/>
        </w:rPr>
        <w:t>•That shareholder’s r</w:t>
      </w:r>
      <w:r w:rsidRPr="00576ED7">
        <w:rPr>
          <w:szCs w:val="24"/>
        </w:rPr>
        <w:t>e</w:t>
      </w:r>
      <w:r w:rsidRPr="00576ED7">
        <w:rPr>
          <w:szCs w:val="24"/>
        </w:rPr>
        <w:t>ceipt of shares did not alter his/her underlying interest in the corpor</w:t>
      </w:r>
      <w:r w:rsidRPr="00576ED7">
        <w:rPr>
          <w:szCs w:val="24"/>
        </w:rPr>
        <w:t>a</w:t>
      </w:r>
      <w:r w:rsidRPr="00576ED7">
        <w:rPr>
          <w:szCs w:val="24"/>
        </w:rPr>
        <w:t>tion or make him/her richer, so the receipt of such shares is not “income” within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Justice Brandeis’s parade of horribles has come to pass.  We tax dividends di</w:t>
      </w:r>
      <w:r w:rsidRPr="00576ED7">
        <w:rPr>
          <w:szCs w:val="24"/>
        </w:rPr>
        <w:t>f</w:t>
      </w:r>
      <w:r w:rsidRPr="00576ED7">
        <w:rPr>
          <w:szCs w:val="24"/>
        </w:rPr>
        <w:t>ferently depending on how they are distributed.  § 305.  We tax partners on undi</w:t>
      </w:r>
      <w:r w:rsidRPr="00576ED7">
        <w:rPr>
          <w:szCs w:val="24"/>
        </w:rPr>
        <w:t>s</w:t>
      </w:r>
      <w:r w:rsidRPr="00576ED7">
        <w:rPr>
          <w:szCs w:val="24"/>
        </w:rPr>
        <w:t xml:space="preserve">tributed income but not corporate shareholders.  Corporations </w:t>
      </w:r>
      <w:r w:rsidRPr="00576ED7">
        <w:rPr>
          <w:i/>
          <w:szCs w:val="24"/>
        </w:rPr>
        <w:t>do</w:t>
      </w:r>
      <w:r w:rsidRPr="00576ED7">
        <w:rPr>
          <w:szCs w:val="24"/>
        </w:rPr>
        <w:t xml:space="preserve"> hold onto i</w:t>
      </w:r>
      <w:r w:rsidRPr="00576ED7">
        <w:rPr>
          <w:szCs w:val="24"/>
        </w:rPr>
        <w:t>n</w:t>
      </w:r>
      <w:r w:rsidRPr="00576ED7">
        <w:rPr>
          <w:szCs w:val="24"/>
        </w:rPr>
        <w:t>come so that shareholders do not have to pay income tax.  The Republic has su</w:t>
      </w:r>
      <w:r w:rsidRPr="00576ED7">
        <w:rPr>
          <w:szCs w:val="24"/>
        </w:rPr>
        <w:t>r</w:t>
      </w:r>
      <w:r w:rsidRPr="00576ED7">
        <w:rPr>
          <w:szCs w:val="24"/>
        </w:rPr>
        <w:t>vived.</w:t>
      </w:r>
    </w:p>
    <w:p w:rsidR="00D31BBC" w:rsidRPr="00576ED7" w:rsidRDefault="00D31BBC" w:rsidP="009A1BF0">
      <w:pPr>
        <w:widowControl w:val="0"/>
        <w:jc w:val="both"/>
        <w:rPr>
          <w:szCs w:val="24"/>
        </w:rPr>
      </w:pPr>
    </w:p>
    <w:p w:rsidR="0049128E" w:rsidRPr="00576ED7" w:rsidRDefault="0049128E" w:rsidP="009A1BF0">
      <w:pPr>
        <w:widowControl w:val="0"/>
        <w:jc w:val="both"/>
        <w:rPr>
          <w:szCs w:val="24"/>
        </w:rPr>
      </w:pPr>
      <w:r w:rsidRPr="00576ED7">
        <w:rPr>
          <w:szCs w:val="24"/>
        </w:rPr>
        <w:t>7.  Is a stock dividend an increment to taxpayer’s store of rights of consumption? We tax all income once.  When (and how) is a stock dividend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Income is taxed only once.  “Basis” is money that will not again be subject to income tax, </w:t>
      </w:r>
      <w:r w:rsidRPr="00576ED7">
        <w:rPr>
          <w:i/>
          <w:szCs w:val="24"/>
        </w:rPr>
        <w:t>usually</w:t>
      </w:r>
      <w:r w:rsidRPr="00576ED7">
        <w:rPr>
          <w:szCs w:val="24"/>
        </w:rPr>
        <w:t xml:space="preserve"> because it has already been subject to tax.  Thus, basis is the means by which we keep score with the government.  Mrs. Macomber owned 2200 shares of Standard Oil.  Let’s say that she paid $220,000 for these shares, i.e., $100/share.  After receiving the stock dividend, she owned 3300 shares.</w:t>
      </w:r>
    </w:p>
    <w:p w:rsidR="0049128E" w:rsidRPr="00576ED7" w:rsidRDefault="0049128E" w:rsidP="009A1BF0">
      <w:pPr>
        <w:widowControl w:val="0"/>
        <w:ind w:left="720"/>
        <w:jc w:val="both"/>
        <w:rPr>
          <w:szCs w:val="24"/>
        </w:rPr>
      </w:pPr>
      <w:r w:rsidRPr="00576ED7">
        <w:rPr>
          <w:szCs w:val="24"/>
        </w:rPr>
        <w:t xml:space="preserve">•What should be her basis in both the original 2200 shares and the 1100 </w:t>
      </w:r>
      <w:r w:rsidRPr="00576ED7">
        <w:rPr>
          <w:szCs w:val="24"/>
        </w:rPr>
        <w:lastRenderedPageBreak/>
        <w:t>dividend shares?</w:t>
      </w:r>
    </w:p>
    <w:p w:rsidR="0049128E" w:rsidRPr="00576ED7" w:rsidRDefault="0049128E" w:rsidP="009A1BF0">
      <w:pPr>
        <w:widowControl w:val="0"/>
        <w:ind w:left="720"/>
        <w:jc w:val="both"/>
        <w:rPr>
          <w:szCs w:val="24"/>
        </w:rPr>
      </w:pPr>
      <w:r w:rsidRPr="00576ED7">
        <w:rPr>
          <w:szCs w:val="24"/>
        </w:rPr>
        <w:t>•Suppose Justice Brandeis’s view had prevailed.  What should be her basis in the original 2200 shares and in the 1100 dividend shares?</w:t>
      </w:r>
    </w:p>
    <w:p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rsidR="0049128E" w:rsidRPr="00576ED7" w:rsidRDefault="0049128E" w:rsidP="009A1BF0">
      <w:pPr>
        <w:widowControl w:val="0"/>
        <w:ind w:left="1440"/>
        <w:jc w:val="both"/>
        <w:rPr>
          <w:szCs w:val="24"/>
        </w:rPr>
      </w:pPr>
      <w:r w:rsidRPr="00576ED7">
        <w:rPr>
          <w:szCs w:val="24"/>
        </w:rPr>
        <w:t>•How should that change a partner’s basis in his/her partnership i</w:t>
      </w:r>
      <w:r w:rsidRPr="00576ED7">
        <w:rPr>
          <w:szCs w:val="24"/>
        </w:rPr>
        <w:t>n</w:t>
      </w:r>
      <w:r w:rsidRPr="00576ED7">
        <w:rPr>
          <w:szCs w:val="24"/>
        </w:rPr>
        <w:t>terest?</w:t>
      </w:r>
    </w:p>
    <w:p w:rsidR="0049128E" w:rsidRPr="00576ED7" w:rsidRDefault="0049128E" w:rsidP="009A1BF0">
      <w:pPr>
        <w:widowControl w:val="0"/>
        <w:ind w:left="1440"/>
        <w:jc w:val="both"/>
        <w:rPr>
          <w:szCs w:val="24"/>
        </w:rPr>
      </w:pPr>
      <w:r w:rsidRPr="00576ED7">
        <w:rPr>
          <w:szCs w:val="24"/>
        </w:rPr>
        <w:t>•What should happen to the partner’s basis in his/her partnership interest if s/he later withdraws cash or property from the partne</w:t>
      </w:r>
      <w:r w:rsidRPr="00576ED7">
        <w:rPr>
          <w:szCs w:val="24"/>
        </w:rPr>
        <w:t>r</w:t>
      </w:r>
      <w:r w:rsidRPr="00576ED7">
        <w:rPr>
          <w:szCs w:val="24"/>
        </w:rPr>
        <w:t>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WARREN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litigation involves two cases with independent factual backgrounds yet pr</w:t>
      </w:r>
      <w:r w:rsidRPr="00576ED7">
        <w:rPr>
          <w:szCs w:val="24"/>
        </w:rPr>
        <w:t>e</w:t>
      </w:r>
      <w:r w:rsidRPr="00576ED7">
        <w:rPr>
          <w:szCs w:val="24"/>
        </w:rPr>
        <w:t>senting the identical issue. … The common question is whether money received as exemplary damages for fraud or as the punitive two-thirds portion of a treble-damage antitrust recovery must be reported by a taxpayer as gross income under [§ 61] of the Internal Revenue Code.  [footnote omitted]  In a single opinion, 211 F.2d 928, the Court of Appeals [for the Third Circuit] affirmed the Tax Court’s separate rulings in favor of the taxpayers.  [citation omitted]  Because of the fr</w:t>
      </w:r>
      <w:r w:rsidRPr="00576ED7">
        <w:rPr>
          <w:szCs w:val="24"/>
        </w:rPr>
        <w:t>e</w:t>
      </w:r>
      <w:r w:rsidRPr="00576ED7">
        <w:rPr>
          <w:szCs w:val="24"/>
        </w:rPr>
        <w:t>quent recurrence of the question and differing interpretations by the lower courts of this Court’s decisions bearing upon the problem, we granted the Commissioner of the Internal Revenue’s ensuing petition for certiorari.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of the cases were largely stipulated and are not in dispute.  So far as pe</w:t>
      </w:r>
      <w:r w:rsidRPr="00576ED7">
        <w:rPr>
          <w:szCs w:val="24"/>
        </w:rPr>
        <w:t>r</w:t>
      </w:r>
      <w:r w:rsidRPr="00576ED7">
        <w:rPr>
          <w:szCs w:val="24"/>
        </w:rPr>
        <w:t>tinent they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w:t>
      </w:r>
      <w:r w:rsidRPr="00576ED7">
        <w:rPr>
          <w:szCs w:val="24"/>
        </w:rPr>
        <w:t>n</w:t>
      </w:r>
      <w:r w:rsidRPr="00576ED7">
        <w:rPr>
          <w:szCs w:val="24"/>
        </w:rPr>
        <w:t>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w:t>
      </w:r>
      <w:r w:rsidRPr="00576ED7">
        <w:rPr>
          <w:szCs w:val="24"/>
        </w:rPr>
        <w:t>n</w:t>
      </w:r>
      <w:r w:rsidRPr="00576ED7">
        <w:rPr>
          <w:szCs w:val="24"/>
        </w:rPr>
        <w:lastRenderedPageBreak/>
        <w:t>cluded a settlement of all pending litigation, by which Hartford paid Glenshaw approximately $800,000.  Through a method of allocation which was approved by the Tax Court, [citation omitted], and which is no longer in issue, it was ultimat</w:t>
      </w:r>
      <w:r w:rsidRPr="00576ED7">
        <w:rPr>
          <w:szCs w:val="24"/>
        </w:rPr>
        <w:t>e</w:t>
      </w:r>
      <w:r w:rsidRPr="00576ED7">
        <w:rPr>
          <w:szCs w:val="24"/>
        </w:rPr>
        <w:t>ly determined that,</w:t>
      </w:r>
      <w:r w:rsidR="00B93BAC" w:rsidRPr="00576ED7">
        <w:rPr>
          <w:szCs w:val="24"/>
        </w:rPr>
        <w:t xml:space="preserve"> of the total settlement, $324,</w:t>
      </w:r>
      <w:r w:rsidRPr="00576ED7">
        <w:rPr>
          <w:szCs w:val="24"/>
        </w:rPr>
        <w:t>529.94 represented payment of punitive damages for fraud and antitrust violations.  Glenshaw did not report this portion of the settlement as income for the tax year involved.  The Commissioner determined a deficiency claiming as taxable the entire sum less only deductible legal fees.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w:t>
      </w:r>
      <w:r w:rsidRPr="00576ED7">
        <w:rPr>
          <w:szCs w:val="24"/>
        </w:rPr>
        <w:t>a</w:t>
      </w:r>
      <w:r w:rsidRPr="00576ED7">
        <w:rPr>
          <w:szCs w:val="24"/>
        </w:rPr>
        <w:t>ble.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by the respondents that there is no constitutional barrier to the i</w:t>
      </w:r>
      <w:r w:rsidRPr="00576ED7">
        <w:rPr>
          <w:szCs w:val="24"/>
        </w:rPr>
        <w:t>m</w:t>
      </w:r>
      <w:r w:rsidRPr="00576ED7">
        <w:rPr>
          <w:szCs w:val="24"/>
        </w:rPr>
        <w:t>position of a tax on punitive damages.  Our question is one of statutory constru</w:t>
      </w:r>
      <w:r w:rsidRPr="00576ED7">
        <w:rPr>
          <w:szCs w:val="24"/>
        </w:rPr>
        <w:t>c</w:t>
      </w:r>
      <w:r w:rsidRPr="00576ED7">
        <w:rPr>
          <w:szCs w:val="24"/>
        </w:rPr>
        <w:t>tion: are these payments comprehended by § [61](a)?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sweeping scope of the controverted statute is readily apparent: …</w:t>
      </w:r>
    </w:p>
    <w:p w:rsidR="00B93BAC" w:rsidRPr="00576ED7" w:rsidRDefault="00B93BAC" w:rsidP="009A1BF0">
      <w:pPr>
        <w:widowControl w:val="0"/>
        <w:jc w:val="both"/>
        <w:rPr>
          <w:szCs w:val="24"/>
        </w:rPr>
      </w:pPr>
    </w:p>
    <w:p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w:t>
      </w:r>
      <w:r w:rsidRPr="00576ED7">
        <w:rPr>
          <w:szCs w:val="24"/>
        </w:rPr>
        <w:t>d</w:t>
      </w:r>
      <w:r w:rsidRPr="00576ED7">
        <w:rPr>
          <w:szCs w:val="24"/>
        </w:rPr>
        <w:t>ents contend that punitive damages, characterized as ‘windfalls’ flowing from the culpable conduct of third parties, are not within the scope of the section.  But Congress applied no limitations as to the source of taxable receipts, nor restrictive labels as to their nature.  And the Court has given a liberal construction to this broad phraseology in recognition of the intention of Congress to tax all gains e</w:t>
      </w:r>
      <w:r w:rsidRPr="00576ED7">
        <w:rPr>
          <w:szCs w:val="24"/>
        </w:rPr>
        <w:t>x</w:t>
      </w:r>
      <w:r w:rsidRPr="00576ED7">
        <w:rPr>
          <w:szCs w:val="24"/>
        </w:rPr>
        <w:t>cept those specifically exempted. [citations omitted] … [Our] decisions demo</w:t>
      </w:r>
      <w:r w:rsidRPr="00576ED7">
        <w:rPr>
          <w:szCs w:val="24"/>
        </w:rPr>
        <w:t>n</w:t>
      </w:r>
      <w:r w:rsidRPr="00576ED7">
        <w:rPr>
          <w:szCs w:val="24"/>
        </w:rPr>
        <w:t>strate that we cannot but ascribe content to the catchall provision of [§ 61(a)], ‘gains or profits and income derived from any source whatever.’  The importance of that phrase has been too frequently recognized since its first appearance in the Revenue Act of 1913 [footnote omitted] to say now that it adds nothing to the meaning of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can we accept respondents’ contention that a narrower reading of [§ 61(a)] is </w:t>
      </w:r>
      <w:r w:rsidRPr="00576ED7">
        <w:rPr>
          <w:szCs w:val="24"/>
        </w:rPr>
        <w:lastRenderedPageBreak/>
        <w:t xml:space="preserve">required by the Court’s characterization of income in </w:t>
      </w:r>
      <w:r w:rsidRPr="00576ED7">
        <w:rPr>
          <w:i/>
          <w:szCs w:val="24"/>
        </w:rPr>
        <w:t>Eisner v. Macomber</w:t>
      </w:r>
      <w:r w:rsidRPr="00576ED7">
        <w:rPr>
          <w:szCs w:val="24"/>
        </w:rPr>
        <w:t>, 252 U.S. 189, 207, as “the gain derived from capital, from labor, or from both co</w:t>
      </w:r>
      <w:r w:rsidRPr="00576ED7">
        <w:rPr>
          <w:szCs w:val="24"/>
        </w:rPr>
        <w:t>m</w:t>
      </w:r>
      <w:r w:rsidRPr="00576ED7">
        <w:rPr>
          <w:szCs w:val="24"/>
        </w:rPr>
        <w:t>bined.” [footnote omitted] … In that context – distinguishing gain from capital – the definition served a useful purpose.  But it was not meant to provide a touc</w:t>
      </w:r>
      <w:r w:rsidRPr="00576ED7">
        <w:rPr>
          <w:szCs w:val="24"/>
        </w:rPr>
        <w:t>h</w:t>
      </w:r>
      <w:r w:rsidRPr="00576ED7">
        <w:rPr>
          <w:szCs w:val="24"/>
        </w:rPr>
        <w:t>stone to all future gross income questions.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we have instances of undeniable accessions to wealth, clearly realized, and over which the taxpayers have complete dominion.  The mere fact that the pa</w:t>
      </w:r>
      <w:r w:rsidRPr="00576ED7">
        <w:rPr>
          <w:szCs w:val="24"/>
        </w:rPr>
        <w:t>y</w:t>
      </w:r>
      <w:r w:rsidRPr="00576ED7">
        <w:rPr>
          <w:szCs w:val="24"/>
        </w:rPr>
        <w:t>ments were extracted from the wrongdoers as punishment for unlawful conduct cannot detract from their character as taxable income to the recipients.  Respon</w:t>
      </w:r>
      <w:r w:rsidRPr="00576ED7">
        <w:rPr>
          <w:szCs w:val="24"/>
        </w:rPr>
        <w:t>d</w:t>
      </w:r>
      <w:r w:rsidRPr="00576ED7">
        <w:rPr>
          <w:szCs w:val="24"/>
        </w:rPr>
        <w:t>ents concede, as they must, that the recoveries are taxable to the extent they co</w:t>
      </w:r>
      <w:r w:rsidRPr="00576ED7">
        <w:rPr>
          <w:szCs w:val="24"/>
        </w:rPr>
        <w:t>m</w:t>
      </w:r>
      <w:r w:rsidRPr="00576ED7">
        <w:rPr>
          <w:szCs w:val="24"/>
        </w:rPr>
        <w:t>pensate for damages actually incurred.  It would be an anomaly that could not be justified in the absence of clear congressional intent to say that a recovery for a</w:t>
      </w:r>
      <w:r w:rsidRPr="00576ED7">
        <w:rPr>
          <w:szCs w:val="24"/>
        </w:rPr>
        <w:t>c</w:t>
      </w:r>
      <w:r w:rsidRPr="00576ED7">
        <w:rPr>
          <w:szCs w:val="24"/>
        </w:rPr>
        <w:t>tual damages is taxable but not the additional amount extracted as punishment for the same conduct which caused the injury.  And we find no such evidence of i</w:t>
      </w:r>
      <w:r w:rsidRPr="00576ED7">
        <w:rPr>
          <w:szCs w:val="24"/>
        </w:rPr>
        <w:t>n</w:t>
      </w:r>
      <w:r w:rsidRPr="00576ED7">
        <w:rPr>
          <w:szCs w:val="24"/>
        </w:rPr>
        <w:t>tent to exempt these payments.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r w:rsidRPr="00576ED7">
        <w:rPr>
          <w:szCs w:val="24"/>
        </w:rPr>
        <w:t>Mr. Justice DOUGLAS dissents. ...</w:t>
      </w:r>
    </w:p>
    <w:p w:rsidR="0049128E" w:rsidRPr="00576ED7" w:rsidRDefault="0049128E" w:rsidP="009A1BF0">
      <w:pPr>
        <w:widowControl w:val="0"/>
        <w:jc w:val="both"/>
        <w:rPr>
          <w:szCs w:val="24"/>
        </w:rPr>
      </w:pPr>
    </w:p>
    <w:p w:rsidR="00F07996" w:rsidRPr="00576ED7" w:rsidRDefault="00F07996"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Taxpayers acknowledged that Congress could constitutionally impose a tax on punitive damages.  Interestingly, the Supreme Court has indeed observed many times that Congress exercised all of the power granted it by the Sixteenth Amendment.  How much room does this really leave for a taxpayer to argue that Congress </w:t>
      </w:r>
      <w:r w:rsidRPr="00576ED7">
        <w:rPr>
          <w:i/>
          <w:szCs w:val="24"/>
        </w:rPr>
        <w:t>could</w:t>
      </w:r>
      <w:r w:rsidRPr="00576ED7">
        <w:rPr>
          <w:szCs w:val="24"/>
        </w:rPr>
        <w:t xml:space="preserve"> tax windfalls but had not?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Memorize the elements of “gross income” stated in the first sentence of the last paragraph of the case.  You’ll have to do this eventually, so save some time and do it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SHS holds that income includes all rights exercised in consumption plus changes in a taxpayer’s wealth.  Does the phrase “accessions to wealth” enco</w:t>
      </w:r>
      <w:r w:rsidRPr="00576ED7">
        <w:rPr>
          <w:szCs w:val="24"/>
        </w:rPr>
        <w:t>m</w:t>
      </w:r>
      <w:r w:rsidRPr="00576ED7">
        <w:rPr>
          <w:szCs w:val="24"/>
        </w:rPr>
        <w:t>pass more or less than that?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4.  Is the receipt of any accession to wealth, e.g., receiving exemplary damages, what most people think of as “income?” If not, what objectives does the Tax Code implicitly pursue by including all accessions to wealth in a taxpayer’s taxable i</w:t>
      </w:r>
      <w:r w:rsidRPr="00576ED7">
        <w:rPr>
          <w:szCs w:val="24"/>
        </w:rPr>
        <w:t>n</w:t>
      </w:r>
      <w:r w:rsidRPr="00576ED7">
        <w:rPr>
          <w:szCs w:val="24"/>
        </w:rPr>
        <w:t>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The following case provides a good primer (review) of Congress’s constit</w:t>
      </w:r>
      <w:r w:rsidRPr="00576ED7">
        <w:rPr>
          <w:szCs w:val="24"/>
        </w:rPr>
        <w:t>u</w:t>
      </w:r>
      <w:r w:rsidRPr="00576ED7">
        <w:rPr>
          <w:szCs w:val="24"/>
        </w:rPr>
        <w:t xml:space="preserve">tional power to tax, a matter of considerable importance in today’s </w:t>
      </w:r>
      <w:r w:rsidR="00B93BAC" w:rsidRPr="00576ED7">
        <w:rPr>
          <w:szCs w:val="24"/>
        </w:rPr>
        <w:t xml:space="preserve">controversies concerning the financing of </w:t>
      </w:r>
      <w:r w:rsidRPr="00576ED7">
        <w:rPr>
          <w:szCs w:val="24"/>
        </w:rPr>
        <w:t>health care.</w:t>
      </w:r>
    </w:p>
    <w:p w:rsidR="00B93BAC" w:rsidRPr="00576ED7" w:rsidRDefault="00B93BAC" w:rsidP="009A1BF0">
      <w:pPr>
        <w:widowControl w:val="0"/>
        <w:jc w:val="both"/>
        <w:rPr>
          <w:szCs w:val="24"/>
        </w:rPr>
      </w:pPr>
    </w:p>
    <w:p w:rsidR="00B93BAC" w:rsidRPr="00576ED7" w:rsidRDefault="00B93BAC" w:rsidP="009A1BF0">
      <w:pPr>
        <w:widowControl w:val="0"/>
        <w:jc w:val="both"/>
        <w:rPr>
          <w:szCs w:val="24"/>
        </w:rPr>
      </w:pPr>
      <w:r w:rsidRPr="00576ED7">
        <w:rPr>
          <w:szCs w:val="24"/>
        </w:rPr>
        <w:t xml:space="preserve">6.  </w:t>
      </w:r>
      <w:r w:rsidR="009231D1" w:rsidRPr="00576ED7">
        <w:rPr>
          <w:szCs w:val="24"/>
        </w:rPr>
        <w:t>Read § 104(a)(2), including the carryout paragraph at the end of § 104(a).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Murphy v. Internal Revenue Service</w:t>
      </w:r>
      <w:r w:rsidRPr="00576ED7">
        <w:rPr>
          <w:szCs w:val="24"/>
        </w:rPr>
        <w:t xml:space="preserve">, 493 F.3d 170 (CADC 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Rehearing</w:t>
      </w:r>
    </w:p>
    <w:p w:rsidR="0049128E" w:rsidRPr="00576ED7" w:rsidRDefault="0049128E" w:rsidP="009A1BF0">
      <w:pPr>
        <w:widowControl w:val="0"/>
        <w:jc w:val="both"/>
        <w:rPr>
          <w:szCs w:val="24"/>
        </w:rPr>
      </w:pPr>
      <w:r w:rsidRPr="00576ED7">
        <w:rPr>
          <w:szCs w:val="24"/>
        </w:rPr>
        <w:t>GINSBURG, Chief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  Background</w:t>
      </w:r>
    </w:p>
    <w:p w:rsidR="0049128E" w:rsidRPr="00576ED7" w:rsidRDefault="0049128E" w:rsidP="009A1BF0">
      <w:pPr>
        <w:widowControl w:val="0"/>
        <w:jc w:val="both"/>
        <w:rPr>
          <w:szCs w:val="24"/>
        </w:rPr>
      </w:pPr>
      <w:r w:rsidRPr="00576ED7">
        <w:rPr>
          <w:szCs w:val="24"/>
        </w:rPr>
        <w:t>[After successfully complaining to the Department of Labor that her employer had blacklisted her in violation of various whistle-blower statutes, the Secretary of Labor ordered Marrita Murphy’s former employer to remove any adverse refe</w:t>
      </w:r>
      <w:r w:rsidRPr="00576ED7">
        <w:rPr>
          <w:szCs w:val="24"/>
        </w:rPr>
        <w:t>r</w:t>
      </w:r>
      <w:r w:rsidRPr="00576ED7">
        <w:rPr>
          <w:szCs w:val="24"/>
        </w:rPr>
        <w:t>ences about Murphy from the files of the Office of Personnel Management and remanded the case to determine compensatory damages.  On remand, a psychol</w:t>
      </w:r>
      <w:r w:rsidRPr="00576ED7">
        <w:rPr>
          <w:szCs w:val="24"/>
        </w:rPr>
        <w:t>o</w:t>
      </w:r>
      <w:r w:rsidRPr="00576ED7">
        <w:rPr>
          <w:szCs w:val="24"/>
        </w:rPr>
        <w:t>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 cause permanent tooth damage.  The Administrative Law Judge (ALJ) recommended $70,000 in compensatory damages:  $45,000 for past and future emotional di</w:t>
      </w:r>
      <w:r w:rsidRPr="00576ED7">
        <w:rPr>
          <w:szCs w:val="24"/>
        </w:rPr>
        <w:t>s</w:t>
      </w:r>
      <w:r w:rsidRPr="00576ED7">
        <w:rPr>
          <w:szCs w:val="24"/>
        </w:rPr>
        <w:t>tress, and $25,000 for damage to Murphy’s vocational reputation.  The Depar</w:t>
      </w:r>
      <w:r w:rsidRPr="00576ED7">
        <w:rPr>
          <w:szCs w:val="24"/>
        </w:rPr>
        <w:t>t</w:t>
      </w:r>
      <w:r w:rsidRPr="00576ED7">
        <w:rPr>
          <w:szCs w:val="24"/>
        </w:rPr>
        <w:t>ment of Labor Administrative Review Board (Board) affirmed the ALJ’s reco</w:t>
      </w:r>
      <w:r w:rsidRPr="00576ED7">
        <w:rPr>
          <w:szCs w:val="24"/>
        </w:rPr>
        <w:t>m</w:t>
      </w:r>
      <w:r w:rsidRPr="00576ED7">
        <w:rPr>
          <w:szCs w:val="24"/>
        </w:rPr>
        <w:t>mendation.  Murphy included the $70,000 in her gross income, but later filed an amended return claiming that she was entitled to a refund because I.R.C. § 104(a)(2) excluded the $70,000 from her gross income.  Murphy provided med</w:t>
      </w:r>
      <w:r w:rsidRPr="00576ED7">
        <w:rPr>
          <w:szCs w:val="24"/>
        </w:rPr>
        <w:t>i</w:t>
      </w:r>
      <w:r w:rsidRPr="00576ED7">
        <w:rPr>
          <w:szCs w:val="24"/>
        </w:rPr>
        <w:t>cal records documenting her physical injury and physical sickness.  The IRS co</w:t>
      </w:r>
      <w:r w:rsidRPr="00576ED7">
        <w:rPr>
          <w:szCs w:val="24"/>
        </w:rPr>
        <w:t>n</w:t>
      </w:r>
      <w:r w:rsidRPr="00576ED7">
        <w:rPr>
          <w:szCs w:val="24"/>
        </w:rPr>
        <w:t>cluded that Murphy failed to prove that the compensation damages were attribu</w:t>
      </w:r>
      <w:r w:rsidRPr="00576ED7">
        <w:rPr>
          <w:szCs w:val="24"/>
        </w:rPr>
        <w:t>t</w:t>
      </w:r>
      <w:r w:rsidRPr="00576ED7">
        <w:rPr>
          <w:szCs w:val="24"/>
        </w:rPr>
        <w:lastRenderedPageBreak/>
        <w:t>able to “physical injury” or “physical sickness” and that I.R.C. § 104(a)(2) a</w:t>
      </w:r>
      <w:r w:rsidRPr="00576ED7">
        <w:rPr>
          <w:szCs w:val="24"/>
        </w:rPr>
        <w:t>p</w:t>
      </w:r>
      <w:r w:rsidRPr="00576ED7">
        <w:rPr>
          <w:szCs w:val="24"/>
        </w:rPr>
        <w:t>plied to her case.  Hence, it rejected her claim for a refund.  Murphy sued the IRS and the United States in federal district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argued: (1) I.R.C. § 104(a)(2) excluded the compensatory damages from her gross income because the award was for “physical personal injuries;” (2) ta</w:t>
      </w:r>
      <w:r w:rsidRPr="00576ED7">
        <w:rPr>
          <w:szCs w:val="24"/>
        </w:rPr>
        <w:t>x</w:t>
      </w:r>
      <w:r w:rsidRPr="00576ED7">
        <w:rPr>
          <w:szCs w:val="24"/>
        </w:rPr>
        <w:t>ing her award is unconstitutional because her damages were not “income” within the meaning of the Sixteenth Amendment.  The district court rejected all of Mu</w:t>
      </w:r>
      <w:r w:rsidRPr="00576ED7">
        <w:rPr>
          <w:szCs w:val="24"/>
        </w:rPr>
        <w:t>r</w:t>
      </w:r>
      <w:r w:rsidRPr="00576ED7">
        <w:rPr>
          <w:szCs w:val="24"/>
        </w:rPr>
        <w:t>phy’s claims, and granted summary judgment for the IRS and the Government.  Murphy appealed.  On appeal, the court, 460 F.3d 79 (CADC 2006), reversed the district court’s decision, concluding that I.R.C. § 104(a)(2) did not exclude Mu</w:t>
      </w:r>
      <w:r w:rsidRPr="00576ED7">
        <w:rPr>
          <w:szCs w:val="24"/>
        </w:rPr>
        <w:t>r</w:t>
      </w:r>
      <w:r w:rsidRPr="00576ED7">
        <w:rPr>
          <w:szCs w:val="24"/>
        </w:rPr>
        <w:t>phy’s award from her gross income, but that her award was not “income” within the Sixteenth Amendment.  The Government petitioned for a rehearing and a</w:t>
      </w:r>
      <w:r w:rsidRPr="00576ED7">
        <w:rPr>
          <w:szCs w:val="24"/>
        </w:rPr>
        <w:t>r</w:t>
      </w:r>
      <w:r w:rsidRPr="00576ED7">
        <w:rPr>
          <w:szCs w:val="24"/>
        </w:rPr>
        <w:t>gued that even if Murphy’s award was not “income” within the Sixteenth Amendment, there was no “constitutional impediment” to taxing Murphy’s award because a tax on such an award is not a direct tax and the tax is imposed unifor</w:t>
      </w:r>
      <w:r w:rsidRPr="00576ED7">
        <w:rPr>
          <w:szCs w:val="24"/>
        </w:rPr>
        <w:t>m</w:t>
      </w:r>
      <w:r w:rsidRPr="00576ED7">
        <w:rPr>
          <w:szCs w:val="24"/>
        </w:rPr>
        <w:t>ly.  On rehearing, the court held that Murphy could not sue the IRS but could sue the United States.]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rsidR="0049128E" w:rsidRPr="00576ED7" w:rsidRDefault="0049128E" w:rsidP="009A1BF0">
      <w:pPr>
        <w:widowControl w:val="0"/>
        <w:jc w:val="both"/>
        <w:rPr>
          <w:szCs w:val="24"/>
        </w:rPr>
      </w:pPr>
    </w:p>
    <w:p w:rsidR="00F07996" w:rsidRPr="00576ED7" w:rsidRDefault="0049128E" w:rsidP="009A1BF0">
      <w:pPr>
        <w:widowControl w:val="0"/>
        <w:tabs>
          <w:tab w:val="center" w:pos="3960"/>
        </w:tabs>
        <w:jc w:val="both"/>
        <w:rPr>
          <w:szCs w:val="24"/>
        </w:rPr>
      </w:pPr>
      <w:r w:rsidRPr="00576ED7">
        <w:rPr>
          <w:szCs w:val="24"/>
        </w:rPr>
        <w:tab/>
      </w:r>
    </w:p>
    <w:p w:rsidR="00F07996" w:rsidRPr="00576ED7" w:rsidRDefault="00F07996" w:rsidP="009A1BF0">
      <w:pPr>
        <w:widowControl w:val="0"/>
        <w:tabs>
          <w:tab w:val="center" w:pos="3960"/>
        </w:tabs>
        <w:jc w:val="both"/>
        <w:rPr>
          <w:szCs w:val="24"/>
        </w:rPr>
      </w:pPr>
    </w:p>
    <w:p w:rsidR="00F07996" w:rsidRPr="00576ED7" w:rsidRDefault="00F07996" w:rsidP="009A1BF0">
      <w:pPr>
        <w:widowControl w:val="0"/>
        <w:tabs>
          <w:tab w:val="center" w:pos="3960"/>
        </w:tabs>
        <w:jc w:val="both"/>
        <w:rPr>
          <w:szCs w:val="24"/>
        </w:rPr>
      </w:pPr>
    </w:p>
    <w:p w:rsidR="0049128E" w:rsidRPr="00576ED7" w:rsidRDefault="0049128E" w:rsidP="00F07996">
      <w:pPr>
        <w:widowControl w:val="0"/>
        <w:tabs>
          <w:tab w:val="center" w:pos="3960"/>
        </w:tabs>
        <w:jc w:val="center"/>
        <w:rPr>
          <w:szCs w:val="24"/>
        </w:rPr>
      </w:pPr>
      <w:r w:rsidRPr="00576ED7">
        <w:rPr>
          <w:szCs w:val="24"/>
        </w:rPr>
        <w:t>II.  Analysis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  Section 104(a)(2) of the IRC</w:t>
      </w:r>
    </w:p>
    <w:p w:rsidR="0049128E" w:rsidRPr="00576ED7" w:rsidRDefault="0049128E" w:rsidP="009A1BF0">
      <w:pPr>
        <w:widowControl w:val="0"/>
        <w:jc w:val="both"/>
        <w:rPr>
          <w:szCs w:val="24"/>
        </w:rPr>
      </w:pPr>
      <w:r w:rsidRPr="00576ED7">
        <w:rPr>
          <w:szCs w:val="24"/>
        </w:rPr>
        <w:t>Section 104(a) (“Compensation for injuries or sickness”) provides that “gross i</w:t>
      </w:r>
      <w:r w:rsidRPr="00576ED7">
        <w:rPr>
          <w:szCs w:val="24"/>
        </w:rPr>
        <w:t>n</w:t>
      </w:r>
      <w:r w:rsidRPr="00576ED7">
        <w:rPr>
          <w:szCs w:val="24"/>
        </w:rPr>
        <w:t xml:space="preserve">come [under § 61 of the IRC] does not include the amount of any damages (other than punitive damages) received ... on account of personal physical injuries or physical sickness.”  26 U.S.C. § 104(a)(2).  Since 1996 it has further provided that, for purposes of this exclusion, “emotional distress shall not be treated as a physical injury or physical sickness.”  </w:t>
      </w:r>
      <w:r w:rsidRPr="00576ED7">
        <w:rPr>
          <w:i/>
          <w:szCs w:val="24"/>
        </w:rPr>
        <w:t>Id.</w:t>
      </w:r>
      <w:r w:rsidRPr="00576ED7">
        <w:rPr>
          <w:szCs w:val="24"/>
        </w:rPr>
        <w:t xml:space="preserve"> § 104(a).  The version of § 104(a)(2) in effect prior to 1996 had excluded from gross income monies received in compe</w:t>
      </w:r>
      <w:r w:rsidRPr="00576ED7">
        <w:rPr>
          <w:szCs w:val="24"/>
        </w:rPr>
        <w:t>n</w:t>
      </w:r>
      <w:r w:rsidRPr="00576ED7">
        <w:rPr>
          <w:szCs w:val="24"/>
        </w:rPr>
        <w:t>sation for “personal injuries or sickness,” which included both physical and no</w:t>
      </w:r>
      <w:r w:rsidRPr="00576ED7">
        <w:rPr>
          <w:szCs w:val="24"/>
        </w:rPr>
        <w:t>n</w:t>
      </w:r>
      <w:r w:rsidRPr="00576ED7">
        <w:rPr>
          <w:szCs w:val="24"/>
        </w:rPr>
        <w:lastRenderedPageBreak/>
        <w:t xml:space="preserve">physical injuries such as emotional distress.  </w:t>
      </w:r>
      <w:r w:rsidRPr="00576ED7">
        <w:rPr>
          <w:i/>
          <w:szCs w:val="24"/>
        </w:rPr>
        <w:t>Id.</w:t>
      </w:r>
      <w:r w:rsidRPr="00576ED7">
        <w:rPr>
          <w:szCs w:val="24"/>
        </w:rPr>
        <w:t xml:space="preserve"> § 104(a)(2) (1995);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 contends that neither § 104 of the IRC nor the regulation issued ther</w:t>
      </w:r>
      <w:r w:rsidRPr="00576ED7">
        <w:rPr>
          <w:szCs w:val="24"/>
        </w:rPr>
        <w:t>e</w:t>
      </w:r>
      <w:r w:rsidRPr="00576ED7">
        <w:rPr>
          <w:szCs w:val="24"/>
        </w:rPr>
        <w:t>under “limits the physical disability exclusion to a physical stimulus.”  In fact, as Murphy points out, the applicable regulation, which provides that § 104(a)(2) “excludes from gross income the amount of any damages received (whether by suit or agreement) on account of personal injuries or sickness,” 26 C.F.R. § 1.104-1(c), does not distinguish between physical injuries stemming from physical sti</w:t>
      </w:r>
      <w:r w:rsidRPr="00576ED7">
        <w:rPr>
          <w:szCs w:val="24"/>
        </w:rPr>
        <w:t>m</w:t>
      </w:r>
      <w:r w:rsidRPr="00576ED7">
        <w:rPr>
          <w:szCs w:val="24"/>
        </w:rPr>
        <w:t>uli and those arising from emotional trauma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For its part, the Government argues Murphy’s focus upon the word “physical” in § 104(a)(2) is misplaced; more important is the phrase “on account of.”  In </w:t>
      </w:r>
      <w:r w:rsidRPr="00576ED7">
        <w:rPr>
          <w:i/>
          <w:szCs w:val="24"/>
        </w:rPr>
        <w:t>O’Gilvie v. United States</w:t>
      </w:r>
      <w:r w:rsidRPr="00576ED7">
        <w:rPr>
          <w:szCs w:val="24"/>
        </w:rPr>
        <w:t>, 519 U.S. 79 (1996), the Supreme Court read that phrase to require a “strong[ ] causal connection,” thereby making § 104(a)(2) “applicable only to those personal injury lawsuit damages that were awarded by reason of, or because of, the personal injuries.”  The Court specifically rejected a “but-for” formulation in favor of a “stronger causal connection.”  The Government ther</w:t>
      </w:r>
      <w:r w:rsidRPr="00576ED7">
        <w:rPr>
          <w:szCs w:val="24"/>
        </w:rPr>
        <w:t>e</w:t>
      </w:r>
      <w:r w:rsidRPr="00576ED7">
        <w:rPr>
          <w:szCs w:val="24"/>
        </w:rPr>
        <w:t>fore concludes Murphy must demonstrate she was awarded damages “because of” her physical injuries, which the Government claims she has failed to do.</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Indeed, as the Government points out, the ALJ expressly recommended, and the Board expressly awarded, compensatory damages “because of” Murphy’s no</w:t>
      </w:r>
      <w:r w:rsidRPr="00576ED7">
        <w:rPr>
          <w:szCs w:val="24"/>
        </w:rPr>
        <w:t>n</w:t>
      </w:r>
      <w:r w:rsidRPr="00576ED7">
        <w:rPr>
          <w:szCs w:val="24"/>
        </w:rPr>
        <w:t>physical injuries. ... The Government therefore argues “there was no direct causal link between the damages award at issue and [Murphy’s] bruxism.”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the pre-1996 version of § 104(a)(2) was at issue in </w:t>
      </w:r>
      <w:r w:rsidRPr="00576ED7">
        <w:rPr>
          <w:i/>
          <w:szCs w:val="24"/>
        </w:rPr>
        <w:t>O’Gilvie</w:t>
      </w:r>
      <w:r w:rsidRPr="00576ED7">
        <w:rPr>
          <w:szCs w:val="24"/>
        </w:rPr>
        <w:t xml:space="preserve">, the Court’s analysis of the phrase “on account of,” which phrase was unchanged by the 1996 Amendments, remains controlling here.  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Pr="00576ED7">
        <w:rPr>
          <w:i/>
          <w:szCs w:val="24"/>
        </w:rPr>
        <w:t>O’Gilvie</w:t>
      </w:r>
      <w:r w:rsidRPr="00576ED7">
        <w:rPr>
          <w:szCs w:val="24"/>
        </w:rPr>
        <w:t xml:space="preserve">, 519 U.S. at 83.  Therefore, § 104(a)(2) does not permit Murphy to exclude her </w:t>
      </w:r>
      <w:r w:rsidRPr="00576ED7">
        <w:rPr>
          <w:szCs w:val="24"/>
        </w:rPr>
        <w:lastRenderedPageBreak/>
        <w:t>award from gross income.</w:t>
      </w:r>
      <w:r w:rsidRPr="00576ED7">
        <w:rPr>
          <w:rStyle w:val="FootnoteReference"/>
          <w:szCs w:val="24"/>
        </w:rPr>
        <w:footnoteReference w:id="31"/>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  Section 61 of the IRC</w:t>
      </w:r>
    </w:p>
    <w:p w:rsidR="0049128E" w:rsidRPr="00576ED7" w:rsidRDefault="0049128E" w:rsidP="009A1BF0">
      <w:pPr>
        <w:widowControl w:val="0"/>
        <w:jc w:val="both"/>
        <w:rPr>
          <w:szCs w:val="24"/>
        </w:rPr>
      </w:pPr>
      <w:r w:rsidRPr="00576ED7">
        <w:rPr>
          <w:szCs w:val="24"/>
        </w:rPr>
        <w:t>Murphy and the Government agree that for Murphy’s award to be taxable, it must be part of her “gross income” as defined by § 61(a) ..., which states in relevant part: “gross income means all income from whatever source derived.”  The S</w:t>
      </w:r>
      <w:r w:rsidRPr="00576ED7">
        <w:rPr>
          <w:szCs w:val="24"/>
        </w:rPr>
        <w:t>u</w:t>
      </w:r>
      <w:r w:rsidRPr="00576ED7">
        <w:rPr>
          <w:szCs w:val="24"/>
        </w:rPr>
        <w:t xml:space="preserve">preme Court has interpreted the section broadly to extend to “all economic gains not otherwise exempted.”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 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(quoting </w:t>
      </w:r>
      <w:r w:rsidR="004020EF" w:rsidRPr="00576ED7">
        <w:rPr>
          <w:szCs w:val="24"/>
        </w:rPr>
        <w:t>H.R.</w:t>
      </w:r>
      <w:r w:rsidR="004020EF">
        <w:rPr>
          <w:szCs w:val="24"/>
        </w:rPr>
        <w:t xml:space="preserve"> </w:t>
      </w:r>
      <w:r w:rsidR="004020EF" w:rsidRPr="00576ED7">
        <w:rPr>
          <w:szCs w:val="24"/>
        </w:rPr>
        <w:t>Rep</w:t>
      </w:r>
      <w:r w:rsidRPr="00576ED7">
        <w:rPr>
          <w:szCs w:val="24"/>
        </w:rPr>
        <w:t>. No. 83-1337, at A18 (1954), reprinted in 1954 U.S.C.C.A.N. 4017, 4155);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argues her award is not a gain or an accession to wealth and therefore not part of gross income.  Noting the Supreme Court has long recognized “the princ</w:t>
      </w:r>
      <w:r w:rsidRPr="00576ED7">
        <w:rPr>
          <w:szCs w:val="24"/>
        </w:rPr>
        <w:t>i</w:t>
      </w:r>
      <w:r w:rsidRPr="00576ED7">
        <w:rPr>
          <w:szCs w:val="24"/>
        </w:rPr>
        <w:t>ple that a restoration of capital [i]s not income; hence it [falls] outside the defin</w:t>
      </w:r>
      <w:r w:rsidRPr="00576ED7">
        <w:rPr>
          <w:szCs w:val="24"/>
        </w:rPr>
        <w:t>i</w:t>
      </w:r>
      <w:r w:rsidRPr="00576ED7">
        <w:rPr>
          <w:szCs w:val="24"/>
        </w:rPr>
        <w:t xml:space="preserve">tion of ‘income’ upon which the law impose[s] a tax,” </w:t>
      </w:r>
      <w:r w:rsidRPr="00576ED7">
        <w:rPr>
          <w:i/>
          <w:szCs w:val="24"/>
        </w:rPr>
        <w:t>O’Gilvie</w:t>
      </w:r>
      <w:r w:rsidRPr="00576ED7">
        <w:rPr>
          <w:szCs w:val="24"/>
        </w:rPr>
        <w:t>, 519 U.S. at 84; [citations omitted], Murphy contends a damage award for personal injuries – i</w:t>
      </w:r>
      <w:r w:rsidRPr="00576ED7">
        <w:rPr>
          <w:szCs w:val="24"/>
        </w:rPr>
        <w:t>n</w:t>
      </w:r>
      <w:r w:rsidRPr="00576ED7">
        <w:rPr>
          <w:szCs w:val="24"/>
        </w:rPr>
        <w:t xml:space="preserve">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Murphy cites various administrative rulings issued shortly after passage of the Sixteenth Amendment that concluded recoveries from personal injuries were not income, such as this 1918 Opinion of the Attorney General:</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Without affirming that the human body is in a technical sense the “capital” invested in an accident policy, in a broad, natural sense the proceeds of the policy do but substitute, so far as they go, capital which is the source of </w:t>
      </w:r>
      <w:r w:rsidRPr="00576ED7">
        <w:rPr>
          <w:szCs w:val="24"/>
        </w:rPr>
        <w:lastRenderedPageBreak/>
        <w:t>future periodical income.  They merely take the place of capital in human ability which was destroyed by the accident.  They are therefore “capital” as distinguished from “income” receipts.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31 Op. Att’y Gen. 304, 308; </w:t>
      </w:r>
      <w:r w:rsidRPr="00576ED7">
        <w:rPr>
          <w:i/>
          <w:szCs w:val="24"/>
        </w:rPr>
        <w:t>see</w:t>
      </w:r>
      <w:r w:rsidRPr="00576ED7">
        <w:rPr>
          <w:szCs w:val="24"/>
        </w:rPr>
        <w:t xml:space="preserve"> T.D. 2747, 20 Treas. Dec. Int. Rev. 457 (1918); Sol. Op. 132, I-1 C.B. 92, 93-94 (1922) (“[M]oney received ... on account of ... defamation of personal character ... does not constitute income within the mea</w:t>
      </w:r>
      <w:r w:rsidRPr="00576ED7">
        <w:rPr>
          <w:szCs w:val="24"/>
        </w:rPr>
        <w:t>n</w:t>
      </w:r>
      <w:r w:rsidRPr="00576ED7">
        <w:rPr>
          <w:szCs w:val="24"/>
        </w:rPr>
        <w:t>ing of the sixteenth amendment and the statutes enacted thereunder”). ...</w:t>
      </w:r>
    </w:p>
    <w:p w:rsidR="0049128E" w:rsidRPr="00576ED7" w:rsidRDefault="0049128E" w:rsidP="009A1BF0">
      <w:pPr>
        <w:widowControl w:val="0"/>
        <w:jc w:val="both"/>
        <w:rPr>
          <w:szCs w:val="24"/>
        </w:rPr>
      </w:pP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0832" behindDoc="0" locked="0" layoutInCell="0" allowOverlap="1" wp14:anchorId="66CE1647" wp14:editId="0B398CCB">
                <wp:simplePos x="0" y="0"/>
                <wp:positionH relativeFrom="margin">
                  <wp:posOffset>2139950</wp:posOffset>
                </wp:positionH>
                <wp:positionV relativeFrom="paragraph">
                  <wp:posOffset>839470</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168.5pt;margin-top:66.1pt;width:264.4pt;height:186.5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Kj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j5/KxQBfURuXUwtjiOJG46cD8o6bG9S+q/75kT&#10;lKgPBvW5WeL04DxcG+7aqK4NZjhClTRQMm63YZyhvXWy7TDS2BEG7lHTRia2o/hjVqf8sYWTCKdx&#10;izNybSevXz+FzU8AAAD//wMAUEsDBBQABgAIAAAAIQDlU8FE3QAAAAsBAAAPAAAAZHJzL2Rvd25y&#10;ZXYueG1sTI9BT4QwEIXvJv6HZky8ucUS1g1SNobE+4Ju9NilIxDpFGl3wX/veNLj5L28+b5iv7pR&#10;XHAOgycN95sEBFLr7UCdhteX57sdiBANWTN6Qg3fGGBfXl8VJrd+oRovTewEj1DIjYY+ximXMrQ9&#10;OhM2fkLi7MPPzkQ+507a2Sw87kapkmQrnRmIP/RmwqrH9rM5Ow2+rqujar4Ob9Viq245rHF677W+&#10;vVmfHkFEXONfGX7xGR1KZjr5M9kgRg1p+sAukYNUKRDc2G0zljlpyJJMgSwL+d+h/AEAAP//AwBQ&#10;SwECLQAUAAYACAAAACEAtoM4kv4AAADhAQAAEwAAAAAAAAAAAAAAAAAAAAAAW0NvbnRlbnRfVHlw&#10;ZXNdLnhtbFBLAQItABQABgAIAAAAIQA4/SH/1gAAAJQBAAALAAAAAAAAAAAAAAAAAC8BAABfcmVs&#10;cy8ucmVsc1BLAQItABQABgAIAAAAIQDukXKjLAIAAFwEAAAOAAAAAAAAAAAAAAAAAC4CAABkcnMv&#10;ZTJvRG9jLnhtbFBLAQItABQABgAIAAAAIQDlU8FE3QAAAAsBAAAPAAAAAAAAAAAAAAAAAIYEAABk&#10;cnMvZG93bnJldi54bWxQSwUGAAAAAAQABADzAAAAkAU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w:t>
                      </w:r>
                      <w:r>
                        <w:rPr>
                          <w:rFonts w:ascii="Tw Cen MT" w:hAnsi="Tw Cen MT"/>
                        </w:rPr>
                        <w:t>p</w:t>
                      </w:r>
                      <w:r>
                        <w:rPr>
                          <w:rFonts w:ascii="Tw Cen MT" w:hAnsi="Tw Cen MT"/>
                        </w:rPr>
                        <w:t>erty.  To determine gain, subtract adjusted basis from the amount realized.  § 1001(a).  We abbr</w:t>
                      </w:r>
                      <w:r>
                        <w:rPr>
                          <w:rFonts w:ascii="Tw Cen MT" w:hAnsi="Tw Cen MT"/>
                        </w:rPr>
                        <w:t>e</w:t>
                      </w:r>
                      <w:r>
                        <w:rPr>
                          <w:rFonts w:ascii="Tw Cen MT" w:hAnsi="Tw Cen MT"/>
                        </w:rPr>
                        <w:t>viate this as AR − AB.  To determine loss, subtract amount realized from adjusted basis.  § 1001(a).  Section 1001 does not impose any tax or determine any income; it simply provides a means of measu</w:t>
                      </w:r>
                      <w:r>
                        <w:rPr>
                          <w:rFonts w:ascii="Tw Cen MT" w:hAnsi="Tw Cen MT"/>
                        </w:rPr>
                        <w:t>r</w:t>
                      </w:r>
                      <w:r>
                        <w:rPr>
                          <w:rFonts w:ascii="Tw Cen MT" w:hAnsi="Tw Cen MT"/>
                        </w:rPr>
                        <w:t>ing gain or loss.  Section 1012 defines “basis” to be the cost of property.  Section 1011(a) defines “a</w:t>
                      </w:r>
                      <w:r>
                        <w:rPr>
                          <w:rFonts w:ascii="Tw Cen MT" w:hAnsi="Tw Cen MT"/>
                        </w:rPr>
                        <w:t>d</w:t>
                      </w:r>
                      <w:r>
                        <w:rPr>
                          <w:rFonts w:ascii="Tw Cen MT" w:hAnsi="Tw Cen MT"/>
                        </w:rPr>
                        <w:t>justed basis” to be “basis” as “adjusted.”  Section 1016 names occasions for adjusting basis.</w:t>
                      </w:r>
                    </w:p>
                  </w:txbxContent>
                </v:textbox>
                <w10:wrap type="square" side="largest" anchorx="margin"/>
              </v:shape>
            </w:pict>
          </mc:Fallback>
        </mc:AlternateContent>
      </w:r>
      <w:r w:rsidR="0049128E" w:rsidRPr="00576ED7">
        <w:rPr>
          <w:szCs w:val="24"/>
        </w:rPr>
        <w:t xml:space="preserve">Finally, Murphy argues her interpretation of § 61 is reflected in the common law of tort and the provisions in various environmental statutes and Title VII of the Civil Rights Act of 1964, all of which provide for “make whole” relief.  </w:t>
      </w:r>
      <w:r w:rsidR="0049128E" w:rsidRPr="00576ED7">
        <w:rPr>
          <w:i/>
          <w:szCs w:val="24"/>
        </w:rPr>
        <w:t>See, e.g.</w:t>
      </w:r>
      <w:r w:rsidR="0049128E" w:rsidRPr="00576ED7">
        <w:rPr>
          <w:szCs w:val="24"/>
        </w:rPr>
        <w:t>, 42 U.S.C. § 1981a; 15 U.S.C. § 2622.  If a recovery of damages designed to “make whole” the plaintiff is taxable, she reasons, then one who receives the award has not been made whole after tax.  Section 61 should not be read to create a conflict b</w:t>
      </w:r>
      <w:r w:rsidR="0049128E" w:rsidRPr="00576ED7">
        <w:rPr>
          <w:szCs w:val="24"/>
        </w:rPr>
        <w:t>e</w:t>
      </w:r>
      <w:r w:rsidR="0049128E" w:rsidRPr="00576ED7">
        <w:rPr>
          <w:szCs w:val="24"/>
        </w:rPr>
        <w:t>tween the tax code and the “make whole” purpose of the various sta</w:t>
      </w:r>
      <w:r w:rsidR="0049128E" w:rsidRPr="00576ED7">
        <w:rPr>
          <w:szCs w:val="24"/>
        </w:rPr>
        <w:t>t</w:t>
      </w:r>
      <w:r w:rsidR="0049128E" w:rsidRPr="00576ED7">
        <w:rPr>
          <w:szCs w:val="24"/>
        </w:rPr>
        <w:t>utes.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disputes Mu</w:t>
      </w:r>
      <w:r w:rsidRPr="00576ED7">
        <w:rPr>
          <w:szCs w:val="24"/>
        </w:rPr>
        <w:t>r</w:t>
      </w:r>
      <w:r w:rsidRPr="00576ED7">
        <w:rPr>
          <w:szCs w:val="24"/>
        </w:rPr>
        <w:t>phy’s interpretation on all fronts.  First, noting “the defin</w:t>
      </w:r>
      <w:r w:rsidRPr="00576ED7">
        <w:rPr>
          <w:szCs w:val="24"/>
        </w:rPr>
        <w:t>i</w:t>
      </w:r>
      <w:r w:rsidRPr="00576ED7">
        <w:rPr>
          <w:szCs w:val="24"/>
        </w:rPr>
        <w:t>tion [of gross income in the IRC] extends broadly to all ec</w:t>
      </w:r>
      <w:r w:rsidRPr="00576ED7">
        <w:rPr>
          <w:szCs w:val="24"/>
        </w:rPr>
        <w:t>o</w:t>
      </w:r>
      <w:r w:rsidRPr="00576ED7">
        <w:rPr>
          <w:szCs w:val="24"/>
        </w:rPr>
        <w:t xml:space="preserve">nomic gains,” </w:t>
      </w:r>
      <w:r w:rsidRPr="00576ED7">
        <w:rPr>
          <w:i/>
          <w:szCs w:val="24"/>
        </w:rPr>
        <w:t>Banks</w:t>
      </w:r>
      <w:r w:rsidRPr="00576ED7">
        <w:rPr>
          <w:szCs w:val="24"/>
        </w:rPr>
        <w:t>, 543 U.S. at 433, the Government asserts Murphy “undeni</w:t>
      </w:r>
      <w:r w:rsidRPr="00576ED7">
        <w:rPr>
          <w:szCs w:val="24"/>
        </w:rPr>
        <w:t>a</w:t>
      </w:r>
      <w:r w:rsidRPr="00576ED7">
        <w:rPr>
          <w:szCs w:val="24"/>
        </w:rPr>
        <w:t>bly had economic gain because she was better off financially after receiving the damages award than she was prior to receiving it.”  Second, the Government a</w:t>
      </w:r>
      <w:r w:rsidRPr="00576ED7">
        <w:rPr>
          <w:szCs w:val="24"/>
        </w:rPr>
        <w:t>r</w:t>
      </w:r>
      <w:r w:rsidRPr="00576ED7">
        <w:rPr>
          <w:szCs w:val="24"/>
        </w:rPr>
        <w:t>gues that the case law Murphy cites does not support the proposition that the Congress lacks the power to tax as income recoveries for personal injuries.  In its view, to the extent the Supreme Court has addressed at all the taxability of co</w:t>
      </w:r>
      <w:r w:rsidRPr="00576ED7">
        <w:rPr>
          <w:szCs w:val="24"/>
        </w:rPr>
        <w:t>m</w:t>
      </w:r>
      <w:r w:rsidRPr="00576ED7">
        <w:rPr>
          <w:szCs w:val="24"/>
        </w:rPr>
        <w:t xml:space="preserve">pensatory damages, </w:t>
      </w:r>
      <w:r w:rsidRPr="00576ED7">
        <w:rPr>
          <w:i/>
          <w:szCs w:val="24"/>
        </w:rPr>
        <w:t>see, e.g.</w:t>
      </w:r>
      <w:r w:rsidRPr="00576ED7">
        <w:rPr>
          <w:szCs w:val="24"/>
        </w:rPr>
        <w:t xml:space="preserve">, </w:t>
      </w:r>
      <w:r w:rsidRPr="00576ED7">
        <w:rPr>
          <w:i/>
          <w:szCs w:val="24"/>
        </w:rPr>
        <w:t>O’Gilvie</w:t>
      </w:r>
      <w:r w:rsidRPr="00576ED7">
        <w:rPr>
          <w:szCs w:val="24"/>
        </w:rPr>
        <w:t xml:space="preserve">, 519 U.S. at 86; </w:t>
      </w:r>
      <w:r w:rsidRPr="00576ED7">
        <w:rPr>
          <w:i/>
          <w:szCs w:val="24"/>
        </w:rPr>
        <w:t>Glenshaw Glass</w:t>
      </w:r>
      <w:r w:rsidRPr="00576ED7">
        <w:rPr>
          <w:szCs w:val="24"/>
        </w:rPr>
        <w:t>, 348 U.S. at 432 n. 8, it was merely articulating the Congress’s rationale at the time for not taxing such damages, not the Court’s own view whether such damages could co</w:t>
      </w:r>
      <w:r w:rsidRPr="00576ED7">
        <w:rPr>
          <w:szCs w:val="24"/>
        </w:rPr>
        <w:t>n</w:t>
      </w:r>
      <w:r w:rsidRPr="00576ED7">
        <w:rPr>
          <w:szCs w:val="24"/>
        </w:rPr>
        <w:t>stitutionally be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Third, the Government challenges the relevance of the administrative rulings Murphy cites from around the time the Sixteenth Amendment was ratified; Trea</w:t>
      </w:r>
      <w:r w:rsidRPr="00576ED7">
        <w:rPr>
          <w:szCs w:val="24"/>
        </w:rPr>
        <w:t>s</w:t>
      </w:r>
      <w:r w:rsidRPr="00576ED7">
        <w:rPr>
          <w:szCs w:val="24"/>
        </w:rPr>
        <w:t xml:space="preserve">ury decisions dating from even closer to the time of ratification treated damages received on account of personal injury as income.  </w:t>
      </w:r>
      <w:r w:rsidRPr="00576ED7">
        <w:rPr>
          <w:i/>
          <w:szCs w:val="24"/>
        </w:rPr>
        <w:t>See</w:t>
      </w:r>
      <w:r w:rsidRPr="00576ED7">
        <w:rPr>
          <w:szCs w:val="24"/>
        </w:rPr>
        <w:t xml:space="preserve"> T.D. 2135, 17 Treas. Dec. Int. Rev. 39, 42 (1915); T.D. 2690, Reg. No. 33 (Rev.), art. 4, 20 Treas. Dec. Int. Rev. 126, 130 (1918).  Furthermore, administrative rulings from the time suggest that, even if recoveries for physical personal injuries were not considered part of income, recoveries for nonphysical personal injuries were.  </w:t>
      </w:r>
      <w:r w:rsidRPr="00576ED7">
        <w:rPr>
          <w:i/>
          <w:szCs w:val="24"/>
        </w:rPr>
        <w:t>See</w:t>
      </w:r>
      <w:r w:rsidRPr="00576ED7">
        <w:rPr>
          <w:szCs w:val="24"/>
        </w:rPr>
        <w:t xml:space="preserve"> Sol. Mem. 957, 1 C.B. 65 (1919) (damages for libel subject to income tax); Sol. Mem. 1384, 2 C.B. 71 (1920) (recovery of damages from alienation of wife’s affections not regarded as return of capital, hence taxable).  Although the Treasury changed its position in 1922, </w:t>
      </w:r>
      <w:r w:rsidRPr="00576ED7">
        <w:rPr>
          <w:i/>
          <w:szCs w:val="24"/>
        </w:rPr>
        <w:t>see</w:t>
      </w:r>
      <w:r w:rsidRPr="00576ED7">
        <w:rPr>
          <w:szCs w:val="24"/>
        </w:rPr>
        <w:t xml:space="preserve"> Sol. Op. 132, I-1 C.B. at 93-94, it did so only after the Supreme Court’s decision in </w:t>
      </w:r>
      <w:r w:rsidRPr="00576ED7">
        <w:rPr>
          <w:i/>
          <w:szCs w:val="24"/>
        </w:rPr>
        <w:t>Eisner v. Macomber</w:t>
      </w:r>
      <w:r w:rsidRPr="00576ED7">
        <w:rPr>
          <w:szCs w:val="24"/>
        </w:rPr>
        <w:t xml:space="preserve">, 252 U.S. 189 (1920), which the Court later viewed as having established a definition of income that “served a useful purpose [but] was not meant to provide a touchstone to all future gross income questions.”  </w:t>
      </w:r>
      <w:r w:rsidRPr="00576ED7">
        <w:rPr>
          <w:i/>
          <w:szCs w:val="24"/>
        </w:rPr>
        <w:t>Glenshaw Glass</w:t>
      </w:r>
      <w:r w:rsidRPr="00576ED7">
        <w:rPr>
          <w:szCs w:val="24"/>
        </w:rPr>
        <w:t>, 348 U.S. at 430-31.  As for Murphy’s contention that reading § 61 to include her damages would be in tension with the common law and various statutes providing for “make whole” relief, the Government denies there is any tension and suggests Murphy is trying to turn a disagreement over tax policy into a constitutional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Government argues that even if the concept of human capital is built into § 61, Murphy’s award is nonetheless taxable because Murphy has no tax b</w:t>
      </w:r>
      <w:r w:rsidRPr="00576ED7">
        <w:rPr>
          <w:szCs w:val="24"/>
        </w:rPr>
        <w:t>a</w:t>
      </w:r>
      <w:r w:rsidRPr="00576ED7">
        <w:rPr>
          <w:szCs w:val="24"/>
        </w:rPr>
        <w:t xml:space="preserve">sis in her human capital.  Under the IRC, a taxpayer’s gain upon the disposition of property is the difference between the “amount realized” from the disposition and his basis in the property, 26 U.S.C. § 1001, defined as “the cost of such property,” </w:t>
      </w:r>
      <w:r w:rsidRPr="00576ED7">
        <w:rPr>
          <w:i/>
          <w:szCs w:val="24"/>
        </w:rPr>
        <w:t>id.</w:t>
      </w:r>
      <w:r w:rsidRPr="00576ED7">
        <w:rPr>
          <w:szCs w:val="24"/>
        </w:rPr>
        <w:t xml:space="preserve"> § 1012, adjusted “for expenditures, receipts, losses, or other items, properly chargeable to [a] capital account,” </w:t>
      </w:r>
      <w:r w:rsidRPr="00576ED7">
        <w:rPr>
          <w:i/>
          <w:szCs w:val="24"/>
        </w:rPr>
        <w:t>id.</w:t>
      </w:r>
      <w:r w:rsidRPr="00576ED7">
        <w:rPr>
          <w:szCs w:val="24"/>
        </w:rPr>
        <w:t xml:space="preserve"> § 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 61(a) could </w:t>
      </w:r>
      <w:r w:rsidRPr="00576ED7">
        <w:rPr>
          <w:szCs w:val="24"/>
        </w:rPr>
        <w:lastRenderedPageBreak/>
        <w:t xml:space="preserve">be held to encompass her award.  Principles of statutory interpretation could show § 61(a) includes Murphy’s award in her gross income regardless whether it was an “accession to wealth,” as </w:t>
      </w:r>
      <w:r w:rsidRPr="00576ED7">
        <w:rPr>
          <w:i/>
          <w:szCs w:val="24"/>
        </w:rPr>
        <w:t>Glenshaw Glass</w:t>
      </w:r>
      <w:r w:rsidRPr="00576ED7">
        <w:rPr>
          <w:szCs w:val="24"/>
        </w:rPr>
        <w:t xml:space="preserve"> requires.  For example, if § 61(a) were amended specifically to include in gross income “$100,000 in addition to all other gross income,” then that additional sum would be a part of gross income under § 61 even though no actual gain was associated with it.  In other words, al</w:t>
      </w:r>
      <w:r w:rsidRPr="00576ED7">
        <w:rPr>
          <w:szCs w:val="24"/>
        </w:rPr>
        <w:t>t</w:t>
      </w:r>
      <w:r w:rsidRPr="00576ED7">
        <w:rPr>
          <w:szCs w:val="24"/>
        </w:rPr>
        <w:t xml:space="preserve">hough the “Congress cannot make a thing income which is not so in fact,” </w:t>
      </w:r>
      <w:r w:rsidRPr="00576ED7">
        <w:rPr>
          <w:i/>
          <w:szCs w:val="24"/>
        </w:rPr>
        <w:t>Burk-Waggoner Oil Ass’n v. Hopkins</w:t>
      </w:r>
      <w:r w:rsidRPr="00576ED7">
        <w:rPr>
          <w:szCs w:val="24"/>
        </w:rPr>
        <w:t>, 269 U.S. 110, 114 (1925), it can label a thing income and tax it, so long as it acts within its constitutional authority, which i</w:t>
      </w:r>
      <w:r w:rsidRPr="00576ED7">
        <w:rPr>
          <w:szCs w:val="24"/>
        </w:rPr>
        <w:t>n</w:t>
      </w:r>
      <w:r w:rsidRPr="00576ED7">
        <w:rPr>
          <w:szCs w:val="24"/>
        </w:rPr>
        <w:t xml:space="preserve">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 61(a), to wit, “all income from whatever source derived.”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Looking at § 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w:t>
      </w:r>
      <w:r w:rsidRPr="00576ED7">
        <w:rPr>
          <w:szCs w:val="24"/>
        </w:rPr>
        <w:t>n</w:t>
      </w:r>
      <w:r w:rsidRPr="00576ED7">
        <w:rPr>
          <w:szCs w:val="24"/>
        </w:rPr>
        <w:t>come in § 61 and, as Murphy points out, an ambiguity in the meaning of a rev</w:t>
      </w:r>
      <w:r w:rsidRPr="00576ED7">
        <w:rPr>
          <w:szCs w:val="24"/>
        </w:rPr>
        <w:t>e</w:t>
      </w:r>
      <w:r w:rsidRPr="00576ED7">
        <w:rPr>
          <w:szCs w:val="24"/>
        </w:rPr>
        <w:t xml:space="preser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245 U.S. 151, 153 (1917); [citations omitted].  A statute is to be read as a whole, however [citation omitted], and reading § 61 in combination with § 104(a)(2) of the Internal Revenue Code presents a very different picture – a picture so clear that we have no occasion to apply the canon favoring the interpretation of ambiguous revenue-raising statutes in favor of the taxpayer.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[I]n 1996 the Congress amended § 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 104(a)(2).  Small Business Job Protection Act of 1996, </w:t>
      </w:r>
      <w:r w:rsidR="004020EF" w:rsidRPr="00576ED7">
        <w:rPr>
          <w:szCs w:val="24"/>
        </w:rPr>
        <w:t>Pub.</w:t>
      </w:r>
      <w:r w:rsidR="004020EF">
        <w:rPr>
          <w:szCs w:val="24"/>
        </w:rPr>
        <w:t xml:space="preserve"> </w:t>
      </w:r>
      <w:r w:rsidR="004020EF" w:rsidRPr="00576ED7">
        <w:rPr>
          <w:szCs w:val="24"/>
        </w:rPr>
        <w:t>L</w:t>
      </w:r>
      <w:r w:rsidRPr="00576ED7">
        <w:rPr>
          <w:szCs w:val="24"/>
        </w:rPr>
        <w:t xml:space="preserve">. 104-188, § 1605, 110 Stat. 1755, 1838.  As this amendment, which narrows the exclusion, would have no effect whatsoever if such damages were not included within the ambit of § 61, and as we must presume that “[w]hen Congress acts to </w:t>
      </w:r>
      <w:r w:rsidRPr="00576ED7">
        <w:rPr>
          <w:szCs w:val="24"/>
        </w:rPr>
        <w:lastRenderedPageBreak/>
        <w:t xml:space="preserve">amend a statute, ... it intends its amendment to have real and substantial effect,” </w:t>
      </w:r>
      <w:r w:rsidRPr="00576ED7">
        <w:rPr>
          <w:i/>
          <w:szCs w:val="24"/>
        </w:rPr>
        <w:t>Stone v. INS</w:t>
      </w:r>
      <w:r w:rsidRPr="00576ED7">
        <w:rPr>
          <w:szCs w:val="24"/>
        </w:rPr>
        <w:t>, 514 U.S. 386, 397 (1995), the 1996 amendment of § 104(a) strongly suggests § 61 should be read to include an award for damages from nonphysical harms.  [footnote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751BF5" w:rsidRPr="00576ED7" w:rsidRDefault="00751BF5" w:rsidP="009A1BF0">
      <w:pPr>
        <w:widowControl w:val="0"/>
        <w:jc w:val="both"/>
        <w:rPr>
          <w:szCs w:val="24"/>
        </w:rPr>
      </w:pPr>
    </w:p>
    <w:p w:rsidR="0049128E" w:rsidRPr="00576ED7" w:rsidRDefault="0049128E" w:rsidP="009A1BF0">
      <w:pPr>
        <w:widowControl w:val="0"/>
        <w:jc w:val="both"/>
        <w:rPr>
          <w:szCs w:val="24"/>
        </w:rPr>
      </w:pPr>
      <w:r w:rsidRPr="00576ED7">
        <w:rPr>
          <w:szCs w:val="24"/>
        </w:rPr>
        <w:t>... For the 1996 amendment of § 104(a) to “make sense,” gross income in § 61(a) must, and we therefore hold it does, include an award for nonphysical damages such as Murphy received, regardless whether the award is an accession to wealth.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  The Congress’s Power to Tax</w:t>
      </w:r>
    </w:p>
    <w:p w:rsidR="0049128E" w:rsidRPr="00576ED7" w:rsidRDefault="0049128E" w:rsidP="009A1BF0">
      <w:pPr>
        <w:widowControl w:val="0"/>
        <w:jc w:val="both"/>
        <w:rPr>
          <w:szCs w:val="24"/>
        </w:rPr>
      </w:pPr>
      <w:r w:rsidRPr="00576ED7">
        <w:rPr>
          <w:szCs w:val="24"/>
        </w:rPr>
        <w:t>The taxing power of the Congress is established by Article I, Section 8 of the Constitution: “The Congress shall have power to lay and collect taxes, duties, i</w:t>
      </w:r>
      <w:r w:rsidRPr="00576ED7">
        <w:rPr>
          <w:szCs w:val="24"/>
        </w:rPr>
        <w:t>m</w:t>
      </w:r>
      <w:r w:rsidRPr="00576ED7">
        <w:rPr>
          <w:szCs w:val="24"/>
        </w:rPr>
        <w:t>posts and excises.”  There are two limitations on this power.  First, as the same section goes on to provide, “all duties, imposts and excises shall be uniform throughout the United States.”  Second, as provided in Section 9 of that same A</w:t>
      </w:r>
      <w:r w:rsidRPr="00576ED7">
        <w:rPr>
          <w:szCs w:val="24"/>
        </w:rPr>
        <w:t>r</w:t>
      </w:r>
      <w:r w:rsidRPr="00576ED7">
        <w:rPr>
          <w:szCs w:val="24"/>
        </w:rPr>
        <w:t xml:space="preserve">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 2, cl. 3 (“direct taxes shall be apportioned among the several states which may be included within this union, according to their respective numbers”).</w:t>
      </w:r>
      <w:r w:rsidRPr="00576ED7">
        <w:rPr>
          <w:rStyle w:val="FootnoteReference"/>
          <w:szCs w:val="24"/>
        </w:rPr>
        <w:footnoteReference w:id="32"/>
      </w:r>
      <w:r w:rsidRPr="00576ED7">
        <w:rPr>
          <w:szCs w:val="24"/>
        </w:rPr>
        <w:t xml:space="preserve">  We now consider whether the tax laid upon Murphy’s award violates either of these two constraints.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1.  A Direct Tax?</w:t>
      </w:r>
    </w:p>
    <w:p w:rsidR="0049128E" w:rsidRPr="00576ED7" w:rsidRDefault="0049128E" w:rsidP="009A1BF0">
      <w:pPr>
        <w:widowControl w:val="0"/>
        <w:jc w:val="both"/>
        <w:rPr>
          <w:szCs w:val="24"/>
        </w:rPr>
      </w:pPr>
      <w:r w:rsidRPr="00576ED7">
        <w:rPr>
          <w:szCs w:val="24"/>
        </w:rPr>
        <w:t>Over the years, courts have considered numerous claims that one or another no</w:t>
      </w:r>
      <w:r w:rsidRPr="00576ED7">
        <w:rPr>
          <w:szCs w:val="24"/>
        </w:rPr>
        <w:t>n</w:t>
      </w:r>
      <w:r w:rsidRPr="00576ED7">
        <w:rPr>
          <w:szCs w:val="24"/>
        </w:rPr>
        <w:t>apportioned tax is a direct tax and therefore unconstitutional.  Although these ca</w:t>
      </w:r>
      <w:r w:rsidRPr="00576ED7">
        <w:rPr>
          <w:szCs w:val="24"/>
        </w:rPr>
        <w:t>s</w:t>
      </w:r>
      <w:r w:rsidRPr="00576ED7">
        <w:rPr>
          <w:szCs w:val="24"/>
        </w:rPr>
        <w:t>es have not definitively marked the boundary between taxes that must be appo</w:t>
      </w:r>
      <w:r w:rsidRPr="00576ED7">
        <w:rPr>
          <w:szCs w:val="24"/>
        </w:rPr>
        <w:t>r</w:t>
      </w:r>
      <w:r w:rsidRPr="00576ED7">
        <w:rPr>
          <w:szCs w:val="24"/>
        </w:rPr>
        <w:t xml:space="preserve">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Only three taxes are definitely known to be direct: (1) a capitation, U.S. Const. </w:t>
      </w:r>
      <w:r w:rsidRPr="00576ED7">
        <w:rPr>
          <w:szCs w:val="24"/>
        </w:rPr>
        <w:lastRenderedPageBreak/>
        <w:t xml:space="preserve">art. I, § 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3"/>
      </w:r>
      <w:r w:rsidRPr="00576ED7">
        <w:rPr>
          <w:szCs w:val="24"/>
        </w:rPr>
        <w:t xml:space="preserve">  Such direct taxes are laid upon one’s “ge</w:t>
      </w:r>
      <w:r w:rsidRPr="00576ED7">
        <w:rPr>
          <w:szCs w:val="24"/>
        </w:rPr>
        <w:t>n</w:t>
      </w:r>
      <w:r w:rsidRPr="00576ED7">
        <w:rPr>
          <w:szCs w:val="24"/>
        </w:rPr>
        <w:t xml:space="preserve">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w:t>
      </w:r>
      <w:r w:rsidRPr="00576ED7">
        <w:rPr>
          <w:i/>
          <w:szCs w:val="24"/>
        </w:rPr>
        <w:t>r</w:t>
      </w:r>
      <w:r w:rsidRPr="00576ED7">
        <w:rPr>
          <w:i/>
          <w:szCs w:val="24"/>
        </w:rPr>
        <w:t>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192 U.S. 363, 370 (1904) (excises cover “duties imposed on importation, consumption, manufacture and sale of certain commodities, privileges, particular business transactions, voc</w:t>
      </w:r>
      <w:r w:rsidRPr="00576ED7">
        <w:rPr>
          <w:szCs w:val="24"/>
        </w:rPr>
        <w:t>a</w:t>
      </w:r>
      <w:r w:rsidRPr="00576ED7">
        <w:rPr>
          <w:szCs w:val="24"/>
        </w:rPr>
        <w:t>tions, occupations and the like”).  More specifically, excise taxes include, in add</w:t>
      </w:r>
      <w:r w:rsidRPr="00576ED7">
        <w:rPr>
          <w:szCs w:val="24"/>
        </w:rPr>
        <w:t>i</w:t>
      </w:r>
      <w:r w:rsidRPr="00576ED7">
        <w:rPr>
          <w:szCs w:val="24"/>
        </w:rPr>
        <w:t xml:space="preserve">tion to taxes upon consumable items [citation omitted], taxes upon the sale of grain on an exchange, </w:t>
      </w:r>
      <w:r w:rsidRPr="00576ED7">
        <w:rPr>
          <w:i/>
          <w:szCs w:val="24"/>
        </w:rPr>
        <w:t>Nicol v. Ames</w:t>
      </w:r>
      <w:r w:rsidRPr="00576ED7">
        <w:rPr>
          <w:szCs w:val="24"/>
        </w:rPr>
        <w:t>, 173 U.S. 509, 519 (1899), the sale of corp</w:t>
      </w:r>
      <w:r w:rsidRPr="00576ED7">
        <w:rPr>
          <w:szCs w:val="24"/>
        </w:rPr>
        <w:t>o</w:t>
      </w:r>
      <w:r w:rsidRPr="00576ED7">
        <w:rPr>
          <w:szCs w:val="24"/>
        </w:rPr>
        <w:t xml:space="preserve">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(ci</w:t>
      </w:r>
      <w:r w:rsidRPr="00576ED7">
        <w:rPr>
          <w:szCs w:val="24"/>
        </w:rPr>
        <w:t>t</w:t>
      </w:r>
      <w:r w:rsidRPr="00576ED7">
        <w:rPr>
          <w:szCs w:val="24"/>
        </w:rPr>
        <w:t xml:space="preserve">ing </w:t>
      </w:r>
      <w:r w:rsidRPr="00576ED7">
        <w:rPr>
          <w:i/>
          <w:szCs w:val="24"/>
        </w:rPr>
        <w:t>Springer v. United States</w:t>
      </w:r>
      <w:r w:rsidRPr="00576ED7">
        <w:rPr>
          <w:szCs w:val="24"/>
        </w:rPr>
        <w:t>, 102 U.S. 586 (1881)).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w:t>
      </w:r>
      <w:r w:rsidRPr="00576ED7">
        <w:rPr>
          <w:szCs w:val="24"/>
        </w:rPr>
        <w:t>m</w:t>
      </w:r>
      <w:r w:rsidRPr="00576ED7">
        <w:rPr>
          <w:szCs w:val="24"/>
        </w:rPr>
        <w:t xml:space="preserve">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w:t>
      </w:r>
      <w:r w:rsidRPr="00576ED7">
        <w:rPr>
          <w:szCs w:val="24"/>
        </w:rPr>
        <w:lastRenderedPageBreak/>
        <w:t xml:space="preserve">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w:t>
      </w:r>
      <w:r w:rsidRPr="00576ED7">
        <w:rPr>
          <w:szCs w:val="24"/>
        </w:rPr>
        <w:t>i</w:t>
      </w:r>
      <w:r w:rsidRPr="00576ED7">
        <w:rPr>
          <w:szCs w:val="24"/>
        </w:rPr>
        <w:t xml:space="preserve">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4020EF" w:rsidRPr="00576ED7">
        <w:rPr>
          <w:smallCaps/>
          <w:szCs w:val="24"/>
        </w:rPr>
        <w:t>L.</w:t>
      </w:r>
      <w:r w:rsidR="004020EF">
        <w:rPr>
          <w:smallCaps/>
          <w:szCs w:val="24"/>
        </w:rPr>
        <w:t xml:space="preserve"> </w:t>
      </w:r>
      <w:r w:rsidR="004020E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the amici contend their understanding of a direct tax was confirmed in </w:t>
      </w:r>
      <w:r w:rsidRPr="00576ED7">
        <w:rPr>
          <w:i/>
          <w:szCs w:val="24"/>
        </w:rPr>
        <w:t>Pollock II</w:t>
      </w:r>
      <w:r w:rsidRPr="00576ED7">
        <w:rPr>
          <w:szCs w:val="24"/>
        </w:rPr>
        <w:t xml:space="preserve">, where the Supreme Court noted that “the words ‘duties, imposts, and excises’ are put in antithesis to direct taxes,” 158 U.S. at 622, for which it cited </w:t>
      </w:r>
      <w:r w:rsidRPr="00576ED7">
        <w:rPr>
          <w:i/>
          <w:szCs w:val="24"/>
        </w:rPr>
        <w:t>The Federalist No. 36</w:t>
      </w:r>
      <w:r w:rsidRPr="00576ED7">
        <w:rPr>
          <w:szCs w:val="24"/>
        </w:rPr>
        <w:t xml:space="preserve"> (Hamilton).  </w:t>
      </w:r>
      <w:r w:rsidRPr="00576ED7">
        <w:rPr>
          <w:i/>
          <w:szCs w:val="24"/>
        </w:rPr>
        <w:t>Pollock II</w:t>
      </w:r>
      <w:r w:rsidRPr="00576ED7">
        <w:rPr>
          <w:szCs w:val="24"/>
        </w:rPr>
        <w:t>, 158 U.S. at 624-25.  As it is clear that Murphy cannot shift her tax burden to anyone else, per Murphy and the am</w:t>
      </w:r>
      <w:r w:rsidRPr="00576ED7">
        <w:rPr>
          <w:szCs w:val="24"/>
        </w:rPr>
        <w:t>i</w:t>
      </w:r>
      <w:r w:rsidRPr="00576ED7">
        <w:rPr>
          <w:szCs w:val="24"/>
        </w:rPr>
        <w:t>ci, it must be a direct tax.</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 unsurprisingly, backs a different approach; by its lights, only “taxes that are capable of apportionment in the first instance, specifically, capit</w:t>
      </w:r>
      <w:r w:rsidRPr="00576ED7">
        <w:rPr>
          <w:szCs w:val="24"/>
        </w:rPr>
        <w:t>a</w:t>
      </w:r>
      <w:r w:rsidRPr="00576ED7">
        <w:rPr>
          <w:szCs w:val="24"/>
        </w:rPr>
        <w:t xml:space="preserve">tion taxes and taxes on land,” are direct taxes.  The Government maintains that this is how the term was generally understood at the time.  </w:t>
      </w:r>
      <w:r w:rsidRPr="00576ED7">
        <w:rPr>
          <w:i/>
          <w:szCs w:val="24"/>
        </w:rPr>
        <w:t>See</w:t>
      </w:r>
      <w:r w:rsidRPr="00576ED7">
        <w:rPr>
          <w:szCs w:val="24"/>
        </w:rPr>
        <w:t xml:space="preserve"> Calvin H. Johnson, </w:t>
      </w:r>
      <w:r w:rsidRPr="00576ED7">
        <w:rPr>
          <w:i/>
          <w:szCs w:val="24"/>
        </w:rPr>
        <w:t>Fixing the Constitutional Absurdity of the Apportionment of Direct Tax</w:t>
      </w:r>
      <w:r w:rsidRPr="00576ED7">
        <w:rPr>
          <w:szCs w:val="24"/>
        </w:rPr>
        <w:t xml:space="preserve">, 21 </w:t>
      </w:r>
      <w:r w:rsidRPr="00576ED7">
        <w:rPr>
          <w:smallCaps/>
          <w:szCs w:val="24"/>
        </w:rPr>
        <w:t>Const. Comm.</w:t>
      </w:r>
      <w:r w:rsidRPr="00576ED7">
        <w:rPr>
          <w:szCs w:val="24"/>
        </w:rPr>
        <w:t xml:space="preserve"> 295, 314 (2004).  Moreover, it suggests, this understanding is more in line with the underlying purpose of the tax and the apportionment clauses, which were drafted in the intense light of experience under the Articles of Co</w:t>
      </w:r>
      <w:r w:rsidRPr="00576ED7">
        <w:rPr>
          <w:szCs w:val="24"/>
        </w:rPr>
        <w:t>n</w:t>
      </w:r>
      <w:r w:rsidRPr="00576ED7">
        <w:rPr>
          <w:szCs w:val="24"/>
        </w:rPr>
        <w:t>federation.</w:t>
      </w:r>
    </w:p>
    <w:p w:rsidR="00087633" w:rsidRPr="00576ED7" w:rsidRDefault="00087633"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Articles did not grant the Continental Congress the power to raise revenue directly; it could only requisition funds from the States.  </w:t>
      </w:r>
      <w:r w:rsidRPr="00576ED7">
        <w:rPr>
          <w:i/>
          <w:szCs w:val="24"/>
        </w:rPr>
        <w:t>See</w:t>
      </w:r>
      <w:r w:rsidRPr="00576ED7">
        <w:rPr>
          <w:szCs w:val="24"/>
        </w:rPr>
        <w:t xml:space="preserve"> </w:t>
      </w:r>
      <w:r w:rsidRPr="00576ED7">
        <w:rPr>
          <w:smallCaps/>
          <w:szCs w:val="24"/>
        </w:rPr>
        <w:t xml:space="preserve">Articles of </w:t>
      </w:r>
      <w:r w:rsidRPr="00576ED7">
        <w:rPr>
          <w:smallCaps/>
          <w:szCs w:val="24"/>
        </w:rPr>
        <w:lastRenderedPageBreak/>
        <w:t>Confederation</w:t>
      </w:r>
      <w:r w:rsidRPr="00576ED7">
        <w:rPr>
          <w:szCs w:val="24"/>
        </w:rPr>
        <w:t xml:space="preserve"> art. VIII (1781); Bruce Ackerman, </w:t>
      </w:r>
      <w:r w:rsidRPr="00576ED7">
        <w:rPr>
          <w:i/>
          <w:szCs w:val="24"/>
        </w:rPr>
        <w:t>Taxation and the Constit</w:t>
      </w:r>
      <w:r w:rsidRPr="00576ED7">
        <w:rPr>
          <w:i/>
          <w:szCs w:val="24"/>
        </w:rPr>
        <w:t>u</w:t>
      </w:r>
      <w:r w:rsidRPr="00576ED7">
        <w:rPr>
          <w:i/>
          <w:szCs w:val="24"/>
        </w:rPr>
        <w:t>tion</w:t>
      </w:r>
      <w:r w:rsidRPr="00576ED7">
        <w:rPr>
          <w:szCs w:val="24"/>
        </w:rPr>
        <w:t xml:space="preserve">, 99 </w:t>
      </w:r>
      <w:r w:rsidRPr="00576ED7">
        <w:rPr>
          <w:smallCaps/>
          <w:szCs w:val="24"/>
        </w:rPr>
        <w:t xml:space="preserve">Colum. </w:t>
      </w:r>
      <w:r w:rsidR="004020EF" w:rsidRPr="00576ED7">
        <w:rPr>
          <w:smallCaps/>
          <w:szCs w:val="24"/>
        </w:rPr>
        <w:t>L.</w:t>
      </w:r>
      <w:r w:rsidR="004020EF">
        <w:rPr>
          <w:smallCaps/>
          <w:szCs w:val="24"/>
        </w:rPr>
        <w:t xml:space="preserve"> </w:t>
      </w:r>
      <w:r w:rsidR="004020EF" w:rsidRPr="00576ED7">
        <w:rPr>
          <w:smallCaps/>
          <w:szCs w:val="24"/>
        </w:rPr>
        <w:t>Rev</w:t>
      </w:r>
      <w:r w:rsidRPr="00576ED7">
        <w:rPr>
          <w:smallCaps/>
          <w:szCs w:val="24"/>
        </w:rPr>
        <w:t>.</w:t>
      </w:r>
      <w:r w:rsidRPr="00576ED7">
        <w:rPr>
          <w:szCs w:val="24"/>
        </w:rPr>
        <w:t xml:space="preserve"> 1, 6-7 (1999).  This led to problems when the States, as they often did, refused to remit funds.  </w:t>
      </w:r>
      <w:r w:rsidRPr="00576ED7">
        <w:rPr>
          <w:i/>
          <w:szCs w:val="24"/>
        </w:rPr>
        <w:t>See</w:t>
      </w:r>
      <w:r w:rsidRPr="00576ED7">
        <w:rPr>
          <w:szCs w:val="24"/>
        </w:rPr>
        <w:t xml:space="preserve"> Calvin H. Johnson, </w:t>
      </w:r>
      <w:r w:rsidRPr="00576ED7">
        <w:rPr>
          <w:i/>
          <w:szCs w:val="24"/>
        </w:rPr>
        <w:t>The Constitutional Meaning of “Apportionment of Direct Taxes</w:t>
      </w:r>
      <w:r w:rsidRPr="00576ED7">
        <w:rPr>
          <w:szCs w:val="24"/>
        </w:rPr>
        <w:t xml:space="preserve">,” 80 </w:t>
      </w:r>
      <w:r w:rsidRPr="00576ED7">
        <w:rPr>
          <w:smallCaps/>
          <w:szCs w:val="24"/>
        </w:rPr>
        <w:t>Tax Notes</w:t>
      </w:r>
      <w:r w:rsidRPr="00576ED7">
        <w:rPr>
          <w:szCs w:val="24"/>
        </w:rPr>
        <w:t xml:space="preserve"> 591, 593-94 (1998).  The Constitution redressed this problem by giving the new national government plenary taxing power.  </w:t>
      </w:r>
      <w:r w:rsidRPr="00576ED7">
        <w:rPr>
          <w:i/>
          <w:szCs w:val="24"/>
        </w:rPr>
        <w:t>See</w:t>
      </w:r>
      <w:r w:rsidRPr="00576ED7">
        <w:rPr>
          <w:szCs w:val="24"/>
        </w:rPr>
        <w:t xml:space="preserve"> Ackerman, </w:t>
      </w:r>
      <w:r w:rsidRPr="00576ED7">
        <w:rPr>
          <w:i/>
          <w:szCs w:val="24"/>
        </w:rPr>
        <w:t>supra</w:t>
      </w:r>
      <w:r w:rsidRPr="00576ED7">
        <w:rPr>
          <w:szCs w:val="24"/>
        </w:rPr>
        <w:t>, at 7.  In the Government’s view, it therefore makes no sense to treat “direct taxes” as encompassing taxes for which apportionment is effectively impossible, because “the Framers could not have i</w:t>
      </w:r>
      <w:r w:rsidRPr="00576ED7">
        <w:rPr>
          <w:szCs w:val="24"/>
        </w:rPr>
        <w:t>n</w:t>
      </w:r>
      <w:r w:rsidRPr="00576ED7">
        <w:rPr>
          <w:szCs w:val="24"/>
        </w:rPr>
        <w:t>tended to give Congress plenary taxing power, on the one hand, and then so limit that power by requiring apportionment for a broad category of taxes, on the ot</w:t>
      </w:r>
      <w:r w:rsidRPr="00576ED7">
        <w:rPr>
          <w:szCs w:val="24"/>
        </w:rPr>
        <w:t>h</w:t>
      </w:r>
      <w:r w:rsidRPr="00576ED7">
        <w:rPr>
          <w:szCs w:val="24"/>
        </w:rPr>
        <w:t>er.”  This view is, according to the Government, buttressed by evidence that the purpose of the apportionment clauses was not in fact to constrain the power to tax, but rather to placate opponents of the compromise over representation of the</w:t>
      </w:r>
      <w:r w:rsidR="00576ED7" w:rsidRPr="00576ED7">
        <w:rPr>
          <w:szCs w:val="24"/>
        </w:rPr>
        <w:t xml:space="preserve"> s</w:t>
      </w:r>
      <w:r w:rsidRPr="00576ED7">
        <w:rPr>
          <w:szCs w:val="24"/>
        </w:rPr>
        <w:t>lave states in the House, as embodied in the Three-fifths Clause.</w:t>
      </w:r>
      <w:r w:rsidRPr="00576ED7">
        <w:rPr>
          <w:rStyle w:val="FootnoteReference"/>
          <w:szCs w:val="24"/>
        </w:rPr>
        <w:footnoteReference w:id="34"/>
      </w:r>
      <w:r w:rsidRPr="00576ED7">
        <w:rPr>
          <w:szCs w:val="24"/>
        </w:rPr>
        <w:t xml:space="preserve">  </w:t>
      </w:r>
      <w:r w:rsidRPr="00576ED7">
        <w:rPr>
          <w:i/>
          <w:szCs w:val="24"/>
        </w:rPr>
        <w:t>See</w:t>
      </w:r>
      <w:r w:rsidRPr="00576ED7">
        <w:rPr>
          <w:szCs w:val="24"/>
        </w:rPr>
        <w:t xml:space="preserve"> Ackerman, </w:t>
      </w:r>
      <w:r w:rsidRPr="00576ED7">
        <w:rPr>
          <w:i/>
          <w:szCs w:val="24"/>
        </w:rPr>
        <w:t>s</w:t>
      </w:r>
      <w:r w:rsidRPr="00576ED7">
        <w:rPr>
          <w:i/>
          <w:szCs w:val="24"/>
        </w:rPr>
        <w:t>u</w:t>
      </w:r>
      <w:r w:rsidRPr="00576ED7">
        <w:rPr>
          <w:i/>
          <w:szCs w:val="24"/>
        </w:rPr>
        <w:t>pra</w:t>
      </w:r>
      <w:r w:rsidRPr="00576ED7">
        <w:rPr>
          <w:szCs w:val="24"/>
        </w:rPr>
        <w:t xml:space="preserve">, at 10-11.  </w:t>
      </w:r>
      <w:r w:rsidRPr="00576ED7">
        <w:rPr>
          <w:i/>
          <w:szCs w:val="24"/>
        </w:rPr>
        <w:t>See generally</w:t>
      </w:r>
      <w:r w:rsidRPr="00576ED7">
        <w:rPr>
          <w:szCs w:val="24"/>
        </w:rPr>
        <w:t xml:space="preserve"> </w:t>
      </w:r>
      <w:r w:rsidRPr="00576ED7">
        <w:rPr>
          <w:smallCaps/>
          <w:szCs w:val="24"/>
        </w:rPr>
        <w:t>Seligman</w:t>
      </w:r>
      <w:r w:rsidRPr="00576ED7">
        <w:rPr>
          <w:szCs w:val="24"/>
        </w:rPr>
        <w:t xml:space="preserve">, </w:t>
      </w:r>
      <w:r w:rsidRPr="00576ED7">
        <w:rPr>
          <w:i/>
          <w:szCs w:val="24"/>
        </w:rPr>
        <w:t>supra</w:t>
      </w:r>
      <w:r w:rsidRPr="00576ED7">
        <w:rPr>
          <w:szCs w:val="24"/>
        </w:rPr>
        <w:t>, at 548-55.  As the Government interprets the historical record, the apportionment limitation was “more symbolic than anything else: it appeased the anti-slavery sentiment of the North and offered a practical advantage to the South as long as the scope of direct taxes was li</w:t>
      </w:r>
      <w:r w:rsidRPr="00576ED7">
        <w:rPr>
          <w:szCs w:val="24"/>
        </w:rPr>
        <w:t>m</w:t>
      </w:r>
      <w:r w:rsidRPr="00576ED7">
        <w:rPr>
          <w:szCs w:val="24"/>
        </w:rPr>
        <w:t xml:space="preserve">ited.”  </w:t>
      </w:r>
      <w:r w:rsidRPr="00576ED7">
        <w:rPr>
          <w:i/>
          <w:szCs w:val="24"/>
        </w:rPr>
        <w:t>See</w:t>
      </w:r>
      <w:r w:rsidRPr="00576ED7">
        <w:rPr>
          <w:szCs w:val="24"/>
        </w:rPr>
        <w:t xml:space="preserve"> Ackerman, </w:t>
      </w:r>
      <w:r w:rsidRPr="00576ED7">
        <w:rPr>
          <w:i/>
          <w:szCs w:val="24"/>
        </w:rPr>
        <w:t>supra</w:t>
      </w:r>
      <w:r w:rsidRPr="00576ED7">
        <w:rPr>
          <w:szCs w:val="24"/>
        </w:rPr>
        <w:t xml:space="preserve">, at 10.  </w:t>
      </w:r>
      <w:r w:rsidRPr="00576ED7">
        <w:rPr>
          <w:i/>
          <w:szCs w:val="24"/>
        </w:rPr>
        <w:t>But see</w:t>
      </w:r>
      <w:r w:rsidRPr="00576ED7">
        <w:rPr>
          <w:szCs w:val="24"/>
        </w:rPr>
        <w:t xml:space="preserve"> Erik M. Jensen, </w:t>
      </w:r>
      <w:r w:rsidRPr="00576ED7">
        <w:rPr>
          <w:i/>
          <w:szCs w:val="24"/>
        </w:rPr>
        <w:t>Taxation and the Constitution: How to Read the Direct Tax Clauses</w:t>
      </w:r>
      <w:r w:rsidRPr="00576ED7">
        <w:rPr>
          <w:szCs w:val="24"/>
        </w:rPr>
        <w:t xml:space="preserve">, 15 </w:t>
      </w:r>
      <w:r w:rsidRPr="00576ED7">
        <w:rPr>
          <w:smallCaps/>
          <w:szCs w:val="24"/>
        </w:rPr>
        <w:t xml:space="preserve">J.L. &amp; Pol. </w:t>
      </w:r>
      <w:r w:rsidRPr="00576ED7">
        <w:rPr>
          <w:szCs w:val="24"/>
        </w:rPr>
        <w:t>687, 704 (1999) (“One of the reasons [the direct tax restriction] worked as a compromise was that it had teeth – it made direct taxes difficult to impose – and it had teeth however slaves were counted”).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Government’s view of the clauses is further supported by the near contemp</w:t>
      </w:r>
      <w:r w:rsidRPr="00576ED7">
        <w:rPr>
          <w:szCs w:val="24"/>
        </w:rPr>
        <w:t>o</w:t>
      </w:r>
      <w:r w:rsidRPr="00576ED7">
        <w:rPr>
          <w:szCs w:val="24"/>
        </w:rPr>
        <w:t xml:space="preserve">raneous decision of the Supreme Court in </w:t>
      </w:r>
      <w:r w:rsidRPr="00576ED7">
        <w:rPr>
          <w:i/>
          <w:szCs w:val="24"/>
        </w:rPr>
        <w:t>Hylton v. United States</w:t>
      </w:r>
      <w:r w:rsidRPr="00576ED7">
        <w:rPr>
          <w:szCs w:val="24"/>
        </w:rPr>
        <w:t>, 3 U.S. (3 Dall.) 171 (1796), holding that a national tax upon carriages was not a direct tax, and thus not subject to apportionment.  Justices Chase and Iredell opined that a “direct tax” was one that, unlike the carriage tax, as a practical matter could be appo</w:t>
      </w:r>
      <w:r w:rsidRPr="00576ED7">
        <w:rPr>
          <w:szCs w:val="24"/>
        </w:rPr>
        <w:t>r</w:t>
      </w:r>
      <w:r w:rsidRPr="00576ED7">
        <w:rPr>
          <w:szCs w:val="24"/>
        </w:rPr>
        <w:t xml:space="preserve">tioned among the States, </w:t>
      </w:r>
      <w:r w:rsidRPr="00576ED7">
        <w:rPr>
          <w:i/>
          <w:szCs w:val="24"/>
        </w:rPr>
        <w:t>id.</w:t>
      </w:r>
      <w:r w:rsidRPr="00576ED7">
        <w:rPr>
          <w:szCs w:val="24"/>
        </w:rPr>
        <w:t xml:space="preserve"> at 174 (Chase, J.); </w:t>
      </w:r>
      <w:r w:rsidRPr="00576ED7">
        <w:rPr>
          <w:i/>
          <w:szCs w:val="24"/>
        </w:rPr>
        <w:t>id.</w:t>
      </w:r>
      <w:r w:rsidRPr="00576ED7">
        <w:rPr>
          <w:szCs w:val="24"/>
        </w:rPr>
        <w:t xml:space="preserve"> at 181 (Iredell, J.), while Justice </w:t>
      </w:r>
      <w:r w:rsidRPr="00576ED7">
        <w:rPr>
          <w:szCs w:val="24"/>
        </w:rPr>
        <w:lastRenderedPageBreak/>
        <w:t xml:space="preserve">Paterson, noting the connection between apportionment and slavery, condemned apportionment as “radically wrong” and “not to be extended by construction,” </w:t>
      </w:r>
      <w:r w:rsidRPr="00576ED7">
        <w:rPr>
          <w:i/>
          <w:szCs w:val="24"/>
        </w:rPr>
        <w:t>id.</w:t>
      </w:r>
      <w:r w:rsidRPr="00576ED7">
        <w:rPr>
          <w:szCs w:val="24"/>
        </w:rPr>
        <w:t xml:space="preserve"> at 177-78.  [footnote omitted].  As for Murphy’s reliance upon </w:t>
      </w:r>
      <w:r w:rsidRPr="00576ED7">
        <w:rPr>
          <w:i/>
          <w:szCs w:val="24"/>
        </w:rPr>
        <w:t>Pollock II</w:t>
      </w:r>
      <w:r w:rsidRPr="00576ED7">
        <w:rPr>
          <w:szCs w:val="24"/>
        </w:rPr>
        <w:t xml:space="preserve">, the Government contends that although it has never been overruled, “every aspect of its reasoning has been eroded,” </w:t>
      </w:r>
      <w:r w:rsidRPr="00576ED7">
        <w:rPr>
          <w:i/>
          <w:szCs w:val="24"/>
        </w:rPr>
        <w:t>see, e.g.</w:t>
      </w:r>
      <w:r w:rsidRPr="00576ED7">
        <w:rPr>
          <w:szCs w:val="24"/>
        </w:rPr>
        <w:t xml:space="preserve">, </w:t>
      </w:r>
      <w:r w:rsidRPr="00576ED7">
        <w:rPr>
          <w:i/>
          <w:szCs w:val="24"/>
        </w:rPr>
        <w:t>Stanton v. Baltic Mining Co.</w:t>
      </w:r>
      <w:r w:rsidRPr="00576ED7">
        <w:rPr>
          <w:szCs w:val="24"/>
        </w:rPr>
        <w:t>, 240 U.S. 103, 112-13 (1916), and notes that in</w:t>
      </w:r>
      <w:r w:rsidRPr="00576ED7">
        <w:rPr>
          <w:i/>
          <w:szCs w:val="24"/>
        </w:rPr>
        <w:t xml:space="preserve"> Pollock II</w:t>
      </w:r>
      <w:r w:rsidRPr="00576ED7">
        <w:rPr>
          <w:szCs w:val="24"/>
        </w:rPr>
        <w:t xml:space="preserve"> itself the Court acknowledged that “taxation on business, privileges, or employments has assumed the guise of an excise tax,” 158 U.S. at 635.  </w:t>
      </w:r>
      <w:r w:rsidRPr="00576ED7">
        <w:rPr>
          <w:i/>
          <w:szCs w:val="24"/>
        </w:rPr>
        <w:t>Pollock II</w:t>
      </w:r>
      <w:r w:rsidRPr="00576ED7">
        <w:rPr>
          <w:szCs w:val="24"/>
        </w:rPr>
        <w:t>, in the Government’s view, is ther</w:t>
      </w:r>
      <w:r w:rsidRPr="00576ED7">
        <w:rPr>
          <w:szCs w:val="24"/>
        </w:rPr>
        <w:t>e</w:t>
      </w:r>
      <w:r w:rsidRPr="00576ED7">
        <w:rPr>
          <w:szCs w:val="24"/>
        </w:rPr>
        <w:t>fore too weak a reed to support Murphy’s broad definition of “direct tax” and ce</w:t>
      </w:r>
      <w:r w:rsidRPr="00576ED7">
        <w:rPr>
          <w:szCs w:val="24"/>
        </w:rPr>
        <w:t>r</w:t>
      </w:r>
      <w:r w:rsidRPr="00576ED7">
        <w:rPr>
          <w:szCs w:val="24"/>
        </w:rPr>
        <w:t>tainly does not make “a tax on the conversion of human capital into money ... problematic.”</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replies that the Government’s historical analysis does not respond to the contemporaneous sources she and the amici identified showing that taxes imposed upon individuals are direct taxes.  As for </w:t>
      </w:r>
      <w:r w:rsidRPr="00576ED7">
        <w:rPr>
          <w:i/>
          <w:szCs w:val="24"/>
        </w:rPr>
        <w:t>Hylton</w:t>
      </w:r>
      <w:r w:rsidRPr="00576ED7">
        <w:rPr>
          <w:szCs w:val="24"/>
        </w:rPr>
        <w:t xml:space="preserve">, Murphy argues nothing in that decision precludes her position; the Justices viewed the carriage tax there at issue as a tax upon an expense, </w:t>
      </w:r>
      <w:r w:rsidRPr="00576ED7">
        <w:rPr>
          <w:i/>
          <w:szCs w:val="24"/>
        </w:rPr>
        <w:t>see</w:t>
      </w:r>
      <w:r w:rsidRPr="00576ED7">
        <w:rPr>
          <w:szCs w:val="24"/>
        </w:rPr>
        <w:t xml:space="preserve"> 3 U.S. (3 Dall.) at 175 (Chase, J.); </w:t>
      </w:r>
      <w:r w:rsidRPr="00576ED7">
        <w:rPr>
          <w:i/>
          <w:szCs w:val="24"/>
        </w:rPr>
        <w:t>see also</w:t>
      </w:r>
      <w:r w:rsidRPr="00576ED7">
        <w:rPr>
          <w:szCs w:val="24"/>
        </w:rPr>
        <w:t xml:space="preserve"> </w:t>
      </w:r>
      <w:r w:rsidRPr="00576ED7">
        <w:rPr>
          <w:i/>
          <w:szCs w:val="24"/>
        </w:rPr>
        <w:t>id.</w:t>
      </w:r>
      <w:r w:rsidRPr="00576ED7">
        <w:rPr>
          <w:szCs w:val="24"/>
        </w:rPr>
        <w:t xml:space="preserve"> at 180-81 (Paterson, J.), which she agrees is not a direct tax.  </w:t>
      </w:r>
      <w:r w:rsidRPr="00576ED7">
        <w:rPr>
          <w:i/>
          <w:szCs w:val="24"/>
        </w:rPr>
        <w:t>See</w:t>
      </w:r>
      <w:r w:rsidRPr="00576ED7">
        <w:rPr>
          <w:szCs w:val="24"/>
        </w:rPr>
        <w:t xml:space="preserve"> </w:t>
      </w:r>
      <w:r w:rsidRPr="00576ED7">
        <w:rPr>
          <w:i/>
          <w:szCs w:val="24"/>
        </w:rPr>
        <w:t>Pollock II</w:t>
      </w:r>
      <w:r w:rsidRPr="00576ED7">
        <w:rPr>
          <w:szCs w:val="24"/>
        </w:rPr>
        <w:t xml:space="preserve">, 158 U.S. at 626-27.  To the extent </w:t>
      </w:r>
      <w:r w:rsidRPr="00576ED7">
        <w:rPr>
          <w:i/>
          <w:szCs w:val="24"/>
        </w:rPr>
        <w:t>Hylton</w:t>
      </w:r>
      <w:r w:rsidRPr="00576ED7">
        <w:rPr>
          <w:szCs w:val="24"/>
        </w:rPr>
        <w:t xml:space="preserve"> is inconsistent with her position, however, Murphy contends her references to the </w:t>
      </w:r>
      <w:r w:rsidRPr="00576ED7">
        <w:rPr>
          <w:i/>
          <w:szCs w:val="24"/>
        </w:rPr>
        <w:t>Federalist</w:t>
      </w:r>
      <w:r w:rsidRPr="00576ED7">
        <w:rPr>
          <w:szCs w:val="24"/>
        </w:rPr>
        <w:t xml:space="preserve"> are more authoritative evidence of the Framers’ understanding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w:t>
      </w:r>
      <w:r w:rsidRPr="00576ED7">
        <w:rPr>
          <w:szCs w:val="24"/>
        </w:rPr>
        <w:t>m</w:t>
      </w:r>
      <w:r w:rsidRPr="00576ED7">
        <w:rPr>
          <w:szCs w:val="24"/>
        </w:rPr>
        <w:t>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w:t>
      </w:r>
      <w:r w:rsidRPr="00576ED7">
        <w:rPr>
          <w:szCs w:val="24"/>
        </w:rPr>
        <w:t>e</w:t>
      </w:r>
      <w:r w:rsidRPr="00576ED7">
        <w:rPr>
          <w:szCs w:val="24"/>
        </w:rPr>
        <w:t xml:space="preserve">straint upon excessive taxation that Murphy claims such shifting is supposed to provide; the tax is triggered by an event, death, 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w:t>
      </w:r>
      <w:r w:rsidRPr="00576ED7">
        <w:rPr>
          <w:szCs w:val="24"/>
        </w:rPr>
        <w:lastRenderedPageBreak/>
        <w:t>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That said, neither need we adopt the Government’s position that direct taxes are only those capable of satisfying the constraint of apportionment.  In the abstract, such a constraint is no constraint at all; virtually any tax may be apportioned by establishing different rates in different states.  </w:t>
      </w:r>
      <w:r w:rsidRPr="00576ED7">
        <w:rPr>
          <w:i/>
          <w:szCs w:val="24"/>
        </w:rPr>
        <w:t>See</w:t>
      </w:r>
      <w:r w:rsidRPr="00576ED7">
        <w:rPr>
          <w:szCs w:val="24"/>
        </w:rPr>
        <w:t xml:space="preserve"> </w:t>
      </w:r>
      <w:r w:rsidRPr="00576ED7">
        <w:rPr>
          <w:i/>
          <w:szCs w:val="24"/>
        </w:rPr>
        <w:t>Pollock II</w:t>
      </w:r>
      <w:r w:rsidRPr="00576ED7">
        <w:rPr>
          <w:szCs w:val="24"/>
        </w:rPr>
        <w:t>, 158 U.S. at 632-33.  If the Government’s position is instead that by “capable of apportionment” it means “capable of apportionment in a manner that does not unfairly tax some i</w:t>
      </w:r>
      <w:r w:rsidRPr="00576ED7">
        <w:rPr>
          <w:szCs w:val="24"/>
        </w:rPr>
        <w:t>n</w:t>
      </w:r>
      <w:r w:rsidRPr="00576ED7">
        <w:rPr>
          <w:szCs w:val="24"/>
        </w:rPr>
        <w:t xml:space="preserve">dividuals more than others,” then it is difficult to see how a land tax, which is widely understood to be a direct tax, could be apportioned by population without similarly imposing significantly non-uniform rates.  </w:t>
      </w:r>
      <w:r w:rsidRPr="00576ED7">
        <w:rPr>
          <w:i/>
          <w:szCs w:val="24"/>
        </w:rPr>
        <w:t>See</w:t>
      </w:r>
      <w:r w:rsidRPr="00576ED7">
        <w:rPr>
          <w:szCs w:val="24"/>
        </w:rPr>
        <w:t xml:space="preserve"> </w:t>
      </w:r>
      <w:r w:rsidRPr="00576ED7">
        <w:rPr>
          <w:i/>
          <w:szCs w:val="24"/>
        </w:rPr>
        <w:t>Hylton</w:t>
      </w:r>
      <w:r w:rsidRPr="00576ED7">
        <w:rPr>
          <w:szCs w:val="24"/>
        </w:rPr>
        <w:t xml:space="preserve">, 3 U.S. (3 Dall.) at 178-79 (Paterson, J.); Johnson, </w:t>
      </w:r>
      <w:r w:rsidRPr="00576ED7">
        <w:rPr>
          <w:i/>
          <w:szCs w:val="24"/>
        </w:rPr>
        <w:t>Constitutional Absurdity</w:t>
      </w:r>
      <w:r w:rsidRPr="00576ED7">
        <w:rPr>
          <w:szCs w:val="24"/>
        </w:rPr>
        <w:t xml:space="preserve">, </w:t>
      </w:r>
      <w:r w:rsidRPr="00576ED7">
        <w:rPr>
          <w:i/>
          <w:szCs w:val="24"/>
        </w:rPr>
        <w:t>supra</w:t>
      </w:r>
      <w:r w:rsidRPr="00576ED7">
        <w:rPr>
          <w:szCs w:val="24"/>
        </w:rPr>
        <w:t xml:space="preserve">, at 328.  </w:t>
      </w:r>
      <w:r w:rsidRPr="00576ED7">
        <w:rPr>
          <w:i/>
          <w:szCs w:val="24"/>
        </w:rPr>
        <w:t>But see, e.g.</w:t>
      </w:r>
      <w:r w:rsidRPr="00576ED7">
        <w:rPr>
          <w:szCs w:val="24"/>
        </w:rPr>
        <w:t xml:space="preserve">, </w:t>
      </w:r>
      <w:r w:rsidRPr="00576ED7">
        <w:rPr>
          <w:i/>
          <w:szCs w:val="24"/>
        </w:rPr>
        <w:t>Hylton</w:t>
      </w:r>
      <w:r w:rsidRPr="00576ED7">
        <w:rPr>
          <w:szCs w:val="24"/>
        </w:rPr>
        <w:t>, 3 U.S. (3 Dall.) at 183 (Iredell, J.) (contending land tax is capable of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281 U.S. 497, 502 (1930) (“A tax laid u</w:t>
      </w:r>
      <w:r w:rsidRPr="00576ED7">
        <w:rPr>
          <w:szCs w:val="24"/>
        </w:rPr>
        <w:t>p</w:t>
      </w:r>
      <w:r w:rsidRPr="00576ED7">
        <w:rPr>
          <w:szCs w:val="24"/>
        </w:rPr>
        <w:t>on the happening of an event, as distinguished from its tangible fruits, is an ind</w:t>
      </w:r>
      <w:r w:rsidRPr="00576ED7">
        <w:rPr>
          <w:szCs w:val="24"/>
        </w:rPr>
        <w:t>i</w:t>
      </w:r>
      <w:r w:rsidRPr="00576ED7">
        <w:rPr>
          <w:szCs w:val="24"/>
        </w:rPr>
        <w:t xml:space="preserve">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 1033 (property involuntarily converted into money is taxed to extent of gain re</w:t>
      </w:r>
      <w:r w:rsidRPr="00576ED7">
        <w:rPr>
          <w:szCs w:val="24"/>
        </w:rPr>
        <w:t>c</w:t>
      </w:r>
      <w:r w:rsidRPr="00576ED7">
        <w:rPr>
          <w:szCs w:val="24"/>
        </w:rPr>
        <w:t>ognized).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At oral argument Murphy resisted this formulation on the ground that the receipt of an award in lieu of lost mental health or reputation is not a transaction.  This view is tenable, however, only if one decouples Murphy’s injury (emotional di</w:t>
      </w:r>
      <w:r w:rsidRPr="00576ED7">
        <w:rPr>
          <w:szCs w:val="24"/>
        </w:rPr>
        <w:t>s</w:t>
      </w:r>
      <w:r w:rsidRPr="00576ED7">
        <w:rPr>
          <w:szCs w:val="24"/>
        </w:rPr>
        <w:t xml:space="preserve">tress and lost reputation) from her monetary award, but that is not beneficial to Murphy’s cause, for then Murphy has nothing to offset the obvious accession to her wealth, which is taxable as income.  Murphy also suggested at oral argument </w:t>
      </w:r>
      <w:r w:rsidRPr="00576ED7">
        <w:rPr>
          <w:szCs w:val="24"/>
        </w:rPr>
        <w:lastRenderedPageBreak/>
        <w:t>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w:t>
      </w:r>
      <w:r w:rsidRPr="00576ED7">
        <w:rPr>
          <w:szCs w:val="24"/>
        </w:rPr>
        <w:t>h</w:t>
      </w:r>
      <w:r w:rsidRPr="00576ED7">
        <w:rPr>
          <w:szCs w:val="24"/>
        </w:rPr>
        <w:t xml:space="preserve">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w:t>
      </w:r>
      <w:r w:rsidRPr="00576ED7">
        <w:rPr>
          <w:i/>
          <w:szCs w:val="24"/>
        </w:rPr>
        <w:t>e</w:t>
      </w:r>
      <w:r w:rsidRPr="00576ED7">
        <w:rPr>
          <w:i/>
          <w:szCs w:val="24"/>
        </w:rPr>
        <w:t>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w:t>
      </w:r>
      <w:r w:rsidRPr="00576ED7">
        <w:rPr>
          <w:szCs w:val="24"/>
        </w:rPr>
        <w:t>x</w:t>
      </w:r>
      <w:r w:rsidRPr="00576ED7">
        <w:rPr>
          <w:szCs w:val="24"/>
        </w:rPr>
        <w:t>cise.  And the tax at issue here is similar to those.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Bromley</w:t>
      </w:r>
      <w:r w:rsidRPr="00576ED7">
        <w:rPr>
          <w:szCs w:val="24"/>
        </w:rPr>
        <w:t>, in which a gift tax was deemed an excise, is particularly instructive: The Court noted it was “a tax laid only upon the exercise of a single one of those po</w:t>
      </w:r>
      <w:r w:rsidRPr="00576ED7">
        <w:rPr>
          <w:szCs w:val="24"/>
        </w:rPr>
        <w:t>w</w:t>
      </w:r>
      <w:r w:rsidRPr="00576ED7">
        <w:rPr>
          <w:szCs w:val="24"/>
        </w:rPr>
        <w:t xml:space="preserve">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w:t>
      </w:r>
      <w:r w:rsidRPr="00576ED7">
        <w:rPr>
          <w:szCs w:val="24"/>
        </w:rPr>
        <w:t>p</w:t>
      </w:r>
      <w:r w:rsidRPr="00576ED7">
        <w:rPr>
          <w:szCs w:val="24"/>
        </w:rPr>
        <w:t>erty at fair market value is similarly laid upon an incidental power and not upon ownership, and hence is an excise.  Therefore, even if we were to accept Mu</w:t>
      </w:r>
      <w:r w:rsidRPr="00576ED7">
        <w:rPr>
          <w:szCs w:val="24"/>
        </w:rPr>
        <w:t>r</w:t>
      </w:r>
      <w:r w:rsidRPr="00576ED7">
        <w:rPr>
          <w:szCs w:val="24"/>
        </w:rPr>
        <w:t xml:space="preserve">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any event, even if a tax upon the sale of property is a direct tax upon the pro</w:t>
      </w:r>
      <w:r w:rsidRPr="00576ED7">
        <w:rPr>
          <w:szCs w:val="24"/>
        </w:rPr>
        <w:t>p</w:t>
      </w:r>
      <w:r w:rsidRPr="00576ED7">
        <w:rPr>
          <w:szCs w:val="24"/>
        </w:rPr>
        <w:t>erty itself, we do not believe Murphy’s situation involves a tax “upon the sale i</w:t>
      </w:r>
      <w:r w:rsidRPr="00576ED7">
        <w:rPr>
          <w:szCs w:val="24"/>
        </w:rPr>
        <w:t>t</w:t>
      </w:r>
      <w:r w:rsidRPr="00576ED7">
        <w:rPr>
          <w:szCs w:val="24"/>
        </w:rPr>
        <w:t xml:space="preserve">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w:t>
      </w:r>
      <w:r w:rsidRPr="00576ED7">
        <w:rPr>
          <w:szCs w:val="24"/>
        </w:rPr>
        <w:lastRenderedPageBreak/>
        <w:t xml:space="preserve">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w:t>
      </w:r>
      <w:r w:rsidRPr="00576ED7">
        <w:rPr>
          <w:szCs w:val="24"/>
        </w:rPr>
        <w:t>i</w:t>
      </w:r>
      <w:r w:rsidRPr="00576ED7">
        <w:rPr>
          <w:szCs w:val="24"/>
        </w:rPr>
        <w:t>ty used by Murphy was the legal system, but that hardly seems a significant di</w:t>
      </w:r>
      <w:r w:rsidRPr="00576ED7">
        <w:rPr>
          <w:szCs w:val="24"/>
        </w:rPr>
        <w:t>s</w:t>
      </w:r>
      <w:r w:rsidRPr="00576ED7">
        <w:rPr>
          <w:szCs w:val="24"/>
        </w:rPr>
        <w:t xml:space="preserve">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5"/>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w:t>
      </w:r>
      <w:r w:rsidRPr="00576ED7">
        <w:rPr>
          <w:szCs w:val="24"/>
        </w:rPr>
        <w:t>c</w:t>
      </w:r>
      <w:r w:rsidRPr="00576ED7">
        <w:rPr>
          <w:szCs w:val="24"/>
        </w:rPr>
        <w:t>tivities that may be prohibited altogether.... It extends to vocations or activities pursued as of common right.”) (footnote omitted).</w:t>
      </w:r>
    </w:p>
    <w:p w:rsidR="0049128E" w:rsidRPr="00576ED7" w:rsidRDefault="0049128E" w:rsidP="009A1BF0">
      <w:pPr>
        <w:widowControl w:val="0"/>
        <w:jc w:val="both"/>
        <w:rPr>
          <w:szCs w:val="24"/>
        </w:rPr>
      </w:pPr>
    </w:p>
    <w:p w:rsidR="0049128E" w:rsidRPr="00576ED7" w:rsidRDefault="0049128E" w:rsidP="009A1BF0">
      <w:pPr>
        <w:widowControl w:val="0"/>
        <w:ind w:left="720" w:hanging="720"/>
        <w:jc w:val="both"/>
        <w:rPr>
          <w:szCs w:val="24"/>
        </w:rPr>
      </w:pPr>
      <w:r w:rsidRPr="00576ED7">
        <w:rPr>
          <w:szCs w:val="24"/>
        </w:rPr>
        <w:t xml:space="preserve"> </w:t>
      </w:r>
      <w:r w:rsidRPr="00576ED7">
        <w:rPr>
          <w:szCs w:val="24"/>
        </w:rPr>
        <w:tab/>
        <w:t>2.  Uniformity</w:t>
      </w:r>
    </w:p>
    <w:p w:rsidR="0049128E" w:rsidRPr="00576ED7" w:rsidRDefault="0049128E" w:rsidP="009A1BF0">
      <w:pPr>
        <w:widowControl w:val="0"/>
        <w:jc w:val="both"/>
        <w:rPr>
          <w:szCs w:val="24"/>
        </w:rPr>
      </w:pPr>
      <w:r w:rsidRPr="00576ED7">
        <w:rPr>
          <w:szCs w:val="24"/>
        </w:rPr>
        <w:t>The Congress may not implement an excise tax that is not “uniform throughout the United States.”  U.S. Const. art. I, § 8, cl. 1. A “tax is uniform when it ope</w:t>
      </w:r>
      <w:r w:rsidRPr="00576ED7">
        <w:rPr>
          <w:szCs w:val="24"/>
        </w:rPr>
        <w:t>r</w:t>
      </w:r>
      <w:r w:rsidRPr="00576ED7">
        <w:rPr>
          <w:szCs w:val="24"/>
        </w:rPr>
        <w:t>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  Conclusion</w:t>
      </w:r>
    </w:p>
    <w:p w:rsidR="0049128E" w:rsidRPr="00576ED7" w:rsidRDefault="00E262F8" w:rsidP="009A1BF0">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39DB09E9" wp14:editId="2317F208">
                <wp:simplePos x="0" y="0"/>
                <wp:positionH relativeFrom="margin">
                  <wp:posOffset>2077720</wp:posOffset>
                </wp:positionH>
                <wp:positionV relativeFrom="paragraph">
                  <wp:posOffset>633095</wp:posOffset>
                </wp:positionV>
                <wp:extent cx="3136900" cy="1360805"/>
                <wp:effectExtent l="0" t="0" r="25400" b="1079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36080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163.6pt;margin-top:49.85pt;width:247pt;height:107.15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ZPKAIAAFwEAAAOAAAAZHJzL2Uyb0RvYy54bWysVNtu2zAMfR+wfxD0vthxtyw14hRdugwD&#10;ugvQ7gNoWY6FyaImKbG7rx8lp2l2wR6G+UEgReqQPCS9uhp7zQ7SeYWm4vNZzpk0AhtldhX/cr99&#10;seTMBzANaDSy4g/S86v182erwZaywA51Ix0jEOPLwVa8C8GWWeZFJ3vwM7TSkLFF10Mg1e2yxsFA&#10;6L3OijxfZAO6xjoU0nu6vZmMfJ3w21aK8KltvQxMV5xyC+l06azjma1XUO4c2E6JYxrwD1n0oAwF&#10;PUHdQAC2d+o3qF4Jhx7bMBPYZ9i2SshUA1Uzz3+p5q4DK1MtRI63J5r8/4MVHw+fHVNNxS8Lzgz0&#10;1KN7OQb2BkdWLCI/g/Ulud1Zcgwj3VOfU63e3qL46pnBTQdmJ6+dw6GT0FB+8/gyO3s64fgIUg8f&#10;sKE4sA+YgMbW9ZE8ooMROvXp4dSbmIugy4v5xeIyJ5MgG8n5Mn+VYkD5+Nw6H95J7FkUKu6o+Qke&#10;Drc+xHSgfHSJ0Txq1WyV1klxu3qjHTsADco2fUf0n9y0YQOFL+bE1t8x8vT9CaNXgUZeq77iy5MT&#10;lJG4t6ZJAxlA6UmmnLU5MhnJm2gMYz2mphUvY4RIc43NA3HrcBpxWkkSOnTfORtovCvuv+3BSc70&#10;e0P9eb2g7aF9OFfcuVKfK2AEQVU8cDaJmzDt0N46teso0jQRBq+pp61KbD9ldcyfRjg14bhucUfO&#10;9eT19FNY/wAAAP//AwBQSwMEFAAGAAgAAAAhAB/xIiXdAAAACgEAAA8AAABkcnMvZG93bnJldi54&#10;bWxMj8FOwzAMhu9IvENkJG4sbUFs65pOqBL3tYDgmDVeU9E4pcnW8vaYExzt/9Pvz8V+cYO44BR6&#10;TwrSVQICqfWmp07B68vz3QZEiJqMHjyhgm8MsC+vrwqdGz9TjZcmdoJLKORagY1xzKUMrUWnw8qP&#10;SJyd/OR05HHqpJn0zOVukFmSPEqne+ILVo9YWWw/m7NT4Ou6esuar8N7NZuqmw9LHD+sUrc3y9MO&#10;RMQl/sHwq8/qULLT0Z/JBDEouM/WGaMKtts1CAY2WcqLIyfpQwKyLOT/F8ofAAAA//8DAFBLAQIt&#10;ABQABgAIAAAAIQC2gziS/gAAAOEBAAATAAAAAAAAAAAAAAAAAAAAAABbQ29udGVudF9UeXBlc10u&#10;eG1sUEsBAi0AFAAGAAgAAAAhADj9If/WAAAAlAEAAAsAAAAAAAAAAAAAAAAALwEAAF9yZWxzLy5y&#10;ZWxzUEsBAi0AFAAGAAgAAAAhAAadtk8oAgAAXAQAAA4AAAAAAAAAAAAAAAAALgIAAGRycy9lMm9E&#10;b2MueG1sUEsBAi0AFAAGAAgAAAAhAB/xIiXdAAAACgEAAA8AAAAAAAAAAAAAAAAAggQAAGRycy9k&#10;b3ducmV2LnhtbFBLBQYAAAAABAAEAPMAAACM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w:t>
                      </w:r>
                      <w:r>
                        <w:rPr>
                          <w:rFonts w:ascii="Tw Cen MT" w:hAnsi="Tw Cen MT"/>
                        </w:rPr>
                        <w:t>e</w:t>
                      </w:r>
                      <w:r>
                        <w:rPr>
                          <w:rFonts w:ascii="Tw Cen MT" w:hAnsi="Tw Cen MT"/>
                        </w:rPr>
                        <w:t>ceived it.</w:t>
                      </w:r>
                    </w:p>
                  </w:txbxContent>
                </v:textbox>
                <w10:wrap type="square" side="largest" anchorx="margin"/>
              </v:shape>
            </w:pict>
          </mc:Fallback>
        </mc:AlternateContent>
      </w:r>
      <w:r w:rsidR="0049128E" w:rsidRPr="00576ED7">
        <w:rPr>
          <w:szCs w:val="24"/>
        </w:rPr>
        <w:t>For the foregoing reasons, we conclude (1) Murphy’s compensatory award was not received on account of personal physical injuries, and therefore is not exempt from taxation pursuant to § 104(a)(2) of the IRC; (2) the award is part of her “gross i</w:t>
      </w:r>
      <w:r w:rsidR="0049128E" w:rsidRPr="00576ED7">
        <w:rPr>
          <w:szCs w:val="24"/>
        </w:rPr>
        <w:t>n</w:t>
      </w:r>
      <w:r w:rsidR="0049128E" w:rsidRPr="00576ED7">
        <w:rPr>
          <w:szCs w:val="24"/>
        </w:rPr>
        <w:t>come,” as defined by § 61 of the IRC; and (3) the tax upon the award is an excise and not a direct tax subject to the a</w:t>
      </w:r>
      <w:r w:rsidR="0049128E" w:rsidRPr="00576ED7">
        <w:rPr>
          <w:szCs w:val="24"/>
        </w:rPr>
        <w:t>p</w:t>
      </w:r>
      <w:r w:rsidR="0049128E" w:rsidRPr="00576ED7">
        <w:rPr>
          <w:szCs w:val="24"/>
        </w:rPr>
        <w:t>portionment requirement of Article I, Section 9 of the Co</w:t>
      </w:r>
      <w:r w:rsidR="0049128E" w:rsidRPr="00576ED7">
        <w:rPr>
          <w:szCs w:val="24"/>
        </w:rPr>
        <w:t>n</w:t>
      </w:r>
      <w:r w:rsidR="0049128E" w:rsidRPr="00576ED7">
        <w:rPr>
          <w:szCs w:val="24"/>
        </w:rPr>
        <w:t xml:space="preserve">stitution.  The tax is uniform </w:t>
      </w:r>
      <w:r w:rsidR="0049128E" w:rsidRPr="00576ED7">
        <w:rPr>
          <w:szCs w:val="24"/>
        </w:rPr>
        <w:lastRenderedPageBreak/>
        <w:t>throughout the United States and therefore passes constitutional muster.  The judgment of the district court is accordingly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Affirmed</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Notice in the first footnote of the case, the court acknowledged an inconsiste</w:t>
      </w:r>
      <w:r w:rsidRPr="00576ED7">
        <w:rPr>
          <w:szCs w:val="24"/>
        </w:rPr>
        <w:t>n</w:t>
      </w:r>
      <w:r w:rsidRPr="00576ED7">
        <w:rPr>
          <w:szCs w:val="24"/>
        </w:rPr>
        <w:t xml:space="preserve">cy between a regulation and the Code.  Obviously, the Code prevails.  </w:t>
      </w:r>
      <w:r w:rsidRPr="00576ED7">
        <w:rPr>
          <w:i/>
          <w:szCs w:val="24"/>
        </w:rPr>
        <w:t>See</w:t>
      </w:r>
      <w:r w:rsidRPr="00576ED7">
        <w:rPr>
          <w:szCs w:val="24"/>
        </w:rPr>
        <w:t xml:space="preserve"> ch. 1, § VII </w:t>
      </w:r>
      <w:r w:rsidRPr="00576ED7">
        <w:rPr>
          <w:i/>
          <w:szCs w:val="24"/>
        </w:rPr>
        <w:t>supra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In the first paragraph of part IIC, the court states our second guiding principle of tax law: “There are exceptions to [the principle that we tax all of the income of a particular taxpayer once], but we usually must find those exceptions in the Code itself.”</w:t>
      </w:r>
    </w:p>
    <w:p w:rsidR="0049128E" w:rsidRPr="00576ED7" w:rsidRDefault="0049128E" w:rsidP="009A1BF0">
      <w:pPr>
        <w:widowControl w:val="0"/>
        <w:jc w:val="both"/>
        <w:rPr>
          <w:szCs w:val="24"/>
        </w:rPr>
      </w:pPr>
    </w:p>
    <w:p w:rsidR="0049128E" w:rsidRPr="00576ED7" w:rsidRDefault="000C4BD3" w:rsidP="009A1BF0">
      <w:pPr>
        <w:widowControl w:val="0"/>
        <w:jc w:val="both"/>
        <w:rPr>
          <w:szCs w:val="24"/>
        </w:rPr>
      </w:pPr>
      <w:r w:rsidRPr="00576ED7">
        <w:rPr>
          <w:noProof/>
          <w:szCs w:val="24"/>
        </w:rPr>
        <mc:AlternateContent>
          <mc:Choice Requires="wps">
            <w:drawing>
              <wp:anchor distT="152400" distB="152400" distL="152400" distR="152400" simplePos="0" relativeHeight="251642880" behindDoc="0" locked="0" layoutInCell="0" allowOverlap="1" wp14:anchorId="68ACF432" wp14:editId="4E211375">
                <wp:simplePos x="0" y="0"/>
                <wp:positionH relativeFrom="margin">
                  <wp:posOffset>-301625</wp:posOffset>
                </wp:positionH>
                <wp:positionV relativeFrom="paragraph">
                  <wp:posOffset>13970</wp:posOffset>
                </wp:positionV>
                <wp:extent cx="2900680" cy="2368550"/>
                <wp:effectExtent l="0" t="0" r="13970" b="1270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6855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23.75pt;margin-top:1.1pt;width:228.4pt;height:186.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7KgIAAFwEAAAOAAAAZHJzL2Uyb0RvYy54bWysVMGO0zAQvSPxD5bvNG1Qu23UdLV0KUJa&#10;FqRdPsBxnMTC9hjbbVK+nrHTlmqBCyIHy2OP38y8N5P17aAVOQjnJZiSziZTSoThUEvTlvTr8+7N&#10;khIfmKmZAiNKehSe3m5ev1r3thA5dKBq4QiCGF/0tqRdCLbIMs87oZmfgBUGLxtwmgU0XZvVjvWI&#10;rlWWT6eLrAdXWwdceI+n9+Ml3ST8phE8fG4aLwJRJcXcQlpdWqu4Zps1K1rHbCf5KQ32D1loJg0G&#10;vUDds8DI3snfoLTkDjw0YcJBZ9A0kotUA1Yzm76o5qljVqRakBxvLzT5/wfLHw9fHJF1SVczSgzT&#10;qNGzGAJ5BwPJbyI/vfUFuj1ZdAwDnqPOqVZvH4B/88TAtmOmFXfOQd8JVmN+s/gyu3o64vgIUvWf&#10;oMY4bB8gAQ2N05E8pIMgOup0vGgTc+F4mK9Q7SVecbzL3y6W83lSL2PF+bl1PnwQoEnclNSh+Ame&#10;HR58iOmw4uwSo3lQst5JpZLh2mqrHDkwbJRd+lIFL9yUIT0Wl89W+UjBXzGm6fsThpYBW15JXdLl&#10;xYkVkbj3pk4NGZhU4x5zVubEZCRvpDEM1ZBEy+dnhSqoj8itg7HFcSRx04H7QUmP7V1S/33PnKBE&#10;fTSoz80Cpwfn4dpw10Z1bTDDEaqkgZJxuw3jDO2tk22HkcaOMHCHmjYysR3FH7M65Y8tnEQ4jVuc&#10;kWs7ef36KWx+AgAA//8DAFBLAwQUAAYACAAAACEA6cWRB90AAAAJAQAADwAAAGRycy9kb3ducmV2&#10;LnhtbEyPwU7DMBBE70j8g7VI3FqHtKUQsqlQJO5NALVHN17iiHgdYrcJf485wXE0o5k3+W62vbjQ&#10;6DvHCHfLBARx43THLcLb68viAYQPirXqHRPCN3nYFddXucq0m7iiSx1aEUvYZwrBhDBkUvrGkFV+&#10;6Qbi6H240aoQ5dhKPaoplttepklyL63qOC4YNVBpqPmszxbBVVX5ntZf+0M56bKd9nMYjgbx9mZ+&#10;fgIRaA5/YfjFj+hQRKaTO7P2okdYrLebGEVIUxDRXyePKxAnhNV2k4Iscvn/QfEDAAD//wMAUEsB&#10;Ai0AFAAGAAgAAAAhALaDOJL+AAAA4QEAABMAAAAAAAAAAAAAAAAAAAAAAFtDb250ZW50X1R5cGVz&#10;XS54bWxQSwECLQAUAAYACAAAACEAOP0h/9YAAACUAQAACwAAAAAAAAAAAAAAAAAvAQAAX3JlbHMv&#10;LnJlbHNQSwECLQAUAAYACAAAACEABSIP+yoCAABcBAAADgAAAAAAAAAAAAAAAAAuAgAAZHJzL2Uy&#10;b0RvYy54bWxQSwECLQAUAAYACAAAACEA6cWRB90AAAAJAQAADwAAAAAAAAAAAAAAAACEBAAAZHJz&#10;L2Rvd25yZXYueG1sUEsFBgAAAAAEAAQA8wAAAI4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w:t>
                      </w:r>
                      <w:r>
                        <w:rPr>
                          <w:rFonts w:ascii="Tw Cen MT" w:hAnsi="Tw Cen MT"/>
                        </w:rPr>
                        <w:t>l</w:t>
                      </w:r>
                      <w:r>
                        <w:rPr>
                          <w:rFonts w:ascii="Tw Cen MT" w:hAnsi="Tw Cen MT"/>
                        </w:rPr>
                        <w:t>lars – not in terms of emotional well-being or happiness.  These latter concepts are real enough, but not capable of valuation in terms of money.  While tort law may stru</w:t>
                      </w:r>
                      <w:r>
                        <w:rPr>
                          <w:rFonts w:ascii="Tw Cen MT" w:hAnsi="Tw Cen MT"/>
                        </w:rPr>
                        <w:t>c</w:t>
                      </w:r>
                      <w:r>
                        <w:rPr>
                          <w:rFonts w:ascii="Tw Cen MT" w:hAnsi="Tw Cen MT"/>
                        </w:rPr>
                        <w:t>ture an after-the-fact exchange of money for emotional well-being, tax law does not recognize the non-monetary aspects of the exchange – except as § 104 otherwise pr</w:t>
                      </w:r>
                      <w:r>
                        <w:rPr>
                          <w:rFonts w:ascii="Tw Cen MT" w:hAnsi="Tw Cen MT"/>
                        </w:rPr>
                        <w:t>o</w:t>
                      </w:r>
                      <w:r>
                        <w:rPr>
                          <w:rFonts w:ascii="Tw Cen MT" w:hAnsi="Tw Cen MT"/>
                        </w:rPr>
                        <w:t>vides.</w:t>
                      </w:r>
                    </w:p>
                  </w:txbxContent>
                </v:textbox>
                <w10:wrap type="square" side="largest" anchorx="margin"/>
              </v:shape>
            </w:pict>
          </mc:Fallback>
        </mc:AlternateContent>
      </w:r>
      <w:r w:rsidR="0049128E" w:rsidRPr="00576ED7">
        <w:rPr>
          <w:szCs w:val="24"/>
        </w:rPr>
        <w:t>3.  What is supposed to determine the measure of compensatory da</w:t>
      </w:r>
      <w:r w:rsidR="0049128E" w:rsidRPr="00576ED7">
        <w:rPr>
          <w:szCs w:val="24"/>
        </w:rPr>
        <w:t>m</w:t>
      </w:r>
      <w:r w:rsidR="0049128E" w:rsidRPr="00576ED7">
        <w:rPr>
          <w:szCs w:val="24"/>
        </w:rPr>
        <w:t>ages in tort law? Exactly what is the “restoration of capital” argument that the Attorney Ge</w:t>
      </w:r>
      <w:r w:rsidR="0049128E" w:rsidRPr="00576ED7">
        <w:rPr>
          <w:szCs w:val="24"/>
        </w:rPr>
        <w:t>n</w:t>
      </w:r>
      <w:r w:rsidR="0049128E" w:rsidRPr="00576ED7">
        <w:rPr>
          <w:szCs w:val="24"/>
        </w:rPr>
        <w:t xml:space="preserve">eral bought into in the early days of the income tax? </w:t>
      </w:r>
      <w:r w:rsidR="0049128E" w:rsidRPr="00576ED7">
        <w:rPr>
          <w:i/>
          <w:szCs w:val="24"/>
        </w:rPr>
        <w:t>See</w:t>
      </w:r>
      <w:r w:rsidR="0049128E" w:rsidRPr="00576ED7">
        <w:rPr>
          <w:szCs w:val="24"/>
        </w:rPr>
        <w:t xml:space="preserve"> </w:t>
      </w:r>
      <w:r w:rsidR="0049128E" w:rsidRPr="00576ED7">
        <w:rPr>
          <w:i/>
          <w:szCs w:val="24"/>
        </w:rPr>
        <w:t>Clark v. Commissioner</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9A1BF0">
      <w:pPr>
        <w:widowControl w:val="0"/>
        <w:ind w:left="5716"/>
        <w:jc w:val="both"/>
        <w:rPr>
          <w:szCs w:val="24"/>
        </w:rPr>
      </w:pPr>
      <w:r w:rsidRPr="00576ED7">
        <w:rPr>
          <w:szCs w:val="24"/>
        </w:rPr>
        <w:t>•Why is this argument no longer persuasive?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What is a direct tax under the Constitution? What taxes do we know are direct taxes? What is the constitutional limitation upon Co</w:t>
      </w:r>
      <w:r w:rsidRPr="00576ED7">
        <w:rPr>
          <w:szCs w:val="24"/>
        </w:rPr>
        <w:t>n</w:t>
      </w:r>
      <w:r w:rsidRPr="00576ED7">
        <w:rPr>
          <w:szCs w:val="24"/>
        </w:rPr>
        <w:t>gress’s power to enact direct taxes?</w:t>
      </w:r>
    </w:p>
    <w:p w:rsidR="0049128E" w:rsidRPr="00576ED7" w:rsidRDefault="0049128E" w:rsidP="009A1BF0">
      <w:pPr>
        <w:widowControl w:val="0"/>
        <w:ind w:left="720"/>
        <w:jc w:val="both"/>
        <w:rPr>
          <w:szCs w:val="24"/>
        </w:rPr>
      </w:pPr>
      <w:r w:rsidRPr="00576ED7">
        <w:rPr>
          <w:szCs w:val="24"/>
        </w:rPr>
        <w:t xml:space="preserve">•The Supreme Court’s most recent pronouncement on the subject came in </w:t>
      </w:r>
      <w:r w:rsidRPr="00576ED7">
        <w:rPr>
          <w:i/>
          <w:szCs w:val="24"/>
        </w:rPr>
        <w:t>National Federation of Independent Business v. Sebelius</w:t>
      </w:r>
      <w:r w:rsidRPr="00576ED7">
        <w:rPr>
          <w:szCs w:val="24"/>
        </w:rPr>
        <w:t>, 567 U.S. ___, 132 S. Ct. 2566 (2012):</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A tax on going without health insurance does not fall within any recognized category of direct tax. It is not a capitation. ... The whole point of the shared responsibility payment is that it is tri</w:t>
      </w:r>
      <w:r w:rsidRPr="00576ED7">
        <w:rPr>
          <w:szCs w:val="24"/>
        </w:rPr>
        <w:t>g</w:t>
      </w:r>
      <w:r w:rsidRPr="00576ED7">
        <w:rPr>
          <w:szCs w:val="24"/>
        </w:rPr>
        <w:lastRenderedPageBreak/>
        <w:t>gered by specific circumstances—earning a certain amount of i</w:t>
      </w:r>
      <w:r w:rsidRPr="00576ED7">
        <w:rPr>
          <w:szCs w:val="24"/>
        </w:rPr>
        <w:t>n</w:t>
      </w:r>
      <w:r w:rsidRPr="00576ED7">
        <w:rPr>
          <w:szCs w:val="24"/>
        </w:rPr>
        <w:t>come but not obtaining health insurance. The payment is also plainly not a tax on the ownership of land or personal property. The shared responsibility payment is thus not a direct tax that must be apportioned among the several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Id.</w:t>
      </w:r>
      <w:r w:rsidRPr="00576ED7">
        <w:rPr>
          <w:szCs w:val="24"/>
        </w:rPr>
        <w:t xml:space="preserve"> at ___, 132 S. Ct. at </w:t>
      </w:r>
      <w:r w:rsidR="000C4BD3" w:rsidRPr="00576ED7">
        <w:rPr>
          <w:szCs w:val="24"/>
        </w:rPr>
        <w:t>2599</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is an indirect tax under the Constitution? What taxes do we know are indirect taxes? What is the constitutional limitation upon Congress’s power to e</w:t>
      </w:r>
      <w:r w:rsidRPr="00576ED7">
        <w:rPr>
          <w:szCs w:val="24"/>
        </w:rPr>
        <w:t>n</w:t>
      </w:r>
      <w:r w:rsidRPr="00576ED7">
        <w:rPr>
          <w:szCs w:val="24"/>
        </w:rPr>
        <w:t>act indirect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6.  The court provides a good review of the power of Congress to impose taxes </w:t>
      </w:r>
      <w:r w:rsidRPr="00576ED7">
        <w:rPr>
          <w:i/>
          <w:szCs w:val="24"/>
        </w:rPr>
        <w:t>aside from</w:t>
      </w:r>
      <w:r w:rsidRPr="00576ED7">
        <w:rPr>
          <w:szCs w:val="24"/>
        </w:rPr>
        <w:t xml:space="preserve"> the income tax.  The court </w:t>
      </w:r>
      <w:r w:rsidR="00AF7F1D" w:rsidRPr="00576ED7">
        <w:rPr>
          <w:szCs w:val="24"/>
        </w:rPr>
        <w:t xml:space="preserve">acknowledged </w:t>
      </w:r>
      <w:r w:rsidRPr="00576ED7">
        <w:rPr>
          <w:szCs w:val="24"/>
        </w:rPr>
        <w:t xml:space="preserve">that a tax on tort damages for emotional distress </w:t>
      </w:r>
      <w:r w:rsidR="00AF7F1D" w:rsidRPr="00576ED7">
        <w:rPr>
          <w:szCs w:val="24"/>
        </w:rPr>
        <w:t xml:space="preserve">might </w:t>
      </w:r>
      <w:r w:rsidRPr="00576ED7">
        <w:rPr>
          <w:i/>
          <w:szCs w:val="24"/>
        </w:rPr>
        <w:t>not</w:t>
      </w:r>
      <w:r w:rsidRPr="00576ED7">
        <w:rPr>
          <w:szCs w:val="24"/>
        </w:rPr>
        <w:t xml:space="preserve"> </w:t>
      </w:r>
      <w:r w:rsidR="00AF7F1D" w:rsidRPr="00576ED7">
        <w:rPr>
          <w:szCs w:val="24"/>
        </w:rPr>
        <w:t xml:space="preserve">be </w:t>
      </w:r>
      <w:r w:rsidRPr="00576ED7">
        <w:rPr>
          <w:szCs w:val="24"/>
        </w:rPr>
        <w:t>a tax on income in the constitutional sense (i.e., Sixteenth Amendment) of the word.  How should this affect the fact that all items of gross income are added together and form the bases of other important el</w:t>
      </w:r>
      <w:r w:rsidRPr="00576ED7">
        <w:rPr>
          <w:szCs w:val="24"/>
        </w:rPr>
        <w:t>e</w:t>
      </w:r>
      <w:r w:rsidRPr="00576ED7">
        <w:rPr>
          <w:szCs w:val="24"/>
        </w:rPr>
        <w:t xml:space="preserve">ments of the income tax, e.g., AGI, tax brackets applicable to </w:t>
      </w:r>
      <w:r w:rsidRPr="00576ED7">
        <w:rPr>
          <w:i/>
          <w:szCs w:val="24"/>
        </w:rPr>
        <w:t>all</w:t>
      </w:r>
      <w:r w:rsidRPr="00576ED7">
        <w:rPr>
          <w:szCs w:val="24"/>
        </w:rPr>
        <w:t xml:space="preserve"> income.  </w:t>
      </w:r>
      <w:r w:rsidR="00AF7F1D" w:rsidRPr="00576ED7">
        <w:rPr>
          <w:szCs w:val="24"/>
        </w:rPr>
        <w:t xml:space="preserve">Might </w:t>
      </w:r>
      <w:r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Do you think that taxpayer Murphy would place more value on her pre-event emotional tranquility and happiness or on her post-event emotional tranquility, happiness, and $70,000?</w:t>
      </w:r>
    </w:p>
    <w:p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The court cited the case of </w:t>
      </w:r>
      <w:r w:rsidRPr="00576ED7">
        <w:rPr>
          <w:i/>
          <w:szCs w:val="24"/>
        </w:rPr>
        <w:t>Penn Mut. Indem. Co. v. Comm’r</w:t>
      </w:r>
      <w:r w:rsidRPr="00576ED7">
        <w:rPr>
          <w:szCs w:val="24"/>
        </w:rPr>
        <w:t xml:space="preserve">, 277 F.2d 16, 20 (CA3 1960) with this parenthetical: “Congress has the power to impose taxes generally, and if the particular imposition does not run afoul of any constitutional restrictions then the tax is lawful, call it what you will.”  In </w:t>
      </w:r>
      <w:r w:rsidRPr="00576ED7">
        <w:rPr>
          <w:i/>
          <w:szCs w:val="24"/>
        </w:rPr>
        <w:t>National Federation of Independent Business v. Sebelius</w:t>
      </w:r>
      <w:r w:rsidRPr="00576ED7">
        <w:rPr>
          <w:szCs w:val="24"/>
        </w:rPr>
        <w:t xml:space="preserve">, 567 U.S. ___, 132 S. Ct. 2566 (2012), the Supreme Court “confirmed” a “functional approach” to whether an assessment is a tax.  567 U.S. at ___, 132 S. Ct. at </w:t>
      </w:r>
      <w:r w:rsidR="00AF7F1D" w:rsidRPr="00576ED7">
        <w:rPr>
          <w:szCs w:val="24"/>
        </w:rPr>
        <w:t>2594-96</w:t>
      </w:r>
      <w:r w:rsidRPr="00576ED7">
        <w:rPr>
          <w:szCs w:val="24"/>
        </w:rPr>
        <w:t xml:space="preserve"> (“shared responsibility payment” actually a “tax,” even though called a “penalty”).</w:t>
      </w:r>
    </w:p>
    <w:p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Pr="00576ED7">
        <w:rPr>
          <w:szCs w:val="24"/>
        </w:rPr>
        <w:t xml:space="preserve">, the Supreme Court said: “Congress cannot by any definition [of “income”] it may adopt conclude the matter, since it cannot by legislation alter the Constitution, from which alone it derives its power to legislate, and within whose limitations alone that power can be </w:t>
      </w:r>
      <w:r w:rsidRPr="00576ED7">
        <w:rPr>
          <w:szCs w:val="24"/>
        </w:rPr>
        <w:lastRenderedPageBreak/>
        <w:t>lawfully exercised.”</w:t>
      </w:r>
    </w:p>
    <w:p w:rsidR="0049128E" w:rsidRPr="00576ED7" w:rsidRDefault="0049128E" w:rsidP="009A1BF0">
      <w:pPr>
        <w:widowControl w:val="0"/>
        <w:ind w:left="1440"/>
        <w:jc w:val="both"/>
        <w:rPr>
          <w:szCs w:val="24"/>
        </w:rPr>
      </w:pPr>
      <w:r w:rsidRPr="00576ED7">
        <w:rPr>
          <w:szCs w:val="24"/>
        </w:rPr>
        <w:t>•Are these positions inconsistent?</w:t>
      </w:r>
    </w:p>
    <w:p w:rsidR="0049128E" w:rsidRPr="00576ED7" w:rsidRDefault="0049128E" w:rsidP="009A1BF0">
      <w:pPr>
        <w:widowControl w:val="0"/>
        <w:ind w:left="720"/>
        <w:jc w:val="both"/>
        <w:rPr>
          <w:szCs w:val="24"/>
        </w:rPr>
      </w:pPr>
      <w:r w:rsidRPr="00576ED7">
        <w:rPr>
          <w:szCs w:val="24"/>
        </w:rPr>
        <w:t>•Does this imply that Congress can enact a tax – assuming that the legisl</w:t>
      </w:r>
      <w:r w:rsidRPr="00576ED7">
        <w:rPr>
          <w:szCs w:val="24"/>
        </w:rPr>
        <w:t>a</w:t>
      </w:r>
      <w:r w:rsidRPr="00576ED7">
        <w:rPr>
          <w:szCs w:val="24"/>
        </w:rPr>
        <w:t>tive proposal originates in the House of Representatives – and later search for its constitutional underpinning?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4" w:name="_Toc375132921"/>
      <w:r w:rsidRPr="00576ED7">
        <w:t>II.  The Constitutional and Statutory Definitions of “Gross I</w:t>
      </w:r>
      <w:r w:rsidRPr="00576ED7">
        <w:t>n</w:t>
      </w:r>
      <w:r w:rsidRPr="00576ED7">
        <w:t>come:”  Accessions to Wealth</w:t>
      </w:r>
      <w:bookmarkEnd w:id="34"/>
      <w:r w:rsidRPr="00576ED7">
        <w:fldChar w:fldCharType="begin"/>
      </w:r>
      <w:r w:rsidRPr="00576ED7">
        <w:instrText xml:space="preserve"> TC \l1 "II.  The Constitutional and Statutory Definitions of “Gross Income:”  Accessions to Wealth</w:instrText>
      </w:r>
      <w:r w:rsidRPr="00576ED7">
        <w:fldChar w:fldCharType="end"/>
      </w:r>
    </w:p>
    <w:p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Consider now the many forms that an “accession to wealth” can take.  Section 61(a) of the Code provides a non-exclusive list of fifteen items.  Obviously, “gross income” includes compensation for services.  § 61(a)(1).  We should not be especially surprised that “gross income” includes the other items on the list.  However, the first sentence of § 61(a) does not limit “gross income” to the items on this list.  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TAFT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August 3, 1916, the American Woolen Company had adopted the following res</w:t>
      </w:r>
      <w:r w:rsidRPr="00576ED7">
        <w:rPr>
          <w:szCs w:val="24"/>
        </w:rPr>
        <w:t>o</w:t>
      </w:r>
      <w:r w:rsidRPr="00576ED7">
        <w:rPr>
          <w:szCs w:val="24"/>
        </w:rPr>
        <w:t>lution, which was in effect in 1919 and 1920:</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“Voted: That this company pay any and all income taxes, state and Fede</w:t>
      </w:r>
      <w:r w:rsidRPr="00576ED7">
        <w:rPr>
          <w:szCs w:val="24"/>
        </w:rPr>
        <w:t>r</w:t>
      </w:r>
      <w:r w:rsidRPr="00576ED7">
        <w:rPr>
          <w:szCs w:val="24"/>
        </w:rPr>
        <w:t xml:space="preserve">al, that may hereafter become due and payable upon the salaries of all the </w:t>
      </w:r>
      <w:r w:rsidRPr="00576ED7">
        <w:rPr>
          <w:szCs w:val="24"/>
        </w:rPr>
        <w:lastRenderedPageBreak/>
        <w:t>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rsidR="0049128E" w:rsidRPr="00576ED7" w:rsidRDefault="0049128E" w:rsidP="009A1BF0">
      <w:pPr>
        <w:widowControl w:val="0"/>
        <w:ind w:left="720"/>
        <w:jc w:val="both"/>
        <w:rPr>
          <w:szCs w:val="24"/>
        </w:rPr>
      </w:pPr>
      <w:r w:rsidRPr="00576ED7">
        <w:rPr>
          <w:szCs w:val="24"/>
        </w:rPr>
        <w:t>Taxes for 1918 paid in 1919 . . . . $681,169 88</w:t>
      </w:r>
    </w:p>
    <w:p w:rsidR="0049128E" w:rsidRPr="00576ED7" w:rsidRDefault="0049128E" w:rsidP="009A1BF0">
      <w:pPr>
        <w:widowControl w:val="0"/>
        <w:ind w:left="720"/>
        <w:jc w:val="both"/>
        <w:rPr>
          <w:szCs w:val="24"/>
        </w:rPr>
      </w:pPr>
      <w:r w:rsidRPr="00576ED7">
        <w:rPr>
          <w:szCs w:val="24"/>
        </w:rPr>
        <w:t>Taxes for 1919 paid in 1920 . . . . $351,179 27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certified by the circuit court of appeals for answer by this Court is: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w:t>
      </w:r>
      <w:r w:rsidRPr="00576ED7">
        <w:rPr>
          <w:szCs w:val="24"/>
        </w:rPr>
        <w:t>d</w:t>
      </w:r>
      <w:r w:rsidRPr="00576ED7">
        <w:rPr>
          <w:szCs w:val="24"/>
        </w:rPr>
        <w:t>eration of the services rendered by the employee, and was again derived by the employee from his labor.  The form of the payment is expressly declared to make no difference.  Section 213, Revenue Act of 1918, c. 18, 40 Stat. 1065 [§ 61].  It is therefore immaterial that the taxes were directly paid over to the government.  The discharge by a third person of an obligation to him is equivalent to receipt by the person taxed.  The certificate shows that the taxes were imposed upon the e</w:t>
      </w:r>
      <w:r w:rsidRPr="00576ED7">
        <w:rPr>
          <w:szCs w:val="24"/>
        </w:rPr>
        <w:t>m</w:t>
      </w:r>
      <w:r w:rsidRPr="00576ED7">
        <w:rPr>
          <w:szCs w:val="24"/>
        </w:rPr>
        <w:t xml:space="preserve">ployee, that the taxes were actually paid by the employer, and that the employee entered upon his duties in the years in question under the express agreement that </w:t>
      </w:r>
      <w:r w:rsidRPr="00576ED7">
        <w:rPr>
          <w:szCs w:val="24"/>
        </w:rPr>
        <w:lastRenderedPageBreak/>
        <w:t>his income taxes would be paid by his employer. ... The taxes were paid upon a valuable consideration – namely, the services rendered by the employee and as part of the compensation therefor. We think, therefore, that the payment constitu</w:t>
      </w:r>
      <w:r w:rsidRPr="00576ED7">
        <w:rPr>
          <w:szCs w:val="24"/>
        </w:rPr>
        <w:t>t</w:t>
      </w:r>
      <w:r w:rsidRPr="00576ED7">
        <w:rPr>
          <w:szCs w:val="24"/>
        </w:rPr>
        <w:t>ed income to the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rsidR="0049128E" w:rsidRPr="00576ED7" w:rsidRDefault="0049128E" w:rsidP="009A1BF0">
      <w:pPr>
        <w:widowControl w:val="0"/>
        <w:jc w:val="both"/>
        <w:rPr>
          <w:szCs w:val="24"/>
        </w:rPr>
      </w:pPr>
      <w:r w:rsidRPr="00576ED7">
        <w:rPr>
          <w:szCs w:val="24"/>
        </w:rPr>
        <w:t>It is next argued against the payment of this tax that, if these payments by the e</w:t>
      </w:r>
      <w:r w:rsidRPr="00576ED7">
        <w:rPr>
          <w:szCs w:val="24"/>
        </w:rPr>
        <w:t>m</w:t>
      </w:r>
      <w:r w:rsidRPr="00576ED7">
        <w:rPr>
          <w:szCs w:val="24"/>
        </w:rPr>
        <w:t>ployer constitute income to the employee, the employee will be called upon to pay the tax imposed upon this additional income, and that the payment of the add</w:t>
      </w:r>
      <w:r w:rsidRPr="00576ED7">
        <w:rPr>
          <w:szCs w:val="24"/>
        </w:rPr>
        <w:t>i</w:t>
      </w:r>
      <w:r w:rsidRPr="00576ED7">
        <w:rPr>
          <w:szCs w:val="24"/>
        </w:rPr>
        <w:t>tional tax will create further income which will in turn be subject to tax, with the result that there would be a tax upon a tax.  This, it is urged, is the result of the government’s theory, when carried to its logical conclusion, and results in an a</w:t>
      </w:r>
      <w:r w:rsidRPr="00576ED7">
        <w:rPr>
          <w:szCs w:val="24"/>
        </w:rPr>
        <w:t>b</w:t>
      </w:r>
      <w:r w:rsidRPr="00576ED7">
        <w:rPr>
          <w:szCs w:val="24"/>
        </w:rPr>
        <w:t>surdity which Congress could not have contemplated.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first place, no attempt has been made by the Treasury to collect further ta</w:t>
      </w:r>
      <w:r w:rsidRPr="00576ED7">
        <w:rPr>
          <w:szCs w:val="24"/>
        </w:rPr>
        <w:t>x</w:t>
      </w:r>
      <w:r w:rsidRPr="00576ED7">
        <w:rPr>
          <w:szCs w:val="24"/>
        </w:rPr>
        <w:t>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w:t>
      </w:r>
      <w:r w:rsidRPr="00576ED7">
        <w:rPr>
          <w:szCs w:val="24"/>
        </w:rPr>
        <w:t>t</w:t>
      </w:r>
      <w:r w:rsidRPr="00576ED7">
        <w:rPr>
          <w:szCs w:val="24"/>
        </w:rPr>
        <w:t>ted].  It is not, therefore, necessary to answer the argument based upon an algebr</w:t>
      </w:r>
      <w:r w:rsidRPr="00576ED7">
        <w:rPr>
          <w:szCs w:val="24"/>
        </w:rPr>
        <w:t>a</w:t>
      </w:r>
      <w:r w:rsidRPr="00576ED7">
        <w:rPr>
          <w:szCs w:val="24"/>
        </w:rPr>
        <w:t>ic formula to reach the amount of taxes due.  The question in this case is, “Did the payment by the employer of the income taxes assessable against the employee constitute additional taxable income to such employee?”  The answer must be “Yes.”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Separate opinion of MR. JUSTICE McREYNOLDS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Taxpayers pay their federal income taxes from after-tax income.  This was not always true.  Act of Oct. 3, 1913, entitled “An act to reduce tariff duties and to provide revenue for the Government and for other purposes,” part IIB, granted a deduction for national taxes paid.  After Congress repealed this deduction, the American Woolen Company began paying William Wood’s federal income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2.  The Court seems to say both that taxpayer received additional compensation (taxable) and that taxpayer benefitted from third-party satisfaction of an oblig</w:t>
      </w:r>
      <w:r w:rsidRPr="00576ED7">
        <w:rPr>
          <w:szCs w:val="24"/>
        </w:rPr>
        <w:t>a</w:t>
      </w:r>
      <w:r w:rsidRPr="00576ED7">
        <w:rPr>
          <w:szCs w:val="24"/>
        </w:rPr>
        <w:t>tion (also taxable).</w:t>
      </w:r>
    </w:p>
    <w:p w:rsidR="0049128E" w:rsidRPr="00576ED7" w:rsidRDefault="000D5191" w:rsidP="009A1BF0">
      <w:pPr>
        <w:widowControl w:val="0"/>
        <w:jc w:val="both"/>
        <w:rPr>
          <w:szCs w:val="24"/>
        </w:rPr>
      </w:pPr>
      <w:r w:rsidRPr="00576ED7">
        <w:rPr>
          <w:noProof/>
          <w:szCs w:val="24"/>
        </w:rPr>
        <mc:AlternateContent>
          <mc:Choice Requires="wps">
            <w:drawing>
              <wp:anchor distT="152400" distB="152400" distL="152400" distR="152400" simplePos="0" relativeHeight="251643904" behindDoc="0" locked="0" layoutInCell="0" allowOverlap="1" wp14:anchorId="65F43B8E" wp14:editId="659D9E6F">
                <wp:simplePos x="0" y="0"/>
                <wp:positionH relativeFrom="margin">
                  <wp:posOffset>2098675</wp:posOffset>
                </wp:positionH>
                <wp:positionV relativeFrom="paragraph">
                  <wp:posOffset>83185</wp:posOffset>
                </wp:positionV>
                <wp:extent cx="3736340" cy="1849120"/>
                <wp:effectExtent l="0" t="0" r="16510" b="17780"/>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84912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FF5E72" w:rsidRDefault="00FF5E72" w:rsidP="00C83815">
                            <w:pPr>
                              <w:widowControl w:val="0"/>
                              <w:jc w:val="both"/>
                              <w:rPr>
                                <w:rFonts w:ascii="Tw Cen MT" w:hAnsi="Tw Cen MT"/>
                              </w:rPr>
                            </w:pPr>
                            <w:r>
                              <w:rPr>
                                <w:rFonts w:ascii="Tw Cen MT" w:hAnsi="Tw Cen MT"/>
                              </w:rPr>
                              <w:t>•No.</w:t>
                            </w:r>
                          </w:p>
                          <w:p w:rsidR="00FF5E72" w:rsidRDefault="00FF5E72"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FF5E72" w:rsidRDefault="00FF5E72" w:rsidP="00C83815">
                            <w:pPr>
                              <w:widowControl w:val="0"/>
                              <w:jc w:val="both"/>
                              <w:rPr>
                                <w:rFonts w:ascii="Tw Cen MT" w:hAnsi="Tw Cen MT"/>
                              </w:rPr>
                            </w:pPr>
                            <w:r>
                              <w:rPr>
                                <w:rFonts w:ascii="Tw Cen MT" w:hAnsi="Tw Cen MT"/>
                              </w:rPr>
                              <w:t>•We call such a computation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165.25pt;margin-top:6.55pt;width:294.2pt;height:145.6pt;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keKwIAAFwEAAAOAAAAZHJzL2Uyb0RvYy54bWysVNuO2yAQfa/Uf0C8N46dVTax4qy22aaq&#10;tL1Iu/0AjHGMCgwFEjv9+g44SaNt+1LVD4iB4czMOTNe3Q1akYNwXoKpaD6ZUiIMh0aaXUW/Pm/f&#10;LCjxgZmGKTCiokfh6d369atVb0tRQAeqEY4giPFlbyvahWDLLPO8E5r5CVhh8LIFp1lA0+2yxrEe&#10;0bXKiul0nvXgGuuAC+/x9GG8pOuE37aCh89t60UgqqKYW0irS2sd12y9YuXOMdtJfkqD/UMWmkmD&#10;QS9QDywwsnfyNygtuQMPbZhw0Bm0reQi1YDV5NMX1Tx1zIpUC5Lj7YUm//9g+afDF0dkU9El0mOY&#10;Ro2exRDIWxhIsYj89NaX6PZk0TEMeI46p1q9fQT+zRMDm46Znbh3DvpOsAbzy+PL7OrpiOMjSN1/&#10;hAbjsH2ABDS0TkfykA6C6JjI8aJNzIXj4ex2Np/d4BXHu3xxs8yLpF7GyvNz63x4L0CTuKmoQ/ET&#10;PDs8+hDTYeXZJUbzoGSzlUolw+3qjXLkwLBRtulLFbxwU4b0GL7Il8VIwV8xpun7E4aWAVteSV3R&#10;xcWJlZG4d6ZJDRmYVOMec1bmxGQkb6QxDPWQRCvmZ4VqaI7IrYOxxXEkcdOB+0FJj+1dUf99z5yg&#10;RH0wqM/tHKcH5+HacNdGfW0wwxGqooGScbsJ4wztrZO7DiONHWHgHjVtZWI7ij9mdcofWziJcBq3&#10;OCPXdvL69VNY/wQAAP//AwBQSwMEFAAGAAgAAAAhAEv+LlrdAAAACgEAAA8AAABkcnMvZG93bnJl&#10;di54bWxMj8FOwzAQRO9I/IO1SNyokwZQm8apUCTuTQDB0Y2XOGq8DrHbhL9nOcFx9UYzb4v94gZx&#10;wSn0nhSkqwQEUutNT52C15fnuw2IEDUZPXhCBd8YYF9eXxU6N36mGi9N7ASXUMi1AhvjmEsZWotO&#10;h5UfkZh9+snpyOfUSTPpmcvdINdJ8iid7okXrB6xstiemrNT4Ou6els3X4f3ajZVNx+WOH5YpW5v&#10;lqcdiIhL/AvDrz6rQ8lOR38mE8SgIMuSB44yyFIQHNimmy2II5PkPgNZFvL/C+UPAAAA//8DAFBL&#10;AQItABQABgAIAAAAIQC2gziS/gAAAOEBAAATAAAAAAAAAAAAAAAAAAAAAABbQ29udGVudF9UeXBl&#10;c10ueG1sUEsBAi0AFAAGAAgAAAAhADj9If/WAAAAlAEAAAsAAAAAAAAAAAAAAAAALwEAAF9yZWxz&#10;Ly5yZWxzUEsBAi0AFAAGAAgAAAAhAKSIiR4rAgAAXAQAAA4AAAAAAAAAAAAAAAAALgIAAGRycy9l&#10;Mm9Eb2MueG1sUEsBAi0AFAAGAAgAAAAhAEv+LlrdAAAACgEAAA8AAAAAAAAAAAAAAAAAhQQAAGRy&#10;cy9kb3ducmV2LnhtbFBLBQYAAAAABAAEAPMAAACP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FF5E72" w:rsidRDefault="00FF5E72" w:rsidP="00C83815">
                      <w:pPr>
                        <w:widowControl w:val="0"/>
                        <w:jc w:val="both"/>
                        <w:rPr>
                          <w:rFonts w:ascii="Tw Cen MT" w:hAnsi="Tw Cen MT"/>
                        </w:rPr>
                      </w:pPr>
                      <w:r>
                        <w:rPr>
                          <w:rFonts w:ascii="Tw Cen MT" w:hAnsi="Tw Cen MT"/>
                        </w:rPr>
                        <w:t>•No.</w:t>
                      </w:r>
                    </w:p>
                    <w:p w:rsidR="00FF5E72" w:rsidRDefault="00FF5E72" w:rsidP="00C83815">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w:t>
                      </w:r>
                      <w:r>
                        <w:rPr>
                          <w:rFonts w:ascii="Tw Cen MT" w:hAnsi="Tw Cen MT"/>
                        </w:rPr>
                        <w:t>i</w:t>
                      </w:r>
                      <w:r>
                        <w:rPr>
                          <w:rFonts w:ascii="Tw Cen MT" w:hAnsi="Tw Cen MT"/>
                        </w:rPr>
                        <w:t>ously, graduated tax rates would require some increme</w:t>
                      </w:r>
                      <w:r>
                        <w:rPr>
                          <w:rFonts w:ascii="Tw Cen MT" w:hAnsi="Tw Cen MT"/>
                        </w:rPr>
                        <w:t>n</w:t>
                      </w:r>
                      <w:r>
                        <w:rPr>
                          <w:rFonts w:ascii="Tw Cen MT" w:hAnsi="Tw Cen MT"/>
                        </w:rPr>
                        <w:t>tal computations.</w:t>
                      </w:r>
                    </w:p>
                    <w:p w:rsidR="00FF5E72" w:rsidRDefault="00FF5E72" w:rsidP="00C83815">
                      <w:pPr>
                        <w:widowControl w:val="0"/>
                        <w:jc w:val="both"/>
                        <w:rPr>
                          <w:rFonts w:ascii="Tw Cen MT" w:hAnsi="Tw Cen MT"/>
                        </w:rPr>
                      </w:pPr>
                      <w:r>
                        <w:rPr>
                          <w:rFonts w:ascii="Tw Cen MT" w:hAnsi="Tw Cen MT"/>
                        </w:rPr>
                        <w:t>•We call such a computation “grossing up.”</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3.  A taxpayer’s wealth i</w:t>
      </w:r>
      <w:r w:rsidRPr="00576ED7">
        <w:rPr>
          <w:szCs w:val="24"/>
        </w:rPr>
        <w:t>n</w:t>
      </w:r>
      <w:r w:rsidRPr="00576ED7">
        <w:rPr>
          <w:szCs w:val="24"/>
        </w:rPr>
        <w:t>creases when someone pays one of his/her obligations.  Thus, when taxpayer’s e</w:t>
      </w:r>
      <w:r w:rsidRPr="00576ED7">
        <w:rPr>
          <w:szCs w:val="24"/>
        </w:rPr>
        <w:t>m</w:t>
      </w:r>
      <w:r w:rsidRPr="00576ED7">
        <w:rPr>
          <w:szCs w:val="24"/>
        </w:rPr>
        <w:t>ployer pays taxpayer’s federal income taxes, taxpayer should include the amount of taxes in his/her gross income.  The principal is applicable in other contexts as well.</w:t>
      </w:r>
    </w:p>
    <w:p w:rsidR="0049128E" w:rsidRPr="00576ED7" w:rsidRDefault="0049128E" w:rsidP="009A1BF0">
      <w:pPr>
        <w:widowControl w:val="0"/>
        <w:ind w:left="720"/>
        <w:jc w:val="both"/>
        <w:rPr>
          <w:szCs w:val="24"/>
        </w:rPr>
      </w:pPr>
      <w:r w:rsidRPr="00576ED7">
        <w:rPr>
          <w:szCs w:val="24"/>
        </w:rPr>
        <w:t>•A key consideration is whether a third party makes a payment to satisfy an actual “obligation” of the taxpayer, or merely to “restore” to taxpayer “capital” rightfully b</w:t>
      </w:r>
      <w:r w:rsidRPr="00576ED7">
        <w:rPr>
          <w:szCs w:val="24"/>
        </w:rPr>
        <w:t>e</w:t>
      </w:r>
      <w:r w:rsidRPr="00576ED7">
        <w:rPr>
          <w:szCs w:val="24"/>
        </w:rPr>
        <w:t xml:space="preserve">longing to him/her.  </w:t>
      </w:r>
      <w:r w:rsidRPr="00576ED7">
        <w:rPr>
          <w:i/>
          <w:szCs w:val="24"/>
        </w:rPr>
        <w:t>See</w:t>
      </w:r>
      <w:r w:rsidRPr="00576ED7">
        <w:rPr>
          <w:szCs w:val="24"/>
        </w:rPr>
        <w:t xml:space="preserve"> </w:t>
      </w:r>
      <w:r w:rsidRPr="00576ED7">
        <w:rPr>
          <w:i/>
          <w:szCs w:val="24"/>
        </w:rPr>
        <w:t>Clark</w:t>
      </w:r>
      <w:r w:rsidRPr="00576ED7">
        <w:rPr>
          <w:szCs w:val="24"/>
        </w:rPr>
        <w:t xml:space="preserve"> </w:t>
      </w:r>
      <w:r w:rsidRPr="00576ED7">
        <w:rPr>
          <w:i/>
          <w:szCs w:val="24"/>
        </w:rPr>
        <w:t>infra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Opinion.  LEECH.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is a proceeding to redetermine a deficiency in income tax for the calendar year 1934 in the amount of $10,618.87.  The question presented is whether pet</w:t>
      </w:r>
      <w:r w:rsidRPr="00576ED7">
        <w:rPr>
          <w:szCs w:val="24"/>
        </w:rPr>
        <w:t>i</w:t>
      </w:r>
      <w:r w:rsidRPr="00576ED7">
        <w:rPr>
          <w:szCs w:val="24"/>
        </w:rPr>
        <w:t>tioner derived income by the payment to him of an amount of $19,941.10, by his tax counsel, to compensate him for a loss suffered on account of erroneous advice given him by the latter.  The facts were stipulated and ... so far as material, fo</w:t>
      </w:r>
      <w:r w:rsidRPr="00576ED7">
        <w:rPr>
          <w:szCs w:val="24"/>
        </w:rPr>
        <w:t>l</w:t>
      </w:r>
      <w:r w:rsidRPr="00576ED7">
        <w:rPr>
          <w:szCs w:val="24"/>
        </w:rPr>
        <w:t>low[]: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petitioner during the calendar year 1932, and for a considerable period pr</w:t>
      </w:r>
      <w:r w:rsidRPr="00576ED7">
        <w:rPr>
          <w:szCs w:val="24"/>
        </w:rPr>
        <w:t>i</w:t>
      </w:r>
      <w:r w:rsidRPr="00576ED7">
        <w:rPr>
          <w:szCs w:val="24"/>
        </w:rPr>
        <w:t>or thereto, was married and living with his wife.  He was required by the Revenue Act of 1932 to file a Federal Income Tax Return of his income for the year 1932.  For such year petitioner and his wife could have filed a joint return or separate returns.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Prior to the time that the 1932 Federal Income Tax return or returns of petitio</w:t>
      </w:r>
      <w:r w:rsidRPr="00576ED7">
        <w:rPr>
          <w:szCs w:val="24"/>
        </w:rPr>
        <w:t>n</w:t>
      </w:r>
      <w:r w:rsidRPr="00576ED7">
        <w:rPr>
          <w:szCs w:val="24"/>
        </w:rPr>
        <w:t xml:space="preserve">er and/or his wife were due to be filed, petitioner retained experienced counsel to </w:t>
      </w:r>
      <w:r w:rsidRPr="00576ED7">
        <w:rPr>
          <w:szCs w:val="24"/>
        </w:rPr>
        <w:lastRenderedPageBreak/>
        <w:t xml:space="preserve">prepare the necessary return or returns for him and/or his wife.  Such tax counsel prepared a joint return for petitioner and his wife and advised petitioner to file it instead of two separate returns.  In due course it was filed with the Collector of Internal Revenue for the First District of California.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 counsel had improperly deducted more than the allowable amount of cap</w:t>
      </w:r>
      <w:r w:rsidRPr="00576ED7">
        <w:rPr>
          <w:szCs w:val="24"/>
        </w:rPr>
        <w:t>i</w:t>
      </w:r>
      <w:r w:rsidRPr="00576ED7">
        <w:rPr>
          <w:szCs w:val="24"/>
        </w:rPr>
        <w:t>tal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w:t>
      </w:r>
      <w:r w:rsidRPr="00576ED7">
        <w:rPr>
          <w:szCs w:val="24"/>
        </w:rPr>
        <w:t>e</w:t>
      </w:r>
      <w:r w:rsidRPr="00576ED7">
        <w:rPr>
          <w:szCs w:val="24"/>
        </w:rPr>
        <w:t>quired to pay on the joint return as filed.  Petitioner accepted the $19,941.10.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In his final determination of petitioner’s 1934 tax liability, the respondent i</w:t>
      </w:r>
      <w:r w:rsidRPr="00576ED7">
        <w:rPr>
          <w:szCs w:val="24"/>
        </w:rPr>
        <w:t>n</w:t>
      </w:r>
      <w:r w:rsidRPr="00576ED7">
        <w:rPr>
          <w:szCs w:val="24"/>
        </w:rPr>
        <w:t xml:space="preserve">cluded the aforesaid $19,941.10 in income.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theory on which the respondent included the above sum of $19,941.10 in p</w:t>
      </w:r>
      <w:r w:rsidRPr="00576ED7">
        <w:rPr>
          <w:szCs w:val="24"/>
        </w:rPr>
        <w:t>e</w:t>
      </w:r>
      <w:r w:rsidRPr="00576ED7">
        <w:rPr>
          <w:szCs w:val="24"/>
        </w:rPr>
        <w:t>titioner’s gross income for 1934, is that this amount constituted taxes paid for p</w:t>
      </w:r>
      <w:r w:rsidRPr="00576ED7">
        <w:rPr>
          <w:szCs w:val="24"/>
        </w:rPr>
        <w:t>e</w:t>
      </w:r>
      <w:r w:rsidRPr="00576ED7">
        <w:rPr>
          <w:szCs w:val="24"/>
        </w:rPr>
        <w:t>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agree with the petitioner. ... Petitioner’s taxes were not paid for him by any person – as rental, compensation for services rendered, or otherwise.  He paid his own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w:t>
      </w:r>
      <w:r w:rsidRPr="00576ED7">
        <w:rPr>
          <w:szCs w:val="24"/>
        </w:rPr>
        <w:t>s</w:t>
      </w:r>
      <w:r w:rsidRPr="00576ED7">
        <w:rPr>
          <w:szCs w:val="24"/>
        </w:rPr>
        <w:t>tained a loss which was caused by the negligence of his tax counsel.  The $19,941.10 was paid to petitioner, not qua taxes [citation omitted], but as co</w:t>
      </w:r>
      <w:r w:rsidRPr="00576ED7">
        <w:rPr>
          <w:szCs w:val="24"/>
        </w:rPr>
        <w:t>m</w:t>
      </w:r>
      <w:r w:rsidRPr="00576ED7">
        <w:rPr>
          <w:szCs w:val="24"/>
        </w:rPr>
        <w:t>pensation to petitioner for his loss.  The measure of that loss, and the compens</w:t>
      </w:r>
      <w:r w:rsidRPr="00576ED7">
        <w:rPr>
          <w:szCs w:val="24"/>
        </w:rPr>
        <w:t>a</w:t>
      </w:r>
      <w:r w:rsidRPr="00576ED7">
        <w:rPr>
          <w:szCs w:val="24"/>
        </w:rPr>
        <w:t>tion therefor, was the sum of money which petitioner became legally obligated to and did pay because of that negligence.  The fact that such obligation was for ta</w:t>
      </w:r>
      <w:r w:rsidRPr="00576ED7">
        <w:rPr>
          <w:szCs w:val="24"/>
        </w:rPr>
        <w:t>x</w:t>
      </w:r>
      <w:r w:rsidRPr="00576ED7">
        <w:rPr>
          <w:szCs w:val="24"/>
        </w:rPr>
        <w:t>es is of no moment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w:t>
      </w:r>
      <w:r w:rsidRPr="00576ED7">
        <w:rPr>
          <w:szCs w:val="24"/>
        </w:rPr>
        <w:t>m</w:t>
      </w:r>
      <w:r w:rsidRPr="00576ED7">
        <w:rPr>
          <w:szCs w:val="24"/>
        </w:rPr>
        <w:t>pensation for a loss which impaired petitioner’s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Decision will be entered for the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4928" behindDoc="0" locked="0" layoutInCell="0" allowOverlap="1" wp14:anchorId="6AD3FF15" wp14:editId="61EDC502">
                <wp:simplePos x="0" y="0"/>
                <wp:positionH relativeFrom="margin">
                  <wp:posOffset>2790190</wp:posOffset>
                </wp:positionH>
                <wp:positionV relativeFrom="paragraph">
                  <wp:posOffset>13335</wp:posOffset>
                </wp:positionV>
                <wp:extent cx="2679700" cy="788035"/>
                <wp:effectExtent l="0" t="0" r="25400" b="1206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8803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219.7pt;margin-top:1.05pt;width:211pt;height:62.05pt;z-index:251644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q8KQIAAFsEAAAOAAAAZHJzL2Uyb0RvYy54bWysVNuO0zAQfUfiHyy/06RB9BI1XS1dipCW&#10;BWmXD3AcJ7GwPcZ2myxfz9jpdsvtBZEHy2OPz5w5M5PN1agVOQrnJZiKzmc5JcJwaKTpKvrlYf9q&#10;RYkPzDRMgREVfRSeXm1fvtgMthQF9KAa4QiCGF8OtqJ9CLbMMs97oZmfgRUGL1twmgU0XZc1jg2I&#10;rlVW5PkiG8A11gEX3uPpzXRJtwm/bQUPn9rWi0BURZFbSKtLax3XbLthZeeY7SU/0WD/wEIzaTDo&#10;GeqGBUYOTv4GpSV34KENMw46g7aVXKQcMJt5/ks29z2zIuWC4nh7lsn/P1h+d/zsiGwqulpTYpjG&#10;Gj2IMZC3MJJiHfUZrC/R7d6iYxjxHOuccvX2FvhXTwzsemY6ce0cDL1gDfKbx5fZxdMJx0eQevgI&#10;DcZhhwAJaGydjuKhHATRsU6P59pELhwPi8VyvczxiuPdcrXKX79JIVj59No6H94L0CRuKuqw9gmd&#10;HW99iGxY+eQSg3lQstlLpZLhunqnHDky7JN9+k7oP7kpQwbMrZivi0mBv2Lk6fsThpYBO15JjZKf&#10;nVgZdXtnmtSPgUk17ZGzMicho3aTimGsx1SzYhkjRJVraB5RWgdTh+NE4qYH952SAbu7ov7bgTlB&#10;ifpgsDzLBQ4PjsOl4S6N+tJghiNURQMl03YXphE6WCe7HiNNDWHgGkvayqT2M6sTf+zgVITTtMUR&#10;ubST1/M/YfsDAAD//wMAUEsDBBQABgAIAAAAIQBmxT5m2wAAAAkBAAAPAAAAZHJzL2Rvd25yZXYu&#10;eG1sTI9BT4QwEIXvJv6HZky8uYW6IStSNobE+4Ju9NilIxDpFGl3wX/veNLjy/vy5ptiv7pRXHAO&#10;gycN6SYBgdR6O1Cn4fXl+W4HIkRD1oyeUMM3BtiX11eFya1fqMZLEzvBIxRyo6GPccqlDG2PzoSN&#10;n5C4+/CzM5Hj3Ek7m4XH3ShVkmTSmYH4Qm8mrHpsP5uz0+Drujqq5uvwVi226pbDGqf3Xuvbm/Xp&#10;EUTENf7B8KvP6lCy08mfyQYxatjeP2wZ1aBSENzvspTziUGVKZBlIf9/UP4AAAD//wMAUEsBAi0A&#10;FAAGAAgAAAAhALaDOJL+AAAA4QEAABMAAAAAAAAAAAAAAAAAAAAAAFtDb250ZW50X1R5cGVzXS54&#10;bWxQSwECLQAUAAYACAAAACEAOP0h/9YAAACUAQAACwAAAAAAAAAAAAAAAAAvAQAAX3JlbHMvLnJl&#10;bHNQSwECLQAUAAYACAAAACEAUIoavCkCAABbBAAADgAAAAAAAAAAAAAAAAAuAgAAZHJzL2Uyb0Rv&#10;Yy54bWxQSwECLQAUAAYACAAAACEAZsU+ZtsAAAAJAQAADwAAAAAAAAAAAAAAAACDBAAAZHJzL2Rv&#10;d25yZXYueG1sUEsFBgAAAAAEAAQA8wAAAIsFAAAAAA==&#10;" o:allowincell="f" strokeweight=".96pt">
                <v:textbox inset="6pt,6pt,6pt,6pt">
                  <w:txbxContent>
                    <w:p w:rsidR="00FF5E72" w:rsidRDefault="00FF5E72"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r w:rsidR="0049128E" w:rsidRPr="00576ED7">
        <w:rPr>
          <w:szCs w:val="24"/>
        </w:rPr>
        <w:t>1.  Does the Commissioner’s position fo</w:t>
      </w:r>
      <w:r w:rsidR="0049128E" w:rsidRPr="00576ED7">
        <w:rPr>
          <w:szCs w:val="24"/>
        </w:rPr>
        <w:t>l</w:t>
      </w:r>
      <w:r w:rsidR="0049128E" w:rsidRPr="00576ED7">
        <w:rPr>
          <w:szCs w:val="24"/>
        </w:rPr>
        <w:t xml:space="preserve">low from the Supreme Court’s holding in </w:t>
      </w:r>
      <w:r w:rsidR="0049128E" w:rsidRPr="00576ED7">
        <w:rPr>
          <w:i/>
          <w:szCs w:val="24"/>
        </w:rPr>
        <w:t>Old Colony Trust</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Is this holding consistent with SHS? What do you know from reading the case about what taxpayer’s after-tax wealth should have been? In fact, is that not what the court was referencing when it described the payment as “compensation for a loss which impaired [taxpayer’s]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Why would it make a difference whether taxpayer previously deducted the </w:t>
      </w:r>
      <w:r w:rsidRPr="00576ED7">
        <w:rPr>
          <w:szCs w:val="24"/>
        </w:rPr>
        <w:lastRenderedPageBreak/>
        <w:t>amount restored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Gotcher v. United States</w:t>
      </w:r>
      <w:r w:rsidRPr="00576ED7">
        <w:rPr>
          <w:szCs w:val="24"/>
        </w:rPr>
        <w:t>, 401 F.2d 118 (CA5 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THORNBERRY, Circuit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1960, Mr. and Mrs. Gotcher took a twelve-day expense-paid trip to Germany to tour the Volkswagon facilities there.  The trip cost $1372.30.  His employer, Economy Motors, paid $348.73, and Volkswagon of Germany and Volkswagon of America shared the remaining $1023.53.  Upon returning, Mr. Gotcher bought a twenty-five percent interest in Economy Motors, the Sherman, Texas Volkswagon dealership, that had been offered to him before he left.  Today he is President of Economy Motors in Sherman and owns fifty percent of the deale</w:t>
      </w:r>
      <w:r w:rsidRPr="00576ED7">
        <w:rPr>
          <w:szCs w:val="24"/>
        </w:rPr>
        <w:t>r</w:t>
      </w:r>
      <w:r w:rsidRPr="00576ED7">
        <w:rPr>
          <w:szCs w:val="24"/>
        </w:rPr>
        <w:t xml:space="preserve">ship.  Mr. and Mrs. </w:t>
      </w:r>
      <w:r w:rsidR="0058048D" w:rsidRPr="00576ED7">
        <w:rPr>
          <w:szCs w:val="24"/>
        </w:rPr>
        <w:t>G</w:t>
      </w:r>
      <w:r w:rsidRPr="00576ED7">
        <w:rPr>
          <w:szCs w:val="24"/>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w:t>
      </w:r>
      <w:r w:rsidRPr="00576ED7">
        <w:rPr>
          <w:szCs w:val="24"/>
        </w:rPr>
        <w:t>n</w:t>
      </w:r>
      <w:r w:rsidRPr="00576ED7">
        <w:rPr>
          <w:szCs w:val="24"/>
        </w:rPr>
        <w:t>come and deductible as an ordinary and necessary business expense. [citation omitted]  We affirm the district court’s determination that the cost of the trip was not income to Mr. Gotcher ($686.15); however, Mrs. Gotcher’s expenses ($686.15) constituted income and were not deductible.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court below reasoned that the cost of the trip to the Gotchers was not i</w:t>
      </w:r>
      <w:r w:rsidRPr="00576ED7">
        <w:rPr>
          <w:szCs w:val="24"/>
        </w:rPr>
        <w:t>n</w:t>
      </w:r>
      <w:r w:rsidRPr="00576ED7">
        <w:rPr>
          <w:szCs w:val="24"/>
        </w:rPr>
        <w:t>come because an economic or financial benefit does not constitute income under § 61 unless it is conferred as compensation for services rendered.  This conception of gross income is too restrictive since it is [well]-settled that § 61 should be broadly interpreted and that many items, including compensatory gains, constitute gross income.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Sections 101-123 specifically exclude certain items from gross income.  Appe</w:t>
      </w:r>
      <w:r w:rsidRPr="00576ED7">
        <w:rPr>
          <w:szCs w:val="24"/>
        </w:rPr>
        <w:t>l</w:t>
      </w:r>
      <w:r w:rsidRPr="00576ED7">
        <w:rPr>
          <w:szCs w:val="24"/>
        </w:rPr>
        <w:t xml:space="preserve">lant argues that the cost of the trip should be included in income since it is not specifically excluded by §§ 101-123, reasoning that § 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determining whether the expense-paid trip was income within § 61, we must look to the tests that have been developed under this section.  The concept of ec</w:t>
      </w:r>
      <w:r w:rsidRPr="00576ED7">
        <w:rPr>
          <w:szCs w:val="24"/>
        </w:rPr>
        <w:t>o</w:t>
      </w:r>
      <w:r w:rsidRPr="00576ED7">
        <w:rPr>
          <w:szCs w:val="24"/>
        </w:rPr>
        <w:t xml:space="preserve">nomic gain to the taxpayer is key to § 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w:t>
      </w:r>
      <w:r w:rsidRPr="00576ED7">
        <w:rPr>
          <w:szCs w:val="24"/>
        </w:rPr>
        <w:t>o</w:t>
      </w:r>
      <w:r w:rsidRPr="00576ED7">
        <w:rPr>
          <w:szCs w:val="24"/>
        </w:rPr>
        <w:t>nomic gain, and this gain must primarily benefit the taxpayer personally.  In some cases, as in the case of an expense-paid trip, there is no direct economic gain, but there is indirect economic gain inasmuch as a benefit has been received without a corresponding diminution of wealth.  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 119.</w:t>
      </w:r>
    </w:p>
    <w:p w:rsidR="0049128E" w:rsidRPr="00576ED7" w:rsidRDefault="0049128E"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rsidR="0058048D" w:rsidRPr="00576ED7" w:rsidRDefault="0058048D"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The trip was made in 1959 when VW was attempting to expand its local deale</w:t>
      </w:r>
      <w:r w:rsidRPr="00576ED7">
        <w:rPr>
          <w:szCs w:val="24"/>
        </w:rPr>
        <w:t>r</w:t>
      </w:r>
      <w:r w:rsidRPr="00576ED7">
        <w:rPr>
          <w:szCs w:val="24"/>
        </w:rPr>
        <w:t>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w:t>
      </w:r>
      <w:r w:rsidRPr="00576ED7">
        <w:rPr>
          <w:szCs w:val="24"/>
        </w:rPr>
        <w:t>e</w:t>
      </w:r>
      <w:r w:rsidRPr="00576ED7">
        <w:rPr>
          <w:szCs w:val="24"/>
        </w:rPr>
        <w:t>lieved that once the dealer saw the manufacturing facilities and the stability of the ‘new Germany’ he would be convinced that VW was for him. [footnote omitted]  Furthermore, VW considered the expenditure justified because the dealer was b</w:t>
      </w:r>
      <w:r w:rsidRPr="00576ED7">
        <w:rPr>
          <w:szCs w:val="24"/>
        </w:rPr>
        <w:t>e</w:t>
      </w:r>
      <w:r w:rsidRPr="00576ED7">
        <w:rPr>
          <w:szCs w:val="24"/>
        </w:rPr>
        <w:t>ing asked to make a substantial investment of his time and money in a compar</w:t>
      </w:r>
      <w:r w:rsidRPr="00576ED7">
        <w:rPr>
          <w:szCs w:val="24"/>
        </w:rPr>
        <w:t>a</w:t>
      </w:r>
      <w:r w:rsidRPr="00576ED7">
        <w:rPr>
          <w:szCs w:val="24"/>
        </w:rPr>
        <w:t>tively new product.  Indeed, after taking the trip, VW required him to acquire first-class facilities. ... VW could not have asked that this upgrading be done u</w:t>
      </w:r>
      <w:r w:rsidRPr="00576ED7">
        <w:rPr>
          <w:szCs w:val="24"/>
        </w:rPr>
        <w:t>n</w:t>
      </w:r>
      <w:r w:rsidRPr="00576ED7">
        <w:rPr>
          <w:szCs w:val="24"/>
        </w:rPr>
        <w:t>less it convinced the dealer that VW was here to stay.  Apparently these trips have paid off since VW’s sales have skyrocketed and the dealers have made their f</w:t>
      </w:r>
      <w:r w:rsidRPr="00576ED7">
        <w:rPr>
          <w:szCs w:val="24"/>
        </w:rPr>
        <w:t>a</w:t>
      </w:r>
      <w:r w:rsidRPr="00576ED7">
        <w:rPr>
          <w:szCs w:val="24"/>
        </w:rPr>
        <w:t>cilities top-rate operations under the VW requirements for a standard dealership.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activities in Germany support the conclusion that the trip was oriented to business.  The Government makes much of the fact that the travel brochure all</w:t>
      </w:r>
      <w:r w:rsidRPr="00576ED7">
        <w:rPr>
          <w:szCs w:val="24"/>
        </w:rPr>
        <w:t>o</w:t>
      </w:r>
      <w:r w:rsidRPr="00576ED7">
        <w:rPr>
          <w:szCs w:val="24"/>
        </w:rPr>
        <w:lastRenderedPageBreak/>
        <w:t>cated only two of the twelve days to the touring of VW factories.  This argument ignores the uncontradicted evidence that not all of the planned activities were in the brochure.  There is ample support for the trial judge’s finding that a substa</w:t>
      </w:r>
      <w:r w:rsidRPr="00576ED7">
        <w:rPr>
          <w:szCs w:val="24"/>
        </w:rPr>
        <w:t>n</w:t>
      </w:r>
      <w:r w:rsidRPr="00576ED7">
        <w:rPr>
          <w:szCs w:val="24"/>
        </w:rPr>
        <w:t>tial amount of time was spent touring VW facilities and visiting local dealerships.  VW had set up these tours with local dealers so that the travelers could discuss how the facilities were operated in Germany.  Mr. Gotcher took full advantage of this opportunity and even used some of his ‘free time’ to visit various local dea</w:t>
      </w:r>
      <w:r w:rsidRPr="00576ED7">
        <w:rPr>
          <w:szCs w:val="24"/>
        </w:rPr>
        <w:t>l</w:t>
      </w:r>
      <w:r w:rsidRPr="00576ED7">
        <w:rPr>
          <w:szCs w:val="24"/>
        </w:rPr>
        <w:t>erships.  Moreover, at almost all of the evening meals VW officials gave talks about the organization and passed out literature and brochures on the VW story.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Some of the days were not related to touring VW facilities, but that fact alone cannot be decisive.  The dominant purpose of the trip is the critical inquiry and some pleasurable features will not negate the finding of an overall business pu</w:t>
      </w:r>
      <w:r w:rsidRPr="00576ED7">
        <w:rPr>
          <w:szCs w:val="24"/>
        </w:rPr>
        <w:t>r</w:t>
      </w:r>
      <w:r w:rsidRPr="00576ED7">
        <w:rPr>
          <w:szCs w:val="24"/>
        </w:rPr>
        <w:t>pose. [citation omitted]  Since we are convinced that the agenda related primarily to business and that Mr. Gotcher’s attendance was prompted by business consi</w:t>
      </w:r>
      <w:r w:rsidRPr="00576ED7">
        <w:rPr>
          <w:szCs w:val="24"/>
        </w:rPr>
        <w:t>d</w:t>
      </w:r>
      <w:r w:rsidRPr="00576ED7">
        <w:rPr>
          <w:szCs w:val="24"/>
        </w:rPr>
        <w:t>erations, the so-called sightseeing complained of by the Government is incons</w:t>
      </w:r>
      <w:r w:rsidRPr="00576ED7">
        <w:rPr>
          <w:szCs w:val="24"/>
        </w:rPr>
        <w:t>e</w:t>
      </w:r>
      <w:r w:rsidRPr="00576ED7">
        <w:rPr>
          <w:szCs w:val="24"/>
        </w:rPr>
        <w:t>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w:t>
      </w:r>
      <w:r w:rsidRPr="00576ED7">
        <w:rPr>
          <w:szCs w:val="24"/>
        </w:rPr>
        <w:t>n</w:t>
      </w:r>
      <w:r w:rsidRPr="00576ED7">
        <w:rPr>
          <w:szCs w:val="24"/>
        </w:rPr>
        <w:t>vestment in a German product.  We cannot say that this conclusion is clearly e</w:t>
      </w:r>
      <w:r w:rsidRPr="00576ED7">
        <w:rPr>
          <w:szCs w:val="24"/>
        </w:rPr>
        <w:t>r</w:t>
      </w:r>
      <w:r w:rsidRPr="00576ED7">
        <w:rPr>
          <w:szCs w:val="24"/>
        </w:rPr>
        <w:t>roneous.  Nor can we say that the enthusiastic literary style of the brochures n</w:t>
      </w:r>
      <w:r w:rsidRPr="00576ED7">
        <w:rPr>
          <w:szCs w:val="24"/>
        </w:rPr>
        <w:t>e</w:t>
      </w:r>
      <w:r w:rsidRPr="00576ED7">
        <w:rPr>
          <w:szCs w:val="24"/>
        </w:rPr>
        <w:t xml:space="preserve">gates a dominant business purpose.  It is the business reality of the total situation, not the colorful expressions in the literature, </w:t>
      </w:r>
      <w:r w:rsidR="00C83815" w:rsidRPr="00576ED7">
        <w:rPr>
          <w:szCs w:val="24"/>
        </w:rPr>
        <w:t>that controls.  Considering the</w:t>
      </w:r>
      <w:r w:rsidRPr="00576ED7">
        <w:rPr>
          <w:szCs w:val="24"/>
        </w:rPr>
        <w:t xml:space="preserve"> re</w:t>
      </w:r>
      <w:r w:rsidRPr="00576ED7">
        <w:rPr>
          <w:szCs w:val="24"/>
        </w:rPr>
        <w:t>c</w:t>
      </w:r>
      <w:r w:rsidRPr="00576ED7">
        <w:rPr>
          <w:szCs w:val="24"/>
        </w:rPr>
        <w:t>ord, the circumstances prompting the trip, and the objective achieved, we co</w:t>
      </w:r>
      <w:r w:rsidRPr="00576ED7">
        <w:rPr>
          <w:szCs w:val="24"/>
        </w:rPr>
        <w:t>n</w:t>
      </w:r>
      <w:r w:rsidRPr="00576ED7">
        <w:rPr>
          <w:szCs w:val="24"/>
        </w:rPr>
        <w:t>clude that the primary purpose of the trip was to induce Mr. Gotcher to take out a VW dealership interest.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the convenience of the employer.  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w:t>
      </w:r>
      <w:r w:rsidRPr="00576ED7">
        <w:rPr>
          <w:szCs w:val="24"/>
        </w:rPr>
        <w:t>n</w:t>
      </w:r>
      <w:r w:rsidRPr="00576ED7">
        <w:rPr>
          <w:szCs w:val="24"/>
        </w:rPr>
        <w:t>test winners on an expense-paid trip to Hawaii.  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w:t>
      </w:r>
      <w:r w:rsidRPr="00576ED7">
        <w:rPr>
          <w:szCs w:val="24"/>
        </w:rPr>
        <w:t>e</w:t>
      </w:r>
      <w:r w:rsidRPr="00576ED7">
        <w:rPr>
          <w:szCs w:val="24"/>
        </w:rPr>
        <w:t xml:space="preserve">ality of the business world he had no real choice.  The trial judge reached the same conclusion.  He found that the invitation did not specifically order </w:t>
      </w:r>
      <w:r w:rsidR="0018464D">
        <w:rPr>
          <w:szCs w:val="24"/>
        </w:rPr>
        <w:t xml:space="preserve">the </w:t>
      </w:r>
      <w:r w:rsidRPr="00576ED7">
        <w:rPr>
          <w:szCs w:val="24"/>
        </w:rPr>
        <w:t>dea</w:t>
      </w:r>
      <w:r w:rsidRPr="00576ED7">
        <w:rPr>
          <w:szCs w:val="24"/>
        </w:rPr>
        <w:t>l</w:t>
      </w:r>
      <w:r w:rsidRPr="00576ED7">
        <w:rPr>
          <w:szCs w:val="24"/>
        </w:rPr>
        <w:t>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w:t>
      </w:r>
      <w:r w:rsidRPr="00576ED7">
        <w:rPr>
          <w:szCs w:val="24"/>
        </w:rPr>
        <w:t>m</w:t>
      </w:r>
      <w:r w:rsidRPr="00576ED7">
        <w:rPr>
          <w:szCs w:val="24"/>
        </w:rPr>
        <w:t xml:space="preserve">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w:t>
      </w:r>
      <w:r w:rsidRPr="00576ED7">
        <w:rPr>
          <w:szCs w:val="24"/>
        </w:rPr>
        <w:t>x</w:t>
      </w:r>
      <w:r w:rsidRPr="00576ED7">
        <w:rPr>
          <w:szCs w:val="24"/>
        </w:rPr>
        <w:t>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the activity. [footnote omitted]  Thus, the rule is that the economic benefit will be taxable to the recipient  only when the payment of expenses serves no legitimate corporate purposes. [citation omitted]  The dec</w:t>
      </w:r>
      <w:r w:rsidRPr="00576ED7">
        <w:rPr>
          <w:szCs w:val="24"/>
        </w:rPr>
        <w:t>i</w:t>
      </w:r>
      <w:r w:rsidRPr="00576ED7">
        <w:rPr>
          <w:szCs w:val="24"/>
        </w:rPr>
        <w:lastRenderedPageBreak/>
        <w:t>sions also indicate that the tax consequences are to be determined by looking to the primary purpose of the expenses and that the first consideration is the inte</w:t>
      </w:r>
      <w:r w:rsidRPr="00576ED7">
        <w:rPr>
          <w:szCs w:val="24"/>
        </w:rPr>
        <w:t>n</w:t>
      </w:r>
      <w:r w:rsidRPr="00576ED7">
        <w:rPr>
          <w:szCs w:val="24"/>
        </w:rPr>
        <w:t>tion of the payor.  The Government in argument before the district court agreed that whether the expenses were income to taxpayers is mainly a question of the motives of the people giving the trip.  Since this is a matter of proof, the resol</w:t>
      </w:r>
      <w:r w:rsidRPr="00576ED7">
        <w:rPr>
          <w:szCs w:val="24"/>
        </w:rPr>
        <w:t>u</w:t>
      </w:r>
      <w:r w:rsidRPr="00576ED7">
        <w:rPr>
          <w:szCs w:val="24"/>
        </w:rPr>
        <w:t>tion of the tax question really depends on whether Gotcher showed that his pre</w:t>
      </w:r>
      <w:r w:rsidRPr="00576ED7">
        <w:rPr>
          <w:szCs w:val="24"/>
        </w:rPr>
        <w:t>s</w:t>
      </w:r>
      <w:r w:rsidRPr="00576ED7">
        <w:rPr>
          <w:szCs w:val="24"/>
        </w:rPr>
        <w:t>ence served a legitimate corporate purpose and that no appreciable amount of time was spent for his personal benefit and enjoyment.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to the concrete benefits to VW.  The purpose of the trip was to push VW in America and to get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w:t>
      </w:r>
      <w:r w:rsidRPr="00576ED7">
        <w:rPr>
          <w:szCs w:val="24"/>
        </w:rPr>
        <w:t>r</w:t>
      </w:r>
      <w:r w:rsidRPr="00576ED7">
        <w:rPr>
          <w:szCs w:val="24"/>
        </w:rPr>
        <w:t>many or as a means of teaching taxpayer the skills of selling.  The personal ben</w:t>
      </w:r>
      <w:r w:rsidRPr="00576ED7">
        <w:rPr>
          <w:szCs w:val="24"/>
        </w:rPr>
        <w:t>e</w:t>
      </w:r>
      <w:r w:rsidRPr="00576ED7">
        <w:rPr>
          <w:szCs w:val="24"/>
        </w:rPr>
        <w:t>fits and pleasure were incidental to the dominant purpose of improving VW’s p</w:t>
      </w:r>
      <w:r w:rsidRPr="00576ED7">
        <w:rPr>
          <w:szCs w:val="24"/>
        </w:rPr>
        <w:t>o</w:t>
      </w:r>
      <w:r w:rsidRPr="00576ED7">
        <w:rPr>
          <w:szCs w:val="24"/>
        </w:rPr>
        <w:t>sition on the American market and getting people to invest money.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 61, may nevertheless escape taxation.  They may be excluded even though the entertainment and travel unquestionably give enjo</w:t>
      </w:r>
      <w:r w:rsidRPr="00576ED7">
        <w:rPr>
          <w:szCs w:val="24"/>
        </w:rPr>
        <w:t>y</w:t>
      </w:r>
      <w:r w:rsidRPr="00576ED7">
        <w:rPr>
          <w:szCs w:val="24"/>
        </w:rPr>
        <w:t>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discussions about the VW o</w:t>
      </w:r>
      <w:r w:rsidRPr="00576ED7">
        <w:rPr>
          <w:szCs w:val="24"/>
        </w:rPr>
        <w:t>r</w:t>
      </w:r>
      <w:r w:rsidRPr="00576ED7">
        <w:rPr>
          <w:szCs w:val="24"/>
        </w:rPr>
        <w:t>ganization.  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business purpose for her husband.  Only when the wife’s presence is necessary to the co</w:t>
      </w:r>
      <w:r w:rsidRPr="00576ED7">
        <w:rPr>
          <w:szCs w:val="24"/>
        </w:rPr>
        <w:t>n</w:t>
      </w:r>
      <w:r w:rsidRPr="00576ED7">
        <w:rPr>
          <w:szCs w:val="24"/>
        </w:rPr>
        <w:t>duct of the husband’s business are her expenses deductible under § 162. [citation omitted]  Also, it must be shown that the wife made the trip only to assist her hu</w:t>
      </w:r>
      <w:r w:rsidRPr="00576ED7">
        <w:rPr>
          <w:szCs w:val="24"/>
        </w:rPr>
        <w:t>s</w:t>
      </w:r>
      <w:r w:rsidRPr="00576ED7">
        <w:rPr>
          <w:szCs w:val="24"/>
        </w:rPr>
        <w:t xml:space="preserve">band in his business.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Affirmed in part; reversed in part.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JOHN R. BROWN, Chief Judge (concurring):</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5952" behindDoc="0" locked="0" layoutInCell="0" allowOverlap="1" wp14:anchorId="79ABCBA5" wp14:editId="4EB064B0">
                <wp:simplePos x="0" y="0"/>
                <wp:positionH relativeFrom="margin">
                  <wp:posOffset>3042285</wp:posOffset>
                </wp:positionH>
                <wp:positionV relativeFrom="paragraph">
                  <wp:posOffset>7620</wp:posOffset>
                </wp:positionV>
                <wp:extent cx="2821305" cy="2753360"/>
                <wp:effectExtent l="0" t="0" r="17145" b="27940"/>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75336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239.55pt;margin-top:.6pt;width:222.15pt;height:216.8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LoLAIAAFwEAAAOAAAAZHJzL2Uyb0RvYy54bWysVNtu2zAMfR+wfxD0vthx0DQz4hRdugwD&#10;ugvQ7gNkWbaFSaImKbGzrx8lp2nQbS/D/CCIEnVInkN6fTNqRQ7CeQmmovNZTokwHBppuop+e9y9&#10;WVHiAzMNU2BERY/C05vN61frwZaigB5UIxxBEOPLwVa0D8GWWeZ5LzTzM7DC4GULTrOApuuyxrEB&#10;0bXKijxfZgO4xjrgwns8vZsu6Sbht63g4UvbehGIqijmFtLq0lrHNdusWdk5ZnvJT2mwf8hCM2kw&#10;6BnqjgVG9k7+BqUld+ChDTMOOoO2lVykGrCaef6imoeeWZFqQXK8PdPk/x8s/3z46ohsKrpCpQzT&#10;qNGjGAN5ByNZJH4G60t0e7DoGEY8R51Trd7eA//uiYFtz0wnbp2DoReswfzmkdns4mlUxJc+gtTD&#10;J2gwDtsHSEBj63QkD+kgiI46Hc/axFw4HharYr7IryjheFdcXy0Wy5Rdxsqn59b58EGAJnFTUYfi&#10;J3h2uPchpsPKJ5cYzYOSzU4qlQzX1VvlyIFho+zSlyp44aYMGbC4Yv62mCj4K0aevj9haBmw5ZXU&#10;yPnZiZWRuPemSQ0ZmFTTHnNW5sRkJG+iMYz1mEQrVjFCZLaG5ojcOphaHEcSNz24n5QM2N4V9T/2&#10;zAlK1EeD+lwvcXpwHi4Nd2nUlwYzHKEqGiiZttswzdDeOtn1GGnqCAO3qGkrE9vPWZ3yxxZOIpzG&#10;Lc7IpZ28nn8Km18AAAD//wMAUEsDBBQABgAIAAAAIQCZhIuN3AAAAAkBAAAPAAAAZHJzL2Rvd25y&#10;ZXYueG1sTI/BTsMwEETvSPyDtUjcqNM0gjbEqVAk7k0ogqMbL3FEvA6x24S/ZznBcfVGM2+L/eIG&#10;ccEp9J4UrFcJCKTWm546BceX57stiBA1GT14QgXfGGBfXl8VOjd+phovTewEl1DItQIb45hLGVqL&#10;ToeVH5GYffjJ6cjn1Ekz6ZnL3SDTJLmXTvfEC1aPWFlsP5uzU+DrunpNm6/DWzWbqpsPSxzfrVK3&#10;N8vTI4iIS/wLw68+q0PJTid/JhPEoCB72K05yiAFwXyXbjIQJwabbAuyLOT/D8ofAAAA//8DAFBL&#10;AQItABQABgAIAAAAIQC2gziS/gAAAOEBAAATAAAAAAAAAAAAAAAAAAAAAABbQ29udGVudF9UeXBl&#10;c10ueG1sUEsBAi0AFAAGAAgAAAAhADj9If/WAAAAlAEAAAsAAAAAAAAAAAAAAAAALwEAAF9yZWxz&#10;Ly5yZWxzUEsBAi0AFAAGAAgAAAAhANmaMugsAgAAXAQAAA4AAAAAAAAAAAAAAAAALgIAAGRycy9l&#10;Mm9Eb2MueG1sUEsBAi0AFAAGAAgAAAAhAJmEi43cAAAACQEAAA8AAAAAAAAAAAAAAAAAhgQAAGRy&#10;cy9kb3ducmV2LnhtbFBLBQYAAAAABAAEAPMAAACPBQ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Taxability of a Price Reduction</w:t>
                      </w:r>
                      <w:r>
                        <w:rPr>
                          <w:rFonts w:ascii="Tw Cen MT" w:hAnsi="Tw Cen MT"/>
                        </w:rPr>
                        <w:t>: What ha</w:t>
                      </w:r>
                      <w:r>
                        <w:rPr>
                          <w:rFonts w:ascii="Tw Cen MT" w:hAnsi="Tw Cen MT"/>
                        </w:rPr>
                        <w:t>p</w:t>
                      </w:r>
                      <w:r>
                        <w:rPr>
                          <w:rFonts w:ascii="Tw Cen MT" w:hAnsi="Tw Cen MT"/>
                        </w:rPr>
                        <w:t>pens when taxpayer is able to purchase a computer that “normally” retails for $1000 for $800 during a “computer blowout sale?” Does our taxpayer enjoy a $200 accession to wealth? Answer: No.</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w:t>
                      </w:r>
                      <w:r>
                        <w:rPr>
                          <w:rFonts w:ascii="Tw Cen MT" w:hAnsi="Tw Cen MT"/>
                        </w:rPr>
                        <w:t>r</w:t>
                      </w:r>
                      <w:r>
                        <w:rPr>
                          <w:rFonts w:ascii="Tw Cen MT" w:hAnsi="Tw Cen MT"/>
                        </w:rPr>
                        <w:t>mountable problems of value determin</w:t>
                      </w:r>
                      <w:r>
                        <w:rPr>
                          <w:rFonts w:ascii="Tw Cen MT" w:hAnsi="Tw Cen MT"/>
                        </w:rPr>
                        <w:t>a</w:t>
                      </w:r>
                      <w:r>
                        <w:rPr>
                          <w:rFonts w:ascii="Tw Cen MT" w:hAnsi="Tw Cen MT"/>
                        </w:rPr>
                        <w:t>tion.  Recall the alternative definitions of “value” in chapter 1.  Perhaps an insuff</w:t>
                      </w:r>
                      <w:r>
                        <w:rPr>
                          <w:rFonts w:ascii="Tw Cen MT" w:hAnsi="Tw Cen MT"/>
                        </w:rPr>
                        <w:t>i</w:t>
                      </w:r>
                      <w:r>
                        <w:rPr>
                          <w:rFonts w:ascii="Tw Cen MT" w:hAnsi="Tw Cen MT"/>
                        </w:rPr>
                        <w:t>cient number of persons were willing to pay $1000 for the computer $800 in the first place.</w:t>
                      </w:r>
                    </w:p>
                  </w:txbxContent>
                </v:textbox>
                <w10:wrap type="square" side="largest" anchorx="margin"/>
              </v:shape>
            </w:pict>
          </mc:Fallback>
        </mc:AlternateContent>
      </w:r>
      <w:r w:rsidR="0049128E" w:rsidRPr="00576ED7">
        <w:rPr>
          <w:szCs w:val="24"/>
        </w:rPr>
        <w:t>Attributing income to the little wife who was neither an employee, a prospective employee, nor a dealer, for the value of the trip she ne</w:t>
      </w:r>
      <w:r w:rsidR="0049128E" w:rsidRPr="00576ED7">
        <w:rPr>
          <w:szCs w:val="24"/>
        </w:rPr>
        <w:t>i</w:t>
      </w:r>
      <w:r w:rsidR="0049128E" w:rsidRPr="00576ED7">
        <w:rPr>
          <w:szCs w:val="24"/>
        </w:rPr>
        <w:t>ther planned nor chose still bothers me.  If her uncle had paid for the trip, would it not have been a pure gift, not income?  Or had her hu</w:t>
      </w:r>
      <w:r w:rsidR="0049128E" w:rsidRPr="00576ED7">
        <w:rPr>
          <w:szCs w:val="24"/>
        </w:rPr>
        <w:t>s</w:t>
      </w:r>
      <w:r w:rsidR="0049128E" w:rsidRPr="00576ED7">
        <w:rPr>
          <w:szCs w:val="24"/>
        </w:rPr>
        <w:t>band out of pure separate property given her the trip would the amount over and above the cost of Texas bed and board have been i</w:t>
      </w:r>
      <w:r w:rsidR="0049128E" w:rsidRPr="00576ED7">
        <w:rPr>
          <w:szCs w:val="24"/>
        </w:rPr>
        <w:t>n</w:t>
      </w:r>
      <w:r w:rsidR="0049128E" w:rsidRPr="00576ED7">
        <w:rPr>
          <w:szCs w:val="24"/>
        </w:rPr>
        <w:t>come?  I acquiesce now, confident that for others in future cases on a full record the wife, as now does the husband, also will overcome.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tests does the court state to determine whether the trip was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the procurement of a benefit “primarily benefits” the payor rather than the recipient, has the recipient really realized an “accession to wealth” whose value should be measured by its cost?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How important should the absence of control over how money is spent be in determining whether taxpayer has realized an accession to wealth on which s/he should pay taxes? What factors are important in determining whether a non-compensatory benefit is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Is </w:t>
      </w:r>
      <w:r w:rsidRPr="00576ED7">
        <w:rPr>
          <w:i/>
          <w:szCs w:val="24"/>
        </w:rPr>
        <w:t>Gotcher</w:t>
      </w:r>
      <w:r w:rsidRPr="00576ED7">
        <w:rPr>
          <w:szCs w:val="24"/>
        </w:rPr>
        <w:t xml:space="preserve"> a case where taxpayer did not receive any “gross income” or a case where taxpayer did receive “gross income” that the Code excluded? It might make a difference.</w:t>
      </w:r>
    </w:p>
    <w:p w:rsidR="0049128E" w:rsidRPr="00576ED7" w:rsidRDefault="0049128E" w:rsidP="009A1BF0">
      <w:pPr>
        <w:widowControl w:val="0"/>
        <w:ind w:left="720"/>
        <w:jc w:val="both"/>
        <w:rPr>
          <w:szCs w:val="24"/>
        </w:rPr>
      </w:pPr>
      <w:r w:rsidRPr="00576ED7">
        <w:rPr>
          <w:szCs w:val="24"/>
        </w:rPr>
        <w:t>•What happened to our second principle – that all income is taxed once unless an exception is specifically found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Can you think of any reasons other than those offered by Judge Brown for not including the cost of Mrs. Gotcher’s trip in Mr. Gotcher’s gross income? How </w:t>
      </w:r>
      <w:r w:rsidRPr="00576ED7">
        <w:rPr>
          <w:szCs w:val="24"/>
        </w:rPr>
        <w:lastRenderedPageBreak/>
        <w:t xml:space="preserve">does (can) her trip fit within the rationale that excludes </w:t>
      </w:r>
      <w:r w:rsidR="0018464D">
        <w:rPr>
          <w:szCs w:val="24"/>
        </w:rPr>
        <w:t xml:space="preserve">the </w:t>
      </w:r>
      <w:r w:rsidRPr="00576ED7">
        <w:rPr>
          <w:szCs w:val="24"/>
        </w:rPr>
        <w:t>value of Mr. Gotcher’s trip from his gross income?</w:t>
      </w:r>
    </w:p>
    <w:p w:rsidR="0049128E" w:rsidRPr="00576ED7" w:rsidRDefault="0049128E" w:rsidP="009A1BF0">
      <w:pPr>
        <w:widowControl w:val="0"/>
        <w:ind w:left="720"/>
        <w:jc w:val="both"/>
        <w:rPr>
          <w:szCs w:val="24"/>
        </w:rPr>
      </w:pPr>
      <w:r w:rsidRPr="00576ED7">
        <w:rPr>
          <w:szCs w:val="24"/>
        </w:rPr>
        <w:t>•Does Judge Brown’s analysis support his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This case involved a prospective investor.  The recipient may also be a pr</w:t>
      </w:r>
      <w:r w:rsidRPr="00576ED7">
        <w:rPr>
          <w:szCs w:val="24"/>
        </w:rPr>
        <w:t>o</w:t>
      </w:r>
      <w:r w:rsidRPr="00576ED7">
        <w:rPr>
          <w:szCs w:val="24"/>
        </w:rPr>
        <w:t>spective employee or a prospective customer.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Back to windfalls, plus some dumb luck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YOUNG,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w:t>
      </w:r>
      <w:r w:rsidRPr="00576ED7">
        <w:rPr>
          <w:szCs w:val="24"/>
        </w:rPr>
        <w:t>r</w:t>
      </w:r>
      <w:r w:rsidRPr="00576ED7">
        <w:rPr>
          <w:szCs w:val="24"/>
        </w:rPr>
        <w:t>chased a used piano at an auction sale for approximately $15.00, and the piano was used by their daughter for piano lessons.  In 1964, while cleaning the piano, plaintiffs discovered the sum of $4,467.00 in old currency, and since have r</w:t>
      </w:r>
      <w:r w:rsidRPr="00576ED7">
        <w:rPr>
          <w:szCs w:val="24"/>
        </w:rPr>
        <w:t>e</w:t>
      </w:r>
      <w:r w:rsidRPr="00576ED7">
        <w:rPr>
          <w:szCs w:val="24"/>
        </w:rPr>
        <w:t>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Plaintiffs make three alternative contentions in support of their claim that the sum of $836.51 should be refunded to them.  First, that the $4,467.00 found in the p</w:t>
      </w:r>
      <w:r w:rsidRPr="00576ED7">
        <w:rPr>
          <w:szCs w:val="24"/>
        </w:rPr>
        <w:t>i</w:t>
      </w:r>
      <w:r w:rsidRPr="00576ED7">
        <w:rPr>
          <w:szCs w:val="24"/>
        </w:rPr>
        <w:t>ano is not includable in gross income under § 61 of the Internal Revenue Code.  (26 U.S.C. § 61)  Secondly, even if the retention of the cash constitutes a realiz</w:t>
      </w:r>
      <w:r w:rsidRPr="00576ED7">
        <w:rPr>
          <w:szCs w:val="24"/>
        </w:rPr>
        <w:t>a</w:t>
      </w:r>
      <w:r w:rsidRPr="00576ED7">
        <w:rPr>
          <w:szCs w:val="24"/>
        </w:rPr>
        <w:t xml:space="preserve">tion of ordinary income under § 61, it was due and owing in the year the piano was purchased, 1957, and by 1964, the statute of limitations provided by 26 U.S.C. § 6501 had elapsed.  And thirdly, that if the treasure trove money is gross income for the year 1964, it was entitled to capital gains treatment under § 1221 </w:t>
      </w:r>
      <w:r w:rsidRPr="00576ED7">
        <w:rPr>
          <w:szCs w:val="24"/>
        </w:rPr>
        <w:lastRenderedPageBreak/>
        <w:t>of Title 26.  The Government, by its answer and its trial brief, asserts that the amount found in the piano is includable in gross income under § 61(a) of Title 26, U.S.C., that the money is taxable in the year it was actually found, 1964, and that the sum is properly taxable at ordinary income rates, not being entitled to capital gains treatment under 26 U.S.C. §§ 2201 et seq.</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starting point in determining whether an item is to be included in gross i</w:t>
      </w:r>
      <w:r w:rsidRPr="00576ED7">
        <w:rPr>
          <w:szCs w:val="24"/>
        </w:rPr>
        <w:t>n</w:t>
      </w:r>
      <w:r w:rsidRPr="00576ED7">
        <w:rPr>
          <w:szCs w:val="24"/>
        </w:rPr>
        <w:t>come is, of course, § 61(a) ..., and that section provides in part: “Except as othe</w:t>
      </w:r>
      <w:r w:rsidRPr="00576ED7">
        <w:rPr>
          <w:szCs w:val="24"/>
        </w:rPr>
        <w:t>r</w:t>
      </w:r>
      <w:r w:rsidRPr="00576ED7">
        <w:rPr>
          <w:szCs w:val="24"/>
        </w:rPr>
        <w:t>wise provided in this subtitle, gross income means all income from whatever source derived, including (but not limited to) the following items:” *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Subsections (1) through (15) of § 61(a) then go on to list fifteen items specifically included in the computation of the taxpayers’ gross income, and Part II of Su</w:t>
      </w:r>
      <w:r w:rsidRPr="00576ED7">
        <w:rPr>
          <w:szCs w:val="24"/>
        </w:rPr>
        <w:t>b</w:t>
      </w:r>
      <w:r w:rsidRPr="00576ED7">
        <w:rPr>
          <w:szCs w:val="24"/>
        </w:rPr>
        <w:t>chapter B of the 1954 Code (§§ 71 et seq.) deals with other items expressly i</w:t>
      </w:r>
      <w:r w:rsidRPr="00576ED7">
        <w:rPr>
          <w:szCs w:val="24"/>
        </w:rPr>
        <w:t>n</w:t>
      </w:r>
      <w:r w:rsidRPr="00576ED7">
        <w:rPr>
          <w:szCs w:val="24"/>
        </w:rPr>
        <w:t>cluded in gross income.  While neither of these listings expressly includes the type of income which is at issue in the case at bar, Part III of Subchapter B (§§ 101 et seq.) deals with items specifically excluded from gross income, and found money is not listed in those sections either.  This absence of express mention in any code sections necessitates a return to the ‘all income from whatever source’ language of § 61(a) of the code, and the express statement there that gross income is ‘not limited to’ the following fifteen examples.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w:t>
      </w:r>
      <w:r w:rsidRPr="00576ED7">
        <w:rPr>
          <w:szCs w:val="24"/>
        </w:rPr>
        <w:t>e</w:t>
      </w:r>
      <w:r w:rsidRPr="00576ED7">
        <w:rPr>
          <w:szCs w:val="24"/>
        </w:rPr>
        <w:t>tween the gross income sections of the code, the interpretation of them by the regulations and the Courts, and the revenue ruling which they herein attack as i</w:t>
      </w:r>
      <w:r w:rsidRPr="00576ED7">
        <w:rPr>
          <w:szCs w:val="24"/>
        </w:rPr>
        <w:t>n</w:t>
      </w:r>
      <w:r w:rsidRPr="00576ED7">
        <w:rPr>
          <w:szCs w:val="24"/>
        </w:rPr>
        <w:t>applicable.  On the other hand, the United States has shown consistency in the le</w:t>
      </w:r>
      <w:r w:rsidRPr="00576ED7">
        <w:rPr>
          <w:szCs w:val="24"/>
        </w:rPr>
        <w:t>t</w:t>
      </w:r>
      <w:r w:rsidRPr="00576ED7">
        <w:rPr>
          <w:szCs w:val="24"/>
        </w:rPr>
        <w:t>ter and spirit between the ruling and the code, regulations, and court decisions.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1.61-14 Miscellaneous items of gross income.</w:t>
      </w:r>
    </w:p>
    <w:p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w:t>
      </w:r>
      <w:r w:rsidRPr="00576ED7">
        <w:rPr>
          <w:szCs w:val="24"/>
        </w:rPr>
        <w:t>x</w:t>
      </w:r>
      <w:r w:rsidRPr="00576ED7">
        <w:rPr>
          <w:szCs w:val="24"/>
        </w:rPr>
        <w:t>able year in which it is reduced to undisputed possession.’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is of the opinion that Treas. Reg. § 1.61-14(a) is dispositive of the major issue in this case if the $4,467.00 found in the piano was ‘reduced to undi</w:t>
      </w:r>
      <w:r w:rsidRPr="00576ED7">
        <w:rPr>
          <w:szCs w:val="24"/>
        </w:rPr>
        <w:t>s</w:t>
      </w:r>
      <w:r w:rsidRPr="00576ED7">
        <w:rPr>
          <w:szCs w:val="24"/>
        </w:rPr>
        <w:t>puted possession’ in the year petitioners reported it, for this Regulation was appl</w:t>
      </w:r>
      <w:r w:rsidRPr="00576ED7">
        <w:rPr>
          <w:szCs w:val="24"/>
        </w:rPr>
        <w:t>i</w:t>
      </w:r>
      <w:r w:rsidRPr="00576ED7">
        <w:rPr>
          <w:szCs w:val="24"/>
        </w:rPr>
        <w:t>cable to returns filed in the calendar year of 1964.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w:t>
      </w:r>
      <w:r w:rsidRPr="00576ED7">
        <w:rPr>
          <w:szCs w:val="24"/>
        </w:rPr>
        <w:t>r</w:t>
      </w:r>
      <w:r w:rsidRPr="00576ED7">
        <w:rPr>
          <w:szCs w:val="24"/>
        </w:rPr>
        <w:t>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w:t>
      </w:r>
      <w:r w:rsidRPr="00576ED7">
        <w:rPr>
          <w:szCs w:val="24"/>
        </w:rPr>
        <w:t>h</w:t>
      </w:r>
      <w:r w:rsidRPr="00576ED7">
        <w:rPr>
          <w:szCs w:val="24"/>
        </w:rPr>
        <w:t>in the meaning of Treas. Reg. 1.61- 14 and Rev. Rul. 61-53-1,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In Ohio, there is no statute specifically dealing with the rights of owners and fin</w:t>
      </w:r>
      <w:r w:rsidRPr="00576ED7">
        <w:rPr>
          <w:szCs w:val="24"/>
        </w:rPr>
        <w:t>d</w:t>
      </w:r>
      <w:r w:rsidRPr="00576ED7">
        <w:rPr>
          <w:szCs w:val="24"/>
        </w:rPr>
        <w:t xml:space="preserve">ers of treasure trove, and in the absence of such a statute the common-law rule of England applies, so that ‘title belongs to the finder as against all the world except the true owner.’  </w:t>
      </w:r>
      <w:r w:rsidRPr="00576ED7">
        <w:rPr>
          <w:i/>
          <w:szCs w:val="24"/>
        </w:rPr>
        <w:t>Niederlehner v. Weatherly</w:t>
      </w:r>
      <w:r w:rsidRPr="00576ED7">
        <w:rPr>
          <w:szCs w:val="24"/>
        </w:rPr>
        <w:t xml:space="preserve">, 78 Ohio App. 263, 29 N.E.2d 787 (1946), appeal dismissed, 146 Ohio St. 697, 67 N.E.2d 713 (1946).  The </w:t>
      </w:r>
      <w:r w:rsidRPr="00576ED7">
        <w:rPr>
          <w:i/>
          <w:szCs w:val="24"/>
        </w:rPr>
        <w:t>Niede</w:t>
      </w:r>
      <w:r w:rsidRPr="00576ED7">
        <w:rPr>
          <w:i/>
          <w:szCs w:val="24"/>
        </w:rPr>
        <w:t>r</w:t>
      </w:r>
      <w:r w:rsidRPr="00576ED7">
        <w:rPr>
          <w:i/>
          <w:szCs w:val="24"/>
        </w:rPr>
        <w:t>lehner</w:t>
      </w:r>
      <w:r w:rsidRPr="00576ED7">
        <w:rPr>
          <w:szCs w:val="24"/>
        </w:rPr>
        <w:t xml:space="preserve"> case held, inter alia, that the owner of real estate upon which money is found does not have title against the finder.  Therefore, in the instant case if plai</w:t>
      </w:r>
      <w:r w:rsidRPr="00576ED7">
        <w:rPr>
          <w:szCs w:val="24"/>
        </w:rPr>
        <w:t>n</w:t>
      </w:r>
      <w:r w:rsidRPr="00576ED7">
        <w:rPr>
          <w:szCs w:val="24"/>
        </w:rPr>
        <w:t>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w:t>
      </w:r>
      <w:r w:rsidRPr="00576ED7">
        <w:rPr>
          <w:szCs w:val="24"/>
        </w:rPr>
        <w:t>n</w:t>
      </w:r>
      <w:r w:rsidRPr="00576ED7">
        <w:rPr>
          <w:szCs w:val="24"/>
        </w:rPr>
        <w:t>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plaintiffs’ contention that they are entitled to capital gains treatment upon the discovered money must be rejected.  [Taxpayers’ gain did not result from the sale or exchange of a capital asset.]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How did the court treat Rev. Rul. 1953-1? What does this tell you about the legal status of a revenue ruling?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role did state law play in the resolution of this case? Why was it nece</w:t>
      </w:r>
      <w:r w:rsidRPr="00576ED7">
        <w:rPr>
          <w:szCs w:val="24"/>
        </w:rPr>
        <w:t>s</w:t>
      </w:r>
      <w:r w:rsidRPr="00576ED7">
        <w:rPr>
          <w:szCs w:val="24"/>
        </w:rPr>
        <w:t>sary to invoke it?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tax norms would the court have violated if it had held in favor of the C</w:t>
      </w:r>
      <w:r w:rsidRPr="00576ED7">
        <w:rPr>
          <w:szCs w:val="24"/>
        </w:rPr>
        <w:t>e</w:t>
      </w:r>
      <w:r w:rsidRPr="00576ED7">
        <w:rPr>
          <w:szCs w:val="24"/>
        </w:rPr>
        <w:t>sarinis?</w:t>
      </w:r>
    </w:p>
    <w:p w:rsidR="0049128E" w:rsidRPr="00576ED7" w:rsidRDefault="00C007EA" w:rsidP="009A1BF0">
      <w:pPr>
        <w:widowControl w:val="0"/>
        <w:ind w:left="720" w:hanging="720"/>
        <w:jc w:val="both"/>
        <w:rPr>
          <w:szCs w:val="24"/>
        </w:rPr>
      </w:pPr>
      <w:r w:rsidRPr="00576ED7">
        <w:rPr>
          <w:noProof/>
          <w:szCs w:val="24"/>
        </w:rPr>
        <w:lastRenderedPageBreak/>
        <mc:AlternateContent>
          <mc:Choice Requires="wps">
            <w:drawing>
              <wp:anchor distT="152400" distB="152400" distL="152400" distR="152400" simplePos="0" relativeHeight="251646976" behindDoc="0" locked="0" layoutInCell="0" allowOverlap="1" wp14:anchorId="6013956B" wp14:editId="6A580FC5">
                <wp:simplePos x="0" y="0"/>
                <wp:positionH relativeFrom="margin">
                  <wp:posOffset>-457200</wp:posOffset>
                </wp:positionH>
                <wp:positionV relativeFrom="paragraph">
                  <wp:posOffset>46990</wp:posOffset>
                </wp:positionV>
                <wp:extent cx="6116955" cy="3552190"/>
                <wp:effectExtent l="0" t="0" r="17145" b="10160"/>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55219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36pt;margin-top:3.7pt;width:481.65pt;height:279.7pt;z-index:251646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yLLQIAAFwEAAAOAAAAZHJzL2Uyb0RvYy54bWysVNtu2zAMfR+wfxD0vjhOkbQx4hRdugwD&#10;ugvQ7gMUWbaFyaJGKbG7rx8lJ1l2exnmB0GUqEPyHNKr26Ez7KDQa7AlzydTzpSVUGnblPzz0/bV&#10;DWc+CFsJA1aV/Fl5frt++WLVu0LNoAVTKWQEYn3Ru5K3Ibgiy7xsVSf8BJyydFkDdiKQiU1WoegJ&#10;vTPZbDpdZD1g5RCk8p5O78dLvk74da1k+FjXXgVmSk65hbRiWndxzdYrUTQoXKvlMQ3xD1l0QlsK&#10;eoa6F0GwPerfoDotETzUYSKhy6CutVSpBqomn/5SzWMrnEq1EDnenWny/w9Wfjh8Qqarkt9cc2ZF&#10;Rxo9qSGw1zCwqzzy0ztfkNujI8cw0DnpnGr17gHkF88sbFphG3WHCH2rREX5pZfZxdMRx0eQXf8e&#10;Kooj9gES0FBjF8kjOhihk07PZ21iLpIOF3m+WM7nnEm6u5rPZ/kyqZeJ4vTcoQ9vFXQsbkqOJH6C&#10;F4cHH6gQcj25xGgejK622phkYLPbGGQHQY2yTV+snZ785GYs66k4Cj4bKfgrxjR9f8LodKCWN7oj&#10;zs9OoojEvbFVasggtBn3lICxlEdkMpI30hiG3ZBEmy1PCu2geiZuEcYWp5GkTQv4jbOe2rvk/ute&#10;oOLMvLOkz/WCpofm4dLAS2N3aQgrCarkgbNxuwnjDO0d6qalSGNHWLgjTWud2I4pj1kd86cWTowe&#10;xy3OyKWdvH78FNbfAQAA//8DAFBLAwQUAAYACAAAACEApx8Z/t0AAAAJAQAADwAAAGRycy9kb3du&#10;cmV2LnhtbEyPQU+DQBSE7yb+h80z8dYupUoReTQNifeCGj1u2ScQ2bfIbgv+e9eTHiczmfkm3y9m&#10;EBeaXG8ZYbOOQBA3VvfcIrw8P61SEM4r1mqwTAjf5GBfXF/lKtN25ooutW9FKGGXKYTO+zGT0jUd&#10;GeXWdiQO3oedjPJBTq3Uk5pDuRlkHEWJNKrnsNCpkcqOms/6bBBsVZWvcf11fCtnXbbzcfHje4d4&#10;e7McHkF4WvxfGH7xAzoUgelkz6ydGBBWuzh88Qi7OxDBTx82WxAnhPskSUEWufz/oPgBAAD//wMA&#10;UEsBAi0AFAAGAAgAAAAhALaDOJL+AAAA4QEAABMAAAAAAAAAAAAAAAAAAAAAAFtDb250ZW50X1R5&#10;cGVzXS54bWxQSwECLQAUAAYACAAAACEAOP0h/9YAAACUAQAACwAAAAAAAAAAAAAAAAAvAQAAX3Jl&#10;bHMvLnJlbHNQSwECLQAUAAYACAAAACEAqQh8iy0CAABcBAAADgAAAAAAAAAAAAAAAAAuAgAAZHJz&#10;L2Uyb0RvYy54bWxQSwECLQAUAAYACAAAACEApx8Z/t0AAAAJAQAADwAAAAAAAAAAAAAAAACHBAAA&#10;ZHJzL2Rvd25yZXYueG1sUEsFBgAAAAAEAAQA8wAAAJE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otherwise.  For e</w:t>
                      </w:r>
                      <w:r>
                        <w:rPr>
                          <w:rFonts w:ascii="Tw Cen MT" w:hAnsi="Tw Cen MT"/>
                        </w:rPr>
                        <w:t>x</w:t>
                      </w:r>
                      <w:r>
                        <w:rPr>
                          <w:rFonts w:ascii="Tw Cen MT" w:hAnsi="Tw Cen MT"/>
                        </w:rPr>
                        <w:t>ample:</w:t>
                      </w:r>
                    </w:p>
                    <w:p w:rsidR="00FF5E72" w:rsidRDefault="00FF5E72" w:rsidP="00C83815">
                      <w:pPr>
                        <w:widowControl w:val="0"/>
                        <w:jc w:val="both"/>
                        <w:rPr>
                          <w:rFonts w:ascii="Tw Cen MT" w:hAnsi="Tw Cen MT"/>
                        </w:rPr>
                      </w:pPr>
                    </w:p>
                    <w:p w:rsidR="00FF5E72" w:rsidRDefault="00FF5E72" w:rsidP="00C83815">
                      <w:pPr>
                        <w:widowControl w:val="0"/>
                        <w:jc w:val="both"/>
                        <w:rPr>
                          <w:rFonts w:ascii="Tw Cen MT" w:hAnsi="Tw Cen MT"/>
                        </w:rPr>
                      </w:pPr>
                      <w:r>
                        <w:rPr>
                          <w:rFonts w:ascii="Tw Cen MT" w:hAnsi="Tw Cen MT"/>
                          <w:i/>
                        </w:rPr>
                        <w:t>Prizes and Awards</w:t>
                      </w:r>
                      <w:r>
                        <w:rPr>
                          <w:rFonts w:ascii="Tw Cen MT" w:hAnsi="Tw Cen MT"/>
                        </w:rPr>
                        <w:t>: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w:t>
                      </w:r>
                      <w:r>
                        <w:rPr>
                          <w:rFonts w:ascii="Tw Cen MT" w:hAnsi="Tw Cen MT"/>
                        </w:rPr>
                        <w:t>u</w:t>
                      </w:r>
                      <w:r>
                        <w:rPr>
                          <w:rFonts w:ascii="Tw Cen MT" w:hAnsi="Tw Cen MT"/>
                        </w:rPr>
                        <w:t xml:space="preserve">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38 T.C. 841 (1962) (prize of aut</w:t>
                      </w:r>
                      <w:r>
                        <w:rPr>
                          <w:rFonts w:ascii="Tw Cen MT" w:hAnsi="Tw Cen MT"/>
                        </w:rPr>
                        <w:t>o</w:t>
                      </w:r>
                      <w:r>
                        <w:rPr>
                          <w:rFonts w:ascii="Tw Cen MT" w:hAnsi="Tw Cen MT"/>
                        </w:rPr>
                        <w:t xml:space="preserve">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r w:rsidR="0049128E" w:rsidRPr="00576ED7">
        <w:rPr>
          <w:szCs w:val="24"/>
        </w:rPr>
        <w:tab/>
      </w:r>
      <w:r w:rsidR="0049128E" w:rsidRPr="00576ED7">
        <w:rPr>
          <w:i/>
          <w:szCs w:val="24"/>
        </w:rPr>
        <w:t>B.  Section 61(a)(3): Gains Derived from Dealings in Property</w:t>
      </w:r>
      <w:r w:rsidR="0049128E" w:rsidRPr="00576ED7">
        <w:rPr>
          <w:szCs w:val="24"/>
        </w:rPr>
        <w:fldChar w:fldCharType="begin"/>
      </w:r>
      <w:r w:rsidR="0049128E" w:rsidRPr="00576ED7">
        <w:rPr>
          <w:i/>
          <w:szCs w:val="24"/>
        </w:rPr>
        <w:instrText xml:space="preserve"> TC \l2 "B.  Section 61(a)(3): Gains Derived from Dealings in Property</w:instrText>
      </w:r>
      <w:r w:rsidR="0049128E" w:rsidRPr="00576ED7">
        <w:rPr>
          <w:szCs w:val="24"/>
        </w:rPr>
        <w:fldChar w:fldCharType="end"/>
      </w:r>
    </w:p>
    <w:p w:rsidR="0049128E" w:rsidRPr="00576ED7" w:rsidRDefault="0049128E" w:rsidP="009A1BF0">
      <w:pPr>
        <w:widowControl w:val="0"/>
        <w:jc w:val="both"/>
        <w:rPr>
          <w:szCs w:val="24"/>
        </w:rPr>
      </w:pPr>
    </w:p>
    <w:p w:rsidR="0049128E" w:rsidRPr="00576ED7" w:rsidRDefault="0018464D" w:rsidP="009A1BF0">
      <w:pPr>
        <w:widowControl w:val="0"/>
        <w:jc w:val="both"/>
        <w:rPr>
          <w:szCs w:val="24"/>
        </w:rPr>
      </w:pPr>
      <w:r w:rsidRPr="00576ED7">
        <w:rPr>
          <w:noProof/>
          <w:szCs w:val="24"/>
        </w:rPr>
        <mc:AlternateContent>
          <mc:Choice Requires="wps">
            <w:drawing>
              <wp:anchor distT="152400" distB="152400" distL="152400" distR="152400" simplePos="0" relativeHeight="251648000" behindDoc="0" locked="0" layoutInCell="0" allowOverlap="1" wp14:anchorId="4F61F9F8" wp14:editId="7CBF6D2A">
                <wp:simplePos x="0" y="0"/>
                <wp:positionH relativeFrom="margin">
                  <wp:posOffset>2548255</wp:posOffset>
                </wp:positionH>
                <wp:positionV relativeFrom="paragraph">
                  <wp:posOffset>-5080</wp:posOffset>
                </wp:positionV>
                <wp:extent cx="2868930" cy="22910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291080"/>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200.65pt;margin-top:-.4pt;width:225.9pt;height:180.4pt;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7AKgIAAFwEAAAOAAAAZHJzL2Uyb0RvYy54bWysVFFv0zAQfkfiP1h+p0kzqXRR02l0FCEN&#10;hrTxA66Ok1g4PmO7Tcqv5+x0pRrwgsiD5bPP3919311WN2Ov2UE6r9BUfD7LOZNGYK1MW/GvT9s3&#10;S858AFODRiMrfpSe36xfv1oNtpQFdqhr6RiBGF8OtuJdCLbMMi862YOfoZWGLht0PQQyXZvVDgZC&#10;73VW5PkiG9DV1qGQ3tPp3XTJ1wm/aaQID03jZWC64pRbSKtL6y6u2XoFZevAdkqc0oB/yKIHZSjo&#10;GeoOArC9U79B9Uo49NiEmcA+w6ZRQqYaqJp5/qKaxw6sTLUQOd6eafL/D1Z8PnxxTNUVXy44M9CT&#10;Rk9yDOwdjuyqiPwM1pfk9mjJMYx0TjqnWr29R/HNM4ObDkwrb53DoZNQU37z+DK7eDrh+AiyGz5h&#10;TXFgHzABjY3rI3lEByN00ul41ibmIuiwWC6W11d0JeiuKK7n+TKpl0H5/Nw6Hz5I7FncVNyR+Ake&#10;Dvc+xHSgfHaJ0TxqVW+V1slw7W6jHTsANco2famCF27asIGKK+bXxUTBXzHy9P0Jo1eBWl6rnjg/&#10;O0EZiXtv6tSQAZSe9pSzNicmI3kTjWHcjUk0IuSk0A7rI3HrcGpxGknadOh+cDZQe1fcf9+Dk5zp&#10;j4b0ebug6aF5uDTcpbG7NMAIgqp44GzabsI0Q3vrVNtRpKkjDN6Spo1KbEfxp6xO+VMLJxFO4xZn&#10;5NJOXr9+CuufAAAA//8DAFBLAwQUAAYACAAAACEAyhd1LdwAAAAJAQAADwAAAGRycy9kb3ducmV2&#10;LnhtbEyPwU7DMBBE70j8g7VI3KidBqoqZFOhSNybAIKjG2+TqPE6xG4T/h73BMfRjGbe5LvFDuJC&#10;k+8dIyQrBYK4cabnFuH97fVhC8IHzUYPjgnhhzzsitubXGfGzVzRpQ6tiCXsM43QhTBmUvqmI6v9&#10;yo3E0Tu6yeoQ5dRKM+k5lttBrpXaSKt7jgudHqnsqDnVZ4vgqqr8WNff+89yNmU775cwfnWI93fL&#10;yzOIQEv4C8MVP6JDEZkO7szGiwHhUSVpjCJcH0R/+5QmIA4I6UYpkEUu/z8ofgEAAP//AwBQSwEC&#10;LQAUAAYACAAAACEAtoM4kv4AAADhAQAAEwAAAAAAAAAAAAAAAAAAAAAAW0NvbnRlbnRfVHlwZXNd&#10;LnhtbFBLAQItABQABgAIAAAAIQA4/SH/1gAAAJQBAAALAAAAAAAAAAAAAAAAAC8BAABfcmVscy8u&#10;cmVsc1BLAQItABQABgAIAAAAIQCeNm7AKgIAAFwEAAAOAAAAAAAAAAAAAAAAAC4CAABkcnMvZTJv&#10;RG9jLnhtbFBLAQItABQABgAIAAAAIQDKF3Ut3AAAAAkBAAAPAAAAAAAAAAAAAAAAAIQEAABkcnMv&#10;ZG93bnJldi54bWxQSwUGAAAAAAQABADzAAAAjQU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Fluctuations in Value</w:t>
                      </w:r>
                      <w:r>
                        <w:rPr>
                          <w:rFonts w:ascii="Tw Cen MT" w:hAnsi="Tw Cen MT"/>
                        </w:rPr>
                        <w:t>:  The value of property may fluctuate over the time taxpayer owns it.  If its value increases, taxpayer must re</w:t>
                      </w:r>
                      <w:r>
                        <w:rPr>
                          <w:rFonts w:ascii="Tw Cen MT" w:hAnsi="Tw Cen MT"/>
                        </w:rPr>
                        <w:t>c</w:t>
                      </w:r>
                      <w:r>
                        <w:rPr>
                          <w:rFonts w:ascii="Tw Cen MT" w:hAnsi="Tw Cen MT"/>
                        </w:rPr>
                        <w:t>ognize taxable gain upon its sale.  If its va</w:t>
                      </w:r>
                      <w:r>
                        <w:rPr>
                          <w:rFonts w:ascii="Tw Cen MT" w:hAnsi="Tw Cen MT"/>
                        </w:rPr>
                        <w:t>l</w:t>
                      </w:r>
                      <w:r>
                        <w:rPr>
                          <w:rFonts w:ascii="Tw Cen MT" w:hAnsi="Tw Cen MT"/>
                        </w:rPr>
                        <w:t xml:space="preserve">ue decreases, § 165(a) </w:t>
                      </w:r>
                      <w:r>
                        <w:rPr>
                          <w:rFonts w:ascii="Tw Cen MT" w:hAnsi="Tw Cen MT"/>
                          <w:i/>
                        </w:rPr>
                        <w:t>might</w:t>
                      </w:r>
                      <w:r>
                        <w:rPr>
                          <w:rFonts w:ascii="Tw Cen MT" w:hAnsi="Tw Cen MT"/>
                        </w:rPr>
                        <w:t xml:space="preserve"> permit ta</w:t>
                      </w:r>
                      <w:r>
                        <w:rPr>
                          <w:rFonts w:ascii="Tw Cen MT" w:hAnsi="Tw Cen MT"/>
                        </w:rPr>
                        <w:t>x</w:t>
                      </w:r>
                      <w:r>
                        <w:rPr>
                          <w:rFonts w:ascii="Tw Cen MT" w:hAnsi="Tw Cen MT"/>
                        </w:rPr>
                        <w:t xml:space="preserve">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v:textbox>
                <w10:wrap type="square" side="largest" anchorx="margin"/>
              </v:shape>
            </w:pict>
          </mc:Fallback>
        </mc:AlternateContent>
      </w:r>
      <w:r w:rsidR="0049128E" w:rsidRPr="00576ED7">
        <w:rPr>
          <w:szCs w:val="24"/>
        </w:rPr>
        <w:t>Section 61(a)(3) includes in a taxpa</w:t>
      </w:r>
      <w:r w:rsidR="0049128E" w:rsidRPr="00576ED7">
        <w:rPr>
          <w:szCs w:val="24"/>
        </w:rPr>
        <w:t>y</w:t>
      </w:r>
      <w:r w:rsidR="0049128E" w:rsidRPr="00576ED7">
        <w:rPr>
          <w:szCs w:val="24"/>
        </w:rPr>
        <w:t>er’s “gross income” “gains derived from dealings in property.”  This pr</w:t>
      </w:r>
      <w:r w:rsidR="0049128E" w:rsidRPr="00576ED7">
        <w:rPr>
          <w:szCs w:val="24"/>
        </w:rPr>
        <w:t>o</w:t>
      </w:r>
      <w:r w:rsidR="0049128E" w:rsidRPr="00576ED7">
        <w:rPr>
          <w:szCs w:val="24"/>
        </w:rPr>
        <w:t>vision does not tell us how to dete</w:t>
      </w:r>
      <w:r w:rsidR="0049128E" w:rsidRPr="00576ED7">
        <w:rPr>
          <w:szCs w:val="24"/>
        </w:rPr>
        <w:t>r</w:t>
      </w:r>
      <w:r w:rsidR="0049128E" w:rsidRPr="00576ED7">
        <w:rPr>
          <w:szCs w:val="24"/>
        </w:rPr>
        <w:t>mine what those gains might be.  For that, we turn to §§ 1001(a and b).  Read it.  (The word “over” frequently appears in the Code as a directive to subtract whatever is described.)  Se</w:t>
      </w:r>
      <w:r w:rsidR="0049128E" w:rsidRPr="00576ED7">
        <w:rPr>
          <w:szCs w:val="24"/>
        </w:rPr>
        <w:t>c</w:t>
      </w:r>
      <w:r w:rsidR="0049128E" w:rsidRPr="00576ED7">
        <w:rPr>
          <w:szCs w:val="24"/>
        </w:rPr>
        <w:t>tion 1001(a) directs you to § 1011.  Read it.  Section 1011 directs you to §§ 1012 and 1016.  Read § 1012(a) and 1016(a).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effect of subtracting “adjusted basis” is to exclude that amount from taxpa</w:t>
      </w:r>
      <w:r w:rsidRPr="00576ED7">
        <w:rPr>
          <w:szCs w:val="24"/>
        </w:rPr>
        <w:t>y</w:t>
      </w:r>
      <w:r w:rsidRPr="00576ED7">
        <w:rPr>
          <w:szCs w:val="24"/>
        </w:rPr>
        <w:t xml:space="preserve">er’s “gross income” and so from his/her income tax burden.  That money of </w:t>
      </w:r>
      <w:r w:rsidRPr="00576ED7">
        <w:rPr>
          <w:szCs w:val="24"/>
        </w:rPr>
        <w:lastRenderedPageBreak/>
        <w:t xml:space="preserve">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his/her “store of property rights” and so should not be subject to tax again.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MURPHY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w:t>
      </w:r>
      <w:r w:rsidRPr="00576ED7">
        <w:rPr>
          <w:szCs w:val="24"/>
        </w:rPr>
        <w:t>m</w:t>
      </w:r>
      <w:r w:rsidRPr="00576ED7">
        <w:rPr>
          <w:szCs w:val="24"/>
        </w:rPr>
        <w:t>mence at the expiration of the head lease.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1933, the Irving Trust Co. found it unprofitable to maintain a branch in pet</w:t>
      </w:r>
      <w:r w:rsidRPr="00576ED7">
        <w:rPr>
          <w:szCs w:val="24"/>
        </w:rPr>
        <w:t>i</w:t>
      </w:r>
      <w:r w:rsidRPr="00576ED7">
        <w:rPr>
          <w:szCs w:val="24"/>
        </w:rPr>
        <w:t>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w:t>
      </w:r>
      <w:r w:rsidRPr="00576ED7">
        <w:rPr>
          <w:szCs w:val="24"/>
        </w:rPr>
        <w:t>r</w:t>
      </w:r>
      <w:r w:rsidRPr="00576ED7">
        <w:rPr>
          <w:szCs w:val="24"/>
        </w:rPr>
        <w:t>ence between the present value of the unmatured rental payments and the fair rental value of the main floor and basement for the unexpired term of the lease.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included the entire $140,000 in gross income, disallowed the asserted loss, ... and assessed a deficiency. The Board of Tax Appeals affirmed. 39 B.T.A. 922. The Circuit Court of Appeals affirmed per curiam ... [W]e granted certiorari limited to the question whether, “in computing net gain or loss for i</w:t>
      </w:r>
      <w:r w:rsidRPr="00576ED7">
        <w:rPr>
          <w:szCs w:val="24"/>
        </w:rPr>
        <w:t>n</w:t>
      </w:r>
      <w:r w:rsidRPr="00576ED7">
        <w:rPr>
          <w:szCs w:val="24"/>
        </w:rPr>
        <w:t>come tax purposes, a taxpayer [can] offset the value of the lease canceled against the consideration received by him for the cancellation.”</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amount received by petitioner for cancellation of the lease must be included in his gross income in its entirety. Section [61] [footnote omitted] ... expressly </w:t>
      </w:r>
      <w:r w:rsidRPr="00576ED7">
        <w:rPr>
          <w:szCs w:val="24"/>
        </w:rPr>
        <w:lastRenderedPageBreak/>
        <w:t>defines gross income to include “gains, profits, and income derived from ... rent, ... or gains or profits and income from any source whatever.” Plainly this defin</w:t>
      </w:r>
      <w:r w:rsidRPr="00576ED7">
        <w:rPr>
          <w:szCs w:val="24"/>
        </w:rPr>
        <w:t>i</w:t>
      </w:r>
      <w:r w:rsidRPr="00576ED7">
        <w:rPr>
          <w:szCs w:val="24"/>
        </w:rPr>
        <w:t>tion reached the rent paid prior to cancellation, just as it would have embraced subsequent payments if the lease had never been canceled. It would have included a prepayment of the discounted value of unmatured rental payments whether r</w:t>
      </w:r>
      <w:r w:rsidRPr="00576ED7">
        <w:rPr>
          <w:szCs w:val="24"/>
        </w:rPr>
        <w:t>e</w:t>
      </w:r>
      <w:r w:rsidRPr="00576ED7">
        <w:rPr>
          <w:szCs w:val="24"/>
        </w:rPr>
        <w:t>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w:t>
      </w:r>
      <w:r w:rsidRPr="00576ED7">
        <w:rPr>
          <w:szCs w:val="24"/>
        </w:rPr>
        <w:t>a</w:t>
      </w:r>
      <w:r w:rsidRPr="00576ED7">
        <w:rPr>
          <w:szCs w:val="24"/>
        </w:rPr>
        <w:t>tion of the lease, rather than from a suit to enforce it, cannot alter the fact that b</w:t>
      </w:r>
      <w:r w:rsidRPr="00576ED7">
        <w:rPr>
          <w:szCs w:val="24"/>
        </w:rPr>
        <w:t>a</w:t>
      </w:r>
      <w:r w:rsidRPr="00576ED7">
        <w:rPr>
          <w:szCs w:val="24"/>
        </w:rPr>
        <w:t>sically the payment was merely a substitute for the rent reserved in the lease. So far as the application of [§ 61(a)] is concerned, it is immaterial that petitioner chose to accept an amount less than the strict present value of the unmatured ren</w:t>
      </w:r>
      <w:r w:rsidRPr="00576ED7">
        <w:rPr>
          <w:szCs w:val="24"/>
        </w:rPr>
        <w:t>t</w:t>
      </w:r>
      <w:r w:rsidRPr="00576ED7">
        <w:rPr>
          <w:szCs w:val="24"/>
        </w:rPr>
        <w:t>al payments, rather than to engage in litigation, possibly uncertain and expensive.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consideration received for cancellation of the lease was not a return of cap</w:t>
      </w:r>
      <w:r w:rsidRPr="00576ED7">
        <w:rPr>
          <w:szCs w:val="24"/>
        </w:rPr>
        <w:t>i</w:t>
      </w:r>
      <w:r w:rsidRPr="00576ED7">
        <w:rPr>
          <w:szCs w:val="24"/>
        </w:rPr>
        <w:t>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 61(a)] expressly characterizes as gross income, it must be r</w:t>
      </w:r>
      <w:r w:rsidRPr="00576ED7">
        <w:rPr>
          <w:szCs w:val="24"/>
        </w:rPr>
        <w:t>e</w:t>
      </w:r>
      <w:r w:rsidRPr="00576ED7">
        <w:rPr>
          <w:szCs w:val="24"/>
        </w:rPr>
        <w:t>garded as ordinary income, and it is immaterial that, for some purposes, the co</w:t>
      </w:r>
      <w:r w:rsidRPr="00576ED7">
        <w:rPr>
          <w:szCs w:val="24"/>
        </w:rPr>
        <w:t>n</w:t>
      </w:r>
      <w:r w:rsidRPr="00576ED7">
        <w:rPr>
          <w:szCs w:val="24"/>
        </w:rPr>
        <w:t>tract creating the right to such payments may be treated as “property” or “capital.”</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t>
      </w:r>
    </w:p>
    <w:p w:rsidR="00984543" w:rsidRPr="00576ED7" w:rsidRDefault="00984543"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petitioner must report as gross income the entire amount r</w:t>
      </w:r>
      <w:r w:rsidRPr="00576ED7">
        <w:rPr>
          <w:szCs w:val="24"/>
        </w:rPr>
        <w:t>e</w:t>
      </w:r>
      <w:r w:rsidRPr="00576ED7">
        <w:rPr>
          <w:szCs w:val="24"/>
        </w:rPr>
        <w:t>ceived for cancellation of the lease, without regard to the claimed disparity b</w:t>
      </w:r>
      <w:r w:rsidRPr="00576ED7">
        <w:rPr>
          <w:szCs w:val="24"/>
        </w:rPr>
        <w:t>e</w:t>
      </w:r>
      <w:r w:rsidRPr="00576ED7">
        <w:rPr>
          <w:szCs w:val="24"/>
        </w:rPr>
        <w:t>tween that amount and the difference between the present value of the unmatured rental payments and the fair rental value of the property for the unexpired period of the lease. The cancellation of the lease involved nothing more than relinquis</w:t>
      </w:r>
      <w:r w:rsidRPr="00576ED7">
        <w:rPr>
          <w:szCs w:val="24"/>
        </w:rPr>
        <w:t>h</w:t>
      </w:r>
      <w:r w:rsidRPr="00576ED7">
        <w:rPr>
          <w:szCs w:val="24"/>
        </w:rPr>
        <w:t>ment of the right to future rental payments in return for a present substitute pa</w:t>
      </w:r>
      <w:r w:rsidRPr="00576ED7">
        <w:rPr>
          <w:szCs w:val="24"/>
        </w:rPr>
        <w:t>y</w:t>
      </w:r>
      <w:r w:rsidRPr="00576ED7">
        <w:rPr>
          <w:szCs w:val="24"/>
        </w:rPr>
        <w:t>ment and possession of the leased premises. Undoubtedly it diminished the amount of gross income petitioner expected to realize, but, to that extent, he was relieved of the duty to pay income tax. Nothing in [§ 165] [footnote omitted] ind</w:t>
      </w:r>
      <w:r w:rsidRPr="00576ED7">
        <w:rPr>
          <w:szCs w:val="24"/>
        </w:rPr>
        <w:t>i</w:t>
      </w:r>
      <w:r w:rsidRPr="00576ED7">
        <w:rPr>
          <w:szCs w:val="24"/>
        </w:rPr>
        <w:t>cates that Congress intended to allow petitioner to reduce ordinary income actua</w:t>
      </w:r>
      <w:r w:rsidRPr="00576ED7">
        <w:rPr>
          <w:szCs w:val="24"/>
        </w:rPr>
        <w:t>l</w:t>
      </w:r>
      <w:r w:rsidRPr="00576ED7">
        <w:rPr>
          <w:szCs w:val="24"/>
        </w:rPr>
        <w:t xml:space="preserve">ly received and reported by the amount of income he failed to realize. [citations omitted]  We may assume that petitioner was injured insofar as the cancellation of </w:t>
      </w:r>
      <w:r w:rsidRPr="00576ED7">
        <w:rPr>
          <w:szCs w:val="24"/>
        </w:rPr>
        <w:lastRenderedPageBreak/>
        <w:t>the lease affected the value of the realty. But that would become a deductible loss only when its extent had been fixed by a closed transaction.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judgment of the Circuit Court of Appeals is affirmed.</w:t>
      </w:r>
    </w:p>
    <w:p w:rsidR="0049128E" w:rsidRPr="00576ED7" w:rsidRDefault="0049128E" w:rsidP="009A1BF0">
      <w:pPr>
        <w:widowControl w:val="0"/>
        <w:jc w:val="both"/>
        <w:rPr>
          <w:szCs w:val="24"/>
        </w:rPr>
      </w:pPr>
    </w:p>
    <w:p w:rsidR="00C83815" w:rsidRPr="00576ED7" w:rsidRDefault="00C83815"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49024" behindDoc="0" locked="0" layoutInCell="0" allowOverlap="1" wp14:anchorId="56CBEECD" wp14:editId="689502C4">
                <wp:simplePos x="0" y="0"/>
                <wp:positionH relativeFrom="margin">
                  <wp:posOffset>2548255</wp:posOffset>
                </wp:positionH>
                <wp:positionV relativeFrom="paragraph">
                  <wp:posOffset>14605</wp:posOffset>
                </wp:positionV>
                <wp:extent cx="3136265" cy="2091055"/>
                <wp:effectExtent l="0" t="0" r="26035" b="23495"/>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091055"/>
                        </a:xfrm>
                        <a:prstGeom prst="rect">
                          <a:avLst/>
                        </a:prstGeom>
                        <a:solidFill>
                          <a:srgbClr val="FFFFFF"/>
                        </a:solidFill>
                        <a:ln w="12192">
                          <a:solidFill>
                            <a:srgbClr val="000000"/>
                          </a:solidFill>
                          <a:miter lim="800000"/>
                          <a:headEnd/>
                          <a:tailEnd/>
                        </a:ln>
                      </wps:spPr>
                      <wps:txbx>
                        <w:txbxContent>
                          <w:p w:rsidR="00FF5E72" w:rsidRDefault="00FF5E72"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200.65pt;margin-top:1.15pt;width:246.95pt;height:164.65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saKgIAAFwEAAAOAAAAZHJzL2Uyb0RvYy54bWysVNuO2yAQfa/Uf0C8N75ESXetOKtttqkq&#10;bS/Sbj+AYGyjAkOBxE6/vgPOZtPbS1U/IAaGM2fOzHh1M2pFDsJ5CaamxSynRBgOjTRdTb88bl9d&#10;UeIDMw1TYERNj8LTm/XLF6vBVqKEHlQjHEEQ46vB1rQPwVZZ5nkvNPMzsMLgZQtOs4Cm67LGsQHR&#10;tcrKPF9mA7jGOuDCezy9my7pOuG3reDhU9t6EYiqKXILaXVp3cU1W69Y1Tlme8lPNNg/sNBMGgx6&#10;hrpjgZG9k79BackdeGjDjIPOoG0lFykHzKbIf8nmoWdWpFxQHG/PMvn/B8s/Hj47IpuaXi0oMUxj&#10;jR7FGMgbGMl8HvUZrK/Q7cGiYxjxHOuccvX2HvhXTwxsemY6cescDL1gDfIr4svs4umE4yPIbvgA&#10;DcZh+wAJaGydjuKhHATRsU7Hc20iF46H82K+LJfIkeNdmV8X+WKRYrDq6bl1PrwToEnc1NRh8RM8&#10;O9z7EOmw6sklRvOgZLOVSiXDdbuNcuTAsFG26Tuh/+SmDBkwubK4LicJ/oqRp+9PGFoGbHklNWp+&#10;dmJVFO6taVJDBibVtEfOypyUjOJNMoZxN6aizZPOUeYdNEfU1sHU4jiSuOnBfadkwPauqf+2Z05Q&#10;ot4brM/rJU4PzsOl4S6N3aXBDEeomgZKpu0mTDO0t052PUaaOsLALda0lUntZ1Yn/tjCqQincYsz&#10;cmknr+efwvoHAAAA//8DAFBLAwQUAAYACAAAACEA7IPrkN0AAAAJAQAADwAAAGRycy9kb3ducmV2&#10;LnhtbEyPzU7DMBCE70i8g7VI3KjzA1UJcSoUiXsTQHB04yWOiNchdpvw9iwnOI1WM5r5ttyvbhRn&#10;nMPgSUG6SUAgdd4M1Ct4eX662YEIUZPRoydU8I0B9tXlRakL4xdq8NzGXnAJhUIrsDFOhZShs+h0&#10;2PgJib0PPzsd+Zx7aWa9cLkbZZYkW+n0QLxg9YS1xe6zPTkFvmnq16z9OrzVi6n75bDG6d0qdX21&#10;Pj6AiLjGvzD84jM6VMx09CcyQYwKbpM056iCjIX93f1dBuKoIM/TLciqlP8/qH4AAAD//wMAUEsB&#10;Ai0AFAAGAAgAAAAhALaDOJL+AAAA4QEAABMAAAAAAAAAAAAAAAAAAAAAAFtDb250ZW50X1R5cGVz&#10;XS54bWxQSwECLQAUAAYACAAAACEAOP0h/9YAAACUAQAACwAAAAAAAAAAAAAAAAAvAQAAX3JlbHMv&#10;LnJlbHNQSwECLQAUAAYACAAAACEA5grLGioCAABcBAAADgAAAAAAAAAAAAAAAAAuAgAAZHJzL2Uy&#10;b0RvYy54bWxQSwECLQAUAAYACAAAACEA7IPrkN0AAAAJAQAADwAAAAAAAAAAAAAAAACEBAAAZHJz&#10;L2Rvd25yZXYueG1sUEsFBgAAAAAEAAQA8wAAAI4FAAAAAA==&#10;" o:allowincell="f" strokeweight=".96pt">
                <v:textbox inset="6pt,6pt,6pt,6pt">
                  <w:txbxContent>
                    <w:p w:rsidR="00FF5E72" w:rsidRDefault="00FF5E72"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sidRPr="00576ED7">
        <w:rPr>
          <w:szCs w:val="24"/>
        </w:rPr>
        <w:t>1.  Taxpayer measured his gain/loss with the benefit of the bargain as his reference point.  An accountant or f</w:t>
      </w:r>
      <w:r w:rsidR="0049128E" w:rsidRPr="00576ED7">
        <w:rPr>
          <w:szCs w:val="24"/>
        </w:rPr>
        <w:t>i</w:t>
      </w:r>
      <w:r w:rsidR="0049128E" w:rsidRPr="00576ED7">
        <w:rPr>
          <w:szCs w:val="24"/>
        </w:rPr>
        <w:t>nancial officer would not evaluate the buyout of the lease in this case any di</w:t>
      </w:r>
      <w:r w:rsidR="0049128E" w:rsidRPr="00576ED7">
        <w:rPr>
          <w:szCs w:val="24"/>
        </w:rPr>
        <w:t>f</w:t>
      </w:r>
      <w:r w:rsidR="0049128E" w:rsidRPr="00576ED7">
        <w:rPr>
          <w:szCs w:val="24"/>
        </w:rPr>
        <w:t>ferently than taxpayer did.  If a lessor’s interest has a certain value and the le</w:t>
      </w:r>
      <w:r w:rsidR="0049128E" w:rsidRPr="00576ED7">
        <w:rPr>
          <w:szCs w:val="24"/>
        </w:rPr>
        <w:t>s</w:t>
      </w:r>
      <w:r w:rsidR="0049128E" w:rsidRPr="00576ED7">
        <w:rPr>
          <w:szCs w:val="24"/>
        </w:rPr>
        <w:t xml:space="preserve">sor sells it for less than that value, why can’t the lessor recognize a </w:t>
      </w:r>
      <w:r w:rsidR="0049128E" w:rsidRPr="00576ED7">
        <w:rPr>
          <w:i/>
          <w:szCs w:val="24"/>
        </w:rPr>
        <w:t>tax</w:t>
      </w:r>
      <w:r w:rsidR="0049128E" w:rsidRPr="00576ED7">
        <w:rPr>
          <w:szCs w:val="24"/>
        </w:rPr>
        <w:t xml:space="preserve"> loss?</w:t>
      </w:r>
    </w:p>
    <w:p w:rsidR="0049128E" w:rsidRPr="00576ED7" w:rsidRDefault="0049128E" w:rsidP="009A1BF0">
      <w:pPr>
        <w:widowControl w:val="0"/>
        <w:ind w:left="720"/>
        <w:jc w:val="both"/>
        <w:rPr>
          <w:szCs w:val="24"/>
        </w:rPr>
      </w:pPr>
      <w:r w:rsidRPr="00576ED7">
        <w:rPr>
          <w:szCs w:val="24"/>
        </w:rPr>
        <w:t>•Evidently it was a good lease for the lessor.  The present va</w:t>
      </w:r>
      <w:r w:rsidRPr="00576ED7">
        <w:rPr>
          <w:szCs w:val="24"/>
        </w:rPr>
        <w:t>l</w:t>
      </w:r>
      <w:r w:rsidRPr="00576ED7">
        <w:rPr>
          <w:szCs w:val="24"/>
        </w:rPr>
        <w:t>ue of the contracted rents was greater than the fair rental va</w:t>
      </w:r>
      <w:r w:rsidRPr="00576ED7">
        <w:rPr>
          <w:szCs w:val="24"/>
        </w:rPr>
        <w:t>l</w:t>
      </w:r>
      <w:r w:rsidR="00984543">
        <w:rPr>
          <w:szCs w:val="24"/>
        </w:rPr>
        <w:t>ue of the property.</w:t>
      </w:r>
      <w:r w:rsidRPr="00576ED7">
        <w:rPr>
          <w:szCs w:val="24"/>
        </w:rPr>
        <w:t>.</w:t>
      </w:r>
    </w:p>
    <w:p w:rsidR="0049128E" w:rsidRPr="00576ED7" w:rsidRDefault="0049128E" w:rsidP="009A1BF0">
      <w:pPr>
        <w:widowControl w:val="0"/>
        <w:ind w:left="720"/>
        <w:jc w:val="both"/>
        <w:rPr>
          <w:szCs w:val="24"/>
        </w:rPr>
      </w:pPr>
      <w:r w:rsidRPr="00576ED7">
        <w:rPr>
          <w:szCs w:val="24"/>
        </w:rPr>
        <w:t xml:space="preserve">•$140,000 was $21,500 less than the anticipated </w:t>
      </w:r>
      <w:r w:rsidR="00984543">
        <w:rPr>
          <w:szCs w:val="24"/>
        </w:rPr>
        <w:t>value of the lease</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Tax Code taxes all income once unless specifically provided otherwise.  Basis is the means by which a taxpayer keeps score with the government concer</w:t>
      </w:r>
      <w:r w:rsidRPr="00576ED7">
        <w:rPr>
          <w:szCs w:val="24"/>
        </w:rPr>
        <w:t>n</w:t>
      </w:r>
      <w:r w:rsidRPr="00576ED7">
        <w:rPr>
          <w:szCs w:val="24"/>
        </w:rPr>
        <w:t>ing what accessions to wealth have already been subject to tax.</w:t>
      </w:r>
    </w:p>
    <w:p w:rsidR="0049128E" w:rsidRPr="00576ED7" w:rsidRDefault="0049128E" w:rsidP="009A1BF0">
      <w:pPr>
        <w:widowControl w:val="0"/>
        <w:ind w:left="720"/>
        <w:jc w:val="both"/>
        <w:rPr>
          <w:szCs w:val="24"/>
        </w:rPr>
      </w:pPr>
      <w:r w:rsidRPr="00576ED7">
        <w:rPr>
          <w:szCs w:val="24"/>
        </w:rPr>
        <w:t>•How does the Court’s opinion implement these principles?</w:t>
      </w:r>
    </w:p>
    <w:p w:rsidR="0049128E" w:rsidRPr="00576ED7" w:rsidRDefault="0049128E" w:rsidP="009A1BF0">
      <w:pPr>
        <w:widowControl w:val="0"/>
        <w:ind w:left="720"/>
        <w:jc w:val="both"/>
        <w:rPr>
          <w:szCs w:val="24"/>
        </w:rPr>
      </w:pPr>
      <w:r w:rsidRPr="00576ED7">
        <w:rPr>
          <w:szCs w:val="24"/>
        </w:rPr>
        <w:t>•How did taxpayer’s contentions fail to implement these principles?</w:t>
      </w:r>
    </w:p>
    <w:p w:rsidR="0049128E" w:rsidRPr="00576ED7" w:rsidRDefault="0049128E" w:rsidP="009A1BF0">
      <w:pPr>
        <w:widowControl w:val="0"/>
        <w:ind w:left="720"/>
        <w:jc w:val="both"/>
        <w:rPr>
          <w:szCs w:val="24"/>
        </w:rPr>
      </w:pPr>
      <w:r w:rsidRPr="00576ED7">
        <w:rPr>
          <w:szCs w:val="24"/>
        </w:rPr>
        <w:t>•What exactly was taxpayer’s basis in its lessor’s interest in the leasehold?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suppose that instead of accepting money in exchange for property or se</w:t>
      </w:r>
      <w:r w:rsidRPr="00576ED7">
        <w:rPr>
          <w:szCs w:val="24"/>
        </w:rPr>
        <w:t>r</w:t>
      </w:r>
      <w:r w:rsidRPr="00576ED7">
        <w:rPr>
          <w:szCs w:val="24"/>
        </w:rPr>
        <w:t>vices, taxpayer accepts services for services, property for property, property for services, or services for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lastRenderedPageBreak/>
        <w:t>Rev. Rul. 79-24</w:t>
      </w:r>
      <w:r w:rsidRPr="00576ED7">
        <w:rPr>
          <w:szCs w:val="24"/>
        </w:rPr>
        <w:fldChar w:fldCharType="begin"/>
      </w:r>
      <w:r w:rsidRPr="00576ED7">
        <w:rPr>
          <w:b/>
          <w:szCs w:val="24"/>
        </w:rPr>
        <w:instrText xml:space="preserve"> TC \l3 "Rev. Rul. 79-24</w:instrText>
      </w:r>
      <w:r w:rsidRPr="00576ED7">
        <w:rPr>
          <w:szCs w:val="24"/>
        </w:rPr>
        <w:fldChar w:fldCharType="end"/>
      </w:r>
    </w:p>
    <w:p w:rsidR="0049128E" w:rsidRPr="00576ED7" w:rsidRDefault="0049128E" w:rsidP="009A1BF0">
      <w:pPr>
        <w:widowControl w:val="0"/>
        <w:jc w:val="both"/>
        <w:rPr>
          <w:szCs w:val="24"/>
        </w:rPr>
      </w:pPr>
      <w:r w:rsidRPr="00576ED7">
        <w:rPr>
          <w:szCs w:val="24"/>
        </w:rPr>
        <w:t>GROSS INCOME; BARTER TRANSACTIONS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FACTS</w:t>
      </w:r>
    </w:p>
    <w:p w:rsidR="0049128E" w:rsidRPr="00576ED7" w:rsidRDefault="0049128E" w:rsidP="009A1BF0">
      <w:pPr>
        <w:jc w:val="both"/>
        <w:rPr>
          <w:szCs w:val="24"/>
        </w:rPr>
      </w:pPr>
      <w:r w:rsidRPr="00576ED7">
        <w:rPr>
          <w:i/>
          <w:szCs w:val="24"/>
        </w:rPr>
        <w:t>Situation 1</w:t>
      </w:r>
      <w:r w:rsidRPr="00576ED7">
        <w:rPr>
          <w:szCs w:val="24"/>
        </w:rPr>
        <w:t>.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w:t>
      </w:r>
      <w:r w:rsidRPr="00576ED7">
        <w:rPr>
          <w:szCs w:val="24"/>
        </w:rPr>
        <w:t>o</w:t>
      </w:r>
      <w:r w:rsidRPr="00576ED7">
        <w:rPr>
          <w:szCs w:val="24"/>
        </w:rPr>
        <w:t>vide.  All the members of the club are professionals or trades persons.  Members contact other members directly and negotiate the value of the services to be pe</w:t>
      </w:r>
      <w:r w:rsidRPr="00576ED7">
        <w:rPr>
          <w:szCs w:val="24"/>
        </w:rPr>
        <w:t>r</w:t>
      </w:r>
      <w:r w:rsidRPr="00576ED7">
        <w:rPr>
          <w:szCs w:val="24"/>
        </w:rPr>
        <w:t xml:space="preserve">formed.  </w:t>
      </w:r>
    </w:p>
    <w:p w:rsidR="0049128E" w:rsidRPr="00576ED7" w:rsidRDefault="0049128E" w:rsidP="009A1BF0">
      <w:pPr>
        <w:jc w:val="both"/>
        <w:rPr>
          <w:i/>
          <w:szCs w:val="24"/>
        </w:rPr>
      </w:pPr>
    </w:p>
    <w:p w:rsidR="0049128E" w:rsidRPr="00576ED7" w:rsidRDefault="0049128E" w:rsidP="009A1BF0">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LAW</w:t>
      </w:r>
    </w:p>
    <w:p w:rsidR="0049128E" w:rsidRPr="00576ED7" w:rsidRDefault="0049128E" w:rsidP="009A1BF0">
      <w:pPr>
        <w:widowControl w:val="0"/>
        <w:jc w:val="both"/>
        <w:rPr>
          <w:szCs w:val="24"/>
        </w:rPr>
      </w:pPr>
      <w:r w:rsidRPr="00576ED7">
        <w:rPr>
          <w:szCs w:val="24"/>
        </w:rPr>
        <w:t>The applicable sections of the Internal Revenue Code of 1954 and the Income Tax Regulations thereunder are 61(a) and 1.61-2, relating to compensation for se</w:t>
      </w:r>
      <w:r w:rsidRPr="00576ED7">
        <w:rPr>
          <w:szCs w:val="24"/>
        </w:rPr>
        <w:t>r</w:t>
      </w:r>
      <w:r w:rsidRPr="00576ED7">
        <w:rPr>
          <w:szCs w:val="24"/>
        </w:rPr>
        <w:t>vices.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w:t>
      </w:r>
      <w:r w:rsidRPr="00576ED7">
        <w:rPr>
          <w:szCs w:val="24"/>
        </w:rPr>
        <w:t>e</w:t>
      </w:r>
      <w:r w:rsidRPr="00576ED7">
        <w:rPr>
          <w:szCs w:val="24"/>
        </w:rPr>
        <w:t>ceived in the absence of evidence to the contrary.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HOLDINGS</w:t>
      </w:r>
    </w:p>
    <w:p w:rsidR="0049128E" w:rsidRPr="00576ED7" w:rsidRDefault="0049128E" w:rsidP="009A1BF0">
      <w:pPr>
        <w:widowControl w:val="0"/>
        <w:jc w:val="both"/>
        <w:rPr>
          <w:szCs w:val="24"/>
        </w:rPr>
      </w:pPr>
      <w:r w:rsidRPr="00576ED7">
        <w:rPr>
          <w:i/>
          <w:szCs w:val="24"/>
        </w:rPr>
        <w:t>Situation 1</w:t>
      </w:r>
      <w:r w:rsidRPr="00576ED7">
        <w:rPr>
          <w:szCs w:val="24"/>
        </w:rPr>
        <w:t>.  The fair market value of the services received by the lawyer and the housepainter are includible in their gross incomes under section 61 of the Code.</w:t>
      </w:r>
    </w:p>
    <w:p w:rsidR="0049128E" w:rsidRPr="00576ED7" w:rsidRDefault="0049128E" w:rsidP="009A1BF0">
      <w:pPr>
        <w:widowControl w:val="0"/>
        <w:jc w:val="both"/>
        <w:rPr>
          <w:i/>
          <w:szCs w:val="24"/>
        </w:rPr>
      </w:pPr>
    </w:p>
    <w:p w:rsidR="0049128E" w:rsidRPr="00576ED7" w:rsidRDefault="0049128E" w:rsidP="009A1BF0">
      <w:pPr>
        <w:widowControl w:val="0"/>
        <w:jc w:val="both"/>
        <w:rPr>
          <w:szCs w:val="24"/>
        </w:rPr>
      </w:pPr>
      <w:r w:rsidRPr="00576ED7">
        <w:rPr>
          <w:i/>
          <w:szCs w:val="24"/>
        </w:rPr>
        <w:t>Situation 2</w:t>
      </w:r>
      <w:r w:rsidRPr="00576ED7">
        <w:rPr>
          <w:szCs w:val="24"/>
        </w:rPr>
        <w:t>.  The fair market value of the work of art and the six months fair rental value of the apartment are includible in the gross incomes of the apartment-owner and the artist under section 61 of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  </w:t>
      </w:r>
      <w:r w:rsidRPr="00576ED7">
        <w:rPr>
          <w:szCs w:val="24"/>
        </w:rPr>
        <w:lastRenderedPageBreak/>
        <w:t>If the fmv of what a party gives up is different from the value of what s/he r</w:t>
      </w:r>
      <w:r w:rsidRPr="00576ED7">
        <w:rPr>
          <w:szCs w:val="24"/>
        </w:rPr>
        <w:t>e</w:t>
      </w:r>
      <w:r w:rsidRPr="00576ED7">
        <w:rPr>
          <w:szCs w:val="24"/>
        </w:rPr>
        <w:t xml:space="preserve">ceived, it is the value of what taxpayer </w:t>
      </w:r>
      <w:r w:rsidRPr="00576ED7">
        <w:rPr>
          <w:i/>
          <w:szCs w:val="24"/>
        </w:rPr>
        <w:t>receives</w:t>
      </w:r>
      <w:r w:rsidRPr="00576ED7">
        <w:rPr>
          <w:szCs w:val="24"/>
        </w:rPr>
        <w:t xml:space="preserve"> that matters.  Read the Law and Holdings carefully.  Section 1001(a) also requires this.  This implies that two pa</w:t>
      </w:r>
      <w:r w:rsidRPr="00576ED7">
        <w:rPr>
          <w:szCs w:val="24"/>
        </w:rPr>
        <w:t>r</w:t>
      </w:r>
      <w:r w:rsidRPr="00576ED7">
        <w:rPr>
          <w:szCs w:val="24"/>
        </w:rPr>
        <w:t xml:space="preserve">ties to a transaction may realize different amounts. </w:t>
      </w:r>
    </w:p>
    <w:p w:rsidR="0049128E" w:rsidRPr="00576ED7" w:rsidRDefault="0049128E" w:rsidP="009A1BF0">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2.  (continuing note 1):  Let’s say that the fmv of the painting was $6000.  The fmv of the rent was $7000.  We say that we tax income once – but we don’t tax it more than once.  In the following questions, keep track of what the taxpayer has and on how much income s/he has paid income tax.</w:t>
      </w:r>
    </w:p>
    <w:p w:rsidR="0049128E" w:rsidRPr="00576ED7" w:rsidRDefault="0049128E" w:rsidP="009A1BF0">
      <w:pPr>
        <w:widowControl w:val="0"/>
        <w:ind w:left="720"/>
        <w:jc w:val="both"/>
        <w:rPr>
          <w:szCs w:val="24"/>
        </w:rPr>
      </w:pPr>
      <w:r w:rsidRPr="00576ED7">
        <w:rPr>
          <w:szCs w:val="24"/>
        </w:rPr>
        <w:t>•What should be the apartment-owner’s taxable gain from exchanging rent for the painting?</w:t>
      </w:r>
    </w:p>
    <w:p w:rsidR="0049128E" w:rsidRPr="00576ED7" w:rsidRDefault="0049128E" w:rsidP="009A1BF0">
      <w:pPr>
        <w:widowControl w:val="0"/>
        <w:ind w:left="720"/>
        <w:jc w:val="both"/>
        <w:rPr>
          <w:szCs w:val="24"/>
        </w:rPr>
      </w:pPr>
      <w:r w:rsidRPr="00576ED7">
        <w:rPr>
          <w:szCs w:val="24"/>
        </w:rPr>
        <w:t>•What should be the apartment-owner’s basis in the painting s/he r</w:t>
      </w:r>
      <w:r w:rsidRPr="00576ED7">
        <w:rPr>
          <w:szCs w:val="24"/>
        </w:rPr>
        <w:t>e</w:t>
      </w:r>
      <w:r w:rsidRPr="00576ED7">
        <w:rPr>
          <w:szCs w:val="24"/>
        </w:rPr>
        <w:t>ceived?</w:t>
      </w:r>
    </w:p>
    <w:p w:rsidR="0049128E" w:rsidRPr="00576ED7" w:rsidRDefault="0049128E" w:rsidP="009A1BF0">
      <w:pPr>
        <w:widowControl w:val="0"/>
        <w:ind w:left="720"/>
        <w:jc w:val="both"/>
        <w:rPr>
          <w:szCs w:val="24"/>
        </w:rPr>
      </w:pPr>
      <w:r w:rsidRPr="00576ED7">
        <w:rPr>
          <w:szCs w:val="24"/>
        </w:rPr>
        <w:t>•What is the apartment-owner’s taxable gain if s/he sells the painting i</w:t>
      </w:r>
      <w:r w:rsidRPr="00576ED7">
        <w:rPr>
          <w:szCs w:val="24"/>
        </w:rPr>
        <w:t>m</w:t>
      </w:r>
      <w:r w:rsidRPr="00576ED7">
        <w:rPr>
          <w:szCs w:val="24"/>
        </w:rPr>
        <w:t>mediately upon receipt for its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Sections 61(a) lists several forms that gross income may take.  The Code does not treat all forms of gross income the same.  Different rates of tax may apply to different forms of gross income.  Or, the Code might not – in certain circumstan</w:t>
      </w:r>
      <w:r w:rsidRPr="00576ED7">
        <w:rPr>
          <w:szCs w:val="24"/>
        </w:rPr>
        <w:t>c</w:t>
      </w:r>
      <w:r w:rsidRPr="00576ED7">
        <w:rPr>
          <w:szCs w:val="24"/>
        </w:rPr>
        <w:t>es – tax some forms of gross income at all.  Thus there are reasons that we should not (always) treat gross income as a big hodge-podge of money.  In the following case, the court distinguishes between a gain that taxpayer derived from dealings in property from gains that taxpayer derived from a discharge of his/her debt.  D</w:t>
      </w:r>
      <w:r w:rsidRPr="00576ED7">
        <w:rPr>
          <w:szCs w:val="24"/>
        </w:rPr>
        <w:t>e</w:t>
      </w:r>
      <w:r w:rsidRPr="00576ED7">
        <w:rPr>
          <w:szCs w:val="24"/>
        </w:rPr>
        <w:t xml:space="preserve">termine what was at issue in </w:t>
      </w:r>
      <w:r w:rsidRPr="00576ED7">
        <w:rPr>
          <w:i/>
          <w:szCs w:val="24"/>
        </w:rPr>
        <w:t>Gehl</w:t>
      </w:r>
      <w:r w:rsidRPr="00576ED7">
        <w:rPr>
          <w:szCs w:val="24"/>
        </w:rPr>
        <w:t>, what the parties argued, and why it mattered.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xml:space="preserve">, 1995 WL 115589 (CA8),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THIS IS AN UNPUBLISHED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BOGUE, Senior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Taxpayers James and Laura Gehl (taxpayers) appeal from an adverse decision in the United States Tax Court finding deficiencies in their income taxes for 1988 </w:t>
      </w:r>
      <w:r w:rsidRPr="00576ED7">
        <w:rPr>
          <w:szCs w:val="24"/>
        </w:rPr>
        <w:lastRenderedPageBreak/>
        <w:t>and 1989.  For the reasons stated below, we affirm.</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BACKGROUND</w:t>
      </w:r>
    </w:p>
    <w:p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w:t>
      </w:r>
      <w:r w:rsidRPr="00576ED7">
        <w:rPr>
          <w:szCs w:val="24"/>
        </w:rPr>
        <w:t>e</w:t>
      </w:r>
      <w:r w:rsidRPr="00576ED7">
        <w:rPr>
          <w:szCs w:val="24"/>
        </w:rPr>
        <w:t>tween the PCA and the taxpayers form the basis of the current dispute.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 fair market value of $77,725.  Taxpayers also paid $6,123 in cash to the PCA to be applied to their loan.  The PCA thereupon forgave the remaining balance of the taxpayers’ loan, $29,412.  Taxpayers were not debtors under the Bankruptcy Code during 1988 or 1989, but were insolvent both before and after the transfers and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an audit, the Commissioner of Revenue (Commissioner) determined tax d</w:t>
      </w:r>
      <w:r w:rsidRPr="00576ED7">
        <w:rPr>
          <w:szCs w:val="24"/>
        </w:rPr>
        <w:t>e</w:t>
      </w:r>
      <w:r w:rsidRPr="00576ED7">
        <w:rPr>
          <w:szCs w:val="24"/>
        </w:rPr>
        <w:t>ficiencies of $6,887 for 1988 and $13,643 for 1989 on the theory that the taxpa</w:t>
      </w:r>
      <w:r w:rsidRPr="00576ED7">
        <w:rPr>
          <w:szCs w:val="24"/>
        </w:rPr>
        <w:t>y</w:t>
      </w:r>
      <w:r w:rsidRPr="00576ED7">
        <w:rPr>
          <w:szCs w:val="24"/>
        </w:rPr>
        <w:t>ers had realized a gain on the disposition of their farmland in the amount by which the fair market value of the land exceeded their basis in the same at the time of the transfer (gains of $24,616 on the 60 acre conveyance and $45,645 on the conveyance of the 141 acre conveyance).  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 Court found in favor of the Commissioner.  In doing so, the court “bifu</w:t>
      </w:r>
      <w:r w:rsidRPr="00576ED7">
        <w:rPr>
          <w:szCs w:val="24"/>
        </w:rPr>
        <w:t>r</w:t>
      </w:r>
      <w:r w:rsidRPr="00576ED7">
        <w:rPr>
          <w:szCs w:val="24"/>
        </w:rPr>
        <w:t xml:space="preserve">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insolvent throughout the process.  26 U.S.C. § 108(a)(1).  </w:t>
      </w:r>
      <w:r w:rsidRPr="00576ED7">
        <w:rPr>
          <w:szCs w:val="24"/>
        </w:rPr>
        <w:lastRenderedPageBreak/>
        <w:t>As to the discharge of indebtedness, the court determined that because the taxpa</w:t>
      </w:r>
      <w:r w:rsidRPr="00576ED7">
        <w:rPr>
          <w:szCs w:val="24"/>
        </w:rPr>
        <w:t>y</w:t>
      </w:r>
      <w:r w:rsidRPr="00576ED7">
        <w:rPr>
          <w:szCs w:val="24"/>
        </w:rPr>
        <w:t>ers remained insolvent after their debt was discharged, no income would be a</w:t>
      </w:r>
      <w:r w:rsidRPr="00576ED7">
        <w:rPr>
          <w:szCs w:val="24"/>
        </w:rPr>
        <w:t>t</w:t>
      </w:r>
      <w:r w:rsidRPr="00576ED7">
        <w:rPr>
          <w:szCs w:val="24"/>
        </w:rPr>
        <w:t>tributable to that portion of the restructuring agreement.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other hand, the court found the taxpayers to have received a gain includ</w:t>
      </w:r>
      <w:r w:rsidRPr="00576ED7">
        <w:rPr>
          <w:szCs w:val="24"/>
        </w:rPr>
        <w:t>a</w:t>
      </w:r>
      <w:r w:rsidRPr="00576ED7">
        <w:rPr>
          <w:szCs w:val="24"/>
        </w:rPr>
        <w:t>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w:t>
      </w:r>
      <w:r w:rsidRPr="00576ED7">
        <w:rPr>
          <w:szCs w:val="24"/>
        </w:rPr>
        <w:t>y</w:t>
      </w:r>
      <w:r w:rsidRPr="00576ED7">
        <w:rPr>
          <w:szCs w:val="24"/>
        </w:rPr>
        <w:t>ers appealed.</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DISCUSSION</w:t>
      </w:r>
    </w:p>
    <w:p w:rsidR="0049128E" w:rsidRPr="00576ED7" w:rsidRDefault="0049128E" w:rsidP="009A1BF0">
      <w:pPr>
        <w:widowControl w:val="0"/>
        <w:jc w:val="both"/>
        <w:rPr>
          <w:szCs w:val="24"/>
        </w:rPr>
      </w:pPr>
      <w:r w:rsidRPr="00576ED7">
        <w:rPr>
          <w:szCs w:val="24"/>
        </w:rPr>
        <w:t>We review the Tax Court’s interpretation of law de novo. [citation omitted]  Di</w:t>
      </w:r>
      <w:r w:rsidRPr="00576ED7">
        <w:rPr>
          <w:szCs w:val="24"/>
        </w:rPr>
        <w:t>s</w:t>
      </w:r>
      <w:r w:rsidRPr="00576ED7">
        <w:rPr>
          <w:szCs w:val="24"/>
        </w:rPr>
        <w:t>cussion of this case properly begins with an examination of I.R.C. § 61 which d</w:t>
      </w:r>
      <w:r w:rsidRPr="00576ED7">
        <w:rPr>
          <w:szCs w:val="24"/>
        </w:rPr>
        <w:t>e</w:t>
      </w:r>
      <w:r w:rsidRPr="00576ED7">
        <w:rPr>
          <w:szCs w:val="24"/>
        </w:rPr>
        <w:t>fines gross income under the Code.  In order to satisfy their obligation to the PCA, the taxpayers agreed to participate in an arrangement which could potentia</w:t>
      </w:r>
      <w:r w:rsidRPr="00576ED7">
        <w:rPr>
          <w:szCs w:val="24"/>
        </w:rPr>
        <w:t>l</w:t>
      </w:r>
      <w:r w:rsidRPr="00576ED7">
        <w:rPr>
          <w:szCs w:val="24"/>
        </w:rPr>
        <w:t>ly give rise to gross income in two distinct ways.</w:t>
      </w:r>
      <w:r w:rsidRPr="00576ED7">
        <w:rPr>
          <w:rStyle w:val="FootnoteReference"/>
          <w:szCs w:val="24"/>
        </w:rPr>
        <w:footnoteReference w:id="36"/>
      </w:r>
      <w:r w:rsidRPr="00576ED7">
        <w:rPr>
          <w:szCs w:val="24"/>
        </w:rPr>
        <w:t xml:space="preserve">  I.R.C. § 61(a)(3) provides that for tax purposes, gross income includes “gains derived from dealings in prope</w:t>
      </w:r>
      <w:r w:rsidRPr="00576ED7">
        <w:rPr>
          <w:szCs w:val="24"/>
        </w:rPr>
        <w:t>r</w:t>
      </w:r>
      <w:r w:rsidRPr="00576ED7">
        <w:rPr>
          <w:szCs w:val="24"/>
        </w:rPr>
        <w:t>ty.” Likewise, income is realized pursuant to I.R.C. § 61(a)(12) for “income from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transfers of land and cash.  The Commissioner stipulated that under I.R.C. § 108(a)(1)(B),</w:t>
      </w:r>
      <w:r w:rsidRPr="00576ED7">
        <w:rPr>
          <w:rStyle w:val="FootnoteReference"/>
          <w:szCs w:val="24"/>
        </w:rPr>
        <w:footnoteReference w:id="37"/>
      </w:r>
      <w:r w:rsidRPr="00576ED7">
        <w:rPr>
          <w:szCs w:val="24"/>
        </w:rPr>
        <w:t xml:space="preserve"> the so-called “inso</w:t>
      </w:r>
      <w:r w:rsidRPr="00576ED7">
        <w:rPr>
          <w:szCs w:val="24"/>
        </w:rPr>
        <w:t>l</w:t>
      </w:r>
      <w:r w:rsidRPr="00576ED7">
        <w:rPr>
          <w:szCs w:val="24"/>
        </w:rPr>
        <w:t>vency exception,” the taxpayers did not have to include as income any part of the indebtedness that the PCA forgave.  The $29,412 represented the amount by which the land and cash transfers fell short of satisfying the outstanding debt.  The Tax Court properly found this amount to be excluded.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Further, the Tax Court’s treatment of the land transfers, irrespective of other po</w:t>
      </w:r>
      <w:r w:rsidRPr="00576ED7">
        <w:rPr>
          <w:szCs w:val="24"/>
        </w:rPr>
        <w:t>r</w:t>
      </w:r>
      <w:r w:rsidRPr="00576ED7">
        <w:rPr>
          <w:szCs w:val="24"/>
        </w:rPr>
        <w:t xml:space="preserve">tions of the restructuring agreement, cannot be criticized.  Section 1001 governs </w:t>
      </w:r>
      <w:r w:rsidRPr="00576ED7">
        <w:rPr>
          <w:szCs w:val="24"/>
        </w:rPr>
        <w:lastRenderedPageBreak/>
        <w:t xml:space="preserve">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 1001.  We disagree.  A transfer of property by deed in lieu of foreclosure constitutes a “sale or exchange” for federal income tax purposes.  </w:t>
      </w:r>
      <w:r w:rsidRPr="00576ED7">
        <w:rPr>
          <w:i/>
          <w:szCs w:val="24"/>
        </w:rPr>
        <w:t>Allan v. Commissioner of Revenue</w:t>
      </w:r>
      <w:r w:rsidRPr="00576ED7">
        <w:rPr>
          <w:szCs w:val="24"/>
        </w:rPr>
        <w:t>, 86 F.C. 655, 659-60, aff’d. 856 F.2d 1169, 1172 (8th Cir. 1988) (citations omitted).  The taxpayers’ transfers by deeds in lieu of foreclosure of their land to the PCA in partial sati</w:t>
      </w:r>
      <w:r w:rsidRPr="00576ED7">
        <w:rPr>
          <w:szCs w:val="24"/>
        </w:rPr>
        <w:t>s</w:t>
      </w:r>
      <w:r w:rsidRPr="00576ED7">
        <w:rPr>
          <w:szCs w:val="24"/>
        </w:rPr>
        <w:t>faction of the recourse debt were properly considered sales or exchanges for pu</w:t>
      </w:r>
      <w:r w:rsidRPr="00576ED7">
        <w:rPr>
          <w:szCs w:val="24"/>
        </w:rPr>
        <w:t>r</w:t>
      </w:r>
      <w:r w:rsidRPr="00576ED7">
        <w:rPr>
          <w:szCs w:val="24"/>
        </w:rPr>
        <w:t>poses of § 1001.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 1001(a-b) and thus, no “gain” from the land transfers as the term is used in I.R.C. § 61(a)(3).  Again, we must disagree.  The amount realized from a sale or other disposition of property includes the amount of liabilities from which the transferor is discharged as a result of the sale or di</w:t>
      </w:r>
      <w:r w:rsidRPr="00576ED7">
        <w:rPr>
          <w:szCs w:val="24"/>
        </w:rPr>
        <w:t>s</w:t>
      </w:r>
      <w:r w:rsidRPr="00576ED7">
        <w:rPr>
          <w:szCs w:val="24"/>
        </w:rPr>
        <w:t>position.  Treas. Reg. § 1.1001-2(a)(1).  Simply because the taxpayers did not a</w:t>
      </w:r>
      <w:r w:rsidRPr="00576ED7">
        <w:rPr>
          <w:szCs w:val="24"/>
        </w:rPr>
        <w:t>c</w:t>
      </w:r>
      <w:r w:rsidRPr="00576ED7">
        <w:rPr>
          <w:szCs w:val="24"/>
        </w:rPr>
        <w:t>tually receive any cash proceeds from the land transfers does not mean there was no amount realized.  Via the land transfers, they were given credit toward an ou</w:t>
      </w:r>
      <w:r w:rsidRPr="00576ED7">
        <w:rPr>
          <w:szCs w:val="24"/>
        </w:rPr>
        <w:t>t</w:t>
      </w:r>
      <w:r w:rsidRPr="00576ED7">
        <w:rPr>
          <w:szCs w:val="24"/>
        </w:rPr>
        <w:t>standing recourse loan to the extent of the land’s fair market value.  This loan had to be paid back.  It is clear that the transfers of land employed to satisfy that end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taxpayers’ primary and fundamental argument in this case is the Tax Court’s refusal to treat the entire settlement of their loan, including the land transfers, as coming within the scope of I.R.C. § 108.  As previously stated, § 108 and atten</w:t>
      </w:r>
      <w:r w:rsidRPr="00576ED7">
        <w:rPr>
          <w:szCs w:val="24"/>
        </w:rPr>
        <w:t>d</w:t>
      </w:r>
      <w:r w:rsidRPr="00576ED7">
        <w:rPr>
          <w:szCs w:val="24"/>
        </w:rPr>
        <w:t>ing Treasury Regulations act to exclude income from the discharge of indebte</w:t>
      </w:r>
      <w:r w:rsidRPr="00576ED7">
        <w:rPr>
          <w:szCs w:val="24"/>
        </w:rPr>
        <w:t>d</w:t>
      </w:r>
      <w:r w:rsidRPr="00576ED7">
        <w:rPr>
          <w:szCs w:val="24"/>
        </w:rPr>
        <w:t>ness where the taxpayer thereafter remains insolvent.  The taxpayers take issue with the bifurcated analysis conducted by the Tax Court and contend that, because of their continued insolvency, § 108 acts to exclude any income derived from the various transactions absolving their debt to the PCA.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an initial consideration, the taxpayers read the insolvency exception of § 108 too broadly.  I.R.C. § 61 provides an [</w:t>
      </w:r>
      <w:r w:rsidRPr="00576ED7">
        <w:rPr>
          <w:i/>
          <w:szCs w:val="24"/>
        </w:rPr>
        <w:t>sic</w:t>
      </w:r>
      <w:r w:rsidRPr="00576ED7">
        <w:rPr>
          <w:szCs w:val="24"/>
        </w:rPr>
        <w:t xml:space="preserve">] non-exclusive list of fifteen items </w:t>
      </w:r>
      <w:r w:rsidRPr="00576ED7">
        <w:rPr>
          <w:szCs w:val="24"/>
        </w:rPr>
        <w:lastRenderedPageBreak/>
        <w:t>which give rise to income for tax purposes, including income from discharge of indebtedness.  Of the numerous potential sources of income, § 108 grants an e</w:t>
      </w:r>
      <w:r w:rsidRPr="00576ED7">
        <w:rPr>
          <w:szCs w:val="24"/>
        </w:rPr>
        <w:t>x</w:t>
      </w:r>
      <w:r w:rsidRPr="00576ED7">
        <w:rPr>
          <w:szCs w:val="24"/>
        </w:rPr>
        <w:t>clusion to insolvent taxpayers only as to income from the discharge of indebte</w:t>
      </w:r>
      <w:r w:rsidRPr="00576ED7">
        <w:rPr>
          <w:szCs w:val="24"/>
        </w:rPr>
        <w:t>d</w:t>
      </w:r>
      <w:r w:rsidRPr="00576ED7">
        <w:rPr>
          <w:szCs w:val="24"/>
        </w:rPr>
        <w:t>ness.  It does not preclude the realization of income from other activities or sources.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 108 clearly applied to a portion of the taxpayers’ loan restructuring agreement, the land transfers were outside the section’s scope and were properly treated independently.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is ample authority to support Tax Court’s bifurcated analysis and substa</w:t>
      </w:r>
      <w:r w:rsidRPr="00576ED7">
        <w:rPr>
          <w:szCs w:val="24"/>
        </w:rPr>
        <w:t>n</w:t>
      </w:r>
      <w:r w:rsidRPr="00576ED7">
        <w:rPr>
          <w:szCs w:val="24"/>
        </w:rPr>
        <w:t>tive decision rendered with respect to the present land transfers.  The Commi</w:t>
      </w:r>
      <w:r w:rsidRPr="00576ED7">
        <w:rPr>
          <w:szCs w:val="24"/>
        </w:rPr>
        <w:t>s</w:t>
      </w:r>
      <w:r w:rsidRPr="00576ED7">
        <w:rPr>
          <w:szCs w:val="24"/>
        </w:rPr>
        <w:t>sioner relies heavily on Treas.  Reg. § 1.1001-2 and example 8 contained therein, which provides: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 Inclusion in amount realized.-(1) * * *</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(2) Discharge of indebtedness.  The amount realized on a sale or other disposition of property that secures a recourse liability does not include amounts that are (or would be if realized and reco</w:t>
      </w:r>
      <w:r w:rsidRPr="00576ED7">
        <w:rPr>
          <w:szCs w:val="24"/>
        </w:rPr>
        <w:t>g</w:t>
      </w:r>
      <w:r w:rsidRPr="00576ED7">
        <w:rPr>
          <w:szCs w:val="24"/>
        </w:rPr>
        <w:t>nized) income from the discharge of indebtedness under section 61(a)(12).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(c) Examples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($7,500-$6,000).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8"/>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lastRenderedPageBreak/>
        <w:tab/>
        <w:t>CONCLUSION</w:t>
      </w:r>
    </w:p>
    <w:p w:rsidR="0049128E" w:rsidRPr="00576ED7" w:rsidRDefault="0049128E" w:rsidP="009A1BF0">
      <w:pPr>
        <w:widowControl w:val="0"/>
        <w:jc w:val="both"/>
        <w:rPr>
          <w:szCs w:val="24"/>
        </w:rPr>
      </w:pPr>
      <w:r w:rsidRPr="00576ED7">
        <w:rPr>
          <w:szCs w:val="24"/>
        </w:rPr>
        <w:t>For the reasons stated, we affirm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Section 61(a) presents a comprehensive definition of “gross income.”  Howe</w:t>
      </w:r>
      <w:r w:rsidRPr="00576ED7">
        <w:rPr>
          <w:szCs w:val="24"/>
        </w:rPr>
        <w:t>v</w:t>
      </w:r>
      <w:r w:rsidRPr="00576ED7">
        <w:rPr>
          <w:szCs w:val="24"/>
        </w:rPr>
        <w:t>er, the fifteen enumerated types or sources of income are not necessarily subject to the same rate of tax, and other provisions may exclude certain types of income from income subject to tax altogether.  Naturally, taxpayers would prefer to cha</w:t>
      </w:r>
      <w:r w:rsidRPr="00576ED7">
        <w:rPr>
          <w:szCs w:val="24"/>
        </w:rPr>
        <w:t>r</w:t>
      </w:r>
      <w:r w:rsidRPr="00576ED7">
        <w:rPr>
          <w:szCs w:val="24"/>
        </w:rPr>
        <w:t>acterize their income as of a type or from a source not subject to income tax.  U</w:t>
      </w:r>
      <w:r w:rsidRPr="00576ED7">
        <w:rPr>
          <w:szCs w:val="24"/>
        </w:rPr>
        <w:t>n</w:t>
      </w:r>
      <w:r w:rsidRPr="00576ED7">
        <w:rPr>
          <w:szCs w:val="24"/>
        </w:rPr>
        <w:t xml:space="preserve">der certain circumstances, § 108 excludes discharge of indebtedness income from income tax.  </w:t>
      </w:r>
      <w:r w:rsidRPr="00576ED7">
        <w:rPr>
          <w:i/>
          <w:szCs w:val="24"/>
        </w:rPr>
        <w:t>See</w:t>
      </w:r>
      <w:r w:rsidRPr="00576ED7">
        <w:rPr>
          <w:szCs w:val="24"/>
        </w:rPr>
        <w:t xml:space="preserve"> chapter 3 </w:t>
      </w:r>
      <w:r w:rsidRPr="00576ED7">
        <w:rPr>
          <w:i/>
          <w:szCs w:val="24"/>
        </w:rPr>
        <w:t>infra</w:t>
      </w:r>
      <w:r w:rsidRPr="00576ED7">
        <w:rPr>
          <w:szCs w:val="24"/>
        </w:rPr>
        <w:t xml:space="preserve">.  For these reasons, the type or source of income </w:t>
      </w:r>
      <w:r w:rsidRPr="00576ED7">
        <w:rPr>
          <w:i/>
          <w:szCs w:val="24"/>
        </w:rPr>
        <w:t>can</w:t>
      </w:r>
      <w:r w:rsidRPr="00576ED7">
        <w:rPr>
          <w:szCs w:val="24"/>
        </w:rPr>
        <w:t xml:space="preserve"> matter greatly.</w:t>
      </w:r>
    </w:p>
    <w:p w:rsidR="0049128E" w:rsidRPr="00576ED7" w:rsidRDefault="0049128E" w:rsidP="009A1BF0">
      <w:pPr>
        <w:widowControl w:val="0"/>
        <w:jc w:val="both"/>
        <w:rPr>
          <w:szCs w:val="24"/>
        </w:rPr>
      </w:pPr>
    </w:p>
    <w:p w:rsidR="0049128E" w:rsidRPr="00576ED7" w:rsidRDefault="00F63A24" w:rsidP="009A1BF0">
      <w:pPr>
        <w:widowControl w:val="0"/>
        <w:jc w:val="both"/>
        <w:rPr>
          <w:szCs w:val="24"/>
        </w:rPr>
      </w:pPr>
      <w:r w:rsidRPr="00576ED7">
        <w:rPr>
          <w:noProof/>
          <w:szCs w:val="24"/>
        </w:rPr>
        <mc:AlternateContent>
          <mc:Choice Requires="wps">
            <w:drawing>
              <wp:anchor distT="152400" distB="152400" distL="152400" distR="152400" simplePos="0" relativeHeight="251650048" behindDoc="0" locked="0" layoutInCell="0" allowOverlap="1" wp14:anchorId="3798004E" wp14:editId="5D5087C7">
                <wp:simplePos x="0" y="0"/>
                <wp:positionH relativeFrom="margin">
                  <wp:posOffset>2674620</wp:posOffset>
                </wp:positionH>
                <wp:positionV relativeFrom="paragraph">
                  <wp:posOffset>13970</wp:posOffset>
                </wp:positionV>
                <wp:extent cx="2411730" cy="966470"/>
                <wp:effectExtent l="0" t="0" r="26670" b="2413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966470"/>
                        </a:xfrm>
                        <a:prstGeom prst="rect">
                          <a:avLst/>
                        </a:prstGeom>
                        <a:solidFill>
                          <a:srgbClr val="FFFFFF"/>
                        </a:solidFill>
                        <a:ln w="12192">
                          <a:solidFill>
                            <a:srgbClr val="000000"/>
                          </a:solidFill>
                          <a:miter lim="800000"/>
                          <a:headEnd/>
                          <a:tailEnd/>
                        </a:ln>
                      </wps:spPr>
                      <wps:txbx>
                        <w:txbxContent>
                          <w:p w:rsidR="00FF5E72" w:rsidRDefault="00FF5E72"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210.6pt;margin-top:1.1pt;width:189.9pt;height:76.1pt;z-index:251650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OKgIAAFsEAAAOAAAAZHJzL2Uyb0RvYy54bWysVNuO2yAQfa/Uf0C8N46dKNm14qy22aaq&#10;tL1Iu/0AjHGMCgwFEjv9+g44SaNt+1LVD4iB4czMOTNe3Q1akYNwXoKpaD6ZUiIMh0aaXUW/Pm/f&#10;3FDiAzMNU2BERY/C07v161er3paigA5UIxxBEOPL3la0C8GWWeZ5JzTzE7DC4GULTrOApttljWM9&#10;omuVFdPpIuvBNdYBF97j6cN4SdcJv20FD5/b1otAVEUxt5BWl9Y6rtl6xcqdY7aT/JQG+4csNJMG&#10;g16gHlhgZO/kb1Bacgce2jDhoDNoW8lFqgGryacvqnnqmBWpFiTH2wtN/v/B8k+HL47IpqI3c0oM&#10;06jRsxgCeQsDmc0jP731Jbo9WXQMA56jzqlWbx+Bf/PEwKZjZifunYO+E6zB/PL4Mrt6OuL4CFL3&#10;H6HBOGwfIAENrdORPKSDIDrqdLxoE3PheFjM83w5wyuOd7eLxXyZxMtYeX5tnQ/vBWgSNxV1qH1C&#10;Z4dHH2I2rDy7xGAelGy2UqlkuF29UY4cGPbJNn2pgBduypAeayvy22Jk4K8Y0/T9CUPLgB2vpEbK&#10;L06sjLy9M03qx8CkGveYszInIiN3I4thqIek2aw4C1RDc0RqHYwdjhOJmw7cD0p67O6K+u975gQl&#10;6oNBeZYLHB4ch2vDXRv1tcEMR6iKBkrG7SaMI7S3Tu46jDQ2hIF7lLSVie2o/ZjVKX/s4CTCadri&#10;iFzbyevXP2H9EwAA//8DAFBLAwQUAAYACAAAACEA/eTgEtwAAAAJAQAADwAAAGRycy9kb3ducmV2&#10;LnhtbEyPwU7DMBBE70j8g7VI3KiTKKAqxKlQJO5NAJWjG2/jqPE6xG4T/p7lBKfVaJ5mZ8rd6kZx&#10;xTkMnhSkmwQEUufNQL2C97fXhy2IEDUZPXpCBd8YYFfd3pS6MH6hBq9t7AWHUCi0AhvjVEgZOotO&#10;h42fkNg7+dnpyHLupZn1wuFulFmSPEmnB+IPVk9YW+zO7cUp8E1Tf2Tt1/5QL6bul/0ap0+r1P3d&#10;+vIMIuIa/2D4rc/VoeJOR38hE8SoIM/SjFEFGR/2t0nK244MPuY5yKqU/xdUPwAAAP//AwBQSwEC&#10;LQAUAAYACAAAACEAtoM4kv4AAADhAQAAEwAAAAAAAAAAAAAAAAAAAAAAW0NvbnRlbnRfVHlwZXNd&#10;LnhtbFBLAQItABQABgAIAAAAIQA4/SH/1gAAAJQBAAALAAAAAAAAAAAAAAAAAC8BAABfcmVscy8u&#10;cmVsc1BLAQItABQABgAIAAAAIQDrmW4OKgIAAFsEAAAOAAAAAAAAAAAAAAAAAC4CAABkcnMvZTJv&#10;RG9jLnhtbFBLAQItABQABgAIAAAAIQD95OAS3AAAAAkBAAAPAAAAAAAAAAAAAAAAAIQEAABkcnMv&#10;ZG93bnJldi54bWxQSwUGAAAAAAQABADzAAAAjQUAAAAA&#10;" o:allowincell="f" strokeweight=".96pt">
                <v:textbox inset="6pt,6pt,6pt,6pt">
                  <w:txbxContent>
                    <w:p w:rsidR="00FF5E72" w:rsidRDefault="00FF5E72" w:rsidP="00F63A24">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v:textbox>
                <w10:wrap type="square" side="largest" anchorx="margin"/>
              </v:shape>
            </w:pict>
          </mc:Fallback>
        </mc:AlternateContent>
      </w:r>
      <w:r w:rsidR="0049128E" w:rsidRPr="00576ED7">
        <w:rPr>
          <w:szCs w:val="24"/>
        </w:rPr>
        <w:t>2.  Taxpayer may transfer a piece of a</w:t>
      </w:r>
      <w:r w:rsidR="0049128E" w:rsidRPr="00576ED7">
        <w:rPr>
          <w:szCs w:val="24"/>
        </w:rPr>
        <w:t>p</w:t>
      </w:r>
      <w:r w:rsidR="0049128E" w:rsidRPr="00576ED7">
        <w:rPr>
          <w:szCs w:val="24"/>
        </w:rPr>
        <w:t>preciated (or depreciated) property to a</w:t>
      </w:r>
      <w:r w:rsidR="0049128E" w:rsidRPr="00576ED7">
        <w:rPr>
          <w:szCs w:val="24"/>
        </w:rPr>
        <w:t>n</w:t>
      </w:r>
      <w:r w:rsidR="0049128E" w:rsidRPr="00576ED7">
        <w:rPr>
          <w:szCs w:val="24"/>
        </w:rPr>
        <w:t>other to satisfy an obligation or make a payment.  Taxpayer might alternatively have sold the property for its fmv.  The gain derived from the sale would be su</w:t>
      </w:r>
      <w:r w:rsidR="0049128E" w:rsidRPr="00576ED7">
        <w:rPr>
          <w:szCs w:val="24"/>
        </w:rPr>
        <w:t>b</w:t>
      </w:r>
      <w:r w:rsidR="0049128E" w:rsidRPr="00576ED7">
        <w:rPr>
          <w:szCs w:val="24"/>
        </w:rPr>
        <w:t>ject to income tax.  Taxpayer could then pay the cash s/he realized to the obligee or payee.  The result should be no diffe</w:t>
      </w:r>
      <w:r w:rsidR="0049128E" w:rsidRPr="00576ED7">
        <w:rPr>
          <w:szCs w:val="24"/>
        </w:rPr>
        <w:t>r</w:t>
      </w:r>
      <w:r w:rsidR="0049128E" w:rsidRPr="00576ED7">
        <w:rPr>
          <w:szCs w:val="24"/>
        </w:rPr>
        <w:t>ent if taxpayer simply transfers the pro</w:t>
      </w:r>
      <w:r w:rsidR="0049128E" w:rsidRPr="00576ED7">
        <w:rPr>
          <w:szCs w:val="24"/>
        </w:rPr>
        <w:t>p</w:t>
      </w:r>
      <w:r w:rsidR="0049128E" w:rsidRPr="00576ED7">
        <w:rPr>
          <w:szCs w:val="24"/>
        </w:rPr>
        <w:t>erty directly to the obligee or payee.  The court recognized this when it stated:</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Read Reg. § 1.61-2(d)(1 and 2(i)) and § 83(a).</w:t>
      </w:r>
    </w:p>
    <w:p w:rsidR="0049128E" w:rsidRPr="00576ED7" w:rsidRDefault="0049128E" w:rsidP="009A1BF0">
      <w:pPr>
        <w:widowControl w:val="0"/>
        <w:ind w:left="720"/>
        <w:jc w:val="both"/>
        <w:rPr>
          <w:szCs w:val="24"/>
        </w:rPr>
      </w:pPr>
      <w:r w:rsidRPr="00576ED7">
        <w:rPr>
          <w:szCs w:val="24"/>
        </w:rPr>
        <w:t xml:space="preserve">•Taxpayer performed accounting services over the course of one year for Baxter Realty.  The fmv of these services was $15,000.  Taxpayer billed </w:t>
      </w:r>
      <w:r w:rsidRPr="00576ED7">
        <w:rPr>
          <w:szCs w:val="24"/>
        </w:rPr>
        <w:lastRenderedPageBreak/>
        <w:t>Baxter Realty for $15,000.  Unfortunately, Baxter Realty was short on cash and long on inventory, which included a tract of land known as Blackacre.  The fmv of Blackacre was $20,000.  Its cost to Baxter Realty was $11,000.  Taxpayer agreed to accept Blackacre as full payment for the bill.  Six months later, Taxpayer sold Blackacre to an unrelated third pe</w:t>
      </w:r>
      <w:r w:rsidRPr="00576ED7">
        <w:rPr>
          <w:szCs w:val="24"/>
        </w:rPr>
        <w:t>r</w:t>
      </w:r>
      <w:r w:rsidRPr="00576ED7">
        <w:rPr>
          <w:szCs w:val="24"/>
        </w:rPr>
        <w:t>son for $22,000.</w:t>
      </w:r>
    </w:p>
    <w:p w:rsidR="0049128E" w:rsidRPr="00576ED7" w:rsidRDefault="0049128E" w:rsidP="009A1BF0">
      <w:pPr>
        <w:widowControl w:val="0"/>
        <w:ind w:left="1440"/>
        <w:jc w:val="both"/>
        <w:rPr>
          <w:szCs w:val="24"/>
        </w:rPr>
      </w:pPr>
      <w:r w:rsidRPr="00576ED7">
        <w:rPr>
          <w:szCs w:val="24"/>
        </w:rPr>
        <w:t>1.  How much must Taxpayer report as gross income from the r</w:t>
      </w:r>
      <w:r w:rsidRPr="00576ED7">
        <w:rPr>
          <w:szCs w:val="24"/>
        </w:rPr>
        <w:t>e</w:t>
      </w:r>
      <w:r w:rsidRPr="00576ED7">
        <w:rPr>
          <w:szCs w:val="24"/>
        </w:rPr>
        <w:t>ceipt of Blackacre as payment for his/her services?</w:t>
      </w:r>
    </w:p>
    <w:p w:rsidR="0049128E" w:rsidRPr="00576ED7" w:rsidRDefault="0049128E" w:rsidP="009A1BF0">
      <w:pPr>
        <w:widowControl w:val="0"/>
        <w:ind w:left="1440"/>
        <w:jc w:val="both"/>
        <w:rPr>
          <w:szCs w:val="24"/>
        </w:rPr>
      </w:pPr>
      <w:r w:rsidRPr="00576ED7">
        <w:rPr>
          <w:szCs w:val="24"/>
        </w:rPr>
        <w:t>2.  How much must Taxpayer report as gross income derived from the sale of Blackacre?</w:t>
      </w:r>
    </w:p>
    <w:p w:rsidR="0049128E" w:rsidRPr="00576ED7" w:rsidRDefault="0049128E" w:rsidP="009A1BF0">
      <w:pPr>
        <w:widowControl w:val="0"/>
        <w:ind w:left="1440"/>
        <w:jc w:val="both"/>
        <w:rPr>
          <w:szCs w:val="24"/>
        </w:rPr>
      </w:pPr>
      <w:r w:rsidRPr="00576ED7">
        <w:rPr>
          <w:szCs w:val="24"/>
        </w:rPr>
        <w:t>3.  How much must Baxter Realty report as gross income derived from its dealings in Blackacre?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ROBERTS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[O]n July 1, 1915, the respondent, as owner, leased a lot of land and the buil</w:t>
      </w:r>
      <w:r w:rsidRPr="00576ED7">
        <w:rPr>
          <w:szCs w:val="24"/>
        </w:rPr>
        <w:t>d</w:t>
      </w:r>
      <w:r w:rsidRPr="00576ED7">
        <w:rPr>
          <w:szCs w:val="24"/>
        </w:rPr>
        <w:t>ing thereon for a term of ninety-nine years.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w:t>
      </w:r>
      <w:r w:rsidRPr="00576ED7">
        <w:rPr>
          <w:szCs w:val="24"/>
        </w:rPr>
        <w:t>s</w:t>
      </w:r>
      <w:r w:rsidRPr="00576ED7">
        <w:rPr>
          <w:szCs w:val="24"/>
        </w:rPr>
        <w:t>see was to surrender the land, upon termination of the lease, with all buildings and improvements thereon.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594F64" w:rsidP="009A1BF0">
      <w:pPr>
        <w:widowControl w:val="0"/>
        <w:jc w:val="both"/>
        <w:rPr>
          <w:szCs w:val="24"/>
        </w:rPr>
      </w:pPr>
      <w:r>
        <w:rPr>
          <w:szCs w:val="24"/>
        </w:rPr>
        <w:lastRenderedPageBreak/>
        <w:t>“</w:t>
      </w:r>
      <w:r w:rsidR="0049128E" w:rsidRPr="00576ED7">
        <w:rPr>
          <w:szCs w:val="24"/>
        </w:rPr>
        <w:t>... [At] said date, July 1, 1933, the building which had been erected upon said premises by the lessee had a fair market value of $64,245.68, and ... the unamo</w:t>
      </w:r>
      <w:r w:rsidR="0049128E" w:rsidRPr="00576ED7">
        <w:rPr>
          <w:szCs w:val="24"/>
        </w:rPr>
        <w:t>r</w:t>
      </w:r>
      <w:r w:rsidR="0049128E" w:rsidRPr="00576ED7">
        <w:rPr>
          <w:szCs w:val="24"/>
        </w:rPr>
        <w:t>tized cost of the old building, which was removed from the premises in 1929 to make way for the new building, was $12,811.43, thus leaving a net fair market value as at July 1, 1933, of $51,434.25, for the aforesaid new building erected u</w:t>
      </w:r>
      <w:r w:rsidR="0049128E" w:rsidRPr="00576ED7">
        <w:rPr>
          <w:szCs w:val="24"/>
        </w:rPr>
        <w:t>p</w:t>
      </w:r>
      <w:r w:rsidR="0049128E" w:rsidRPr="00576ED7">
        <w:rPr>
          <w:szCs w:val="24"/>
        </w:rPr>
        <w:t>on the premises by the lessee.</w:t>
      </w:r>
      <w:r>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Board's decision.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course of administrative practice and judicial decision in respect of the que</w:t>
      </w:r>
      <w:r w:rsidRPr="00576ED7">
        <w:rPr>
          <w:szCs w:val="24"/>
        </w:rPr>
        <w:t>s</w:t>
      </w:r>
      <w:r w:rsidRPr="00576ED7">
        <w:rPr>
          <w:szCs w:val="24"/>
        </w:rPr>
        <w:t>tion presented has not been uniform.  In 1917, the Treasury ruled that the adjusted value of improvements installed upon leased premises is income to the lessor u</w:t>
      </w:r>
      <w:r w:rsidRPr="00576ED7">
        <w:rPr>
          <w:szCs w:val="24"/>
        </w:rPr>
        <w:t>p</w:t>
      </w:r>
      <w:r w:rsidRPr="00576ED7">
        <w:rPr>
          <w:szCs w:val="24"/>
        </w:rPr>
        <w:t xml:space="preserve">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w:t>
      </w:r>
      <w:r w:rsidRPr="00576ED7">
        <w:rPr>
          <w:szCs w:val="24"/>
        </w:rPr>
        <w:t>e</w:t>
      </w:r>
      <w:r w:rsidRPr="00576ED7">
        <w:rPr>
          <w:szCs w:val="24"/>
        </w:rPr>
        <w:t>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w:t>
      </w:r>
      <w:r w:rsidRPr="00576ED7">
        <w:rPr>
          <w:szCs w:val="24"/>
        </w:rPr>
        <w:t>o</w:t>
      </w:r>
      <w:r w:rsidRPr="00576ED7">
        <w:rPr>
          <w:szCs w:val="24"/>
        </w:rPr>
        <w:t>fore returned.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w:t>
      </w:r>
      <w:r w:rsidRPr="00576ED7">
        <w:rPr>
          <w:szCs w:val="24"/>
        </w:rPr>
        <w:t>n</w:t>
      </w:r>
      <w:r w:rsidRPr="00576ED7">
        <w:rPr>
          <w:szCs w:val="24"/>
        </w:rPr>
        <w:t>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 xml:space="preserve">The question, as we view it, is whether the value received is embodied in something separately disposable, or whether it is so merged in the land as to become financially a part of it, something which, though it increases its </w:t>
      </w:r>
      <w:r w:rsidRPr="00576ED7">
        <w:rPr>
          <w:szCs w:val="24"/>
        </w:rPr>
        <w:lastRenderedPageBreak/>
        <w:t>value, has no value of its own when torn away.</w:t>
      </w:r>
      <w:r w:rsidR="00594F64">
        <w:rPr>
          <w:szCs w:val="24"/>
        </w:rPr>
        <w:t xml:space="preserve">”  </w:t>
      </w:r>
      <w:r w:rsidRPr="00576ED7">
        <w:rPr>
          <w:szCs w:val="24"/>
        </w:rPr>
        <w:t>This decision invalidated the regulations then in force.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w:t>
      </w:r>
      <w:r w:rsidRPr="00576ED7">
        <w:rPr>
          <w:szCs w:val="24"/>
        </w:rPr>
        <w:t>l</w:t>
      </w:r>
      <w:r w:rsidRPr="00576ED7">
        <w:rPr>
          <w:szCs w:val="24"/>
        </w:rPr>
        <w:t>lowed depreciation thereon to the termination of the leasehold, divided the depr</w:t>
      </w:r>
      <w:r w:rsidRPr="00576ED7">
        <w:rPr>
          <w:szCs w:val="24"/>
        </w:rPr>
        <w:t>e</w:t>
      </w:r>
      <w:r w:rsidRPr="00576ED7">
        <w:rPr>
          <w:szCs w:val="24"/>
        </w:rPr>
        <w:t>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petitioner's contention that gain was realized when the respondent, through forfeiture of the lease, obtained untrammeled title, possession, and co</w:t>
      </w:r>
      <w:r w:rsidRPr="00576ED7">
        <w:rPr>
          <w:szCs w:val="24"/>
        </w:rPr>
        <w:t>n</w:t>
      </w:r>
      <w:r w:rsidRPr="00576ED7">
        <w:rPr>
          <w:szCs w:val="24"/>
        </w:rPr>
        <w:t xml:space="preserve">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w:t>
      </w:r>
      <w:r w:rsidRPr="00576ED7">
        <w:rPr>
          <w:szCs w:val="24"/>
        </w:rPr>
        <w:t>m</w:t>
      </w:r>
      <w:r w:rsidRPr="00576ED7">
        <w:rPr>
          <w:szCs w:val="24"/>
        </w:rPr>
        <w:t>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w:t>
      </w:r>
      <w:r w:rsidRPr="00576ED7">
        <w:rPr>
          <w:szCs w:val="24"/>
        </w:rPr>
        <w:t>m</w:t>
      </w:r>
      <w:r w:rsidRPr="00576ED7">
        <w:rPr>
          <w:szCs w:val="24"/>
        </w:rPr>
        <w:t>provements added by the respondent to his land, or accruals of value due to extr</w:t>
      </w:r>
      <w:r w:rsidRPr="00576ED7">
        <w:rPr>
          <w:szCs w:val="24"/>
        </w:rPr>
        <w:t>a</w:t>
      </w:r>
      <w:r w:rsidRPr="00576ED7">
        <w:rPr>
          <w:szCs w:val="24"/>
        </w:rPr>
        <w:t>neous and adventitious circumstances.  Such added value, it is argued, can be co</w:t>
      </w:r>
      <w:r w:rsidRPr="00576ED7">
        <w:rPr>
          <w:szCs w:val="24"/>
        </w:rPr>
        <w:t>n</w:t>
      </w:r>
      <w:r w:rsidRPr="00576ED7">
        <w:rPr>
          <w:szCs w:val="24"/>
        </w:rPr>
        <w:t>sidered capital gain only upon the owner's disposition of the asset.  The position is that the economic gain consequent upon the enhanced value of the recaptured a</w:t>
      </w:r>
      <w:r w:rsidRPr="00576ED7">
        <w:rPr>
          <w:szCs w:val="24"/>
        </w:rPr>
        <w:t>s</w:t>
      </w:r>
      <w:r w:rsidRPr="00576ED7">
        <w:rPr>
          <w:szCs w:val="24"/>
        </w:rPr>
        <w:t>set is not gain derived from capital or realized within the meaning of the Sixteenth Amendment, and may not therefore be taxed without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hold that the petitioner was right in assessing the gain as realized in 1933.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cannot successfully contend that the definition of gross income in Sec. [61(a)]  [footnote omitted] is not broad enough to embrace the gain in que</w:t>
      </w:r>
      <w:r w:rsidRPr="00576ED7">
        <w:rPr>
          <w:szCs w:val="24"/>
        </w:rPr>
        <w:t>s</w:t>
      </w:r>
      <w:r w:rsidRPr="00576ED7">
        <w:rPr>
          <w:szCs w:val="24"/>
        </w:rPr>
        <w:t>tion. ... He emphasizes the necessity that the gain be separate from the capital and separately disposable.</w:t>
      </w:r>
      <w:r w:rsidR="00594F64">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w:t>
      </w:r>
      <w:r w:rsidRPr="00576ED7">
        <w:rPr>
          <w:szCs w:val="24"/>
        </w:rPr>
        <w:t>n</w:t>
      </w:r>
      <w:r w:rsidRPr="00576ED7">
        <w:rPr>
          <w:szCs w:val="24"/>
        </w:rPr>
        <w:t>debtedness, relief from a liability, or other profit realized from the completion of a transaction. [footnote omitted]  The fact that the gain is a portion of the value of property received by the taxpayer in the transaction does not negative its realiz</w:t>
      </w:r>
      <w:r w:rsidRPr="00576ED7">
        <w:rPr>
          <w:szCs w:val="24"/>
        </w:rPr>
        <w:t>a</w:t>
      </w:r>
      <w:r w:rsidRPr="00576ED7">
        <w:rPr>
          <w:szCs w:val="24"/>
        </w:rPr>
        <w:t>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w:t>
      </w:r>
      <w:r w:rsidRPr="00576ED7">
        <w:rPr>
          <w:szCs w:val="24"/>
        </w:rPr>
        <w:t>l</w:t>
      </w:r>
      <w:r w:rsidRPr="00576ED7">
        <w:rPr>
          <w:szCs w:val="24"/>
        </w:rPr>
        <w:t>ways been recognized as realized taxable 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Aliquot: a fractional part that is contained a precise number of times in the whole.</w:t>
      </w:r>
    </w:p>
    <w:p w:rsidR="00594F64"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2.  Why did everyone who had anything to do with this case subtract the unamo</w:t>
      </w:r>
      <w:r w:rsidRPr="00576ED7">
        <w:rPr>
          <w:szCs w:val="24"/>
        </w:rPr>
        <w:t>r</w:t>
      </w:r>
      <w:r w:rsidRPr="00576ED7">
        <w:rPr>
          <w:szCs w:val="24"/>
        </w:rPr>
        <w:t>tized cost of the old building from the fmv of the new building in determining taxpayer’s taxable income? After all, taxpayer does not own a building that no longer physically exists?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Sections 109/1019 reverse the holding of </w:t>
      </w:r>
      <w:r w:rsidRPr="00576ED7">
        <w:rPr>
          <w:i/>
          <w:szCs w:val="24"/>
        </w:rPr>
        <w:t>Bruun</w:t>
      </w:r>
      <w:r w:rsidRPr="00576ED7">
        <w:rPr>
          <w:szCs w:val="24"/>
        </w:rPr>
        <w:t xml:space="preserve">.  Section 109 provides that </w:t>
      </w:r>
      <w:r w:rsidRPr="00576ED7">
        <w:rPr>
          <w:szCs w:val="24"/>
        </w:rPr>
        <w:lastRenderedPageBreak/>
        <w:t>taxpayer does not derive gross income upon termination of a lease by virtue of the fact that the lessee erected buildings or other improvements on the property.  Se</w:t>
      </w:r>
      <w:r w:rsidRPr="00576ED7">
        <w:rPr>
          <w:szCs w:val="24"/>
        </w:rPr>
        <w:t>c</w:t>
      </w:r>
      <w:r w:rsidRPr="00576ED7">
        <w:rPr>
          <w:szCs w:val="24"/>
        </w:rPr>
        <w:t>tion 1019 provides that taxpayer may not increase or decrease his/her/its adjusted basis in property because he/she/it received gross income that § 109 excludes.  Is § 1019 necessary?</w:t>
      </w:r>
    </w:p>
    <w:p w:rsidR="0049128E" w:rsidRPr="00576ED7" w:rsidRDefault="00594F64"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651072" behindDoc="0" locked="0" layoutInCell="0" allowOverlap="1" wp14:anchorId="7575B628" wp14:editId="3FDA06B4">
                <wp:simplePos x="0" y="0"/>
                <wp:positionH relativeFrom="margin">
                  <wp:posOffset>1381125</wp:posOffset>
                </wp:positionH>
                <wp:positionV relativeFrom="paragraph">
                  <wp:posOffset>42545</wp:posOffset>
                </wp:positionV>
                <wp:extent cx="3657600" cy="4529455"/>
                <wp:effectExtent l="0" t="0" r="19050" b="23495"/>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29455"/>
                        </a:xfrm>
                        <a:prstGeom prst="rect">
                          <a:avLst/>
                        </a:prstGeom>
                        <a:solidFill>
                          <a:srgbClr val="FFFFFF"/>
                        </a:solidFill>
                        <a:ln w="12192">
                          <a:solidFill>
                            <a:srgbClr val="000000"/>
                          </a:solidFill>
                          <a:miter lim="800000"/>
                          <a:headEnd/>
                          <a:tailEnd/>
                        </a:ln>
                      </wps:spPr>
                      <wps:txbx>
                        <w:txbxContent>
                          <w:p w:rsidR="00FF5E72" w:rsidRDefault="00FF5E72"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108.75pt;margin-top:3.35pt;width:4in;height:356.65pt;z-index:251651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xpLAIAAFwEAAAOAAAAZHJzL2Uyb0RvYy54bWysVNtu2zAMfR+wfxD0vthJmrQ14hRdugwD&#10;ugvQ7gNkWbaFSaImKbGzrx8lJ1nQbS/D/CCIEnVInkN6dTdoRfbCeQmmpNNJTokwHGpp2pJ+fd6+&#10;uaHEB2ZqpsCIkh6Ep3fr169WvS3EDDpQtXAEQYwvelvSLgRbZJnnndDMT8AKg5cNOM0Cmq7Nasd6&#10;RNcqm+X5MuvB1dYBF97j6cN4SdcJv2kED5+bxotAVEkxt5BWl9Yqrtl6xYrWMdtJfkyD/UMWmkmD&#10;Qc9QDywwsnPyNygtuQMPTZhw0Bk0jeQi1YDVTPMX1Tx1zIpUC5Lj7Zkm//9g+af9F0dkXdKbOSWG&#10;adToWQyBvIWBzBeRn976At2eLDqGAc9R51Srt4/Av3liYNMx04p756DvBKsxv2l8mV08HXF8BKn6&#10;j1BjHLYLkICGxulIHtJBEB11Opy1iblwPJwvF9fLHK843l0tZrdXi5RdxorTc+t8eC9Ak7gpqUPx&#10;EzzbP/oQ02HFySVG86BkvZVKJcO11UY5smfYKNv0pQpeuClDeixuNr2djRT8FSNP358wtAzY8kpq&#10;5PzsxIpI3DtTp4YMTKpxjzkrc2QykjfSGIZqSKLN5yeFKqgPyK2DscVxJHHTgftBSY/tXVL/fcec&#10;oER9MKjP9RKnB+fh0nCXRnVpMMMRqqSBknG7CeMM7ayTbYeRxo4wcI+aNjKxHcUfszrmjy2cRDiO&#10;W5yRSzt5/foprH8CAAD//wMAUEsDBBQABgAIAAAAIQBMPeAE2wAAAAkBAAAPAAAAZHJzL2Rvd25y&#10;ZXYueG1sTI/BTsMwEETvSPyDtUjcqNMgGhriVCgS9yYUwdGNt3FEvA6x24S/ZznBbUczmnlb7BY3&#10;iAtOofekYL1KQCC13vTUKTi8vtw9gghRk9GDJ1TwjQF25fVVoXPjZ6rx0sROcAmFXCuwMY65lKG1&#10;6HRY+RGJvZOfnI4sp06aSc9c7gaZJslGOt0TL1g9YmWx/WzOToGv6+otbb7279Vsqm7eL3H8sErd&#10;3izPTyAiLvEvDL/4jA4lMx39mUwQg4J0nT1wVMEmA8F+tr1nfeSDd0GWhfz/QfkDAAD//wMAUEsB&#10;Ai0AFAAGAAgAAAAhALaDOJL+AAAA4QEAABMAAAAAAAAAAAAAAAAAAAAAAFtDb250ZW50X1R5cGVz&#10;XS54bWxQSwECLQAUAAYACAAAACEAOP0h/9YAAACUAQAACwAAAAAAAAAAAAAAAAAvAQAAX3JlbHMv&#10;LnJlbHNQSwECLQAUAAYACAAAACEAzwtsaSwCAABcBAAADgAAAAAAAAAAAAAAAAAuAgAAZHJzL2Uy&#10;b0RvYy54bWxQSwECLQAUAAYACAAAACEATD3gBNsAAAAJAQAADwAAAAAAAAAAAAAAAACGBAAAZHJz&#10;L2Rvd25yZXYueG1sUEsFBgAAAAAEAAQA8wAAAI4FAAAAAA==&#10;" o:allowincell="f" strokeweight=".96pt">
                <v:textbox inset="6pt,6pt,6pt,6pt">
                  <w:txbxContent>
                    <w:p w:rsidR="00FF5E72" w:rsidRDefault="00FF5E72" w:rsidP="00F63A24">
                      <w:pPr>
                        <w:widowControl w:val="0"/>
                        <w:jc w:val="both"/>
                        <w:rPr>
                          <w:rFonts w:ascii="Tw Cen MT" w:hAnsi="Tw Cen MT"/>
                        </w:rPr>
                      </w:pPr>
                      <w:r>
                        <w:rPr>
                          <w:rFonts w:ascii="Tw Cen MT" w:hAnsi="Tw Cen MT"/>
                          <w:i/>
                        </w:rPr>
                        <w:t>The cost of deriving income and depreciation</w:t>
                      </w:r>
                      <w:r>
                        <w:rPr>
                          <w:rFonts w:ascii="Tw Cen MT" w:hAnsi="Tw Cen MT"/>
                        </w:rPr>
                        <w:t>: Taxpayer should not be subject to tax on the costs that he/she/it incurs to earn income.  The costs of supplies, e.g., fuel to operate a productive machine, represent consumption from which taxpayer derives income.  The Code taxes only “net” income.  It accomplishes this by granting ta</w:t>
                      </w:r>
                      <w:r>
                        <w:rPr>
                          <w:rFonts w:ascii="Tw Cen MT" w:hAnsi="Tw Cen MT"/>
                        </w:rPr>
                        <w:t>x</w:t>
                      </w:r>
                      <w:r>
                        <w:rPr>
                          <w:rFonts w:ascii="Tw Cen MT" w:hAnsi="Tw Cen MT"/>
                        </w:rPr>
                        <w:t>payer a deduction for such consumption.  § 162.  Su</w:t>
                      </w:r>
                      <w:r>
                        <w:rPr>
                          <w:rFonts w:ascii="Tw Cen MT" w:hAnsi="Tw Cen MT"/>
                        </w:rPr>
                        <w:t>p</w:t>
                      </w:r>
                      <w:r>
                        <w:rPr>
                          <w:rFonts w:ascii="Tw Cen MT" w:hAnsi="Tw Cen MT"/>
                        </w:rPr>
                        <w:t>pose that taxpayer incurs a cost to purchase an asset that will produce income for many years, e.g., a building.  Taxpayer’s taxable income would be subject to (eno</w:t>
                      </w:r>
                      <w:r>
                        <w:rPr>
                          <w:rFonts w:ascii="Tw Cen MT" w:hAnsi="Tw Cen MT"/>
                        </w:rPr>
                        <w:t>r</w:t>
                      </w:r>
                      <w:r>
                        <w:rPr>
                          <w:rFonts w:ascii="Tw Cen MT" w:hAnsi="Tw Cen MT"/>
                        </w:rPr>
                        <w:t>mous) distortion if he/she/it reduced his/her/its gross income by the cost of such an asset in the year he/she/it purchased it.  The Code treats such a purchase as an i</w:t>
                      </w:r>
                      <w:r>
                        <w:rPr>
                          <w:rFonts w:ascii="Tw Cen MT" w:hAnsi="Tw Cen MT"/>
                        </w:rPr>
                        <w:t>n</w:t>
                      </w:r>
                      <w:r>
                        <w:rPr>
                          <w:rFonts w:ascii="Tw Cen MT" w:hAnsi="Tw Cen MT"/>
                        </w:rPr>
                        <w:t>vestment – a mere conversion in the form in which ta</w:t>
                      </w:r>
                      <w:r>
                        <w:rPr>
                          <w:rFonts w:ascii="Tw Cen MT" w:hAnsi="Tw Cen MT"/>
                        </w:rPr>
                        <w:t>x</w:t>
                      </w:r>
                      <w:r>
                        <w:rPr>
                          <w:rFonts w:ascii="Tw Cen MT" w:hAnsi="Tw Cen MT"/>
                        </w:rPr>
                        <w:t>payer holds his/her/its wealth.  A taxpayer’s mere co</w:t>
                      </w:r>
                      <w:r>
                        <w:rPr>
                          <w:rFonts w:ascii="Tw Cen MT" w:hAnsi="Tw Cen MT"/>
                        </w:rPr>
                        <w:t>n</w:t>
                      </w:r>
                      <w:r>
                        <w:rPr>
                          <w:rFonts w:ascii="Tw Cen MT" w:hAnsi="Tw Cen MT"/>
                        </w:rPr>
                        <w:t xml:space="preserve">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w:t>
                      </w:r>
                      <w:r>
                        <w:rPr>
                          <w:rFonts w:ascii="Tw Cen MT" w:hAnsi="Tw Cen MT"/>
                        </w:rPr>
                        <w:t>n</w:t>
                      </w:r>
                      <w:r>
                        <w:rPr>
                          <w:rFonts w:ascii="Tw Cen MT" w:hAnsi="Tw Cen MT"/>
                        </w:rPr>
                        <w:t>sumption of a productive asset year after year.  This d</w:t>
                      </w:r>
                      <w:r>
                        <w:rPr>
                          <w:rFonts w:ascii="Tw Cen MT" w:hAnsi="Tw Cen MT"/>
                        </w:rPr>
                        <w:t>e</w:t>
                      </w:r>
                      <w:r>
                        <w:rPr>
                          <w:rFonts w:ascii="Tw Cen MT" w:hAnsi="Tw Cen MT"/>
                        </w:rPr>
                        <w:t>duction is for “depreciation” – whose name is now “cost recovery.”  § 168.  To the extent of the depreciation d</w:t>
                      </w:r>
                      <w:r>
                        <w:rPr>
                          <w:rFonts w:ascii="Tw Cen MT" w:hAnsi="Tw Cen MT"/>
                        </w:rPr>
                        <w:t>e</w:t>
                      </w:r>
                      <w:r>
                        <w:rPr>
                          <w:rFonts w:ascii="Tw Cen MT" w:hAnsi="Tw Cen MT"/>
                        </w:rPr>
                        <w:t>duction, taxpayer has converted investment into consum</w:t>
                      </w:r>
                      <w:r>
                        <w:rPr>
                          <w:rFonts w:ascii="Tw Cen MT" w:hAnsi="Tw Cen MT"/>
                        </w:rPr>
                        <w:t>p</w:t>
                      </w:r>
                      <w:r>
                        <w:rPr>
                          <w:rFonts w:ascii="Tw Cen MT" w:hAnsi="Tw Cen MT"/>
                        </w:rPr>
                        <w:t xml:space="preserve">tion.  Hence, taxpayer must reduce his/her/its basis in the asset for such deductions.  § 1016.  This represents “de-investment” in the asset. </w:t>
                      </w:r>
                    </w:p>
                  </w:txbxContent>
                </v:textbox>
                <w10:wrap type="square" side="largest" anchorx="margin"/>
              </v:shape>
            </w:pict>
          </mc:Fallback>
        </mc:AlternateContent>
      </w:r>
      <w:r w:rsidR="0049128E" w:rsidRPr="00576ED7">
        <w:rPr>
          <w:szCs w:val="24"/>
        </w:rPr>
        <w:t>•What is conceptua</w:t>
      </w:r>
      <w:r w:rsidR="0049128E" w:rsidRPr="00576ED7">
        <w:rPr>
          <w:szCs w:val="24"/>
        </w:rPr>
        <w:t>l</w:t>
      </w:r>
      <w:r w:rsidR="0049128E" w:rsidRPr="00576ED7">
        <w:rPr>
          <w:szCs w:val="24"/>
        </w:rPr>
        <w:t>ly wrong with §§ 109 and 1019? Isn’t there some u</w:t>
      </w:r>
      <w:r w:rsidR="0049128E" w:rsidRPr="00576ED7">
        <w:rPr>
          <w:szCs w:val="24"/>
        </w:rPr>
        <w:t>n</w:t>
      </w:r>
      <w:r w:rsidR="0049128E" w:rsidRPr="00576ED7">
        <w:rPr>
          <w:szCs w:val="24"/>
        </w:rPr>
        <w:t>taxed co</w:t>
      </w:r>
      <w:r w:rsidR="0049128E" w:rsidRPr="00576ED7">
        <w:rPr>
          <w:szCs w:val="24"/>
        </w:rPr>
        <w:t>n</w:t>
      </w:r>
      <w:r w:rsidR="0049128E" w:rsidRPr="00576ED7">
        <w:rPr>
          <w:szCs w:val="24"/>
        </w:rPr>
        <w:t>sumption? Where?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Section 109 does not apply to improvements that the lessee makes which the parties intend as rent.  Reg. § 1.61-8(c) (“If a lessee places i</w:t>
      </w:r>
      <w:r w:rsidRPr="00576ED7">
        <w:rPr>
          <w:szCs w:val="24"/>
        </w:rPr>
        <w:t>m</w:t>
      </w:r>
      <w:r w:rsidRPr="00576ED7">
        <w:rPr>
          <w:szCs w:val="24"/>
        </w:rPr>
        <w:t>provements on real estate which const</w:t>
      </w:r>
      <w:r w:rsidRPr="00576ED7">
        <w:rPr>
          <w:szCs w:val="24"/>
        </w:rPr>
        <w:t>i</w:t>
      </w:r>
      <w:r w:rsidRPr="00576ED7">
        <w:rPr>
          <w:szCs w:val="24"/>
        </w:rPr>
        <w:t>tute, in whole or in part, a substitute for rent, such i</w:t>
      </w:r>
      <w:r w:rsidRPr="00576ED7">
        <w:rPr>
          <w:szCs w:val="24"/>
        </w:rPr>
        <w:t>m</w:t>
      </w:r>
      <w:r w:rsidRPr="00576ED7">
        <w:rPr>
          <w:szCs w:val="24"/>
        </w:rPr>
        <w:t>provements const</w:t>
      </w:r>
      <w:r w:rsidRPr="00576ED7">
        <w:rPr>
          <w:szCs w:val="24"/>
        </w:rPr>
        <w:t>i</w:t>
      </w:r>
      <w:r w:rsidRPr="00576ED7">
        <w:rPr>
          <w:szCs w:val="24"/>
        </w:rPr>
        <w:t>tute rental income to the lessor.”)</w:t>
      </w:r>
    </w:p>
    <w:p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w:t>
      </w:r>
      <w:r w:rsidRPr="00576ED7">
        <w:rPr>
          <w:szCs w:val="24"/>
        </w:rPr>
        <w:t>x</w:t>
      </w:r>
      <w:r w:rsidRPr="00576ED7">
        <w:rPr>
          <w:szCs w:val="24"/>
        </w:rPr>
        <w:t>tures and to leave them to the lessor at the termination of the lease.  The value of the fixtures is $20,000.</w:t>
      </w:r>
    </w:p>
    <w:p w:rsidR="0049128E" w:rsidRPr="00576ED7" w:rsidRDefault="0049128E" w:rsidP="009A1BF0">
      <w:pPr>
        <w:widowControl w:val="0"/>
        <w:ind w:left="1440"/>
        <w:jc w:val="both"/>
        <w:rPr>
          <w:szCs w:val="24"/>
        </w:rPr>
      </w:pPr>
      <w:r w:rsidRPr="00576ED7">
        <w:rPr>
          <w:szCs w:val="24"/>
        </w:rPr>
        <w:t>•What is lessor’s basis in the fixtures?</w:t>
      </w:r>
    </w:p>
    <w:p w:rsidR="0049128E" w:rsidRPr="00576ED7" w:rsidRDefault="0049128E" w:rsidP="009A1BF0">
      <w:pPr>
        <w:widowControl w:val="0"/>
        <w:ind w:left="1440"/>
        <w:jc w:val="both"/>
        <w:rPr>
          <w:szCs w:val="24"/>
        </w:rPr>
      </w:pPr>
      <w:r w:rsidRPr="00576ED7">
        <w:rPr>
          <w:szCs w:val="24"/>
        </w:rPr>
        <w:t>•Exactly what does the payment of rent purchase?</w:t>
      </w:r>
    </w:p>
    <w:p w:rsidR="0049128E" w:rsidRPr="00576ED7" w:rsidRDefault="0049128E" w:rsidP="009A1BF0">
      <w:pPr>
        <w:widowControl w:val="0"/>
        <w:ind w:left="1440"/>
        <w:jc w:val="both"/>
        <w:rPr>
          <w:szCs w:val="24"/>
        </w:rPr>
      </w:pPr>
      <w:r w:rsidRPr="00576ED7">
        <w:rPr>
          <w:szCs w:val="24"/>
        </w:rPr>
        <w:lastRenderedPageBreak/>
        <w:t>•Exactly what does a lessor “sell” by accepting a rent payment?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Consider each of the rules the Court considered – as well as the rule that Co</w:t>
      </w:r>
      <w:r w:rsidRPr="00576ED7">
        <w:rPr>
          <w:szCs w:val="24"/>
        </w:rPr>
        <w:t>n</w:t>
      </w:r>
      <w:r w:rsidRPr="00576ED7">
        <w:rPr>
          <w:szCs w:val="24"/>
        </w:rPr>
        <w:t>gress created in §§ 109/1019.  Identify each rule and consider this question: what difference does it make which rule is applied?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•Let’s assume that the lessee did not remove a building, but simply erected a new building on the premises.  Let’s also put some numbers and dates into the problem for illustrative purposes.  Assume that the fmv of the building in 1990 upon co</w:t>
      </w:r>
      <w:r w:rsidRPr="00576ED7">
        <w:rPr>
          <w:szCs w:val="24"/>
        </w:rPr>
        <w:t>m</w:t>
      </w:r>
      <w:r w:rsidRPr="00576ED7">
        <w:rPr>
          <w:szCs w:val="24"/>
        </w:rPr>
        <w:t>pletion is $400,000.  The building will last 40 years.  The building will lose $10,000 of value every year, and this is the amount that taxpayer may claim as a depreciation/cost recovery deduction.  Taxpayer must reduce his/her basis in the property (§ 1016) for depreciation deductions.  The adjusted basis of the property equals its fmv.  The lease upon completion of the building will run another 20 years until 2010.  The lessee did not default thereby causing early termination of  the lease. Immediately upon termination of the lease, taxpayer sells the property, and the portion of the selling price attributable to the building is $200,000.  Ta</w:t>
      </w:r>
      <w:r w:rsidRPr="00576ED7">
        <w:rPr>
          <w:szCs w:val="24"/>
        </w:rPr>
        <w:t>x</w:t>
      </w:r>
      <w:r w:rsidRPr="00576ED7">
        <w:rPr>
          <w:szCs w:val="24"/>
        </w:rPr>
        <w:t>payer pays income tax equal to 30% of his/her/its income from whatever taxable events occur.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w:t>
      </w:r>
      <w:r w:rsidRPr="00576ED7">
        <w:rPr>
          <w:szCs w:val="24"/>
        </w:rPr>
        <w:t>r</w:t>
      </w:r>
      <w:r w:rsidRPr="00576ED7">
        <w:rPr>
          <w:szCs w:val="24"/>
        </w:rPr>
        <w:t>mination of the lease equal to fmv − (ab in old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2160"/>
        <w:jc w:val="both"/>
        <w:rPr>
          <w:szCs w:val="24"/>
        </w:rPr>
      </w:pPr>
      <w:r w:rsidRPr="00576ED7">
        <w:rPr>
          <w:szCs w:val="24"/>
        </w:rPr>
        <w:lastRenderedPageBreak/>
        <w:t>•What will taxpayer’s basis in the building be?</w:t>
      </w:r>
    </w:p>
    <w:p w:rsidR="0049128E" w:rsidRPr="00576ED7" w:rsidRDefault="0049128E" w:rsidP="009A1BF0">
      <w:pPr>
        <w:widowControl w:val="0"/>
        <w:ind w:left="2160"/>
        <w:jc w:val="both"/>
        <w:rPr>
          <w:szCs w:val="24"/>
        </w:rPr>
      </w:pPr>
      <w:r w:rsidRPr="00576ED7">
        <w:rPr>
          <w:szCs w:val="24"/>
        </w:rPr>
        <w:t>•What will taxpayer’s annual depreciation/cost recovery a</w:t>
      </w:r>
      <w:r w:rsidRPr="00576ED7">
        <w:rPr>
          <w:szCs w:val="24"/>
        </w:rPr>
        <w:t>l</w:t>
      </w:r>
      <w:r w:rsidRPr="00576ED7">
        <w:rPr>
          <w:szCs w:val="24"/>
        </w:rPr>
        <w:t>lowance be for each of the next twenty years?</w:t>
      </w:r>
    </w:p>
    <w:p w:rsidR="0049128E" w:rsidRPr="00576ED7" w:rsidRDefault="0049128E" w:rsidP="009A1BF0">
      <w:pPr>
        <w:widowControl w:val="0"/>
        <w:ind w:left="2160"/>
        <w:jc w:val="both"/>
        <w:rPr>
          <w:szCs w:val="24"/>
        </w:rPr>
      </w:pPr>
      <w:r w:rsidRPr="00576ED7">
        <w:rPr>
          <w:szCs w:val="24"/>
        </w:rPr>
        <w:t>•How much will the annual depreciation/cost recovery a</w:t>
      </w:r>
      <w:r w:rsidRPr="00576ED7">
        <w:rPr>
          <w:szCs w:val="24"/>
        </w:rPr>
        <w:t>l</w:t>
      </w:r>
      <w:r w:rsidRPr="00576ED7">
        <w:rPr>
          <w:szCs w:val="24"/>
        </w:rPr>
        <w:t>lowance reduce taxpayer’s income tax liability for each of the remaining years of the lease?</w:t>
      </w:r>
    </w:p>
    <w:p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t>
      </w:r>
      <w:r w:rsidRPr="00576ED7">
        <w:rPr>
          <w:szCs w:val="24"/>
        </w:rPr>
        <w:t>w</w:t>
      </w:r>
      <w:r w:rsidRPr="00576ED7">
        <w:rPr>
          <w:szCs w:val="24"/>
        </w:rPr>
        <w:t>ances?</w:t>
      </w:r>
    </w:p>
    <w:p w:rsidR="0049128E" w:rsidRPr="00576ED7" w:rsidRDefault="0049128E" w:rsidP="009A1BF0">
      <w:pPr>
        <w:widowControl w:val="0"/>
        <w:ind w:left="2880"/>
        <w:jc w:val="both"/>
        <w:rPr>
          <w:szCs w:val="24"/>
        </w:rPr>
      </w:pPr>
      <w:r w:rsidRPr="00576ED7">
        <w:rPr>
          <w:szCs w:val="24"/>
        </w:rPr>
        <w:t>•What should happen to taxpayer’s basis in the building for each year that he/she/it claims a depr</w:t>
      </w:r>
      <w:r w:rsidRPr="00576ED7">
        <w:rPr>
          <w:szCs w:val="24"/>
        </w:rPr>
        <w:t>e</w:t>
      </w:r>
      <w:r w:rsidRPr="00576ED7">
        <w:rPr>
          <w:szCs w:val="24"/>
        </w:rPr>
        <w:t>ciation/cost recovery deduction?</w:t>
      </w:r>
    </w:p>
    <w:p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his/her/its taxable income at the time of completion of the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w:t>
      </w:r>
      <w:r w:rsidRPr="00576ED7">
        <w:rPr>
          <w:szCs w:val="24"/>
        </w:rPr>
        <w:t>a</w:t>
      </w:r>
      <w:r w:rsidRPr="00576ED7">
        <w:rPr>
          <w:szCs w:val="24"/>
        </w:rPr>
        <w:t>ble income for each remaining year of the lease an aliquot share of that amount.  In the event of premature termination, taxpayer/lessor must r</w:t>
      </w:r>
      <w:r w:rsidRPr="00576ED7">
        <w:rPr>
          <w:szCs w:val="24"/>
        </w:rPr>
        <w:t>e</w:t>
      </w:r>
      <w:r w:rsidRPr="00576ED7">
        <w:rPr>
          <w:szCs w:val="24"/>
        </w:rPr>
        <w:lastRenderedPageBreak/>
        <w:t>port as taxable income or may claim as a reduction to his/her taxable i</w:t>
      </w:r>
      <w:r w:rsidRPr="00576ED7">
        <w:rPr>
          <w:szCs w:val="24"/>
        </w:rPr>
        <w:t>n</w:t>
      </w:r>
      <w:r w:rsidRPr="00576ED7">
        <w:rPr>
          <w:szCs w:val="24"/>
        </w:rPr>
        <w:t>come an amount equal to (fmv at time of termination) − (amount of i</w:t>
      </w:r>
      <w:r w:rsidRPr="00576ED7">
        <w:rPr>
          <w:szCs w:val="24"/>
        </w:rPr>
        <w:t>n</w:t>
      </w:r>
      <w:r w:rsidRPr="00576ED7">
        <w:rPr>
          <w:szCs w:val="24"/>
        </w:rPr>
        <w:t>come previously taxed).</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w:t>
      </w:r>
      <w:r w:rsidRPr="00576ED7">
        <w:rPr>
          <w:szCs w:val="24"/>
        </w:rPr>
        <w:t>n</w:t>
      </w:r>
      <w:r w:rsidRPr="00576ED7">
        <w:rPr>
          <w:szCs w:val="24"/>
        </w:rPr>
        <w:t>come?</w:t>
      </w:r>
    </w:p>
    <w:p w:rsidR="0049128E" w:rsidRPr="00576ED7" w:rsidRDefault="0049128E" w:rsidP="009A1BF0">
      <w:pPr>
        <w:widowControl w:val="0"/>
        <w:ind w:left="1440"/>
        <w:jc w:val="both"/>
        <w:rPr>
          <w:szCs w:val="24"/>
        </w:rPr>
      </w:pPr>
      <w:r w:rsidRPr="00576ED7">
        <w:rPr>
          <w:szCs w:val="24"/>
        </w:rPr>
        <w:t>•How much gain will taxpayer realize from the sale of the buil</w:t>
      </w:r>
      <w:r w:rsidRPr="00576ED7">
        <w:rPr>
          <w:szCs w:val="24"/>
        </w:rPr>
        <w:t>d</w:t>
      </w:r>
      <w:r w:rsidRPr="00576ED7">
        <w:rPr>
          <w:szCs w:val="24"/>
        </w:rPr>
        <w:t>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Compare the tax liability of taxpayer in (1), (2), (3), (4), and (5).  Did the choice of the applicable rule affect the net income tax liability of taxpayer?</w:t>
      </w:r>
    </w:p>
    <w:p w:rsidR="0049128E" w:rsidRPr="00576ED7" w:rsidRDefault="0049128E" w:rsidP="009A1BF0">
      <w:pPr>
        <w:widowControl w:val="0"/>
        <w:ind w:left="720"/>
        <w:jc w:val="both"/>
        <w:rPr>
          <w:szCs w:val="24"/>
        </w:rPr>
      </w:pPr>
    </w:p>
    <w:p w:rsidR="0049128E" w:rsidRDefault="0049128E" w:rsidP="009A1BF0">
      <w:pPr>
        <w:widowControl w:val="0"/>
        <w:jc w:val="both"/>
        <w:rPr>
          <w:szCs w:val="24"/>
        </w:rPr>
      </w:pPr>
      <w:r w:rsidRPr="00576ED7">
        <w:rPr>
          <w:szCs w:val="24"/>
        </w:rPr>
        <w:t>6.  It is very expensive to litigate a case to a federal circuit court of appeals or all the way to the United States Supreme Court.  Apparently, the prevailing rule did not affect taxpayer’s net tax liability under the hypothetical facts laid down for this exercise.  If the choice of rule does not alter the final tax liability of a taxpa</w:t>
      </w:r>
      <w:r w:rsidRPr="00576ED7">
        <w:rPr>
          <w:szCs w:val="24"/>
        </w:rPr>
        <w:t>y</w:t>
      </w:r>
      <w:r w:rsidRPr="00576ED7">
        <w:rPr>
          <w:szCs w:val="24"/>
        </w:rPr>
        <w:t xml:space="preserve">er, </w:t>
      </w:r>
      <w:r w:rsidRPr="00576ED7">
        <w:rPr>
          <w:i/>
          <w:szCs w:val="24"/>
        </w:rPr>
        <w:t>why</w:t>
      </w:r>
      <w:r w:rsidRPr="00576ED7">
        <w:rPr>
          <w:szCs w:val="24"/>
        </w:rPr>
        <w:t xml:space="preserve"> would parties spend serious money litigating a choice of rule question to the Supreme Court? For that matter, why would the Treasury Department use up so much ink promulgating and then changing regulations?</w:t>
      </w:r>
    </w:p>
    <w:p w:rsidR="00594F64" w:rsidRPr="00576ED7" w:rsidRDefault="00594F64" w:rsidP="009A1BF0">
      <w:pPr>
        <w:widowControl w:val="0"/>
        <w:jc w:val="both"/>
        <w:rPr>
          <w:szCs w:val="24"/>
        </w:rPr>
      </w:pPr>
    </w:p>
    <w:p w:rsidR="0049128E" w:rsidRPr="00576ED7" w:rsidRDefault="0049128E" w:rsidP="009A1BF0">
      <w:pPr>
        <w:widowControl w:val="0"/>
        <w:jc w:val="both"/>
        <w:rPr>
          <w:szCs w:val="24"/>
        </w:rPr>
      </w:pPr>
      <w:r w:rsidRPr="00576ED7">
        <w:rPr>
          <w:szCs w:val="24"/>
        </w:rPr>
        <w:t>7.  The answer (of course) lies in the fact that the right to have $1 today is worth more than the right to have $1 at some future time.  The number of dollars i</w:t>
      </w:r>
      <w:r w:rsidRPr="00576ED7">
        <w:rPr>
          <w:szCs w:val="24"/>
        </w:rPr>
        <w:t>n</w:t>
      </w:r>
      <w:r w:rsidRPr="00576ED7">
        <w:rPr>
          <w:szCs w:val="24"/>
        </w:rPr>
        <w:t xml:space="preserve">volved in any of these transactions may not change, but their value certainly does.  </w:t>
      </w:r>
      <w:r w:rsidRPr="00576ED7">
        <w:rPr>
          <w:i/>
          <w:szCs w:val="24"/>
        </w:rPr>
        <w:lastRenderedPageBreak/>
        <w:t xml:space="preserve">Yet calculations of taxable income and income tax liability do not (often) change merely because $1 today is worth more than $1 tomorrow.  </w:t>
      </w:r>
      <w:r w:rsidRPr="00576ED7">
        <w:rPr>
          <w:szCs w:val="24"/>
        </w:rPr>
        <w:t>Taxpayers understand that principle very well and seek to reduce the present value of their tax liability as much as possible.  They can do this by accelerating recognition of deductions and deferring recognition of income.</w:t>
      </w:r>
    </w:p>
    <w:p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 are formulas that incorporate the variables of time and discount rate that enable us to determine either the future value (FV) of $1 now or the present value (PV) of $1 in the future.  We can use the formulas to generate easy-to-use tables that enable us to make future value and present value determinations.</w:t>
      </w:r>
    </w:p>
    <w:p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forget that these tables are here.  You may wish to use them from time to time.</w:t>
      </w:r>
    </w:p>
    <w:p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 hand side of the table).</w:t>
      </w:r>
    </w:p>
    <w:p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rsidR="0049128E" w:rsidRPr="00576ED7" w:rsidRDefault="0049128E" w:rsidP="009A1BF0">
      <w:pPr>
        <w:widowControl w:val="0"/>
        <w:ind w:left="720"/>
        <w:jc w:val="both"/>
        <w:rPr>
          <w:szCs w:val="24"/>
        </w:rPr>
      </w:pPr>
      <w:r w:rsidRPr="00576ED7">
        <w:rPr>
          <w:szCs w:val="24"/>
        </w:rPr>
        <w:t>•A useful approximation that you can verify by referring to table 1 is the so-called rule of 72.  Simply divide 72 by the interest rate expressed as a whole number.  The quotient is very close to the length of time it takes money to double in value at that interest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r w:rsidRPr="00576ED7">
        <w:rPr>
          <w:szCs w:val="24"/>
        </w:rPr>
        <w:t>FV = future value; r = interest rate expressed as decimal; t = time, i.e., # of years.  In the left hand column is the number of years.  In the top row is the interest rate.</w:t>
      </w:r>
    </w:p>
    <w:p w:rsidR="00594F64" w:rsidRDefault="00594F64">
      <w:pPr>
        <w:rPr>
          <w:szCs w:val="24"/>
        </w:rPr>
      </w:pPr>
      <w:r>
        <w:rPr>
          <w:szCs w:val="24"/>
        </w:rPr>
        <w:br w:type="page"/>
      </w:r>
    </w:p>
    <w:p w:rsidR="00102228" w:rsidRPr="00576ED7" w:rsidRDefault="00102228"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1.4641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1.6105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1.7716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1.9487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2.1436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2.3579</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2.5937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6.7275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17.449</w:t>
            </w:r>
          </w:p>
        </w:tc>
      </w:tr>
    </w:tbl>
    <w:p w:rsidR="00102228" w:rsidRPr="00576ED7" w:rsidRDefault="00102228" w:rsidP="009A1BF0">
      <w:pPr>
        <w:widowControl w:val="0"/>
        <w:jc w:val="both"/>
        <w:rPr>
          <w:szCs w:val="24"/>
        </w:rPr>
      </w:pPr>
    </w:p>
    <w:p w:rsidR="0049128E" w:rsidRPr="00576ED7" w:rsidRDefault="0049128E" w:rsidP="009A1BF0">
      <w:pPr>
        <w:widowControl w:val="0"/>
        <w:jc w:val="both"/>
        <w:rPr>
          <w:vanish/>
          <w:szCs w:val="24"/>
        </w:rPr>
      </w:pPr>
    </w:p>
    <w:p w:rsidR="0049128E" w:rsidRPr="00576ED7" w:rsidRDefault="0049128E" w:rsidP="009A1BF0">
      <w:pPr>
        <w:widowControl w:val="0"/>
        <w:jc w:val="both"/>
        <w:rPr>
          <w:szCs w:val="24"/>
          <w:vertAlign w:val="superscript"/>
        </w:rPr>
      </w:pPr>
      <w:r w:rsidRPr="00576ED7">
        <w:rPr>
          <w:b/>
          <w:szCs w:val="24"/>
        </w:rPr>
        <w:t>Table 2: Present Value of $1 at a future date at a given interest rate co</w:t>
      </w:r>
      <w:r w:rsidRPr="00576ED7">
        <w:rPr>
          <w:b/>
          <w:szCs w:val="24"/>
        </w:rPr>
        <w:t>m</w:t>
      </w:r>
      <w:r w:rsidRPr="00576ED7">
        <w:rPr>
          <w:b/>
          <w:szCs w:val="24"/>
        </w:rPr>
        <w:t>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0.8264</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0.7513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0.6209</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0.5645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0.5132</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0.4665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0.4241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0.3855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0.1486</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0.0573</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1.7355</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2.4869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3.1699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3.7908</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4.3553</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4.8684</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5.3349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5.759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6.1446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8.5136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9.4269</w:t>
            </w:r>
          </w:p>
        </w:tc>
      </w:tr>
    </w:tbl>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9.  Now: let’s assume that the discount rate in our problems above is 8% and r</w:t>
      </w:r>
      <w:r w:rsidRPr="00576ED7">
        <w:rPr>
          <w:szCs w:val="24"/>
        </w:rPr>
        <w:t>e</w:t>
      </w:r>
      <w:r w:rsidRPr="00576ED7">
        <w:rPr>
          <w:szCs w:val="24"/>
        </w:rPr>
        <w:t>work the answers.  Compare the present value of taxpayer’s $60,000 tax liability on the very same transactions in 1990 under each of the five rules:</w:t>
      </w:r>
    </w:p>
    <w:p w:rsidR="0049128E" w:rsidRPr="00576ED7" w:rsidRDefault="0049128E" w:rsidP="009A1BF0">
      <w:pPr>
        <w:widowControl w:val="0"/>
        <w:ind w:left="720"/>
        <w:jc w:val="both"/>
        <w:rPr>
          <w:szCs w:val="24"/>
        </w:rPr>
      </w:pPr>
      <w:r w:rsidRPr="00576ED7">
        <w:rPr>
          <w:szCs w:val="24"/>
        </w:rPr>
        <w:t>(1</w:t>
      </w:r>
      <w:r w:rsidR="00BE49BE">
        <w:rPr>
          <w:szCs w:val="24"/>
        </w:rPr>
        <w:t xml:space="preserve">) CIR’s view, the </w:t>
      </w:r>
      <w:r w:rsidRPr="00576ED7">
        <w:rPr>
          <w:szCs w:val="24"/>
        </w:rPr>
        <w:t xml:space="preserve">of the 1917 regulations, and the Supreme Court’s holding in </w:t>
      </w:r>
      <w:r w:rsidRPr="00576ED7">
        <w:rPr>
          <w:i/>
          <w:szCs w:val="24"/>
        </w:rPr>
        <w:t>Bruun</w:t>
      </w:r>
      <w:r w:rsidRPr="00576ED7">
        <w:rPr>
          <w:szCs w:val="24"/>
        </w:rPr>
        <w:t>: taxpayer derives taxable income at the termination of the lease equal to fmv − (ab in old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w:t>
      </w:r>
      <w:r w:rsidRPr="00576ED7">
        <w:rPr>
          <w:szCs w:val="24"/>
        </w:rPr>
        <w:t>a</w:t>
      </w:r>
      <w:r w:rsidRPr="00576ED7">
        <w:rPr>
          <w:szCs w:val="24"/>
        </w:rPr>
        <w:t>ble income for each remaining year of the lease an aliquot share of that depreciated amount.  In the event of premature termination, taxpa</w:t>
      </w:r>
      <w:r w:rsidRPr="00576ED7">
        <w:rPr>
          <w:szCs w:val="24"/>
        </w:rPr>
        <w:t>y</w:t>
      </w:r>
      <w:r w:rsidRPr="00576ED7">
        <w:rPr>
          <w:szCs w:val="24"/>
        </w:rPr>
        <w:lastRenderedPageBreak/>
        <w:t>er/lessor must report as taxable income or may claim as a reduction to his/her taxable income an amount equal to (fmv at time of termination) − (amount of income previously taxed).</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(5) §§ 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•In 1990,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10.  The time value of money is one place where taxpayers and the Commissioner now play the tax game.  Look for the ways in which it affects the contentions of parties in the cases ahead.  The higher the discount rate, the more taxpayer ben</w:t>
      </w:r>
      <w:r w:rsidRPr="00576ED7">
        <w:rPr>
          <w:szCs w:val="24"/>
        </w:rPr>
        <w:t>e</w:t>
      </w:r>
      <w:r w:rsidRPr="00576ED7">
        <w:rPr>
          <w:szCs w:val="24"/>
        </w:rPr>
        <w:t>fits from deferring payment of a tax and/or accelerating a deduction.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11.  Congress can itself exploit the time value of money to pursue certain policy objectives that require taxpayers to save money in order that they make a partic</w:t>
      </w:r>
      <w:r w:rsidRPr="00576ED7">
        <w:rPr>
          <w:szCs w:val="24"/>
        </w:rPr>
        <w:t>u</w:t>
      </w:r>
      <w:r w:rsidRPr="00576ED7">
        <w:rPr>
          <w:szCs w:val="24"/>
        </w:rPr>
        <w:t>lar consumption choice.  For example, Congress may wish for taxpayers to save money throughout their working lives that they can spend in retirement.  Sections 219/62(a)(7) permit taxpayers to reduce their adjusted gross income (AGI) by amounts that they save in an Individual Retirement Account (IRA).  So also, Congress may wish for taxpayers to save money that they can spend on medical expenses at some future date.  Sections 223/62(a)(19) permit taxpayers to reduce their (AGI) by amounts that they save in a Health Savings Account.  The money that taxpayers deposit in these accounts at a young age can grow significantly, as the tables above attest.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Consider the following:</w:t>
      </w:r>
    </w:p>
    <w:p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efficient in their work as attorneys.  They both own houses that need a paint job.  The cost of hiring a painter to paint their homes is $9000.</w:t>
      </w:r>
    </w:p>
    <w:p w:rsidR="0049128E" w:rsidRPr="00576ED7" w:rsidRDefault="0049128E" w:rsidP="009A1BF0">
      <w:pPr>
        <w:widowControl w:val="0"/>
        <w:ind w:left="720"/>
        <w:jc w:val="both"/>
        <w:rPr>
          <w:szCs w:val="24"/>
        </w:rPr>
      </w:pPr>
      <w:r w:rsidRPr="00576ED7">
        <w:rPr>
          <w:szCs w:val="24"/>
        </w:rPr>
        <w:t xml:space="preserve">•John hires a painter to paint his house.  In order to pay the painter, John must work six extra weekends in order to earn another $12,000.  After paying $3000 in taxes, John can then pay the painter $9000.  For having worked to earn an additional $12,000 and paid $3000 more in income tax, John will have a house with a $9000 paint job – which he will commence </w:t>
      </w:r>
      <w:r w:rsidRPr="00576ED7">
        <w:rPr>
          <w:szCs w:val="24"/>
        </w:rPr>
        <w:lastRenderedPageBreak/>
        <w:t>“consuming.”  John had to pay $3000 in income taxes in order to consume $9000.</w:t>
      </w:r>
    </w:p>
    <w:p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  When she has completed the job, Mary will have a house with a $9000 paint job – which she will commence “consu</w:t>
      </w:r>
      <w:r w:rsidRPr="00576ED7">
        <w:rPr>
          <w:szCs w:val="24"/>
        </w:rPr>
        <w:t>m</w:t>
      </w:r>
      <w:r w:rsidRPr="00576ED7">
        <w:rPr>
          <w:szCs w:val="24"/>
        </w:rPr>
        <w:t>ing.”  Mary paid nothing in income taxes in order to consume $9000.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John was able to earn $2000 per weekend.  Mary “earned” $1800 per weekend.  Mary is not as productive or as efficient a painter as she is an attorney.  (Otherwise she should give up practicing law and take up house painting.)  Neve</w:t>
      </w:r>
      <w:r w:rsidRPr="00576ED7">
        <w:rPr>
          <w:szCs w:val="24"/>
        </w:rPr>
        <w:t>r</w:t>
      </w:r>
      <w:r w:rsidRPr="00576ED7">
        <w:rPr>
          <w:szCs w:val="24"/>
        </w:rPr>
        <w:t>theless, Mary expended fewer resources in order to acquire a painted house than John did.  How?</w:t>
      </w:r>
    </w:p>
    <w:p w:rsidR="0049128E" w:rsidRPr="00576ED7" w:rsidRDefault="0049128E" w:rsidP="009A1BF0">
      <w:pPr>
        <w:widowControl w:val="0"/>
        <w:ind w:left="720"/>
        <w:jc w:val="both"/>
        <w:rPr>
          <w:szCs w:val="24"/>
        </w:rPr>
      </w:pPr>
      <w:r w:rsidRPr="00576ED7">
        <w:rPr>
          <w:szCs w:val="24"/>
        </w:rPr>
        <w:t>•The answer lies in the fact that John had to pay income tax on his “co</w:t>
      </w:r>
      <w:r w:rsidRPr="00576ED7">
        <w:rPr>
          <w:szCs w:val="24"/>
        </w:rPr>
        <w:t>n</w:t>
      </w:r>
      <w:r w:rsidRPr="00576ED7">
        <w:rPr>
          <w:szCs w:val="24"/>
        </w:rPr>
        <w:t>sumption,” and Mary did not.</w:t>
      </w:r>
    </w:p>
    <w:p w:rsidR="0049128E" w:rsidRPr="00576ED7" w:rsidRDefault="0049128E" w:rsidP="009A1BF0">
      <w:pPr>
        <w:widowControl w:val="0"/>
        <w:ind w:left="720"/>
        <w:jc w:val="both"/>
        <w:rPr>
          <w:szCs w:val="24"/>
        </w:rPr>
      </w:pPr>
      <w:r w:rsidRPr="00576ED7">
        <w:rPr>
          <w:szCs w:val="24"/>
        </w:rPr>
        <w:t>•Services that one performs for oneself give rise to “imputed income.”</w:t>
      </w:r>
    </w:p>
    <w:p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Mary would create more value by practicing law on the weekends than by painting.</w:t>
      </w:r>
    </w:p>
    <w:p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rsidR="0049128E" w:rsidRPr="00576ED7" w:rsidRDefault="0049128E" w:rsidP="009A1BF0">
      <w:pPr>
        <w:widowControl w:val="0"/>
        <w:ind w:left="720"/>
        <w:jc w:val="both"/>
        <w:rPr>
          <w:szCs w:val="24"/>
        </w:rPr>
      </w:pPr>
      <w:r w:rsidRPr="00576ED7">
        <w:rPr>
          <w:szCs w:val="24"/>
        </w:rPr>
        <w:t>•In addition to these inefficiencies and distortions, not taxing imputed i</w:t>
      </w:r>
      <w:r w:rsidRPr="00576ED7">
        <w:rPr>
          <w:szCs w:val="24"/>
        </w:rPr>
        <w:t>n</w:t>
      </w:r>
      <w:r w:rsidRPr="00576ED7">
        <w:rPr>
          <w:szCs w:val="24"/>
        </w:rPr>
        <w:t>come derived from performing services for oneself costs the U.S. Treasury money.  Obviously, we should not be concerned about de minimis amounts, e.g., mowing our own lawns.  But one major source of lost rev</w:t>
      </w:r>
      <w:r w:rsidRPr="00576ED7">
        <w:rPr>
          <w:szCs w:val="24"/>
        </w:rPr>
        <w:t>e</w:t>
      </w:r>
      <w:r w:rsidRPr="00576ED7">
        <w:rPr>
          <w:szCs w:val="24"/>
        </w:rPr>
        <w:t>nue is the non-taxation of imputed income derived by the stay-at-home parent.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Eileen have accum</w:t>
      </w:r>
      <w:r w:rsidRPr="00576ED7">
        <w:rPr>
          <w:szCs w:val="24"/>
        </w:rPr>
        <w:t>u</w:t>
      </w:r>
      <w:r w:rsidRPr="00576ED7">
        <w:rPr>
          <w:szCs w:val="24"/>
        </w:rPr>
        <w:t>lated $250,000.  The income necessary to accumulate this money has already been subject to income tax.  Prevailing interest rates are 8%.</w:t>
      </w:r>
    </w:p>
    <w:p w:rsidR="0049128E" w:rsidRPr="00576ED7" w:rsidRDefault="0049128E" w:rsidP="009A1BF0">
      <w:pPr>
        <w:widowControl w:val="0"/>
        <w:ind w:left="720"/>
        <w:jc w:val="both"/>
        <w:rPr>
          <w:szCs w:val="24"/>
        </w:rPr>
      </w:pPr>
      <w:r w:rsidRPr="00576ED7">
        <w:rPr>
          <w:szCs w:val="24"/>
        </w:rPr>
        <w:t xml:space="preserve">•Robert elects to take the $20,000 return on his investments to pay the rent on a house valued at $150,000.  After paying $5000 in income taxes, he will have $15,000 with which to pay rent.  His investment will not grow </w:t>
      </w:r>
      <w:r w:rsidRPr="00576ED7">
        <w:rPr>
          <w:szCs w:val="24"/>
        </w:rPr>
        <w:lastRenderedPageBreak/>
        <w:t>because he uses his entire return on investment to pay income tax plus rent.</w:t>
      </w:r>
    </w:p>
    <w:p w:rsidR="0049128E" w:rsidRPr="00576ED7" w:rsidRDefault="0049128E" w:rsidP="009A1BF0">
      <w:pPr>
        <w:widowControl w:val="0"/>
        <w:ind w:left="720"/>
        <w:jc w:val="both"/>
        <w:rPr>
          <w:szCs w:val="24"/>
        </w:rPr>
      </w:pPr>
      <w:r w:rsidRPr="00576ED7">
        <w:rPr>
          <w:szCs w:val="24"/>
        </w:rPr>
        <w:t>•Eileen elects to change the form in which she holds some of her inves</w:t>
      </w:r>
      <w:r w:rsidRPr="00576ED7">
        <w:rPr>
          <w:szCs w:val="24"/>
        </w:rPr>
        <w:t>t</w:t>
      </w:r>
      <w:r w:rsidRPr="00576ED7">
        <w:rPr>
          <w:szCs w:val="24"/>
        </w:rPr>
        <w:t>ment and to use $150,000 to purchase a house.  She will still have $100,000 invested.  Eileen can live in her house rent-free and will earn a 6% (i.e., 8% − (25% of 8%)) after-tax return on her investment, co</w:t>
      </w:r>
      <w:r w:rsidRPr="00576ED7">
        <w:rPr>
          <w:szCs w:val="24"/>
        </w:rPr>
        <w:t>m</w:t>
      </w:r>
      <w:r w:rsidRPr="00576ED7">
        <w:rPr>
          <w:szCs w:val="24"/>
        </w:rPr>
        <w:t xml:space="preserve">pounded annually.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In less than 16 years, Eileen will have $250,000 PLUS she will own a $150,000 home (assuming that it does not lose value; in fact its value might i</w:t>
      </w:r>
      <w:r w:rsidRPr="00576ED7">
        <w:rPr>
          <w:szCs w:val="24"/>
        </w:rPr>
        <w:t>n</w:t>
      </w:r>
      <w:r w:rsidRPr="00576ED7">
        <w:rPr>
          <w:szCs w:val="24"/>
        </w:rPr>
        <w:t>crease).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Obviously Eileen came out ahead of Robert.  Both Eileen and Robert started with the same wealth and lived in the same type of house.  How did Eileen do so much better than Robert?</w:t>
      </w:r>
    </w:p>
    <w:p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rsidR="0049128E" w:rsidRPr="00576ED7" w:rsidRDefault="0049128E" w:rsidP="009A1BF0">
      <w:pPr>
        <w:widowControl w:val="0"/>
        <w:ind w:left="720"/>
        <w:jc w:val="both"/>
        <w:rPr>
          <w:szCs w:val="24"/>
        </w:rPr>
      </w:pPr>
      <w:r w:rsidRPr="00576ED7">
        <w:rPr>
          <w:szCs w:val="24"/>
        </w:rPr>
        <w:t>•The fair rental value of property that a taxpayer owns is also imputed i</w:t>
      </w:r>
      <w:r w:rsidRPr="00576ED7">
        <w:rPr>
          <w:szCs w:val="24"/>
        </w:rPr>
        <w:t>n</w:t>
      </w:r>
      <w:r w:rsidRPr="00576ED7">
        <w:rPr>
          <w:szCs w:val="24"/>
        </w:rPr>
        <w:t>come, and it is not subject to income tax.</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 because it encourages taxpayers to invest in a certain type of asset in preference to other investments only because of certain characteristics of the property.</w:t>
      </w:r>
    </w:p>
    <w:p w:rsidR="0049128E" w:rsidRPr="00576ED7" w:rsidRDefault="0049128E" w:rsidP="009A1BF0">
      <w:pPr>
        <w:widowControl w:val="0"/>
        <w:ind w:left="1440"/>
        <w:jc w:val="both"/>
        <w:rPr>
          <w:szCs w:val="24"/>
        </w:rPr>
      </w:pPr>
      <w:r w:rsidRPr="00576ED7">
        <w:rPr>
          <w:szCs w:val="24"/>
        </w:rPr>
        <w:t>•In the not-so-distant past, the fmv of a house did not usually d</w:t>
      </w:r>
      <w:r w:rsidRPr="00576ED7">
        <w:rPr>
          <w:szCs w:val="24"/>
        </w:rPr>
        <w:t>e</w:t>
      </w:r>
      <w:r w:rsidRPr="00576ED7">
        <w:rPr>
          <w:szCs w:val="24"/>
        </w:rPr>
        <w:t>cline.</w:t>
      </w:r>
    </w:p>
    <w:p w:rsidR="0049128E" w:rsidRPr="00576ED7" w:rsidRDefault="0049128E" w:rsidP="009A1BF0">
      <w:pPr>
        <w:widowControl w:val="0"/>
        <w:ind w:left="1440"/>
        <w:jc w:val="both"/>
        <w:rPr>
          <w:szCs w:val="24"/>
        </w:rPr>
      </w:pPr>
      <w:r w:rsidRPr="00576ED7">
        <w:rPr>
          <w:szCs w:val="24"/>
        </w:rPr>
        <w:t>•A house is something that a consumer can and wants to consume.</w:t>
      </w:r>
    </w:p>
    <w:p w:rsidR="0049128E" w:rsidRPr="00576ED7" w:rsidRDefault="0049128E" w:rsidP="009A1BF0">
      <w:pPr>
        <w:widowControl w:val="0"/>
        <w:ind w:left="720"/>
        <w:jc w:val="both"/>
        <w:rPr>
          <w:szCs w:val="24"/>
        </w:rPr>
      </w:pPr>
      <w:r w:rsidRPr="00576ED7">
        <w:rPr>
          <w:szCs w:val="24"/>
        </w:rPr>
        <w:t>•Not taxing imputed income derived from ownership of property increases a taxpayer’s return on investing in such property.  Eileen received $15,000 worth of rent annually on her $150,000 investment – a tax-free return of 10%.  A net after-tax return of 10% subject to 25% income tax would r</w:t>
      </w:r>
      <w:r w:rsidRPr="00576ED7">
        <w:rPr>
          <w:szCs w:val="24"/>
        </w:rPr>
        <w:t>e</w:t>
      </w:r>
      <w:r w:rsidRPr="00576ED7">
        <w:rPr>
          <w:szCs w:val="24"/>
        </w:rPr>
        <w:t>quire a before-tax return of 13.33%.</w:t>
      </w:r>
    </w:p>
    <w:p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w:t>
      </w:r>
      <w:r w:rsidRPr="00576ED7">
        <w:rPr>
          <w:szCs w:val="24"/>
        </w:rPr>
        <w:t>i</w:t>
      </w:r>
      <w:r w:rsidRPr="00576ED7">
        <w:rPr>
          <w:szCs w:val="24"/>
        </w:rPr>
        <w:t>cans’ widespread ownership of homes – and the ownership of homes that are more expensive than what many taxpayers would otherwise purchase.</w:t>
      </w:r>
    </w:p>
    <w:p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749C1">
        <w:rPr>
          <w:szCs w:val="24"/>
        </w:rPr>
        <w:t xml:space="preserve">consumed </w:t>
      </w:r>
      <w:r w:rsidRPr="00576ED7">
        <w:rPr>
          <w:szCs w:val="24"/>
        </w:rPr>
        <w:t xml:space="preserve">on </w:t>
      </w:r>
      <w:r w:rsidR="00A749C1">
        <w:rPr>
          <w:szCs w:val="24"/>
        </w:rPr>
        <w:t xml:space="preserve">her </w:t>
      </w:r>
      <w:r w:rsidRPr="00576ED7">
        <w:rPr>
          <w:szCs w:val="24"/>
        </w:rPr>
        <w:t xml:space="preserve">investments, but Eileen will not choose to maximize her investment return in this manner unless the return on such an investment is greater than 13.33%.  The Tax Code assures that many taxpayers will prefer to purchase assets such as homes </w:t>
      </w:r>
      <w:r w:rsidRPr="00576ED7">
        <w:rPr>
          <w:szCs w:val="24"/>
        </w:rPr>
        <w:lastRenderedPageBreak/>
        <w:t xml:space="preserve">rather than make investments with higher </w:t>
      </w:r>
      <w:r w:rsidR="00A749C1">
        <w:rPr>
          <w:szCs w:val="24"/>
        </w:rPr>
        <w:t>before</w:t>
      </w:r>
      <w:r w:rsidRPr="00576ED7">
        <w:rPr>
          <w:szCs w:val="24"/>
        </w:rPr>
        <w:t>-tax returns.</w:t>
      </w:r>
    </w:p>
    <w:p w:rsidR="0049128E" w:rsidRPr="00576ED7" w:rsidRDefault="0049128E" w:rsidP="009A1BF0">
      <w:pPr>
        <w:widowControl w:val="0"/>
        <w:ind w:left="1440"/>
        <w:jc w:val="both"/>
        <w:rPr>
          <w:szCs w:val="24"/>
        </w:rPr>
      </w:pPr>
      <w:r w:rsidRPr="00576ED7">
        <w:rPr>
          <w:szCs w:val="24"/>
        </w:rPr>
        <w:t xml:space="preserve">•In the event that not imputing the fair rental value of property to its owner as taxable income is not sufficient incentive to invest in homes – </w:t>
      </w:r>
    </w:p>
    <w:p w:rsidR="0049128E" w:rsidRPr="00576ED7" w:rsidRDefault="0049128E" w:rsidP="009A1BF0">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9A1BF0">
      <w:pPr>
        <w:widowControl w:val="0"/>
        <w:ind w:left="2160"/>
        <w:jc w:val="both"/>
        <w:rPr>
          <w:szCs w:val="24"/>
        </w:rPr>
      </w:pPr>
      <w:r w:rsidRPr="00576ED7">
        <w:rPr>
          <w:szCs w:val="24"/>
        </w:rPr>
        <w:t>•§ 121 permits exclusion from gross income of up to $250,000 of gain from the sale or exchange of a taxpayer’s principal residence under prescribed circumstances.</w:t>
      </w:r>
    </w:p>
    <w:p w:rsidR="0049128E" w:rsidRPr="00576ED7" w:rsidRDefault="0049128E" w:rsidP="009A1BF0">
      <w:pPr>
        <w:widowControl w:val="0"/>
        <w:ind w:left="2160"/>
        <w:jc w:val="both"/>
        <w:rPr>
          <w:szCs w:val="24"/>
        </w:rPr>
      </w:pPr>
      <w:r w:rsidRPr="00576ED7">
        <w:rPr>
          <w:szCs w:val="24"/>
        </w:rPr>
        <w:t>•§ 164(a)(1) permits a deduction for state and local, and foreign real property taxes.</w:t>
      </w:r>
      <w:r w:rsidRPr="00576ED7">
        <w:rPr>
          <w:rStyle w:val="FootnoteReference"/>
          <w:szCs w:val="24"/>
        </w:rPr>
        <w:footnoteReference w:id="39"/>
      </w:r>
    </w:p>
    <w:p w:rsidR="0049128E" w:rsidRPr="00576ED7" w:rsidRDefault="0049128E" w:rsidP="009A1BF0">
      <w:pPr>
        <w:widowControl w:val="0"/>
        <w:ind w:left="1440"/>
        <w:jc w:val="both"/>
        <w:rPr>
          <w:szCs w:val="24"/>
        </w:rPr>
      </w:pPr>
      <w:r w:rsidRPr="00576ED7">
        <w:rPr>
          <w:szCs w:val="24"/>
        </w:rPr>
        <w:t>•Of course, these rules greatly increase demand for houses.  Wit</w:t>
      </w:r>
      <w:r w:rsidRPr="00576ED7">
        <w:rPr>
          <w:szCs w:val="24"/>
        </w:rPr>
        <w:t>h</w:t>
      </w:r>
      <w:r w:rsidRPr="00576ED7">
        <w:rPr>
          <w:szCs w:val="24"/>
        </w:rPr>
        <w:t>out question, the Tax Code has distorted the market for houses and increased their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Now consider whether taxpayer realizes less gross income upon receipt of a ben</w:t>
      </w:r>
      <w:r w:rsidRPr="00576ED7">
        <w:rPr>
          <w:szCs w:val="24"/>
        </w:rPr>
        <w:t>e</w:t>
      </w:r>
      <w:r w:rsidRPr="00576ED7">
        <w:rPr>
          <w:szCs w:val="24"/>
        </w:rPr>
        <w:t xml:space="preserve">fit for which his employer paid cash when he </w:t>
      </w:r>
      <w:r w:rsidRPr="00576ED7">
        <w:rPr>
          <w:i/>
          <w:szCs w:val="24"/>
        </w:rPr>
        <w:t>foregoes</w:t>
      </w:r>
      <w:r w:rsidRPr="00576ED7">
        <w:rPr>
          <w:szCs w:val="24"/>
        </w:rPr>
        <w:t xml:space="preserve"> the opportunity to earn i</w:t>
      </w:r>
      <w:r w:rsidRPr="00576ED7">
        <w:rPr>
          <w:szCs w:val="24"/>
        </w:rPr>
        <w:t>m</w:t>
      </w:r>
      <w:r w:rsidRPr="00576ED7">
        <w:rPr>
          <w:szCs w:val="24"/>
        </w:rPr>
        <w:t>puted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Problem: Taxpayer Koons entered into a contract of employment with Aerojet General Corporation (Aerojet) to work at its plant near Sacramento, California.  Aerojet agreed to pay taxpayer’s travel and moving expenses of </w:t>
      </w:r>
      <w:r w:rsidR="00A749C1">
        <w:rPr>
          <w:szCs w:val="24"/>
        </w:rPr>
        <w:t xml:space="preserve">Koons </w:t>
      </w:r>
      <w:r w:rsidRPr="00576ED7">
        <w:rPr>
          <w:szCs w:val="24"/>
        </w:rPr>
        <w:t xml:space="preserve">to move himself and his family from Big Springs, Texas to Sacramento.  This included the cost of hiring a moving company to move his furniture and belongings.  Aerojet reimbursed Koons for his payment to the movers, whose charges were no more than their fmv.  In 1959, there was no deduction or exclusion for this </w:t>
      </w:r>
      <w:r w:rsidR="00A749C1">
        <w:rPr>
          <w:szCs w:val="24"/>
        </w:rPr>
        <w:t>expenditure (</w:t>
      </w:r>
      <w:r w:rsidR="00A749C1">
        <w:rPr>
          <w:i/>
          <w:szCs w:val="24"/>
        </w:rPr>
        <w:t>see</w:t>
      </w:r>
      <w:r w:rsidR="00A749C1">
        <w:rPr>
          <w:szCs w:val="24"/>
        </w:rPr>
        <w:t xml:space="preserve"> §§ 217, 132(a)(6), 62(a)(15))</w:t>
      </w:r>
      <w:r w:rsidRPr="00576ED7">
        <w:rPr>
          <w:szCs w:val="24"/>
        </w:rPr>
        <w:t>, so Koons had to include Aerojet’s reimburs</w:t>
      </w:r>
      <w:r w:rsidRPr="00576ED7">
        <w:rPr>
          <w:szCs w:val="24"/>
        </w:rPr>
        <w:t>e</w:t>
      </w:r>
      <w:r w:rsidRPr="00576ED7">
        <w:rPr>
          <w:szCs w:val="24"/>
        </w:rPr>
        <w:t xml:space="preserve">ment in his gross income.  Koons paid the income tax on the reimbursement and sued for a refund.  At trial, he offered to show that the value to </w:t>
      </w:r>
      <w:r w:rsidRPr="00576ED7">
        <w:rPr>
          <w:i/>
          <w:szCs w:val="24"/>
        </w:rPr>
        <w:t>him</w:t>
      </w:r>
      <w:r w:rsidRPr="00576ED7">
        <w:rPr>
          <w:szCs w:val="24"/>
        </w:rPr>
        <w:t xml:space="preserve"> of hiring a moving company was much less than its cost.  He also offered to show that had he known that the cost of moving was taxable income, he would have rented a trailer and done most of the work himself.  He had done this  on five other occasions.  Koons argued that he should include in his gross income only the rental cost of a trailer.</w:t>
      </w:r>
    </w:p>
    <w:p w:rsidR="0049128E" w:rsidRPr="00576ED7" w:rsidRDefault="0049128E" w:rsidP="009A1BF0">
      <w:pPr>
        <w:widowControl w:val="0"/>
        <w:ind w:left="720"/>
        <w:jc w:val="both"/>
        <w:rPr>
          <w:szCs w:val="24"/>
        </w:rPr>
      </w:pPr>
      <w:r w:rsidRPr="00576ED7">
        <w:rPr>
          <w:szCs w:val="24"/>
        </w:rPr>
        <w:t>•Should a trial court judge sustain the United States’s objections to his o</w:t>
      </w:r>
      <w:r w:rsidRPr="00576ED7">
        <w:rPr>
          <w:szCs w:val="24"/>
        </w:rPr>
        <w:t>f</w:t>
      </w:r>
      <w:r w:rsidRPr="00576ED7">
        <w:rPr>
          <w:szCs w:val="24"/>
        </w:rPr>
        <w:t>fer of proof as irrelevant?</w:t>
      </w:r>
    </w:p>
    <w:p w:rsidR="0049128E" w:rsidRPr="00576ED7" w:rsidRDefault="0049128E" w:rsidP="009A1BF0">
      <w:pPr>
        <w:widowControl w:val="0"/>
        <w:ind w:left="720"/>
        <w:jc w:val="both"/>
        <w:rPr>
          <w:szCs w:val="24"/>
        </w:rPr>
      </w:pPr>
      <w:r w:rsidRPr="00576ED7">
        <w:rPr>
          <w:szCs w:val="24"/>
        </w:rPr>
        <w:lastRenderedPageBreak/>
        <w:t>•Must taxpayer Koons include in his gross income the fmv of the services rendered, or some lesser amount?</w:t>
      </w:r>
    </w:p>
    <w:p w:rsidR="0049128E" w:rsidRPr="00576ED7" w:rsidRDefault="0049128E" w:rsidP="009A1BF0">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Koons v. United States</w:t>
      </w:r>
      <w:r w:rsidRPr="00576ED7">
        <w:rPr>
          <w:szCs w:val="24"/>
        </w:rPr>
        <w:t>, 315 F.2d 542 (1963).</w:t>
      </w:r>
    </w:p>
    <w:p w:rsidR="0049128E" w:rsidRPr="00576ED7" w:rsidRDefault="0049128E" w:rsidP="009A1BF0">
      <w:pPr>
        <w:widowControl w:val="0"/>
        <w:ind w:left="720"/>
        <w:jc w:val="both"/>
        <w:rPr>
          <w:szCs w:val="24"/>
        </w:rPr>
      </w:pPr>
      <w:r w:rsidRPr="00576ED7">
        <w:rPr>
          <w:szCs w:val="24"/>
        </w:rPr>
        <w:t>•How well does the argument “I could have done it myself for a lot less money” square with the tax rules governing imputed income? – with SHS?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5" w:name="_Toc375132922"/>
      <w:r w:rsidRPr="00576ED7">
        <w:t>III.  The Constitutional and Statutory Definitions of “Gross I</w:t>
      </w:r>
      <w:r w:rsidRPr="00576ED7">
        <w:t>n</w:t>
      </w:r>
      <w:r w:rsidRPr="00576ED7">
        <w:t>come:” Realization</w:t>
      </w:r>
      <w:bookmarkEnd w:id="35"/>
      <w:r w:rsidRPr="00576ED7">
        <w:fldChar w:fldCharType="begin"/>
      </w:r>
      <w:r w:rsidRPr="00576ED7">
        <w:instrText xml:space="preserve"> TC \l1 "III.  The Constitutional and Statutory Definitions of “Gross Income:” Realization</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Can a taxpayer realize income if s/he never receives it, but someone else does?</w:t>
      </w:r>
    </w:p>
    <w:p w:rsidR="0037524D" w:rsidRDefault="0037524D" w:rsidP="009A1BF0">
      <w:pPr>
        <w:widowControl w:val="0"/>
        <w:jc w:val="both"/>
        <w:rPr>
          <w:b/>
          <w:szCs w:val="24"/>
        </w:rPr>
      </w:pPr>
    </w:p>
    <w:p w:rsidR="00A749C1" w:rsidRPr="00576ED7" w:rsidRDefault="00A749C1" w:rsidP="009A1BF0">
      <w:pPr>
        <w:widowControl w:val="0"/>
        <w:jc w:val="both"/>
        <w:rPr>
          <w:b/>
          <w:szCs w:val="24"/>
        </w:rPr>
      </w:pPr>
    </w:p>
    <w:p w:rsidR="0049128E" w:rsidRPr="00576ED7" w:rsidRDefault="0049128E" w:rsidP="009A1BF0">
      <w:pPr>
        <w:widowControl w:val="0"/>
        <w:jc w:val="both"/>
        <w:rPr>
          <w:szCs w:val="24"/>
        </w:rPr>
      </w:pPr>
      <w:r w:rsidRPr="00576ED7">
        <w:rPr>
          <w:b/>
          <w:szCs w:val="24"/>
        </w:rPr>
        <w:t>Helvering v. Horst</w:t>
      </w:r>
      <w:r w:rsidRPr="00576ED7">
        <w:rPr>
          <w:szCs w:val="24"/>
        </w:rPr>
        <w:t>, 311 U.S. 112 (1940)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STONE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w:t>
      </w:r>
      <w:r w:rsidRPr="00576ED7">
        <w:rPr>
          <w:szCs w:val="24"/>
        </w:rPr>
        <w:t>m</w:t>
      </w:r>
      <w:r w:rsidRPr="00576ED7">
        <w:rPr>
          <w:szCs w:val="24"/>
        </w:rPr>
        <w:t xml:space="preserve">missioner ruled that, under ... [§ 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 xml:space="preserve">, and </w:t>
      </w:r>
      <w:r w:rsidRPr="00576ED7">
        <w:rPr>
          <w:i/>
          <w:szCs w:val="24"/>
        </w:rPr>
        <w:t>Burnet v. Leininger</w:t>
      </w:r>
      <w:r w:rsidRPr="00576ED7">
        <w:rPr>
          <w:szCs w:val="24"/>
        </w:rPr>
        <w:t>, 285 U.S. 136, where the assignment of compens</w:t>
      </w:r>
      <w:r w:rsidRPr="00576ED7">
        <w:rPr>
          <w:szCs w:val="24"/>
        </w:rPr>
        <w:t>a</w:t>
      </w:r>
      <w:r w:rsidRPr="00576ED7">
        <w:rPr>
          <w:szCs w:val="24"/>
        </w:rPr>
        <w:lastRenderedPageBreak/>
        <w:t>tion for services had preceded the rendition of the services, and where the income was held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Admittedly not all economic gain of the taxpayer is taxable income.  From the beginning, the revenue laws have been interpreted as defining “realization” of i</w:t>
      </w:r>
      <w:r w:rsidRPr="00576ED7">
        <w:rPr>
          <w:szCs w:val="24"/>
        </w:rPr>
        <w:t>n</w:t>
      </w:r>
      <w:r w:rsidRPr="00576ED7">
        <w:rPr>
          <w:szCs w:val="24"/>
        </w:rPr>
        <w:t>come as the taxable event, rather than the acquisition of the right to receive it.  And “realization” is not deemed to occur until the income is paid.  But the dec</w:t>
      </w:r>
      <w:r w:rsidRPr="00576ED7">
        <w:rPr>
          <w:szCs w:val="24"/>
        </w:rPr>
        <w:t>i</w:t>
      </w:r>
      <w:r w:rsidRPr="00576ED7">
        <w:rPr>
          <w:szCs w:val="24"/>
        </w:rPr>
        <w:t xml:space="preserve">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the ordinary case the taxpayer who acquires the right to receive income is taxed when he receives it, regardless of the time when his right to receive payment a</w:t>
      </w:r>
      <w:r w:rsidRPr="00576ED7">
        <w:rPr>
          <w:szCs w:val="24"/>
        </w:rPr>
        <w:t>c</w:t>
      </w:r>
      <w:r w:rsidRPr="00576ED7">
        <w:rPr>
          <w:szCs w:val="24"/>
        </w:rPr>
        <w:t>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w:t>
      </w:r>
      <w:r w:rsidRPr="00576ED7">
        <w:rPr>
          <w:szCs w:val="24"/>
        </w:rPr>
        <w:t>i</w:t>
      </w:r>
      <w:r w:rsidRPr="00576ED7">
        <w:rPr>
          <w:szCs w:val="24"/>
        </w:rPr>
        <w:t>gor.  The rule, founded on administrative convenience, is only one of postpon</w:t>
      </w:r>
      <w:r w:rsidRPr="00576ED7">
        <w:rPr>
          <w:szCs w:val="24"/>
        </w:rPr>
        <w:t>e</w:t>
      </w:r>
      <w:r w:rsidRPr="00576ED7">
        <w:rPr>
          <w:szCs w:val="24"/>
        </w:rPr>
        <w:t>ment of the tax to the final event of enjoyment of the income, usually the receipt of it by the taxpayer, and not one of exemption from taxation where the enjo</w:t>
      </w:r>
      <w:r w:rsidRPr="00576ED7">
        <w:rPr>
          <w:szCs w:val="24"/>
        </w:rPr>
        <w:t>y</w:t>
      </w:r>
      <w:r w:rsidRPr="00576ED7">
        <w:rPr>
          <w:szCs w:val="24"/>
        </w:rPr>
        <w:t xml:space="preserve">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t>
      </w:r>
      <w:r w:rsidRPr="00576ED7">
        <w:rPr>
          <w:szCs w:val="24"/>
        </w:rPr>
        <w:lastRenderedPageBreak/>
        <w:t>whether, because one who in fact receives payment for services or interest pa</w:t>
      </w:r>
      <w:r w:rsidRPr="00576ED7">
        <w:rPr>
          <w:szCs w:val="24"/>
        </w:rPr>
        <w:t>y</w:t>
      </w:r>
      <w:r w:rsidRPr="00576ED7">
        <w:rPr>
          <w:szCs w:val="24"/>
        </w:rPr>
        <w:t>ments is taxable only on his receipt of the payments, he can escape all tax by gi</w:t>
      </w:r>
      <w:r w:rsidRPr="00576ED7">
        <w:rPr>
          <w:szCs w:val="24"/>
        </w:rPr>
        <w:t>v</w:t>
      </w:r>
      <w:r w:rsidRPr="00576ED7">
        <w:rPr>
          <w:szCs w:val="24"/>
        </w:rPr>
        <w:t xml:space="preserve">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w:t>
      </w:r>
      <w:r w:rsidR="00A749C1">
        <w:rPr>
          <w:szCs w:val="24"/>
        </w:rPr>
        <w:t>t</w:t>
      </w:r>
      <w:r w:rsidR="00A749C1">
        <w:rPr>
          <w:szCs w:val="24"/>
        </w:rPr>
        <w:t>ted],</w:t>
      </w:r>
      <w:r w:rsidRPr="00576ED7">
        <w:rPr>
          <w:szCs w:val="24"/>
        </w:rPr>
        <w:t xml:space="preserve"> [citations omitted], he does not escape taxation because he did not actually receive the money.  [citations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Underlying the reasoning in these cases is the thought that income is “realized” by the assignor because he, who owns or controls the source of the income, also co</w:t>
      </w:r>
      <w:r w:rsidRPr="00576ED7">
        <w:rPr>
          <w:szCs w:val="24"/>
        </w:rPr>
        <w:t>n</w:t>
      </w:r>
      <w:r w:rsidRPr="00576ED7">
        <w:rPr>
          <w:szCs w:val="24"/>
        </w:rPr>
        <w:t xml:space="preserve">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the donor here, by the transfer of the coupons, has precluded any poss</w:t>
      </w:r>
      <w:r w:rsidRPr="00576ED7">
        <w:rPr>
          <w:szCs w:val="24"/>
        </w:rPr>
        <w:t>i</w:t>
      </w:r>
      <w:r w:rsidRPr="00576ED7">
        <w:rPr>
          <w:szCs w:val="24"/>
        </w:rPr>
        <w:t>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w:t>
      </w:r>
      <w:r w:rsidRPr="00576ED7">
        <w:rPr>
          <w:szCs w:val="24"/>
        </w:rPr>
        <w:t>c</w:t>
      </w:r>
      <w:r w:rsidRPr="00576ED7">
        <w:rPr>
          <w:szCs w:val="24"/>
        </w:rPr>
        <w:t>tions as may result from the payment of a campaign or community chest contrib</w:t>
      </w:r>
      <w:r w:rsidRPr="00576ED7">
        <w:rPr>
          <w:szCs w:val="24"/>
        </w:rPr>
        <w:t>u</w:t>
      </w:r>
      <w:r w:rsidRPr="00576ED7">
        <w:rPr>
          <w:szCs w:val="24"/>
        </w:rPr>
        <w:t>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w:t>
      </w:r>
      <w:r w:rsidRPr="00576ED7">
        <w:rPr>
          <w:szCs w:val="24"/>
        </w:rPr>
        <w:t>o</w:t>
      </w:r>
      <w:r w:rsidRPr="00576ED7">
        <w:rPr>
          <w:szCs w:val="24"/>
        </w:rPr>
        <w:t>nomic benefit accruing to him by virtue of his acquisition of the coupons is rea</w:t>
      </w:r>
      <w:r w:rsidRPr="00576ED7">
        <w:rPr>
          <w:szCs w:val="24"/>
        </w:rPr>
        <w:t>l</w:t>
      </w:r>
      <w:r w:rsidRPr="00576ED7">
        <w:rPr>
          <w:szCs w:val="24"/>
        </w:rPr>
        <w:t xml:space="preserve">ized as completely as it would have been if he had collected the interest in dollars and expended them for any of the purposes named.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 real sense, he has enjoyed compensation for money loaned or services re</w:t>
      </w:r>
      <w:r w:rsidRPr="00576ED7">
        <w:rPr>
          <w:szCs w:val="24"/>
        </w:rPr>
        <w:t>n</w:t>
      </w:r>
      <w:r w:rsidRPr="00576ED7">
        <w:rPr>
          <w:szCs w:val="24"/>
        </w:rPr>
        <w:t xml:space="preserve">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w:t>
      </w:r>
      <w:r w:rsidRPr="00576ED7">
        <w:rPr>
          <w:szCs w:val="24"/>
        </w:rPr>
        <w:lastRenderedPageBreak/>
        <w:t>donee is to affront common understanding and to deny the facts of common exp</w:t>
      </w:r>
      <w:r w:rsidRPr="00576ED7">
        <w:rPr>
          <w:szCs w:val="24"/>
        </w:rPr>
        <w:t>e</w:t>
      </w:r>
      <w:r w:rsidRPr="00576ED7">
        <w:rPr>
          <w:szCs w:val="24"/>
        </w:rPr>
        <w:t>rience.  Common understanding and experience are the touchstones for the inte</w:t>
      </w:r>
      <w:r w:rsidRPr="00576ED7">
        <w:rPr>
          <w:szCs w:val="24"/>
        </w:rPr>
        <w:t>r</w:t>
      </w:r>
      <w:r w:rsidRPr="00576ED7">
        <w:rPr>
          <w:szCs w:val="24"/>
        </w:rPr>
        <w:t>pretation of the revenue laws.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power to dispose of income is the equivalent of ownership of it.  The exercise of that power to procure the payment of income to another is the enjoyment, and hence the realization, of the income by him who exercises it.  We have had no di</w:t>
      </w:r>
      <w:r w:rsidRPr="00576ED7">
        <w:rPr>
          <w:szCs w:val="24"/>
        </w:rPr>
        <w:t>f</w:t>
      </w:r>
      <w:r w:rsidRPr="00576ED7">
        <w:rPr>
          <w:szCs w:val="24"/>
        </w:rPr>
        <w:t xml:space="preserve">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for it was reco</w:t>
      </w:r>
      <w:r w:rsidRPr="00576ED7">
        <w:rPr>
          <w:szCs w:val="24"/>
        </w:rPr>
        <w:t>g</w:t>
      </w:r>
      <w:r w:rsidRPr="00576ED7">
        <w:rPr>
          <w:szCs w:val="24"/>
        </w:rPr>
        <w:t xml:space="preserve">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making his assignment effective.  But it is the assignment by which the dispos</w:t>
      </w:r>
      <w:r w:rsidRPr="00576ED7">
        <w:rPr>
          <w:szCs w:val="24"/>
        </w:rPr>
        <w:t>i</w:t>
      </w:r>
      <w:r w:rsidRPr="00576ED7">
        <w:rPr>
          <w:szCs w:val="24"/>
        </w:rPr>
        <w:t>tion of income is controlled when the service precedes the assignment, and, in both cases, it is the exercise of the power of disposition of the interest or compe</w:t>
      </w:r>
      <w:r w:rsidRPr="00576ED7">
        <w:rPr>
          <w:szCs w:val="24"/>
        </w:rPr>
        <w:t>n</w:t>
      </w:r>
      <w:r w:rsidRPr="00576ED7">
        <w:rPr>
          <w:szCs w:val="24"/>
        </w:rPr>
        <w:t>sation, with the resulting payment to the donee, which is the enjoyment by the d</w:t>
      </w:r>
      <w:r w:rsidRPr="00576ED7">
        <w:rPr>
          <w:szCs w:val="24"/>
        </w:rPr>
        <w:t>o</w:t>
      </w:r>
      <w:r w:rsidRPr="00576ED7">
        <w:rPr>
          <w:szCs w:val="24"/>
        </w:rPr>
        <w:t>nor of income derived from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w:t>
      </w:r>
      <w:r w:rsidRPr="00576ED7">
        <w:rPr>
          <w:szCs w:val="24"/>
        </w:rPr>
        <w:t>t</w:t>
      </w:r>
      <w:r w:rsidRPr="00576ED7">
        <w:rPr>
          <w:szCs w:val="24"/>
        </w:rPr>
        <w:t>ed as not applying to income derived from interest or compensation when he who is entitled to receive it makes use of his power to dispose of it in procuring sati</w:t>
      </w:r>
      <w:r w:rsidRPr="00576ED7">
        <w:rPr>
          <w:szCs w:val="24"/>
        </w:rPr>
        <w:t>s</w:t>
      </w:r>
      <w:r w:rsidRPr="00576ED7">
        <w:rPr>
          <w:szCs w:val="24"/>
        </w:rPr>
        <w:t>factions which he would otherwise procure only by the use of the money when received.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right, and thus precluded such an instantaneous vesting.  But the statute affords no basis for such “attenuated subtleties.”  The distinction was explicitly rejected as the basis of decision in </w:t>
      </w:r>
      <w:r w:rsidRPr="00576ED7">
        <w:rPr>
          <w:i/>
          <w:szCs w:val="24"/>
        </w:rPr>
        <w:t>Lucas v. Earl</w:t>
      </w:r>
      <w:r w:rsidRPr="00576ED7">
        <w:rPr>
          <w:szCs w:val="24"/>
        </w:rPr>
        <w:t xml:space="preserve">.  It should be rejected here, for no more than </w:t>
      </w:r>
      <w:r w:rsidRPr="00576ED7">
        <w:rPr>
          <w:szCs w:val="24"/>
        </w:rPr>
        <w:lastRenderedPageBreak/>
        <w:t xml:space="preserve">in the </w:t>
      </w:r>
      <w:r w:rsidRPr="00576ED7">
        <w:rPr>
          <w:i/>
          <w:szCs w:val="24"/>
        </w:rPr>
        <w:t>Earl</w:t>
      </w:r>
      <w:r w:rsidRPr="00576ED7">
        <w:rPr>
          <w:szCs w:val="24"/>
        </w:rPr>
        <w:t xml:space="preserve"> case can the purpose of the statute to tax the income to him who earns or creates and enjoys it be escaped by “anticipatory arrangements ... however ski</w:t>
      </w:r>
      <w:r w:rsidRPr="00576ED7">
        <w:rPr>
          <w:szCs w:val="24"/>
        </w:rPr>
        <w:t>l</w:t>
      </w:r>
      <w:r w:rsidRPr="00576ED7">
        <w:rPr>
          <w:szCs w:val="24"/>
        </w:rPr>
        <w:t>fully devised” to prevent the income from vesting even for a second in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is it perceived that there is any adequate basis for distinguishing between the gift of interest coupons here and a gift of salary or commissions.  The owner of a negotiable bond and of the investment which it represents, if not the lender, stands 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576ED7">
        <w:rPr>
          <w:i/>
          <w:szCs w:val="24"/>
        </w:rPr>
        <w:t>See</w:t>
      </w:r>
      <w:r w:rsidRPr="00576ED7">
        <w:rPr>
          <w:szCs w:val="24"/>
        </w:rPr>
        <w:t xml:space="preserve"> </w:t>
      </w:r>
      <w:r w:rsidRPr="00576ED7">
        <w:rPr>
          <w:i/>
          <w:szCs w:val="24"/>
        </w:rPr>
        <w:t>Lucas v. Earl</w:t>
      </w:r>
      <w:r w:rsidRPr="00576ED7">
        <w:rPr>
          <w:szCs w:val="24"/>
        </w:rPr>
        <w:t xml:space="preserve">, </w:t>
      </w:r>
      <w:r w:rsidRPr="00576ED7">
        <w:rPr>
          <w:i/>
          <w:szCs w:val="24"/>
        </w:rPr>
        <w:t>supra</w:t>
      </w:r>
      <w:r w:rsidRPr="00576ED7">
        <w:rPr>
          <w:szCs w:val="24"/>
        </w:rPr>
        <w:t xml:space="preserve">, 281 U.S. </w:t>
      </w:r>
      <w:r w:rsidR="00A749C1">
        <w:rPr>
          <w:szCs w:val="24"/>
        </w:rPr>
        <w:t xml:space="preserve">at </w:t>
      </w:r>
      <w:r w:rsidRPr="00576ED7">
        <w:rPr>
          <w:szCs w:val="24"/>
        </w:rPr>
        <w:t>115.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separate opinion of MR. JUSTICE McREYNOLDS.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unmatured coupons given to the son were independent negotiable instr</w:t>
      </w:r>
      <w:r w:rsidRPr="00576ED7">
        <w:rPr>
          <w:szCs w:val="24"/>
        </w:rPr>
        <w:t>u</w:t>
      </w:r>
      <w:r w:rsidRPr="00576ED7">
        <w:rPr>
          <w:szCs w:val="24"/>
        </w:rPr>
        <w:t>ments, complete in themselves.  Through the gift, they became at once the abs</w:t>
      </w:r>
      <w:r w:rsidRPr="00576ED7">
        <w:rPr>
          <w:szCs w:val="24"/>
        </w:rPr>
        <w:t>o</w:t>
      </w:r>
      <w:r w:rsidRPr="00576ED7">
        <w:rPr>
          <w:szCs w:val="24"/>
        </w:rPr>
        <w:t>lute property of the donee, free from the donor’s control and in no way dependent upon ownership of the bonds.  No question of actual fraud or purpose to defraud the revenue is presented.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The challenged judgment should be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CHIEF JUSTICE and MR. JUSTICE ROBERTS concur in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Under the rules of § 102, donors make gifts with after-tax income, and the d</w:t>
      </w:r>
      <w:r w:rsidRPr="00576ED7">
        <w:rPr>
          <w:szCs w:val="24"/>
        </w:rPr>
        <w:t>o</w:t>
      </w:r>
      <w:r w:rsidRPr="00576ED7">
        <w:rPr>
          <w:szCs w:val="24"/>
        </w:rPr>
        <w:t xml:space="preserve">nee may exclude the value of </w:t>
      </w:r>
      <w:r w:rsidR="004020EF">
        <w:rPr>
          <w:szCs w:val="24"/>
        </w:rPr>
        <w:t>t</w:t>
      </w:r>
      <w:r w:rsidRPr="00576ED7">
        <w:rPr>
          <w:szCs w:val="24"/>
        </w:rPr>
        <w:t>he gift from his/her gross income.  Taxpayer Horst of course tried to reverse this.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2.  No doubt, taxpayer’s son was in a lower tax bracket than taxpayer was.  Hence, the dividends would have been subject to a lower rate of tax if taxpayer had prevailed.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Consumption can take the form of directing income to another.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Internal Revenue Code taxes “taxable income,” §§ 1(a-e).  The comput</w:t>
      </w:r>
      <w:r w:rsidRPr="00576ED7">
        <w:rPr>
          <w:szCs w:val="24"/>
        </w:rPr>
        <w:t>a</w:t>
      </w:r>
      <w:r w:rsidRPr="00576ED7">
        <w:rPr>
          <w:szCs w:val="24"/>
        </w:rPr>
        <w:t>tion of “taxable income” begins with a summing up of all items of “gross i</w:t>
      </w:r>
      <w:r w:rsidRPr="00576ED7">
        <w:rPr>
          <w:szCs w:val="24"/>
        </w:rPr>
        <w:t>n</w:t>
      </w:r>
      <w:r w:rsidRPr="00576ED7">
        <w:rPr>
          <w:szCs w:val="24"/>
        </w:rPr>
        <w:t>come.”  The concept of “gross income” does not inherently embody a netting of gains and losses.  A taxpayer may deduct losses only to the extent that the Code permits.</w:t>
      </w:r>
      <w:r w:rsidRPr="00576ED7">
        <w:rPr>
          <w:rStyle w:val="FootnoteReference"/>
          <w:szCs w:val="24"/>
        </w:rPr>
        <w:footnoteReference w:id="40"/>
      </w:r>
      <w:r w:rsidRPr="00576ED7">
        <w:rPr>
          <w:szCs w:val="24"/>
        </w:rPr>
        <w:t xml:space="preserve">  Sections 165(a and c) allow taxpayers to deduct trade or business los</w:t>
      </w:r>
      <w:r w:rsidRPr="00576ED7">
        <w:rPr>
          <w:szCs w:val="24"/>
        </w:rPr>
        <w:t>s</w:t>
      </w:r>
      <w:r w:rsidRPr="00576ED7">
        <w:rPr>
          <w:szCs w:val="24"/>
        </w:rPr>
        <w:t>es and investment losses.  A realization requirement applies to deductions, just as it does to gross income.  To be deductible, taxpayer must have “realized” the los</w:t>
      </w:r>
      <w:r w:rsidRPr="00576ED7">
        <w:rPr>
          <w:szCs w:val="24"/>
        </w:rPr>
        <w:t>s</w:t>
      </w:r>
      <w:r w:rsidRPr="00576ED7">
        <w:rPr>
          <w:szCs w:val="24"/>
        </w:rPr>
        <w:t xml:space="preserve">es.  Now read </w:t>
      </w:r>
      <w:r w:rsidRPr="00576ED7">
        <w:rPr>
          <w:i/>
          <w:szCs w:val="24"/>
        </w:rPr>
        <w:t>Cottage Savings Association</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MARSHALL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w:t>
      </w:r>
    </w:p>
    <w:p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w:t>
      </w:r>
      <w:r w:rsidRPr="00576ED7">
        <w:rPr>
          <w:szCs w:val="24"/>
        </w:rPr>
        <w:t>r</w:t>
      </w:r>
      <w:r w:rsidRPr="00576ED7">
        <w:rPr>
          <w:szCs w:val="24"/>
        </w:rPr>
        <w:t xml:space="preserve">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w:t>
      </w:r>
      <w:r w:rsidRPr="00576ED7">
        <w:rPr>
          <w:szCs w:val="24"/>
        </w:rPr>
        <w:lastRenderedPageBreak/>
        <w:t>the then-effective FHLBB accounting regulations would have placed many S &amp; L’s at risk of closure by the FHLBB.</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FHLBB responded to this situation by relaxing its requirements for the r</w:t>
      </w:r>
      <w:r w:rsidRPr="00576ED7">
        <w:rPr>
          <w:szCs w:val="24"/>
        </w:rPr>
        <w:t>e</w:t>
      </w:r>
      <w:r w:rsidRPr="00576ED7">
        <w:rPr>
          <w:szCs w:val="24"/>
        </w:rPr>
        <w:t>porting of losses.  In a regulatory directive known as “Memorandum R-49,” dated June 27, 1980, the FHLBB determined that S &amp; L’s need not report losses assoc</w:t>
      </w:r>
      <w:r w:rsidRPr="00576ED7">
        <w:rPr>
          <w:szCs w:val="24"/>
        </w:rPr>
        <w:t>i</w:t>
      </w:r>
      <w:r w:rsidRPr="00576ED7">
        <w:rPr>
          <w:szCs w:val="24"/>
        </w:rPr>
        <w:t>ated with mortgages that are exchanged for “substantially identical” mortgages held by other lenders.</w:t>
      </w:r>
      <w:r w:rsidRPr="00576ED7">
        <w:rPr>
          <w:rStyle w:val="FootnoteReference"/>
          <w:szCs w:val="24"/>
        </w:rPr>
        <w:footnoteReference w:id="41"/>
      </w:r>
      <w:r w:rsidRPr="00576ED7">
        <w:rPr>
          <w:szCs w:val="24"/>
        </w:rPr>
        <w:t xml:space="preserve">  The FHLBB’s acknowledged purpose for Memorandum R-49 was to facilitate transactions that would generate tax losses but that would not substantially affect the economic position of the transacting S &amp; L’s.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involves a typical Memorandum R-49 transaction.  On December 31, 1980, Cottage Savings sold “90% participation” in 252 mortgages to four S &amp; L’s.  It simultaneously purchased “90% participation interests” in 305 mortgages held by these S &amp; L’s.</w:t>
      </w:r>
      <w:r w:rsidRPr="00576ED7">
        <w:rPr>
          <w:rStyle w:val="FootnoteReference"/>
          <w:szCs w:val="24"/>
        </w:rPr>
        <w:footnoteReference w:id="42"/>
      </w:r>
      <w:r w:rsidRPr="00576ED7">
        <w:rPr>
          <w:szCs w:val="24"/>
        </w:rPr>
        <w:t xml:space="preserve">  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w:t>
      </w:r>
      <w:r w:rsidRPr="00576ED7">
        <w:rPr>
          <w:szCs w:val="24"/>
        </w:rPr>
        <w:t>a</w:t>
      </w:r>
      <w:r w:rsidRPr="00576ED7">
        <w:rPr>
          <w:szCs w:val="24"/>
        </w:rPr>
        <w:t>tion interests that it received.  As permitted by Memorandum R-49, Cottage Sa</w:t>
      </w:r>
      <w:r w:rsidRPr="00576ED7">
        <w:rPr>
          <w:szCs w:val="24"/>
        </w:rPr>
        <w:t>v</w:t>
      </w:r>
      <w:r w:rsidRPr="00576ED7">
        <w:rPr>
          <w:szCs w:val="24"/>
        </w:rPr>
        <w:t>ings did not report these losses to the FHLBB.  After the Commissioner of Inte</w:t>
      </w:r>
      <w:r w:rsidRPr="00576ED7">
        <w:rPr>
          <w:szCs w:val="24"/>
        </w:rPr>
        <w:t>r</w:t>
      </w:r>
      <w:r w:rsidRPr="00576ED7">
        <w:rPr>
          <w:szCs w:val="24"/>
        </w:rPr>
        <w:t>nal Revenue disallowed Cottage Savings’ claimed deduction, Cottage Savings sought a redetermination in the Tax Court.  The Tax Court held that the deduction was permissible.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appeal by the Commissioner, the Court of Appeals reversed.  The Court of Appeals agreed with the Tax Court’s determination that Cottage Savings had rea</w:t>
      </w:r>
      <w:r w:rsidRPr="00576ED7">
        <w:rPr>
          <w:szCs w:val="24"/>
        </w:rPr>
        <w:t>l</w:t>
      </w:r>
      <w:r w:rsidRPr="00576ED7">
        <w:rPr>
          <w:szCs w:val="24"/>
        </w:rPr>
        <w:t>ized its losses through the transaction.  However, the court held that Cottage Sa</w:t>
      </w:r>
      <w:r w:rsidRPr="00576ED7">
        <w:rPr>
          <w:szCs w:val="24"/>
        </w:rPr>
        <w:t>v</w:t>
      </w:r>
      <w:r w:rsidRPr="00576ED7">
        <w:rPr>
          <w:szCs w:val="24"/>
        </w:rPr>
        <w:t>ings was not entitled to a deduction because its losses were not “actually” su</w:t>
      </w:r>
      <w:r w:rsidRPr="00576ED7">
        <w:rPr>
          <w:szCs w:val="24"/>
        </w:rPr>
        <w:t>s</w:t>
      </w:r>
      <w:r w:rsidRPr="00576ED7">
        <w:rPr>
          <w:szCs w:val="24"/>
        </w:rPr>
        <w:t xml:space="preserve">tained during the 1980 tax year for purposes of 26 U.S.C. § 165(a). </w:t>
      </w:r>
    </w:p>
    <w:p w:rsidR="009279D4" w:rsidRPr="00576ED7" w:rsidRDefault="009279D4" w:rsidP="009A1BF0">
      <w:pPr>
        <w:widowControl w:val="0"/>
        <w:jc w:val="both"/>
        <w:rPr>
          <w:szCs w:val="24"/>
        </w:rPr>
      </w:pPr>
    </w:p>
    <w:p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w:t>
      </w:r>
      <w:r w:rsidRPr="00576ED7">
        <w:rPr>
          <w:szCs w:val="24"/>
        </w:rPr>
        <w:t>i</w:t>
      </w:r>
      <w:r w:rsidRPr="00576ED7">
        <w:rPr>
          <w:szCs w:val="24"/>
        </w:rPr>
        <w:t>ble tax losses, [footnote omitted] we granted certiorari.  We now reverse.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w:t>
      </w:r>
    </w:p>
    <w:p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taxpayer “realizes” the gain or loss.  The realization requirement is implicit in § 1001(a) of the Code, 26 U.S.C. § 1001(a), which defines “[t]he gain [or loss] from the sale or other disposition of property” as the difference between “the amount realized” from the sale or disp</w:t>
      </w:r>
      <w:r w:rsidRPr="00576ED7">
        <w:rPr>
          <w:szCs w:val="24"/>
        </w:rPr>
        <w:t>o</w:t>
      </w:r>
      <w:r w:rsidRPr="00576ED7">
        <w:rPr>
          <w:szCs w:val="24"/>
        </w:rPr>
        <w:t xml:space="preserve">sition of the property and its “adjusted basis.”  As this Court has recognized, the concept of realization is “founded on administrative convenience.”  </w:t>
      </w:r>
      <w:r w:rsidRPr="00576ED7">
        <w:rPr>
          <w:i/>
          <w:szCs w:val="24"/>
        </w:rPr>
        <w:t>Helvering v. Horst</w:t>
      </w:r>
      <w:r w:rsidRPr="00576ED7">
        <w:rPr>
          <w:szCs w:val="24"/>
        </w:rPr>
        <w:t>, 311 U.S. 112, 116 (1940).  Under an appreciation-based system of tax</w:t>
      </w:r>
      <w:r w:rsidRPr="00576ED7">
        <w:rPr>
          <w:szCs w:val="24"/>
        </w:rPr>
        <w:t>a</w:t>
      </w:r>
      <w:r w:rsidRPr="00576ED7">
        <w:rPr>
          <w:szCs w:val="24"/>
        </w:rPr>
        <w:t>tion, taxpayers and the Commissioner would have to undertake the “cumbersome, abrasive, and unpredictable administrative task” of valuing assets on an annual basis to determine whether the assets had appreciated or depreciated in value.  [c</w:t>
      </w:r>
      <w:r w:rsidRPr="00576ED7">
        <w:rPr>
          <w:szCs w:val="24"/>
        </w:rPr>
        <w:t>i</w:t>
      </w:r>
      <w:r w:rsidRPr="00576ED7">
        <w:rPr>
          <w:szCs w:val="24"/>
        </w:rPr>
        <w:t xml:space="preserve">tation omitted].  In contrast, “[a] change in the form or extent of an investment is easily detected by a taxpayer 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1001(a)’s language provides a straightforward test for realization: to rea</w:t>
      </w:r>
      <w:r w:rsidRPr="00576ED7">
        <w:rPr>
          <w:szCs w:val="24"/>
        </w:rPr>
        <w:t>l</w:t>
      </w:r>
      <w:r w:rsidRPr="00576ED7">
        <w:rPr>
          <w:szCs w:val="24"/>
        </w:rPr>
        <w:t xml:space="preserve">ize a gain or loss in the value of property, the taxpayer must engage in a “sale or </w:t>
      </w:r>
      <w:r w:rsidRPr="00576ED7">
        <w:rPr>
          <w:szCs w:val="24"/>
        </w:rPr>
        <w:lastRenderedPageBreak/>
        <w:t>other disposition of [the] property.”  The parties agree that the exchange of parti</w:t>
      </w:r>
      <w:r w:rsidRPr="00576ED7">
        <w:rPr>
          <w:szCs w:val="24"/>
        </w:rPr>
        <w:t>c</w:t>
      </w:r>
      <w:r w:rsidRPr="00576ED7">
        <w:rPr>
          <w:szCs w:val="24"/>
        </w:rPr>
        <w:t>ipation interests in this case cannot be characterized as a “sale” under § 1001(a); the issue before us is whether the transaction constitutes a “disposition of prope</w:t>
      </w:r>
      <w:r w:rsidRPr="00576ED7">
        <w:rPr>
          <w:szCs w:val="24"/>
        </w:rPr>
        <w:t>r</w:t>
      </w:r>
      <w:r w:rsidRPr="00576ED7">
        <w:rPr>
          <w:szCs w:val="24"/>
        </w:rPr>
        <w:t>ty.”  The Commissioner argues that an exchange of property can be treated as a “disposition” under § 1001(a) only if the properties exchanged are materially di</w:t>
      </w:r>
      <w:r w:rsidRPr="00576ED7">
        <w:rPr>
          <w:szCs w:val="24"/>
        </w:rPr>
        <w:t>f</w:t>
      </w:r>
      <w:r w:rsidRPr="00576ED7">
        <w:rPr>
          <w:szCs w:val="24"/>
        </w:rPr>
        <w:t>ferent.  The Commissioner further submits that, because the underlying mortgages were essentially economic substitutes, the participation interests exchanged by Cottage Savings were not materially different from those received from the other S &amp; L’s.  Cottage Savings, on the other hand, maintains that any exchange of property is a “disposition of property” under § 1001(a), regardless of whether the property exchanged is materially different.  Alternatively, Cottage Savings co</w:t>
      </w:r>
      <w:r w:rsidRPr="00576ED7">
        <w:rPr>
          <w:szCs w:val="24"/>
        </w:rPr>
        <w:t>n</w:t>
      </w:r>
      <w:r w:rsidRPr="00576ED7">
        <w:rPr>
          <w:szCs w:val="24"/>
        </w:rPr>
        <w:t>tends that the participation interests exchanged were materially different because the underlying loans were secured by different properties.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must therefore determine whether the realization principle in § 1001(a) inco</w:t>
      </w:r>
      <w:r w:rsidRPr="00576ED7">
        <w:rPr>
          <w:szCs w:val="24"/>
        </w:rPr>
        <w:t>r</w:t>
      </w:r>
      <w:r w:rsidRPr="00576ED7">
        <w:rPr>
          <w:szCs w:val="24"/>
        </w:rPr>
        <w:t>porates a “material difference” requirement.  If it does, we must further decide what that requirement amounts to and how it applies in this case.  We consider these questions in turn.</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A</w:t>
      </w:r>
    </w:p>
    <w:p w:rsidR="0049128E" w:rsidRPr="00576ED7" w:rsidRDefault="0049128E" w:rsidP="009A1BF0">
      <w:pPr>
        <w:widowControl w:val="0"/>
        <w:jc w:val="both"/>
        <w:rPr>
          <w:szCs w:val="24"/>
        </w:rPr>
      </w:pPr>
      <w:r w:rsidRPr="00576ED7">
        <w:rPr>
          <w:szCs w:val="24"/>
        </w:rPr>
        <w:t>Neither the language nor the history of the Code indicates whether and to what extent property exchanged must differ to count as a “disposition of property” u</w:t>
      </w:r>
      <w:r w:rsidRPr="00576ED7">
        <w:rPr>
          <w:szCs w:val="24"/>
        </w:rPr>
        <w:t>n</w:t>
      </w:r>
      <w:r w:rsidRPr="00576ED7">
        <w:rPr>
          <w:szCs w:val="24"/>
        </w:rPr>
        <w:t>der § 1001(a).  Nonetheless, we readily agree with the Commissioner that an e</w:t>
      </w:r>
      <w:r w:rsidRPr="00576ED7">
        <w:rPr>
          <w:szCs w:val="24"/>
        </w:rPr>
        <w:t>x</w:t>
      </w:r>
      <w:r w:rsidRPr="00576ED7">
        <w:rPr>
          <w:szCs w:val="24"/>
        </w:rPr>
        <w:t>change of property gives rise to a realization event under § 1001(a) only if the properties exchanged are “materially different.”  The Commissioner himself has, by regulation, construed § 1001(a) to embody a material difference requirement:</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“Except as otherwise provided ... the gain or loss realized from the co</w:t>
      </w:r>
      <w:r w:rsidRPr="00576ED7">
        <w:rPr>
          <w:szCs w:val="24"/>
        </w:rPr>
        <w:t>n</w:t>
      </w:r>
      <w:r w:rsidRPr="00576ED7">
        <w:rPr>
          <w:szCs w:val="24"/>
        </w:rPr>
        <w:t xml:space="preserve">version of property into cash, </w:t>
      </w:r>
      <w:r w:rsidRPr="00576ED7">
        <w:rPr>
          <w:i/>
          <w:szCs w:val="24"/>
        </w:rPr>
        <w:t>or from the exchange of property for other property differing materially either in kind or in extent</w:t>
      </w:r>
      <w:r w:rsidRPr="00576ED7">
        <w:rPr>
          <w:szCs w:val="24"/>
        </w:rPr>
        <w:t>, is treated as i</w:t>
      </w:r>
      <w:r w:rsidRPr="00576ED7">
        <w:rPr>
          <w:szCs w:val="24"/>
        </w:rPr>
        <w:t>n</w:t>
      </w:r>
      <w:r w:rsidRPr="00576ED7">
        <w:rPr>
          <w:szCs w:val="24"/>
        </w:rPr>
        <w:t>come or as loss sustained.”</w:t>
      </w:r>
      <w:r w:rsidR="00D47D41">
        <w:rPr>
          <w:szCs w:val="24"/>
        </w:rPr>
        <w:t xml:space="preserve">  </w:t>
      </w:r>
      <w:r w:rsidRPr="00576ED7">
        <w:rPr>
          <w:szCs w:val="24"/>
        </w:rPr>
        <w:t>Treas.</w:t>
      </w:r>
      <w:r w:rsidR="008179F6" w:rsidRPr="00576ED7">
        <w:rPr>
          <w:szCs w:val="24"/>
        </w:rPr>
        <w:t xml:space="preserve"> </w:t>
      </w:r>
      <w:r w:rsidRPr="00576ED7">
        <w:rPr>
          <w:szCs w:val="24"/>
        </w:rPr>
        <w:t>Reg. § 1.1001-1, 26 CFR § 1.1001-1 (1990) (emphasis added).</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 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We conclude that Treasury Regulation § 1.1001-1 is a reasonable interpretation of § 1001(a).  Congress first employed the language that now comprises § 1001(a) of the Code in § 202(a) of the Revenue Act of 1924, ch. 234, 43 Stat. 253; that la</w:t>
      </w:r>
      <w:r w:rsidRPr="00576ED7">
        <w:rPr>
          <w:szCs w:val="24"/>
        </w:rPr>
        <w:t>n</w:t>
      </w:r>
      <w:r w:rsidRPr="00576ED7">
        <w:rPr>
          <w:szCs w:val="24"/>
        </w:rPr>
        <w:t>guage has remained essentially unchanged through various reenactments.  [foo</w:t>
      </w:r>
      <w:r w:rsidRPr="00576ED7">
        <w:rPr>
          <w:szCs w:val="24"/>
        </w:rPr>
        <w:t>t</w:t>
      </w:r>
      <w:r w:rsidRPr="00576ED7">
        <w:rPr>
          <w:szCs w:val="24"/>
        </w:rPr>
        <w:t>note omitted] And since 1934, the Commissioner has construed the statutory term “disposition of property” to include a “material difference” requirement.  [foo</w:t>
      </w:r>
      <w:r w:rsidRPr="00576ED7">
        <w:rPr>
          <w:szCs w:val="24"/>
        </w:rPr>
        <w:t>t</w:t>
      </w:r>
      <w:r w:rsidRPr="00576ED7">
        <w:rPr>
          <w:szCs w:val="24"/>
        </w:rPr>
        <w:t>note omitted] As we have recognized,</w:t>
      </w:r>
      <w:r w:rsidR="00D47D41">
        <w:rPr>
          <w:szCs w:val="24"/>
        </w:rPr>
        <w:t xml:space="preserve"> </w:t>
      </w:r>
      <w:r w:rsidRPr="00576ED7">
        <w:rPr>
          <w:szCs w:val="24"/>
        </w:rPr>
        <w:t>“‘Treasury regulations and interpretations long continued without substantial change, applying to unamended or substantia</w:t>
      </w:r>
      <w:r w:rsidRPr="00576ED7">
        <w:rPr>
          <w:szCs w:val="24"/>
        </w:rPr>
        <w:t>l</w:t>
      </w:r>
      <w:r w:rsidRPr="00576ED7">
        <w:rPr>
          <w:szCs w:val="24"/>
        </w:rPr>
        <w:t>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Treasury Regulation § 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252 U.S. 189, 207-212 (1920) (recognizing realization requir</w:t>
      </w:r>
      <w:r w:rsidRPr="00576ED7">
        <w:rPr>
          <w:szCs w:val="24"/>
        </w:rPr>
        <w:t>e</w:t>
      </w:r>
      <w:r w:rsidRPr="00576ED7">
        <w:rPr>
          <w:szCs w:val="24"/>
        </w:rPr>
        <w:t>ment).  Because these decisions were part of the “contemporary legal context” in which Congress enacted § 202(a) of the 1924 Act, [citation omitted], and because Congress has left undisturbed through subsequent reenactments of the Code the principles of realization established in these cases, we may presume that Congress intended to codify these principles in § 1001(a) [citations omitted].  The Commi</w:t>
      </w:r>
      <w:r w:rsidRPr="00576ED7">
        <w:rPr>
          <w:szCs w:val="24"/>
        </w:rPr>
        <w:t>s</w:t>
      </w:r>
      <w:r w:rsidRPr="00576ED7">
        <w:rPr>
          <w:szCs w:val="24"/>
        </w:rPr>
        <w:t>sioner’s construction of the statutory language to incorporate these principles ce</w:t>
      </w:r>
      <w:r w:rsidRPr="00576ED7">
        <w:rPr>
          <w:szCs w:val="24"/>
        </w:rPr>
        <w:t>r</w:t>
      </w:r>
      <w:r w:rsidRPr="00576ED7">
        <w:rPr>
          <w:szCs w:val="24"/>
        </w:rPr>
        <w:t>tainly was reasonable.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w:t>
      </w:r>
    </w:p>
    <w:p w:rsidR="0049128E" w:rsidRPr="00576ED7" w:rsidRDefault="0049128E" w:rsidP="009A1BF0">
      <w:pPr>
        <w:widowControl w:val="0"/>
        <w:jc w:val="both"/>
        <w:rPr>
          <w:szCs w:val="24"/>
        </w:rPr>
      </w:pPr>
      <w:r w:rsidRPr="00576ED7">
        <w:rPr>
          <w:szCs w:val="24"/>
        </w:rPr>
        <w:t>Precisely what constitutes a “material difference” for purposes of § 1001(a) of the Code is a more complicated question.  The Commissioner argues that properties are “materially different” only if they differ in economic substance.  To determine whether the participation interests exchanged in this case were “materially diffe</w:t>
      </w:r>
      <w:r w:rsidRPr="00576ED7">
        <w:rPr>
          <w:szCs w:val="24"/>
        </w:rPr>
        <w:t>r</w:t>
      </w:r>
      <w:r w:rsidRPr="00576ED7">
        <w:rPr>
          <w:szCs w:val="24"/>
        </w:rPr>
        <w:t>ent” in this sense, the Commissioner argues, we should look to the attitudes of the parties, the evaluation of the interests by the secondary mortgage market, and the views of the FHLBB.  We conclude that § 1001(a) embodies a much less deman</w:t>
      </w:r>
      <w:r w:rsidRPr="00576ED7">
        <w:rPr>
          <w:szCs w:val="24"/>
        </w:rPr>
        <w:t>d</w:t>
      </w:r>
      <w:r w:rsidRPr="00576ED7">
        <w:rPr>
          <w:szCs w:val="24"/>
        </w:rPr>
        <w:t>ing and less complex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Unlike the question whether § 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w:t>
      </w:r>
      <w:r w:rsidRPr="00576ED7">
        <w:rPr>
          <w:szCs w:val="24"/>
        </w:rPr>
        <w:lastRenderedPageBreak/>
        <w:t>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 1001(a).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a taxpayer who owned 2,200 shares of stock in a company received another 1,100 shares from the company as part of a pro rata stock dividend meant to reflect the company’s growth in value.  At issue was whether the stock div</w:t>
      </w:r>
      <w:r w:rsidRPr="00576ED7">
        <w:rPr>
          <w:szCs w:val="24"/>
        </w:rPr>
        <w:t>i</w:t>
      </w:r>
      <w:r w:rsidRPr="00576ED7">
        <w:rPr>
          <w:szCs w:val="24"/>
        </w:rPr>
        <w:t xml:space="preserve">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’s conception of realization in the context of property exchanges.  In each case, the taxpayer owned stock that had appreciated in value since its acquisition.  And in each case, the corporation in which the taxpayer held stock had reorganized into a new co</w:t>
      </w:r>
      <w:r w:rsidRPr="00576ED7">
        <w:rPr>
          <w:szCs w:val="24"/>
        </w:rPr>
        <w:t>r</w:t>
      </w:r>
      <w:r w:rsidRPr="00576ED7">
        <w:rPr>
          <w:szCs w:val="24"/>
        </w:rPr>
        <w:t xml:space="preserve">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w:t>
      </w:r>
      <w:r w:rsidRPr="00576ED7">
        <w:rPr>
          <w:szCs w:val="24"/>
        </w:rPr>
        <w:t>k</w:t>
      </w:r>
      <w:r w:rsidRPr="00576ED7">
        <w:rPr>
          <w:szCs w:val="24"/>
        </w:rPr>
        <w:t>holders of the old corporation received shares in the new corporation equal to their proportional interest in the old corporation.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in these cases was whether the taxpayers realized the accumulated gain in their shares in the old corporation when they received in return for those shares stock representing an equivalent proportional interest in the new corpor</w:t>
      </w:r>
      <w:r w:rsidRPr="00576ED7">
        <w:rPr>
          <w:szCs w:val="24"/>
        </w:rPr>
        <w:t>a</w:t>
      </w:r>
      <w:r w:rsidRPr="00576ED7">
        <w:rPr>
          <w:szCs w:val="24"/>
        </w:rPr>
        <w:t xml:space="preserve">tions.  In </w:t>
      </w:r>
      <w:r w:rsidRPr="00576ED7">
        <w:rPr>
          <w:i/>
          <w:szCs w:val="24"/>
        </w:rPr>
        <w:t>Phellis</w:t>
      </w:r>
      <w:r w:rsidRPr="00576ED7">
        <w:rPr>
          <w:szCs w:val="24"/>
        </w:rPr>
        <w:t xml:space="preserve"> and </w:t>
      </w:r>
      <w:r w:rsidRPr="00576ED7">
        <w:rPr>
          <w:i/>
          <w:szCs w:val="24"/>
        </w:rPr>
        <w:t>Marr</w:t>
      </w:r>
      <w:r w:rsidRPr="00576ED7">
        <w:rPr>
          <w:szCs w:val="24"/>
        </w:rPr>
        <w:t xml:space="preserve">, we held that the transactions were realization events.  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(using phrase “e</w:t>
      </w:r>
      <w:r w:rsidRPr="00576ED7">
        <w:rPr>
          <w:szCs w:val="24"/>
        </w:rPr>
        <w:t>s</w:t>
      </w:r>
      <w:r w:rsidRPr="00576ED7">
        <w:rPr>
          <w:szCs w:val="24"/>
        </w:rPr>
        <w:t xml:space="preserve">sentially different”).  In contrast, we held that no realization occurred in </w:t>
      </w:r>
      <w:r w:rsidRPr="00576ED7">
        <w:rPr>
          <w:i/>
          <w:szCs w:val="24"/>
        </w:rPr>
        <w:t>Weiss</w:t>
      </w:r>
      <w:r w:rsidRPr="00576ED7">
        <w:rPr>
          <w:szCs w:val="24"/>
        </w:rPr>
        <w:t xml:space="preserve">.  </w:t>
      </w:r>
      <w:r w:rsidRPr="00576ED7">
        <w:rPr>
          <w:szCs w:val="24"/>
        </w:rPr>
        <w:lastRenderedPageBreak/>
        <w:t>By exchanging stock in the predecessor corporation for stock in the newly reo</w:t>
      </w:r>
      <w:r w:rsidRPr="00576ED7">
        <w:rPr>
          <w:szCs w:val="24"/>
        </w:rPr>
        <w:t>r</w:t>
      </w:r>
      <w:r w:rsidRPr="00576ED7">
        <w:rPr>
          <w:szCs w:val="24"/>
        </w:rPr>
        <w:t xml:space="preserve">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w:t>
      </w:r>
      <w:r w:rsidRPr="00576ED7">
        <w:rPr>
          <w:szCs w:val="24"/>
        </w:rPr>
        <w:t>s</w:t>
      </w:r>
      <w:r w:rsidRPr="00576ED7">
        <w:rPr>
          <w:szCs w:val="24"/>
        </w:rPr>
        <w:t>sor corporations materially different from the stock in the predecessors was mi</w:t>
      </w:r>
      <w:r w:rsidRPr="00576ED7">
        <w:rPr>
          <w:szCs w:val="24"/>
        </w:rPr>
        <w:t>n</w:t>
      </w:r>
      <w:r w:rsidRPr="00576ED7">
        <w:rPr>
          <w:szCs w:val="24"/>
        </w:rPr>
        <w:t>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w:t>
      </w:r>
      <w:r w:rsidRPr="00576ED7">
        <w:rPr>
          <w:szCs w:val="24"/>
        </w:rPr>
        <w:t>r</w:t>
      </w:r>
      <w:r w:rsidRPr="00576ED7">
        <w:rPr>
          <w:szCs w:val="24"/>
        </w:rPr>
        <w:t>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w:t>
      </w:r>
      <w:r w:rsidRPr="00576ED7">
        <w:rPr>
          <w:szCs w:val="24"/>
        </w:rPr>
        <w:t>a</w:t>
      </w:r>
      <w:r w:rsidRPr="00576ED7">
        <w:rPr>
          <w:szCs w:val="24"/>
        </w:rPr>
        <w:t xml:space="preserve">tion.”  </w:t>
      </w:r>
      <w:r w:rsidRPr="00576ED7">
        <w:rPr>
          <w:i/>
          <w:szCs w:val="24"/>
        </w:rPr>
        <w:t>Marr v. United States</w:t>
      </w:r>
      <w:r w:rsidRPr="00576ED7">
        <w:rPr>
          <w:szCs w:val="24"/>
        </w:rPr>
        <w:t>, 268 U.S. at 540.  However, they are materially di</w:t>
      </w:r>
      <w:r w:rsidRPr="00576ED7">
        <w:rPr>
          <w:szCs w:val="24"/>
        </w:rPr>
        <w:t>f</w:t>
      </w:r>
      <w:r w:rsidRPr="00576ED7">
        <w:rPr>
          <w:szCs w:val="24"/>
        </w:rPr>
        <w:t xml:space="preserve">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 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w:t>
      </w:r>
      <w:r w:rsidRPr="00576ED7">
        <w:rPr>
          <w:szCs w:val="24"/>
        </w:rPr>
        <w:t>r</w:t>
      </w:r>
      <w:r w:rsidRPr="00576ED7">
        <w:rPr>
          <w:szCs w:val="24"/>
        </w:rPr>
        <w:t>ties must satisfy such a subjective test to trigger realization of a gain or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underlies the realization requirement.  In order to apply the Commissioner’s test in a principled fashion, the Commissioner and the taxpayer must identify the relevant market, establish whether there is a regulatory agency whose views should be taken into account, and then assess how the rel</w:t>
      </w:r>
      <w:r w:rsidRPr="00576ED7">
        <w:rPr>
          <w:szCs w:val="24"/>
        </w:rPr>
        <w:t>e</w:t>
      </w:r>
      <w:r w:rsidRPr="00576ED7">
        <w:rPr>
          <w:szCs w:val="24"/>
        </w:rPr>
        <w:lastRenderedPageBreak/>
        <w:t>vant market participants and the agency would view the transaction.  The Co</w:t>
      </w:r>
      <w:r w:rsidRPr="00576ED7">
        <w:rPr>
          <w:szCs w:val="24"/>
        </w:rPr>
        <w:t>m</w:t>
      </w:r>
      <w:r w:rsidRPr="00576ED7">
        <w:rPr>
          <w:szCs w:val="24"/>
        </w:rPr>
        <w:t>missioner’s failure to explain how these inquiries should be conducted further calls into question the workability of his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the Commissioner’s test is incompatible with the structure of the Code.  Section 1001(c) ... provides that a gain or loss realized under § 1001(a) “shall be recognized” unless one of the Code’s nonrecognition provisions applies.  One such nonrecognition provision withholds recognition of a gain or loss realized from an exchange of properties that would appear to be economic substitutes u</w:t>
      </w:r>
      <w:r w:rsidRPr="00576ED7">
        <w:rPr>
          <w:szCs w:val="24"/>
        </w:rPr>
        <w:t>n</w:t>
      </w:r>
      <w:r w:rsidRPr="00576ED7">
        <w:rPr>
          <w:szCs w:val="24"/>
        </w:rPr>
        <w:t>der the Commissioner’s material difference test.  This provision, commonly known as the “like kind” exception, withholds recognition of a gain or loss rea</w:t>
      </w:r>
      <w:r w:rsidRPr="00576ED7">
        <w:rPr>
          <w:szCs w:val="24"/>
        </w:rPr>
        <w:t>l</w:t>
      </w:r>
      <w:r w:rsidRPr="00576ED7">
        <w:rPr>
          <w:szCs w:val="24"/>
        </w:rPr>
        <w:t>ized</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D47D41">
        <w:rPr>
          <w:szCs w:val="24"/>
        </w:rPr>
        <w:t xml:space="preserve">  </w:t>
      </w:r>
      <w:r w:rsidRPr="00576ED7">
        <w:rPr>
          <w:szCs w:val="24"/>
        </w:rPr>
        <w:t>26 U.S.C. § 1031(a)(1).</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If Congress had expected that exchanges of similar properties would not count as realization events under § 1001(a), it would have had no reason to bar recognition of a gain or loss realized from these transactions.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w:t>
      </w:r>
    </w:p>
    <w:p w:rsidR="0049128E" w:rsidRPr="00576ED7" w:rsidRDefault="0049128E" w:rsidP="009A1BF0">
      <w:pPr>
        <w:widowControl w:val="0"/>
        <w:jc w:val="both"/>
        <w:rPr>
          <w:szCs w:val="24"/>
        </w:rPr>
      </w:pPr>
      <w:r w:rsidRPr="00576ED7">
        <w:rPr>
          <w:szCs w:val="24"/>
        </w:rPr>
        <w:t>Under our interpretation of § 1001(a), an exchange of property gives rise to a rea</w:t>
      </w:r>
      <w:r w:rsidRPr="00576ED7">
        <w:rPr>
          <w:szCs w:val="24"/>
        </w:rPr>
        <w:t>l</w:t>
      </w:r>
      <w:r w:rsidRPr="00576ED7">
        <w:rPr>
          <w:szCs w:val="24"/>
        </w:rPr>
        <w:t>ization event so long as the exchanged properties are “materially different” – that is, so long as they embody legally distinct entitlements.  Cottage Savings’ transa</w:t>
      </w:r>
      <w:r w:rsidRPr="00576ED7">
        <w:rPr>
          <w:szCs w:val="24"/>
        </w:rPr>
        <w:t>c</w:t>
      </w:r>
      <w:r w:rsidRPr="00576ED7">
        <w:rPr>
          <w:szCs w:val="24"/>
        </w:rPr>
        <w:t>tions at issue here easily satisfy this test. Because the participation interests e</w:t>
      </w:r>
      <w:r w:rsidRPr="00576ED7">
        <w:rPr>
          <w:szCs w:val="24"/>
        </w:rPr>
        <w:t>x</w:t>
      </w:r>
      <w:r w:rsidRPr="00576ED7">
        <w:rPr>
          <w:szCs w:val="24"/>
        </w:rPr>
        <w:t>changed by Cottage Savings and the other S &amp; L’s derived from loans that were made to different obligors and secured by different homes, the exchanged inte</w:t>
      </w:r>
      <w:r w:rsidRPr="00576ED7">
        <w:rPr>
          <w:szCs w:val="24"/>
        </w:rPr>
        <w:t>r</w:t>
      </w:r>
      <w:r w:rsidRPr="00576ED7">
        <w:rPr>
          <w:szCs w:val="24"/>
        </w:rPr>
        <w:t>ests did embody legally distinct entitlements.  Consequently, we conclude that Cottage Savings realized its losses at the point of the exchange.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FHLBB as “materially different.”  The anomaly, however, is merely semantic; mortgages can be substantially identical for Mem</w:t>
      </w:r>
      <w:r w:rsidRPr="00576ED7">
        <w:rPr>
          <w:szCs w:val="24"/>
        </w:rPr>
        <w:t>o</w:t>
      </w:r>
      <w:r w:rsidRPr="00576ED7">
        <w:rPr>
          <w:szCs w:val="24"/>
        </w:rPr>
        <w:t>randum R-49 purposes and still exhibit “differences” that are “material” for pu</w:t>
      </w:r>
      <w:r w:rsidRPr="00576ED7">
        <w:rPr>
          <w:szCs w:val="24"/>
        </w:rPr>
        <w:t>r</w:t>
      </w:r>
      <w:r w:rsidRPr="00576ED7">
        <w:rPr>
          <w:szCs w:val="24"/>
        </w:rPr>
        <w:t>poses of the Internal Revenue Code.  Because Cottage Savings received entitl</w:t>
      </w:r>
      <w:r w:rsidRPr="00576ED7">
        <w:rPr>
          <w:szCs w:val="24"/>
        </w:rPr>
        <w:t>e</w:t>
      </w:r>
      <w:r w:rsidRPr="00576ED7">
        <w:rPr>
          <w:szCs w:val="24"/>
        </w:rPr>
        <w:t xml:space="preserve">ments different from those it gave up, the exchange put both Cottage Savings and the Commissioner in a position to determine the change in the value of Cottage </w:t>
      </w:r>
      <w:r w:rsidRPr="00576ED7">
        <w:rPr>
          <w:szCs w:val="24"/>
        </w:rPr>
        <w:lastRenderedPageBreak/>
        <w:t>Savings’ mortgages relative to their tax bases.  Thus, there is no reason not to treat the exchange of these interests as a realization event, regardless of the status of the mortgages under the criteria of Memorandum R-49.</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w:t>
      </w:r>
    </w:p>
    <w:p w:rsidR="0049128E" w:rsidRPr="00576ED7" w:rsidRDefault="0049128E" w:rsidP="009A1BF0">
      <w:pPr>
        <w:widowControl w:val="0"/>
        <w:jc w:val="both"/>
        <w:rPr>
          <w:szCs w:val="24"/>
        </w:rPr>
      </w:pPr>
      <w:r w:rsidRPr="00576ED7">
        <w:rPr>
          <w:szCs w:val="24"/>
        </w:rPr>
        <w:t xml:space="preserve">Although the Court of Appeals found that Cottage Savings’ losses were realized, it disallowed them on the ground that they were not sustained under § 165(a) of the Code, 26 U.S.C. § 165(a).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Commissioner offers a minimal defense of the Court of Appeals’ conclusion.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view of the Commissioner’s failure to advance any other arguments in su</w:t>
      </w:r>
      <w:r w:rsidRPr="00576ED7">
        <w:rPr>
          <w:szCs w:val="24"/>
        </w:rPr>
        <w:t>p</w:t>
      </w:r>
      <w:r w:rsidRPr="00576ED7">
        <w:rPr>
          <w:szCs w:val="24"/>
        </w:rPr>
        <w:t>port of the Court of Appeals’ ruling with respect to § 165(a), we conclude that, for purposes of this case, Cottage Savings sustained its losses within the meaning of § 165(a).</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IV</w:t>
      </w:r>
    </w:p>
    <w:p w:rsidR="0049128E" w:rsidRPr="00576ED7" w:rsidRDefault="009359AF" w:rsidP="009A1BF0">
      <w:pPr>
        <w:widowControl w:val="0"/>
        <w:jc w:val="both"/>
        <w:rPr>
          <w:szCs w:val="24"/>
        </w:rPr>
      </w:pPr>
      <w:r w:rsidRPr="00576ED7">
        <w:rPr>
          <w:noProof/>
          <w:szCs w:val="24"/>
        </w:rPr>
        <mc:AlternateContent>
          <mc:Choice Requires="wps">
            <w:drawing>
              <wp:anchor distT="152400" distB="152400" distL="152400" distR="152400" simplePos="0" relativeHeight="251652096" behindDoc="0" locked="0" layoutInCell="0" allowOverlap="1" wp14:anchorId="2A401011" wp14:editId="76B52C7F">
                <wp:simplePos x="0" y="0"/>
                <wp:positionH relativeFrom="margin">
                  <wp:posOffset>2401570</wp:posOffset>
                </wp:positionH>
                <wp:positionV relativeFrom="paragraph">
                  <wp:posOffset>100965</wp:posOffset>
                </wp:positionV>
                <wp:extent cx="3257550" cy="2385695"/>
                <wp:effectExtent l="0" t="0" r="19050" b="14605"/>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5695"/>
                        </a:xfrm>
                        <a:prstGeom prst="rect">
                          <a:avLst/>
                        </a:prstGeom>
                        <a:solidFill>
                          <a:srgbClr val="FFFFFF"/>
                        </a:solidFill>
                        <a:ln w="12192">
                          <a:solidFill>
                            <a:srgbClr val="000000"/>
                          </a:solidFill>
                          <a:miter lim="800000"/>
                          <a:headEnd/>
                          <a:tailEnd/>
                        </a:ln>
                      </wps:spPr>
                      <wps:txbx>
                        <w:txbxContent>
                          <w:p w:rsidR="00FF5E72" w:rsidRDefault="00FF5E72"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FF5E72" w:rsidRDefault="00FF5E72"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189.1pt;margin-top:7.95pt;width:256.5pt;height:187.85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JGKwIAAFwEAAAOAAAAZHJzL2Uyb0RvYy54bWysVNuO2yAQfa/Uf0C8N06cJpu14qy22aaq&#10;tL1Iu/0AjLGNCgwFEjv9+g44m01vL1X9gBgYzpw5M+P1zaAVOQjnJZiSziZTSoThUEvTlvTL4+7V&#10;ihIfmKmZAiNKehSe3mxevlj3thA5dKBq4QiCGF/0tqRdCLbIMs87oZmfgBUGLxtwmgU0XZvVjvWI&#10;rlWWT6fLrAdXWwdceI+nd+Ml3ST8phE8fGoaLwJRJUVuIa0urVVcs82aFa1jtpP8RIP9AwvNpMGg&#10;Z6g7FhjZO/kblJbcgYcmTDjoDJpGcpFywGxm01+yeeiYFSkXFMfbs0z+/8Hyj4fPjsi6pKucEsM0&#10;1uhRDIG8gYHMl1Gf3voC3R4sOoYBz7HOKVdv74F/9cTAtmOmFbfOQd8JViO/WXyZXTwdcXwEqfoP&#10;UGMctg+QgIbG6SgeykEQHet0PNcmcuF4OM8XV4sFXnG8y+erxfJ6kWKw4um5dT68E6BJ3JTUYfET&#10;PDvc+xDpsOLJJUbzoGS9k0olw7XVVjlyYNgou/Sd0H9yU4b0mFw+u85HCf6KMU3fnzC0DNjySmrU&#10;/OzEiijcW1OnhgxMqnGPnJU5KRnFG2UMQzWkos1fxwhR5grqI2rrYGxxHEncdOC+U9Jje5fUf9sz&#10;JyhR7w3W52qJ04PzcGm4S6O6NJjhCFXSQMm43YZxhvbWybbDSGNHGLjFmjYyqf3M6sQfWzgV4TRu&#10;cUYu7eT1/FPY/AAAAP//AwBQSwMEFAAGAAgAAAAhAIavcKzcAAAACgEAAA8AAABkcnMvZG93bnJl&#10;di54bWxMj8FOhDAQhu8mvkMzJt7cAsYVWMrGkHhfUKPHLh2BLJ0i7S749o4nPc58f/75ptivdhQX&#10;nP3gSEG8iUAgtc4M1Cl4fXm+S0H4oMno0REq+EYP+/L6qtC5cQvVeGlCJ7iEfK4V9CFMuZS+7dFq&#10;v3ETErNPN1sdeJw7aWa9cLkdZRJFW2n1QHyh1xNWPban5mwVuLqu3pLm6/BeLabqlsMapo9eqdub&#10;9WkHIuAa/sLwq8/qULLT0Z3JeDEquH9ME44yeMhAcCDNYl4cmWTxFmRZyP8vlD8AAAD//wMAUEsB&#10;Ai0AFAAGAAgAAAAhALaDOJL+AAAA4QEAABMAAAAAAAAAAAAAAAAAAAAAAFtDb250ZW50X1R5cGVz&#10;XS54bWxQSwECLQAUAAYACAAAACEAOP0h/9YAAACUAQAACwAAAAAAAAAAAAAAAAAvAQAAX3JlbHMv&#10;LnJlbHNQSwECLQAUAAYACAAAACEA9zNyRisCAABcBAAADgAAAAAAAAAAAAAAAAAuAgAAZHJzL2Uy&#10;b0RvYy54bWxQSwECLQAUAAYACAAAACEAhq9wrNwAAAAKAQAADwAAAAAAAAAAAAAAAACFBAAAZHJz&#10;L2Rvd25yZXYueG1sUEsFBgAAAAAEAAQA8wAAAI4FAAAAAA==&#10;" o:allowincell="f" strokeweight=".96pt">
                <v:textbox inset="6pt,6pt,6pt,6pt">
                  <w:txbxContent>
                    <w:p w:rsidR="00FF5E72" w:rsidRDefault="00FF5E72" w:rsidP="00466310">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w:t>
                      </w:r>
                      <w:r>
                        <w:rPr>
                          <w:rFonts w:ascii="Tw Cen MT" w:hAnsi="Tw Cen MT"/>
                        </w:rPr>
                        <w:t>x</w:t>
                      </w:r>
                      <w:r>
                        <w:rPr>
                          <w:rFonts w:ascii="Tw Cen MT" w:hAnsi="Tw Cen MT"/>
                        </w:rPr>
                        <w:t>pense of all other taxpayers who must “pick up the slack.”</w:t>
                      </w:r>
                    </w:p>
                    <w:p w:rsidR="00FF5E72" w:rsidRDefault="00FF5E72" w:rsidP="00466310">
                      <w:pPr>
                        <w:widowControl w:val="0"/>
                        <w:jc w:val="both"/>
                        <w:rPr>
                          <w:rFonts w:ascii="Tw Cen MT" w:hAnsi="Tw Cen MT"/>
                        </w:rPr>
                      </w:pPr>
                      <w:r>
                        <w:rPr>
                          <w:rFonts w:ascii="Tw Cen MT" w:hAnsi="Tw Cen MT"/>
                        </w:rPr>
                        <w:t>•Income tax rules often require taxpayers to mai</w:t>
                      </w:r>
                      <w:r>
                        <w:rPr>
                          <w:rFonts w:ascii="Tw Cen MT" w:hAnsi="Tw Cen MT"/>
                        </w:rPr>
                        <w:t>n</w:t>
                      </w:r>
                      <w:r>
                        <w:rPr>
                          <w:rFonts w:ascii="Tw Cen MT" w:hAnsi="Tw Cen MT"/>
                        </w:rPr>
                        <w:t>tain consistent positions with regard to financial accounting and tax accounting.  On the authority of the FHLBB – not Congress or the IRS – the sa</w:t>
                      </w:r>
                      <w:r>
                        <w:rPr>
                          <w:rFonts w:ascii="Tw Cen MT" w:hAnsi="Tw Cen MT"/>
                        </w:rPr>
                        <w:t>v</w:t>
                      </w:r>
                      <w:r>
                        <w:rPr>
                          <w:rFonts w:ascii="Tw Cen MT" w:hAnsi="Tw Cen MT"/>
                        </w:rPr>
                        <w:t>ings and loan associations could treat dud loans completely differently for financial accounting and tax accounting purposes.</w:t>
                      </w:r>
                    </w:p>
                  </w:txbxContent>
                </v:textbox>
                <w10:wrap type="square" side="largest" anchorx="margin"/>
              </v:shape>
            </w:pict>
          </mc:Fallback>
        </mc:AlternateContent>
      </w:r>
      <w:r w:rsidR="0049128E" w:rsidRPr="00576ED7">
        <w:rPr>
          <w:szCs w:val="24"/>
        </w:rPr>
        <w:t>For the reasons set forth above, the judgment of the Court of Appeals is reversed, and the case is remanded for further proceedings consistent with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So ordered.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BLACKMUN, with whom JUSTICE WHITE joins, co</w:t>
      </w:r>
      <w:r w:rsidRPr="00576ED7">
        <w:rPr>
          <w:szCs w:val="24"/>
        </w:rPr>
        <w:t>n</w:t>
      </w:r>
      <w:r w:rsidRPr="00576ED7">
        <w:rPr>
          <w:szCs w:val="24"/>
        </w:rPr>
        <w:t>curring in part and dissenting in part  –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As a practical matter, what was wrong with the Commissioner’s arguments?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What is the test of “realization” that the Court derived from </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3.  In considering its earlier constructions of the “realization” requirement (part IIB of the opinion) in </w:t>
      </w:r>
      <w:r w:rsidRPr="00576ED7">
        <w:rPr>
          <w:i/>
          <w:szCs w:val="24"/>
        </w:rPr>
        <w:t>Macomber</w:t>
      </w:r>
      <w:r w:rsidRPr="00576ED7">
        <w:rPr>
          <w:szCs w:val="24"/>
        </w:rPr>
        <w:t>/</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mentioned the Sixteenth Amendment.  Moreover, the Court stated in part IIB that administr</w:t>
      </w:r>
      <w:r w:rsidRPr="00576ED7">
        <w:rPr>
          <w:szCs w:val="24"/>
        </w:rPr>
        <w:t>a</w:t>
      </w:r>
      <w:r w:rsidRPr="00576ED7">
        <w:rPr>
          <w:szCs w:val="24"/>
        </w:rPr>
        <w:t>tive purposes underlie the “realization requirement.”  By this time – if not earlier – the Court had de-constitutionalized the “realization” requirement – a matter that is critical to the Subpart F rules governing U.S. taxation of foreign source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Court’s application of the realization requirement would seem to give ta</w:t>
      </w:r>
      <w:r w:rsidRPr="00576ED7">
        <w:rPr>
          <w:szCs w:val="24"/>
        </w:rPr>
        <w:t>x</w:t>
      </w:r>
      <w:r w:rsidRPr="00576ED7">
        <w:rPr>
          <w:szCs w:val="24"/>
        </w:rPr>
        <w:t>payers considerable control over the timing of tax gains and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10345">
      <w:pPr>
        <w:pStyle w:val="Heading3"/>
      </w:pPr>
      <w:bookmarkStart w:id="36" w:name="_Toc375132923"/>
      <w:r w:rsidRPr="00576ED7">
        <w:t>IV.  The Constitutional and Statutory Definitions of “Gross I</w:t>
      </w:r>
      <w:r w:rsidRPr="00576ED7">
        <w:t>n</w:t>
      </w:r>
      <w:r w:rsidRPr="00576ED7">
        <w:t>come:”</w:t>
      </w:r>
      <w:r w:rsidR="00910345">
        <w:t xml:space="preserve"> </w:t>
      </w:r>
      <w:r w:rsidRPr="00576ED7">
        <w:t>Dominion and Control</w:t>
      </w:r>
      <w:bookmarkEnd w:id="36"/>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rsidR="0049128E" w:rsidRPr="00576ED7" w:rsidRDefault="0049128E" w:rsidP="009A1BF0">
      <w:pPr>
        <w:widowControl w:val="0"/>
        <w:jc w:val="both"/>
        <w:rPr>
          <w:szCs w:val="24"/>
        </w:rPr>
      </w:pPr>
    </w:p>
    <w:p w:rsidR="0049128E" w:rsidRPr="00576ED7" w:rsidRDefault="00466310" w:rsidP="009A1BF0">
      <w:pPr>
        <w:widowControl w:val="0"/>
        <w:jc w:val="both"/>
        <w:rPr>
          <w:szCs w:val="24"/>
        </w:rPr>
      </w:pPr>
      <w:r w:rsidRPr="00576ED7">
        <w:rPr>
          <w:noProof/>
          <w:szCs w:val="24"/>
        </w:rPr>
        <mc:AlternateContent>
          <mc:Choice Requires="wps">
            <w:drawing>
              <wp:anchor distT="152400" distB="152400" distL="152400" distR="152400" simplePos="0" relativeHeight="251653120" behindDoc="0" locked="0" layoutInCell="0" allowOverlap="1" wp14:anchorId="1F78F98D" wp14:editId="7F0A61F9">
                <wp:simplePos x="0" y="0"/>
                <wp:positionH relativeFrom="margin">
                  <wp:posOffset>-405130</wp:posOffset>
                </wp:positionH>
                <wp:positionV relativeFrom="paragraph">
                  <wp:posOffset>861060</wp:posOffset>
                </wp:positionV>
                <wp:extent cx="6000750" cy="1397635"/>
                <wp:effectExtent l="0" t="0" r="19050" b="12065"/>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97635"/>
                        </a:xfrm>
                        <a:prstGeom prst="rect">
                          <a:avLst/>
                        </a:prstGeom>
                        <a:solidFill>
                          <a:srgbClr val="FFFFFF"/>
                        </a:solidFill>
                        <a:ln w="12192">
                          <a:solidFill>
                            <a:srgbClr val="000000"/>
                          </a:solidFill>
                          <a:miter lim="800000"/>
                          <a:headEnd/>
                          <a:tailEnd/>
                        </a:ln>
                      </wps:spPr>
                      <wps:txbx>
                        <w:txbxContent>
                          <w:p w:rsidR="00FF5E72" w:rsidRDefault="00FF5E72"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31.9pt;margin-top:67.8pt;width:472.5pt;height:110.0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xcKgIAAFwEAAAOAAAAZHJzL2Uyb0RvYy54bWysVNtu2zAMfR+wfxD0vthO0KQ14hRdugwD&#10;um5Auw+QZdkWJomapMTuvn6UnKbZ7WWYHwRRog4PD0mvr0etyEE4L8FUtJjllAjDoZGmq+iXx92b&#10;S0p8YKZhCoyo6JPw9Hrz+tV6sKWYQw+qEY4giPHlYCvah2DLLPO8F5r5GVhh8LIFp1lA03VZ49iA&#10;6Fpl8zxfZgO4xjrgwns8vZ0u6Sbht63g4VPbehGIqihyC2l1aa3jmm3WrOwcs73kRxrsH1hoJg0G&#10;PUHdssDI3snfoLTkDjy0YcZBZ9C2kouUA2ZT5L9k89AzK1IuKI63J5n8/4Pl94fPjsimopcFJYZp&#10;rNGjGAN5CyNZrKI+g/Uluj1YdAwjnmOdU67e3gH/6omBbc9MJ26cg6EXrEF+RXyZnT2dcHwEqYeP&#10;0GActg+QgMbW6SgeykEQHev0dKpN5MLxcJnn+eoCrzjeFYur1XJxkWKw8vm5dT68F6BJ3FTUYfET&#10;PDvc+RDpsPLZJUbzoGSzk0olw3X1VjlyYNgou/Qd0X9yU4YMGH5eXM0nCf6KgXTx+xOGlgFbXkmN&#10;mp+cWBmFe2ea1JCBSTXtkbMyRyWjeJOMYazHVLRJgyhzDc0TautganEcSdz04L5TMmB7V9R/2zMn&#10;KFEfDNZntcTpwXk4N9y5UZ8bzHCEqmigZNpuwzRDe+tk12OkqSMM3GBNW5nUfmF15I8tnIpwHLc4&#10;I+d28nr5KWx+AAAA//8DAFBLAwQUAAYACAAAACEAs3crRN4AAAALAQAADwAAAGRycy9kb3ducmV2&#10;LnhtbEyPQU+EMBSE7yb+h+aZeNstCwEJUjaGxPuCbvTYpW8pWdoi7S74732e9DiZycw35X41I7vh&#10;7AdnBey2ETC0nVOD7QW8v71ucmA+SKvk6CwK+EYP++r+rpSFcott8NaGnlGJ9YUUoEOYCs59p9FI&#10;v3UTWvLObjYykJx7rma5ULkZeRxFGTdysLSg5YS1xu7SXo0A1zT1MW6/Dh/1oup+Oaxh+tRCPD6s&#10;L8/AAq7hLwy/+IQOFTGd3NUqz0YBmywh9EBGkmbAKJHnuxjYSUCSpk/Aq5L//1D9AAAA//8DAFBL&#10;AQItABQABgAIAAAAIQC2gziS/gAAAOEBAAATAAAAAAAAAAAAAAAAAAAAAABbQ29udGVudF9UeXBl&#10;c10ueG1sUEsBAi0AFAAGAAgAAAAhADj9If/WAAAAlAEAAAsAAAAAAAAAAAAAAAAALwEAAF9yZWxz&#10;Ly5yZWxzUEsBAi0AFAAGAAgAAAAhAOUrDFwqAgAAXAQAAA4AAAAAAAAAAAAAAAAALgIAAGRycy9l&#10;Mm9Eb2MueG1sUEsBAi0AFAAGAAgAAAAhALN3K0TeAAAACwEAAA8AAAAAAAAAAAAAAAAAhAQAAGRy&#10;cy9kb3ducmV2LnhtbFBLBQYAAAAABAAEAPMAAACPBQAAAAA=&#10;" o:allowincell="f" strokeweight=".96pt">
                <v:textbox inset="6pt,6pt,6pt,6pt">
                  <w:txbxContent>
                    <w:p w:rsidR="00FF5E72" w:rsidRDefault="00FF5E72" w:rsidP="0046631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910345">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Basically, taxpayer has dominion and control over a monetary accession to wealth if, as a practical matter, s/he may spend it.  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Gilbert v. Commissioner</w:t>
      </w:r>
      <w:r w:rsidRPr="00576ED7">
        <w:rPr>
          <w:szCs w:val="24"/>
        </w:rPr>
        <w:t>, 552 F.2d 478 (CA2 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LUMBARD, Circuit Judge:</w:t>
      </w:r>
    </w:p>
    <w:p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Until June 12, 1962, Gilbert was president, principal stockholder, and a director of the E. L. Bruce Company, Inc., a New York corporation which was engaged in </w:t>
      </w:r>
      <w:r w:rsidRPr="00576ED7">
        <w:rPr>
          <w:szCs w:val="24"/>
        </w:rPr>
        <w:lastRenderedPageBreak/>
        <w:t>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w:t>
      </w:r>
      <w:r w:rsidRPr="00576ED7">
        <w:rPr>
          <w:szCs w:val="24"/>
        </w:rPr>
        <w:t>e</w:t>
      </w:r>
      <w:r w:rsidRPr="00576ED7">
        <w:rPr>
          <w:szCs w:val="24"/>
        </w:rPr>
        <w:t>lotex stock, guaranteeing them against loss, and also induced Bruce itself to pu</w:t>
      </w:r>
      <w:r w:rsidRPr="00576ED7">
        <w:rPr>
          <w:szCs w:val="24"/>
        </w:rPr>
        <w:t>r</w:t>
      </w:r>
      <w:r w:rsidRPr="00576ED7">
        <w:rPr>
          <w:szCs w:val="24"/>
        </w:rPr>
        <w:t>chase a substantial number of Celotex shares. In addition, on March 5, 1962, Gi</w:t>
      </w:r>
      <w:r w:rsidRPr="00576ED7">
        <w:rPr>
          <w:szCs w:val="24"/>
        </w:rPr>
        <w:t>l</w:t>
      </w:r>
      <w:r w:rsidRPr="00576ED7">
        <w:rPr>
          <w:szCs w:val="24"/>
        </w:rPr>
        <w:t>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3"/>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stock market declined on May 28, 1962, however, and Gilbert was called u</w:t>
      </w:r>
      <w:r w:rsidRPr="00576ED7">
        <w:rPr>
          <w:szCs w:val="24"/>
        </w:rPr>
        <w:t>p</w:t>
      </w:r>
      <w:r w:rsidRPr="00576ED7">
        <w:rPr>
          <w:szCs w:val="24"/>
        </w:rPr>
        <w:t>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4"/>
      </w:r>
      <w:r w:rsidRPr="00576ED7">
        <w:rPr>
          <w:szCs w:val="24"/>
        </w:rPr>
        <w:t xml:space="preserve"> He promptly i</w:t>
      </w:r>
      <w:r w:rsidRPr="00576ED7">
        <w:rPr>
          <w:szCs w:val="24"/>
        </w:rPr>
        <w:t>n</w:t>
      </w:r>
      <w:r w:rsidRPr="00576ED7">
        <w:rPr>
          <w:szCs w:val="24"/>
        </w:rPr>
        <w:t>formed several other Bruce officers and directors of the withdrawals; however, some were not notified until June 11 or 12.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w:t>
      </w:r>
      <w:r w:rsidRPr="00576ED7">
        <w:rPr>
          <w:szCs w:val="24"/>
        </w:rPr>
        <w:t>t</w:t>
      </w:r>
      <w:r w:rsidRPr="00576ED7">
        <w:rPr>
          <w:szCs w:val="24"/>
        </w:rPr>
        <w: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Gilbert informed other members of the Bruce board of directors of his a</w:t>
      </w:r>
      <w:r w:rsidRPr="00576ED7">
        <w:rPr>
          <w:szCs w:val="24"/>
        </w:rPr>
        <w:t>c</w:t>
      </w:r>
      <w:r w:rsidRPr="00576ED7">
        <w:rPr>
          <w:szCs w:val="24"/>
        </w:rPr>
        <w:t>tions, a meeting of the board was scheduled for the morning of June 12. At the meeting the board accepted the note and assignment but refused to ratify Gilbert’s unauthorized withdrawals. During the meeting, word came that the board of dire</w:t>
      </w:r>
      <w:r w:rsidRPr="00576ED7">
        <w:rPr>
          <w:szCs w:val="24"/>
        </w:rPr>
        <w:t>c</w:t>
      </w:r>
      <w:r w:rsidRPr="00576ED7">
        <w:rPr>
          <w:szCs w:val="24"/>
        </w:rPr>
        <w:t>tors of the Ruberoid Company had rejected the price offered for sale of the C</w:t>
      </w:r>
      <w:r w:rsidRPr="00576ED7">
        <w:rPr>
          <w:szCs w:val="24"/>
        </w:rPr>
        <w:t>e</w:t>
      </w:r>
      <w:r w:rsidRPr="00576ED7">
        <w:rPr>
          <w:szCs w:val="24"/>
        </w:rPr>
        <w:t>lotex stock. Thereupon, the Bruce board demanded and received Gilbert’s resi</w:t>
      </w:r>
      <w:r w:rsidRPr="00576ED7">
        <w:rPr>
          <w:szCs w:val="24"/>
        </w:rPr>
        <w:t>g</w:t>
      </w:r>
      <w:r w:rsidRPr="00576ED7">
        <w:rPr>
          <w:szCs w:val="24"/>
        </w:rPr>
        <w:t>nation and decided to issue a public announcement the next day regarding his u</w:t>
      </w:r>
      <w:r w:rsidRPr="00576ED7">
        <w:rPr>
          <w:szCs w:val="24"/>
        </w:rPr>
        <w:t>n</w:t>
      </w:r>
      <w:r w:rsidRPr="00576ED7">
        <w:rPr>
          <w:szCs w:val="24"/>
        </w:rPr>
        <w:t>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5"/>
      </w:r>
      <w:r w:rsidRPr="00576ED7">
        <w:rPr>
          <w:szCs w:val="24"/>
        </w:rPr>
        <w:t xml:space="preserve"> now found itself subordinate in priority to the IRS and, impeded by the tax lien, has never since been able to recover much of its $1,953,000 from the assigned a</w:t>
      </w:r>
      <w:r w:rsidRPr="00576ED7">
        <w:rPr>
          <w:szCs w:val="24"/>
        </w:rPr>
        <w:t>s</w:t>
      </w:r>
      <w:r w:rsidRPr="00576ED7">
        <w:rPr>
          <w:szCs w:val="24"/>
        </w:rPr>
        <w:t>sets.</w:t>
      </w:r>
      <w:r w:rsidRPr="00576ED7">
        <w:rPr>
          <w:rStyle w:val="FootnoteReference"/>
          <w:szCs w:val="24"/>
        </w:rPr>
        <w:footnoteReference w:id="46"/>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On these facts, the tax court determined that Gilbert realized income when he made the unauthorized withdrawals of funds from Bruce, and that his efforts at restitution did not entitle him to any offset against this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w:t>
      </w:r>
      <w:r w:rsidRPr="00576ED7">
        <w:rPr>
          <w:i/>
          <w:szCs w:val="24"/>
        </w:rPr>
        <w:t>i</w:t>
      </w:r>
      <w:r w:rsidRPr="00576ED7">
        <w:rPr>
          <w:i/>
          <w:szCs w:val="24"/>
        </w:rPr>
        <w:t>dated v. Burnet</w:t>
      </w:r>
      <w:r w:rsidRPr="00576ED7">
        <w:rPr>
          <w:szCs w:val="24"/>
        </w:rPr>
        <w:t>, 286 U.S. 417, 424 (1932)].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w:t>
      </w:r>
      <w:r w:rsidRPr="00576ED7">
        <w:rPr>
          <w:szCs w:val="24"/>
        </w:rPr>
        <w:t>r</w:t>
      </w:r>
      <w:r w:rsidRPr="00576ED7">
        <w:rPr>
          <w:szCs w:val="24"/>
        </w:rPr>
        <w:t>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w:t>
      </w:r>
      <w:r w:rsidRPr="00576ED7">
        <w:rPr>
          <w:szCs w:val="24"/>
        </w:rPr>
        <w:t>r</w:t>
      </w:r>
      <w:r w:rsidRPr="00576ED7">
        <w:rPr>
          <w:szCs w:val="24"/>
        </w:rPr>
        <w:t>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w:t>
      </w:r>
      <w:r w:rsidRPr="00576ED7">
        <w:rPr>
          <w:szCs w:val="24"/>
        </w:rPr>
        <w:t>x</w:t>
      </w:r>
      <w:r w:rsidRPr="00576ED7">
        <w:rPr>
          <w:szCs w:val="24"/>
        </w:rPr>
        <w:t xml:space="preserve">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xml:space="preserve">. When Gilbert withdrew the corporate funds, he recognized his obligation </w:t>
      </w:r>
      <w:r w:rsidRPr="00576ED7">
        <w:rPr>
          <w:szCs w:val="24"/>
        </w:rPr>
        <w:lastRenderedPageBreak/>
        <w:t>to repay and intended to do so.</w:t>
      </w:r>
      <w:r w:rsidRPr="00576ED7">
        <w:rPr>
          <w:rStyle w:val="FootnoteReference"/>
          <w:szCs w:val="24"/>
        </w:rPr>
        <w:footnoteReference w:id="47"/>
      </w:r>
      <w:r w:rsidRPr="00576ED7">
        <w:rPr>
          <w:szCs w:val="24"/>
        </w:rPr>
        <w:t xml:space="preserve"> The funds were to be used not only for his ben</w:t>
      </w:r>
      <w:r w:rsidRPr="00576ED7">
        <w:rPr>
          <w:szCs w:val="24"/>
        </w:rPr>
        <w:t>e</w:t>
      </w:r>
      <w:r w:rsidRPr="00576ED7">
        <w:rPr>
          <w:szCs w:val="24"/>
        </w:rPr>
        <w:t>fit but also for the benefit of the corporation; meeting the margin calls was nece</w:t>
      </w:r>
      <w:r w:rsidRPr="00576ED7">
        <w:rPr>
          <w:szCs w:val="24"/>
        </w:rPr>
        <w:t>s</w:t>
      </w:r>
      <w:r w:rsidRPr="00576ED7">
        <w:rPr>
          <w:szCs w:val="24"/>
        </w:rPr>
        <w:t>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w:t>
      </w:r>
      <w:r w:rsidRPr="00576ED7">
        <w:rPr>
          <w:szCs w:val="24"/>
        </w:rPr>
        <w:t>a</w:t>
      </w:r>
      <w:r w:rsidRPr="00576ED7">
        <w:rPr>
          <w:szCs w:val="24"/>
        </w:rPr>
        <w:t>tion’s funds is clear from his actions.</w:t>
      </w:r>
      <w:r w:rsidRPr="00576ED7">
        <w:rPr>
          <w:rStyle w:val="FootnoteReference"/>
          <w:szCs w:val="24"/>
        </w:rPr>
        <w:footnoteReference w:id="48"/>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w:t>
      </w:r>
      <w:r w:rsidRPr="00576ED7">
        <w:rPr>
          <w:szCs w:val="24"/>
        </w:rPr>
        <w:t>d</w:t>
      </w:r>
      <w:r w:rsidRPr="00576ED7">
        <w:rPr>
          <w:szCs w:val="24"/>
        </w:rPr>
        <w:t>dition, he attempted to sell his shares of Celotex stock in order to raise cash to pay Bruce back immediately.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w:t>
      </w:r>
      <w:r w:rsidRPr="00576ED7">
        <w:rPr>
          <w:szCs w:val="24"/>
        </w:rPr>
        <w:t>e</w:t>
      </w:r>
      <w:r w:rsidRPr="00576ED7">
        <w:rPr>
          <w:szCs w:val="24"/>
        </w:rPr>
        <w:t>cured an immediate payable note, Gilbert had as of June 12 granted Bruce full discretion to liquidate any of his assets in order to recoup on the $1,953,000 wit</w:t>
      </w:r>
      <w:r w:rsidRPr="00576ED7">
        <w:rPr>
          <w:szCs w:val="24"/>
        </w:rPr>
        <w:t>h</w:t>
      </w:r>
      <w:r w:rsidRPr="00576ED7">
        <w:rPr>
          <w:szCs w:val="24"/>
        </w:rPr>
        <w:t>drawal. Thus, Gilbert’s net accretion in real wealth on the overall transaction was zero: he had for his own use withdrawn $1,953,000 in corporate funds but he had now granted the corporation control over at least $1,953,000 worth of his assets.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conclude that where a taxpayer withdraws funds from a corporation which he fully intends to repay and which he expects with reasonable certainty he will be able to repay, where he believes that his withdrawals will be approved by the co</w:t>
      </w:r>
      <w:r w:rsidRPr="00576ED7">
        <w:rPr>
          <w:szCs w:val="24"/>
        </w:rPr>
        <w:t>r</w:t>
      </w:r>
      <w:r w:rsidRPr="00576ED7">
        <w:rPr>
          <w:szCs w:val="24"/>
        </w:rPr>
        <w:lastRenderedPageBreak/>
        <w:t xml:space="preserve">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w:t>
      </w:r>
      <w:r w:rsidRPr="00576ED7">
        <w:rPr>
          <w:szCs w:val="24"/>
        </w:rPr>
        <w:t>i</w:t>
      </w:r>
      <w:r w:rsidRPr="00576ED7">
        <w:rPr>
          <w:szCs w:val="24"/>
        </w:rPr>
        <w:t>tion of his obligation to repay: the secretary of the corporation, who signed the checks, the officers and directors to whom Gilbert gave contemporaneous notif</w:t>
      </w:r>
      <w:r w:rsidRPr="00576ED7">
        <w:rPr>
          <w:szCs w:val="24"/>
        </w:rPr>
        <w:t>i</w:t>
      </w:r>
      <w:r w:rsidRPr="00576ED7">
        <w:rPr>
          <w:szCs w:val="24"/>
        </w:rPr>
        <w:t>cation, and Gilbert himself were all aware that the transaction was in the nature of a loan. Moreover, the funds were certainly not received by Gilbert “without r</w:t>
      </w:r>
      <w:r w:rsidRPr="00576ED7">
        <w:rPr>
          <w:szCs w:val="24"/>
        </w:rPr>
        <w:t>e</w:t>
      </w:r>
      <w:r w:rsidRPr="00576ED7">
        <w:rPr>
          <w:szCs w:val="24"/>
        </w:rPr>
        <w:t xml:space="preserv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w:t>
      </w:r>
      <w:r w:rsidRPr="00576ED7">
        <w:rPr>
          <w:i/>
          <w:szCs w:val="24"/>
        </w:rPr>
        <w:t>s</w:t>
      </w:r>
      <w:r w:rsidRPr="00576ED7">
        <w:rPr>
          <w:i/>
          <w:szCs w:val="24"/>
        </w:rPr>
        <w:t>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w:t>
      </w:r>
      <w:r w:rsidRPr="00576ED7">
        <w:rPr>
          <w:i/>
          <w:szCs w:val="24"/>
        </w:rPr>
        <w:t>James v. United States</w:t>
      </w:r>
      <w:r w:rsidRPr="00576ED7">
        <w:rPr>
          <w:szCs w:val="24"/>
        </w:rPr>
        <w:t xml:space="preserve">, 366 U.S. 213 (1961) was an embezzlement case.  The Supreme Court had held in </w:t>
      </w:r>
      <w:r w:rsidRPr="00576ED7">
        <w:rPr>
          <w:i/>
          <w:szCs w:val="24"/>
        </w:rPr>
        <w:t>Co</w:t>
      </w:r>
      <w:r w:rsidRPr="00576ED7">
        <w:rPr>
          <w:i/>
          <w:szCs w:val="24"/>
        </w:rPr>
        <w:t>m</w:t>
      </w:r>
      <w:r w:rsidRPr="00576ED7">
        <w:rPr>
          <w:i/>
          <w:szCs w:val="24"/>
        </w:rPr>
        <w:t>missioner v. Wi</w:t>
      </w:r>
      <w:r w:rsidRPr="00576ED7">
        <w:rPr>
          <w:i/>
          <w:szCs w:val="24"/>
        </w:rPr>
        <w:t>l</w:t>
      </w:r>
      <w:r w:rsidRPr="00576ED7">
        <w:rPr>
          <w:i/>
          <w:szCs w:val="24"/>
        </w:rPr>
        <w:t>cox</w:t>
      </w:r>
      <w:r w:rsidRPr="00576ED7">
        <w:rPr>
          <w:szCs w:val="24"/>
        </w:rPr>
        <w:t>, 327 U.S. 404 (1946) that an e</w:t>
      </w:r>
      <w:r w:rsidRPr="00576ED7">
        <w:rPr>
          <w:szCs w:val="24"/>
        </w:rPr>
        <w:t>m</w:t>
      </w:r>
      <w:r w:rsidRPr="00576ED7">
        <w:rPr>
          <w:szCs w:val="24"/>
        </w:rPr>
        <w:t>bezzler did not rea</w:t>
      </w:r>
      <w:r w:rsidRPr="00576ED7">
        <w:rPr>
          <w:szCs w:val="24"/>
        </w:rPr>
        <w:t>l</w:t>
      </w:r>
      <w:r w:rsidRPr="00576ED7">
        <w:rPr>
          <w:szCs w:val="24"/>
        </w:rPr>
        <w:t>ize gross income because he was subject to an obl</w:t>
      </w:r>
      <w:r w:rsidRPr="00576ED7">
        <w:rPr>
          <w:szCs w:val="24"/>
        </w:rPr>
        <w:t>i</w:t>
      </w:r>
      <w:r w:rsidRPr="00576ED7">
        <w:rPr>
          <w:szCs w:val="24"/>
        </w:rPr>
        <w:t xml:space="preserve">gation to repay the embezzled funds.  Taxpayer had no bona fide claim of right to the funds.  </w:t>
      </w:r>
      <w:r w:rsidRPr="00576ED7">
        <w:rPr>
          <w:i/>
          <w:szCs w:val="24"/>
        </w:rPr>
        <w:t>Id.</w:t>
      </w:r>
      <w:r w:rsidRPr="00576ED7">
        <w:rPr>
          <w:szCs w:val="24"/>
        </w:rPr>
        <w:t xml:space="preserve"> at 408.  In </w:t>
      </w:r>
      <w:r w:rsidRPr="00576ED7">
        <w:rPr>
          <w:i/>
          <w:szCs w:val="24"/>
        </w:rPr>
        <w:t>Rutkin v. United States</w:t>
      </w:r>
      <w:r w:rsidRPr="00576ED7">
        <w:rPr>
          <w:szCs w:val="24"/>
        </w:rPr>
        <w:t>, 343 U.S. 130, 139 (1952), the S</w:t>
      </w:r>
      <w:r w:rsidRPr="00576ED7">
        <w:rPr>
          <w:szCs w:val="24"/>
        </w:rPr>
        <w:t>u</w:t>
      </w:r>
      <w:r w:rsidRPr="00576ED7">
        <w:rPr>
          <w:szCs w:val="24"/>
        </w:rPr>
        <w:t>preme Court held that taxpayer must include mo</w:t>
      </w:r>
      <w:r w:rsidRPr="00576ED7">
        <w:rPr>
          <w:szCs w:val="24"/>
        </w:rPr>
        <w:t>n</w:t>
      </w:r>
      <w:r w:rsidRPr="00576ED7">
        <w:rPr>
          <w:szCs w:val="24"/>
        </w:rPr>
        <w:t xml:space="preserve">ey that he obtained by extortion in his gross income.  </w:t>
      </w:r>
      <w:r w:rsidRPr="00576ED7">
        <w:rPr>
          <w:i/>
          <w:szCs w:val="24"/>
        </w:rPr>
        <w:t>James</w:t>
      </w:r>
      <w:r w:rsidRPr="00576ED7">
        <w:rPr>
          <w:szCs w:val="24"/>
        </w:rPr>
        <w:t xml:space="preserve"> shifted the focus of such cases from the bona fides of a claim of right to consensual recognition of an obligation to repay.  </w:t>
      </w:r>
      <w:r w:rsidRPr="00576ED7">
        <w:rPr>
          <w:i/>
          <w:szCs w:val="24"/>
        </w:rPr>
        <w:t>Gilbert</w:t>
      </w:r>
      <w:r w:rsidRPr="00576ED7">
        <w:rPr>
          <w:szCs w:val="24"/>
        </w:rPr>
        <w:t xml:space="preserve"> turned on whether there was a consensual recognition of an obligation to repay.</w:t>
      </w:r>
    </w:p>
    <w:p w:rsidR="0049128E" w:rsidRPr="00576ED7" w:rsidRDefault="0049128E" w:rsidP="009A1BF0">
      <w:pPr>
        <w:widowControl w:val="0"/>
        <w:jc w:val="both"/>
        <w:rPr>
          <w:szCs w:val="24"/>
        </w:rPr>
      </w:pPr>
    </w:p>
    <w:p w:rsidR="0049128E" w:rsidRPr="00576ED7" w:rsidRDefault="00A047A3"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54144" behindDoc="0" locked="0" layoutInCell="0" allowOverlap="1" wp14:anchorId="4C5D7FCC" wp14:editId="39FC95FE">
                <wp:simplePos x="0" y="0"/>
                <wp:positionH relativeFrom="margin">
                  <wp:posOffset>5080</wp:posOffset>
                </wp:positionH>
                <wp:positionV relativeFrom="paragraph">
                  <wp:posOffset>69850</wp:posOffset>
                </wp:positionV>
                <wp:extent cx="3615055" cy="6464935"/>
                <wp:effectExtent l="0" t="0" r="23495" b="12065"/>
                <wp:wrapSquare wrapText="largest"/>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6464935"/>
                        </a:xfrm>
                        <a:prstGeom prst="rect">
                          <a:avLst/>
                        </a:prstGeom>
                        <a:solidFill>
                          <a:srgbClr val="FFFFFF"/>
                        </a:solidFill>
                        <a:ln w="12192">
                          <a:solidFill>
                            <a:srgbClr val="000000"/>
                          </a:solidFill>
                          <a:miter lim="800000"/>
                          <a:headEnd/>
                          <a:tailEnd/>
                        </a:ln>
                      </wps:spPr>
                      <wps:txbx>
                        <w:txbxContent>
                          <w:p w:rsidR="00FF5E72" w:rsidRDefault="00FF5E72"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FF5E72" w:rsidRDefault="00FF5E72" w:rsidP="00F66021">
                            <w:pPr>
                              <w:widowControl w:val="0"/>
                              <w:jc w:val="both"/>
                              <w:rPr>
                                <w:rFonts w:ascii="Tw Cen MT" w:hAnsi="Tw Cen MT"/>
                              </w:rPr>
                            </w:pPr>
                          </w:p>
                          <w:p w:rsidR="00FF5E72" w:rsidRDefault="00FF5E72"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FF5E72" w:rsidRDefault="00FF5E72" w:rsidP="00F66021">
                            <w:pPr>
                              <w:widowControl w:val="0"/>
                              <w:jc w:val="both"/>
                              <w:rPr>
                                <w:rFonts w:ascii="Tw Cen MT" w:hAnsi="Tw Cen MT"/>
                              </w:rPr>
                            </w:pPr>
                          </w:p>
                          <w:p w:rsidR="00FF5E72" w:rsidRDefault="00FF5E72"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FF5E72" w:rsidRDefault="00FF5E72" w:rsidP="00F66021">
                            <w:pPr>
                              <w:widowControl w:val="0"/>
                              <w:jc w:val="both"/>
                              <w:rPr>
                                <w:rFonts w:ascii="Tw Cen MT" w:hAnsi="Tw Cen MT"/>
                              </w:rPr>
                            </w:pPr>
                          </w:p>
                          <w:p w:rsidR="00FF5E72" w:rsidRDefault="00FF5E72"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4pt;margin-top:5.5pt;width:284.65pt;height:509.05pt;z-index:251654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cLAIAAFwEAAAOAAAAZHJzL2Uyb0RvYy54bWysVNuO2yAQfa/Uf0C8N85l42atOKtttqkq&#10;bS/Sbj8AY2yjAkOBxE6/vgPOZtPbS1UeEIOHM2fOzHh9M2hFDsJ5Caaks8mUEmE41NK0Jf3yuHu1&#10;osQHZmqmwIiSHoWnN5uXL9a9LcQcOlC1cARBjC96W9IuBFtkmeed0MxPwAqDHxtwmgU0XZvVjvWI&#10;rlU2n07zrAdXWwdceI+3d+NHukn4TSN4+NQ0XgSiSorcQtpd2qu4Z5s1K1rHbCf5iQb7BxaaSYNB&#10;z1B3LDCyd/I3KC25Aw9NmHDQGTSN5CLlgNnMpr9k89AxK1IuKI63Z5n8/4PlHw+fHZF1SVcoj2Ea&#10;a/QohkDewEAWq6hPb32Bbg8WHcOA91jnlKu398C/emJg2zHTilvnoO8Eq5HfLL7MLp6OOD6CVP0H&#10;qDEO2wdIQEPjdBQP5SCIjkSO59pELhwvF/lsOV0uKeH4Lb/Kr64XyxSDFU/PrfPhnQBN4qGkDouf&#10;4Nnh3odIhxVPLjGaByXrnVQqGa6ttsqRA8NG2aV1Qv/JTRnSY3Lz2fV8lOCvGNO0/oShZcCWV1JH&#10;zeOKTqyIwr01dToHJtV4Rs7KnJSM4o0yhqEaUtEWeXwcZa6gPqK2DsYWx5HEQwfuOyU9tndJ/bc9&#10;c4IS9d5gfV7nOD04D5eGuzSqS4MZjlAlDZSMx20YZ2hvnWw7jDR2hIFbrGkjk9rPrE78sYVTEU7j&#10;Fmfk0k5ezz+FzQ8AAAD//wMAUEsDBBQABgAIAAAAIQBkESaf2gAAAAgBAAAPAAAAZHJzL2Rvd25y&#10;ZXYueG1sTI/NTsMwEITvSLyDtUjcqJ1I/IU4FYrEvQkgOLrxNo4ar0PsNuHtWU5w3JnR7DfldvWj&#10;OOMch0Aaso0CgdQFO1Cv4e315eYBREyGrBkDoYZvjLCtLi9KU9iwUIPnNvWCSygWRoNLaSqkjJ1D&#10;b+ImTEjsHcLsTeJz7qWdzcLlfpS5UnfSm4H4gzMT1g67Y3vyGkLT1O95+7X7qBdb98tuTdOn0/r6&#10;an1+ApFwTX9h+MVndKiYaR9OZKMYNTB3YjXjQeze3qsMxJ4FlT9mIKtS/h9Q/QAAAP//AwBQSwEC&#10;LQAUAAYACAAAACEAtoM4kv4AAADhAQAAEwAAAAAAAAAAAAAAAAAAAAAAW0NvbnRlbnRfVHlwZXNd&#10;LnhtbFBLAQItABQABgAIAAAAIQA4/SH/1gAAAJQBAAALAAAAAAAAAAAAAAAAAC8BAABfcmVscy8u&#10;cmVsc1BLAQItABQABgAIAAAAIQAXn+bcLAIAAFwEAAAOAAAAAAAAAAAAAAAAAC4CAABkcnMvZTJv&#10;RG9jLnhtbFBLAQItABQABgAIAAAAIQBkESaf2gAAAAgBAAAPAAAAAAAAAAAAAAAAAIYEAABkcnMv&#10;ZG93bnJldi54bWxQSwUGAAAAAAQABADzAAAAjQUAAAAA&#10;" o:allowincell="f" strokeweight=".96pt">
                <v:textbox inset="6pt,6pt,6pt,6pt">
                  <w:txbxContent>
                    <w:p w:rsidR="00FF5E72" w:rsidRDefault="00FF5E72" w:rsidP="00F66021">
                      <w:pPr>
                        <w:widowControl w:val="0"/>
                        <w:jc w:val="both"/>
                        <w:rPr>
                          <w:rFonts w:ascii="Tw Cen MT" w:hAnsi="Tw Cen MT"/>
                        </w:rPr>
                      </w:pPr>
                      <w:r>
                        <w:rPr>
                          <w:rFonts w:ascii="Tw Cen MT" w:hAnsi="Tw Cen MT"/>
                          <w:i/>
                        </w:rPr>
                        <w:t>Security and damage deposits</w:t>
                      </w:r>
                      <w:r>
                        <w:rPr>
                          <w:rFonts w:ascii="Tw Cen MT" w:hAnsi="Tw Cen MT"/>
                        </w:rPr>
                        <w:t>:  An electric utility comp</w:t>
                      </w:r>
                      <w:r>
                        <w:rPr>
                          <w:rFonts w:ascii="Tw Cen MT" w:hAnsi="Tw Cen MT"/>
                        </w:rPr>
                        <w:t>a</w:t>
                      </w:r>
                      <w:r>
                        <w:rPr>
                          <w:rFonts w:ascii="Tw Cen MT" w:hAnsi="Tw Cen MT"/>
                        </w:rPr>
                        <w:t>ny (IPL) requires customers with suspect credit to make a security deposit in order to assure prompt payment of utility bills.  Customers are entitled to a refund of their deposit upon establishing good credit or making suff</w:t>
                      </w:r>
                      <w:r>
                        <w:rPr>
                          <w:rFonts w:ascii="Tw Cen MT" w:hAnsi="Tw Cen MT"/>
                        </w:rPr>
                        <w:t>i</w:t>
                      </w:r>
                      <w:r>
                        <w:rPr>
                          <w:rFonts w:ascii="Tw Cen MT" w:hAnsi="Tw Cen MT"/>
                        </w:rPr>
                        <w:t>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w:t>
                      </w:r>
                      <w:r>
                        <w:rPr>
                          <w:rFonts w:ascii="Tw Cen MT" w:hAnsi="Tw Cen MT"/>
                        </w:rPr>
                        <w:t>a</w:t>
                      </w:r>
                      <w:r>
                        <w:rPr>
                          <w:rFonts w:ascii="Tw Cen MT" w:hAnsi="Tw Cen MT"/>
                        </w:rPr>
                        <w:t>ny had “complete dominion” over the funds.</w:t>
                      </w:r>
                    </w:p>
                    <w:p w:rsidR="00FF5E72" w:rsidRDefault="00FF5E72" w:rsidP="00F66021">
                      <w:pPr>
                        <w:widowControl w:val="0"/>
                        <w:jc w:val="both"/>
                        <w:rPr>
                          <w:rFonts w:ascii="Tw Cen MT" w:hAnsi="Tw Cen MT"/>
                        </w:rPr>
                      </w:pPr>
                    </w:p>
                    <w:p w:rsidR="00FF5E72" w:rsidRDefault="00FF5E72" w:rsidP="00EE29A8">
                      <w:pPr>
                        <w:widowControl w:val="0"/>
                        <w:ind w:left="720"/>
                        <w:jc w:val="both"/>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w:t>
                      </w:r>
                      <w:r>
                        <w:rPr>
                          <w:rFonts w:ascii="Tw Cen MT" w:hAnsi="Tw Cen MT"/>
                        </w:rPr>
                        <w:t>b</w:t>
                      </w:r>
                      <w:r>
                        <w:rPr>
                          <w:rFonts w:ascii="Tw Cen MT" w:hAnsi="Tw Cen MT"/>
                        </w:rPr>
                        <w:t>lished good credit.  So long as the customer fu</w:t>
                      </w:r>
                      <w:r>
                        <w:rPr>
                          <w:rFonts w:ascii="Tw Cen MT" w:hAnsi="Tw Cen MT"/>
                        </w:rPr>
                        <w:t>l</w:t>
                      </w:r>
                      <w:r>
                        <w:rPr>
                          <w:rFonts w:ascii="Tw Cen MT" w:hAnsi="Tw Cen MT"/>
                        </w:rPr>
                        <w:t>fills his legal obligation to make timely pa</w:t>
                      </w:r>
                      <w:r>
                        <w:rPr>
                          <w:rFonts w:ascii="Tw Cen MT" w:hAnsi="Tw Cen MT"/>
                        </w:rPr>
                        <w:t>y</w:t>
                      </w:r>
                      <w:r>
                        <w:rPr>
                          <w:rFonts w:ascii="Tw Cen MT" w:hAnsi="Tw Cen MT"/>
                        </w:rPr>
                        <w:t>ments, his deposit ultimately is to be refunded, and both the timing and method of that refund are largely within the control of the customer.”</w:t>
                      </w:r>
                    </w:p>
                    <w:p w:rsidR="00FF5E72" w:rsidRDefault="00FF5E72" w:rsidP="00F66021">
                      <w:pPr>
                        <w:widowControl w:val="0"/>
                        <w:jc w:val="both"/>
                        <w:rPr>
                          <w:rFonts w:ascii="Tw Cen MT" w:hAnsi="Tw Cen MT"/>
                        </w:rPr>
                      </w:pPr>
                    </w:p>
                    <w:p w:rsidR="00FF5E72" w:rsidRDefault="00FF5E72" w:rsidP="00A047A3">
                      <w:pPr>
                        <w:widowControl w:val="0"/>
                        <w:ind w:left="720"/>
                        <w:jc w:val="both"/>
                        <w:rPr>
                          <w:rFonts w:ascii="Tw Cen MT" w:hAnsi="Tw Cen MT"/>
                        </w:rPr>
                      </w:pPr>
                      <w:r>
                        <w:rPr>
                          <w:rFonts w:ascii="Tw Cen MT" w:hAnsi="Tw Cen MT"/>
                        </w:rPr>
                        <w:t>... In determining whether a taxpayer enjoys ‘complete dominion’ over a given sum, the crucial point is not whether his use of the funds is unco</w:t>
                      </w:r>
                      <w:r>
                        <w:rPr>
                          <w:rFonts w:ascii="Tw Cen MT" w:hAnsi="Tw Cen MT"/>
                        </w:rPr>
                        <w:t>n</w:t>
                      </w:r>
                      <w:r>
                        <w:rPr>
                          <w:rFonts w:ascii="Tw Cen MT" w:hAnsi="Tw Cen MT"/>
                        </w:rPr>
                        <w:t>strained during some interim period.  The key is whether the taxpayer has some guarantee that he will be allowed to keep the money.  IPL’s r</w:t>
                      </w:r>
                      <w:r>
                        <w:rPr>
                          <w:rFonts w:ascii="Tw Cen MT" w:hAnsi="Tw Cen MT"/>
                        </w:rPr>
                        <w:t>e</w:t>
                      </w:r>
                      <w:r>
                        <w:rPr>
                          <w:rFonts w:ascii="Tw Cen MT" w:hAnsi="Tw Cen MT"/>
                        </w:rPr>
                        <w:t xml:space="preserve">ceipt of these deposits was accompanied by no such guarantee. </w:t>
                      </w:r>
                    </w:p>
                    <w:p w:rsidR="00FF5E72" w:rsidRDefault="00FF5E72" w:rsidP="00F66021">
                      <w:pPr>
                        <w:widowControl w:val="0"/>
                        <w:jc w:val="both"/>
                        <w:rPr>
                          <w:rFonts w:ascii="Tw Cen MT" w:hAnsi="Tw Cen MT"/>
                        </w:rPr>
                      </w:pPr>
                    </w:p>
                    <w:p w:rsidR="00FF5E72" w:rsidRDefault="00FF5E72" w:rsidP="00F66021">
                      <w:pPr>
                        <w:widowControl w:val="0"/>
                        <w:jc w:val="both"/>
                        <w:rPr>
                          <w:rFonts w:ascii="Tw Cen MT" w:hAnsi="Tw Cen MT"/>
                        </w:rPr>
                      </w:pPr>
                      <w:r>
                        <w:rPr>
                          <w:rFonts w:ascii="Tw Cen MT" w:hAnsi="Tw Cen MT"/>
                          <w:i/>
                        </w:rPr>
                        <w:t>CIR v. Indianapolis Power &amp; Light Co.</w:t>
                      </w:r>
                      <w:r>
                        <w:rPr>
                          <w:rFonts w:ascii="Tw Cen MT" w:hAnsi="Tw Cen MT"/>
                        </w:rPr>
                        <w:t>, 493, 203, 209-10 (1990).  What facts do you think are relevant to whet</w:t>
                      </w:r>
                      <w:r>
                        <w:rPr>
                          <w:rFonts w:ascii="Tw Cen MT" w:hAnsi="Tw Cen MT"/>
                        </w:rPr>
                        <w:t>h</w:t>
                      </w:r>
                      <w:r>
                        <w:rPr>
                          <w:rFonts w:ascii="Tw Cen MT" w:hAnsi="Tw Cen MT"/>
                        </w:rPr>
                        <w:t>er a payment is a security or damage deposit? Consider what terms you would include in a lease that you draf</w:t>
                      </w:r>
                      <w:r>
                        <w:rPr>
                          <w:rFonts w:ascii="Tw Cen MT" w:hAnsi="Tw Cen MT"/>
                        </w:rPr>
                        <w:t>t</w:t>
                      </w:r>
                      <w:r>
                        <w:rPr>
                          <w:rFonts w:ascii="Tw Cen MT" w:hAnsi="Tw Cen MT"/>
                        </w:rPr>
                        <w:t>ed for a landlord.</w:t>
                      </w:r>
                    </w:p>
                  </w:txbxContent>
                </v:textbox>
                <w10:wrap type="square" side="largest" anchorx="margin"/>
              </v:shape>
            </w:pict>
          </mc:Fallback>
        </mc:AlternateContent>
      </w:r>
      <w:r w:rsidR="0049128E" w:rsidRPr="00576ED7">
        <w:rPr>
          <w:szCs w:val="24"/>
        </w:rPr>
        <w:t>2.  When must that consensual recogn</w:t>
      </w:r>
      <w:r w:rsidR="0049128E" w:rsidRPr="00576ED7">
        <w:rPr>
          <w:szCs w:val="24"/>
        </w:rPr>
        <w:t>i</w:t>
      </w:r>
      <w:r w:rsidR="0049128E" w:rsidRPr="00576ED7">
        <w:rPr>
          <w:szCs w:val="24"/>
        </w:rPr>
        <w:t>tion of an oblig</w:t>
      </w:r>
      <w:r w:rsidR="0049128E" w:rsidRPr="00576ED7">
        <w:rPr>
          <w:szCs w:val="24"/>
        </w:rPr>
        <w:t>a</w:t>
      </w:r>
      <w:r w:rsidR="0049128E" w:rsidRPr="00576ED7">
        <w:rPr>
          <w:szCs w:val="24"/>
        </w:rPr>
        <w:t xml:space="preserve">tion to repay exist? Does the following excerpt from </w:t>
      </w:r>
      <w:r w:rsidR="0049128E" w:rsidRPr="00576ED7">
        <w:rPr>
          <w:i/>
          <w:szCs w:val="24"/>
        </w:rPr>
        <w:t>Gi</w:t>
      </w:r>
      <w:r w:rsidR="0049128E" w:rsidRPr="00576ED7">
        <w:rPr>
          <w:i/>
          <w:szCs w:val="24"/>
        </w:rPr>
        <w:t>l</w:t>
      </w:r>
      <w:r w:rsidR="0049128E" w:rsidRPr="00576ED7">
        <w:rPr>
          <w:i/>
          <w:szCs w:val="24"/>
        </w:rPr>
        <w:t>bert</w:t>
      </w:r>
      <w:r w:rsidR="0049128E" w:rsidRPr="00576ED7">
        <w:rPr>
          <w:szCs w:val="24"/>
        </w:rPr>
        <w:t xml:space="preserve"> answer the question?</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496 F.2d 847 (2d Cir. 1974), if he spends the loot i</w:t>
      </w:r>
      <w:r w:rsidRPr="00576ED7">
        <w:rPr>
          <w:szCs w:val="24"/>
        </w:rPr>
        <w:t>n</w:t>
      </w:r>
      <w:r w:rsidRPr="00576ED7">
        <w:rPr>
          <w:szCs w:val="24"/>
        </w:rPr>
        <w:t>stead of repaying, he cannot avoid tax on his embezzl</w:t>
      </w:r>
      <w:r w:rsidRPr="00576ED7">
        <w:rPr>
          <w:szCs w:val="24"/>
        </w:rPr>
        <w:t>e</w:t>
      </w:r>
      <w:r w:rsidRPr="00576ED7">
        <w:rPr>
          <w:szCs w:val="24"/>
        </w:rPr>
        <w:t>ment income sim</w:t>
      </w:r>
      <w:r w:rsidRPr="00576ED7">
        <w:rPr>
          <w:szCs w:val="24"/>
        </w:rPr>
        <w:t>p</w:t>
      </w:r>
      <w:r w:rsidRPr="00576ED7">
        <w:rPr>
          <w:szCs w:val="24"/>
        </w:rPr>
        <w:t>ly by signing pro</w:t>
      </w:r>
      <w:r w:rsidRPr="00576ED7">
        <w:rPr>
          <w:szCs w:val="24"/>
        </w:rPr>
        <w:t>m</w:t>
      </w:r>
      <w:r w:rsidRPr="00576ED7">
        <w:rPr>
          <w:szCs w:val="24"/>
        </w:rPr>
        <w:t xml:space="preserve">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w:t>
      </w:r>
      <w:r w:rsidRPr="00576ED7">
        <w:rPr>
          <w:szCs w:val="24"/>
        </w:rPr>
        <w:t>r</w:t>
      </w:r>
      <w:r w:rsidRPr="00576ED7">
        <w:rPr>
          <w:szCs w:val="24"/>
        </w:rPr>
        <w:t>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withdrawals from the E.L. Bruce Company were “unauthorized.”  Does that mean that there could not have been a “co</w:t>
      </w:r>
      <w:r w:rsidRPr="00576ED7">
        <w:rPr>
          <w:szCs w:val="24"/>
        </w:rPr>
        <w:t>n</w:t>
      </w:r>
      <w:r w:rsidRPr="00576ED7">
        <w:rPr>
          <w:szCs w:val="24"/>
        </w:rPr>
        <w:t>sensual recognition of an obligation to repay?”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If taxpayer has acquired funds without restriction </w:t>
      </w:r>
      <w:r w:rsidRPr="00576ED7">
        <w:rPr>
          <w:szCs w:val="24"/>
        </w:rPr>
        <w:lastRenderedPageBreak/>
        <w:t>as to their disposition, s/he has a power to spend them on consumption – one of the elements of the SHS definition of income.  Did taxpayer Gilbert ever feel free to spend the money as he pleased?</w:t>
      </w:r>
    </w:p>
    <w:p w:rsidR="004F0B0E" w:rsidRPr="00576ED7" w:rsidRDefault="004F0B0E" w:rsidP="009A1BF0">
      <w:pPr>
        <w:widowControl w:val="0"/>
        <w:jc w:val="both"/>
        <w:rPr>
          <w:szCs w:val="24"/>
        </w:rPr>
      </w:pPr>
    </w:p>
    <w:p w:rsidR="0049128E" w:rsidRPr="00576ED7" w:rsidRDefault="0049128E" w:rsidP="009A1BF0">
      <w:pPr>
        <w:widowControl w:val="0"/>
        <w:jc w:val="both"/>
        <w:rPr>
          <w:szCs w:val="24"/>
        </w:rPr>
      </w:pPr>
      <w:r w:rsidRPr="00576ED7">
        <w:rPr>
          <w:szCs w:val="24"/>
        </w:rPr>
        <w:t>5.  It seems that taxpayer was willing to “bet the company” and had done so b</w:t>
      </w:r>
      <w:r w:rsidRPr="00576ED7">
        <w:rPr>
          <w:szCs w:val="24"/>
        </w:rPr>
        <w:t>e</w:t>
      </w:r>
      <w:r w:rsidRPr="00576ED7">
        <w:rPr>
          <w:szCs w:val="24"/>
        </w:rPr>
        <w:t xml:space="preserve">fore.  E.L. Bruce Company evidently willingly reaped the rewards of a good bet and only fired Gilbert when he made a bad one. Is that relevant to the income tax question that the facts of </w:t>
      </w:r>
      <w:r w:rsidRPr="00576ED7">
        <w:rPr>
          <w:i/>
          <w:szCs w:val="24"/>
        </w:rPr>
        <w:t>Gilbert</w:t>
      </w:r>
      <w:r w:rsidRPr="00576ED7">
        <w:rPr>
          <w:szCs w:val="24"/>
        </w:rPr>
        <w:t xml:space="preserve"> raise?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Why are loan proceeds not included in taxpayer’s gross income? After all, ta</w:t>
      </w:r>
      <w:r w:rsidRPr="00576ED7">
        <w:rPr>
          <w:szCs w:val="24"/>
        </w:rPr>
        <w:t>x</w:t>
      </w:r>
      <w:r w:rsidRPr="00576ED7">
        <w:rPr>
          <w:szCs w:val="24"/>
        </w:rPr>
        <w:t>payer may act without restriction as to their disposition?</w:t>
      </w:r>
    </w:p>
    <w:p w:rsidR="0049128E" w:rsidRPr="00576ED7" w:rsidRDefault="0049128E" w:rsidP="009A1BF0">
      <w:pPr>
        <w:widowControl w:val="0"/>
        <w:jc w:val="both"/>
        <w:rPr>
          <w:szCs w:val="24"/>
        </w:rPr>
      </w:pPr>
    </w:p>
    <w:p w:rsidR="0049128E" w:rsidRPr="00576ED7" w:rsidRDefault="0049128E" w:rsidP="00910345">
      <w:pPr>
        <w:pStyle w:val="Heading3"/>
      </w:pPr>
      <w:bookmarkStart w:id="37" w:name="_Toc375132924"/>
      <w:r w:rsidRPr="00576ED7">
        <w:t>Wrap-up Questions for Chapter 2</w:t>
      </w:r>
      <w:r w:rsidRPr="00576ED7">
        <w:fldChar w:fldCharType="begin"/>
      </w:r>
      <w:r w:rsidRPr="00576ED7">
        <w:instrText xml:space="preserve"> TC \l1 "Wrap-up Questions for Chapter 2</w:instrText>
      </w:r>
      <w:r w:rsidRPr="00576ED7">
        <w:fldChar w:fldCharType="end"/>
      </w:r>
      <w:r w:rsidRPr="00576ED7">
        <w:t>:</w:t>
      </w:r>
      <w:bookmarkEnd w:id="37"/>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policies does a broad definition of “gross income” implement and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is the tax treatment of a return of capital? How does this treatment i</w:t>
      </w:r>
      <w:r w:rsidRPr="00576ED7">
        <w:rPr>
          <w:szCs w:val="24"/>
        </w:rPr>
        <w:t>m</w:t>
      </w:r>
      <w:r w:rsidRPr="00576ED7">
        <w:rPr>
          <w:szCs w:val="24"/>
        </w:rPr>
        <w:t>plement the principle that we tax income once?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In determining whether a taxpayer should include certain forms of consum</w:t>
      </w:r>
      <w:r w:rsidRPr="00576ED7">
        <w:rPr>
          <w:szCs w:val="24"/>
        </w:rPr>
        <w:t>p</w:t>
      </w:r>
      <w:r w:rsidRPr="00576ED7">
        <w:rPr>
          <w:szCs w:val="24"/>
        </w:rPr>
        <w:t>tion in his/her gross income, why should it matter that taxpayer has no discretion in what it is he or she must consume (for example, a trip to Germany to view Volkswagon facilities)?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use of appreciated property to pay for something implements the principal that we tax all income once.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What economic distortions result from the Code’s failure to tax imputed i</w:t>
      </w:r>
      <w:r w:rsidRPr="00576ED7">
        <w:rPr>
          <w:szCs w:val="24"/>
        </w:rPr>
        <w:t>n</w:t>
      </w:r>
      <w:r w:rsidRPr="00576ED7">
        <w:rPr>
          <w:szCs w:val="24"/>
        </w:rPr>
        <w:t>come?</w:t>
      </w:r>
    </w:p>
    <w:p w:rsidR="0049128E" w:rsidRPr="00576ED7" w:rsidRDefault="0049128E" w:rsidP="00AB61A1">
      <w:pPr>
        <w:pStyle w:val="Heading2"/>
      </w:pPr>
      <w:r w:rsidRPr="00576ED7">
        <w:br w:type="page"/>
      </w:r>
      <w:r w:rsidRPr="00576ED7">
        <w:lastRenderedPageBreak/>
        <w:fldChar w:fldCharType="begin"/>
      </w:r>
      <w:r w:rsidRPr="00576ED7">
        <w:instrText xml:space="preserve"> TOC \f \* MERGEFORMAT \l "1-5" </w:instrText>
      </w:r>
      <w:r w:rsidRPr="00576ED7">
        <w:fldChar w:fldCharType="end"/>
      </w:r>
      <w:bookmarkStart w:id="38" w:name="_Toc375132925"/>
      <w:r w:rsidRPr="00576ED7">
        <w:t>Chapter 3:  Exclusions from Gross Income</w:t>
      </w:r>
      <w:bookmarkEnd w:id="38"/>
      <w:r w:rsidRPr="00576ED7">
        <w:fldChar w:fldCharType="begin"/>
      </w:r>
      <w:r w:rsidRPr="00576ED7">
        <w:instrText xml:space="preserve"> TC \l1 "Chapter 3:  Exclusions from Gross Income</w:instrText>
      </w:r>
      <w:r w:rsidRPr="00576ED7">
        <w:fldChar w:fldCharType="end"/>
      </w:r>
    </w:p>
    <w:p w:rsidR="0049128E" w:rsidRPr="00576ED7" w:rsidRDefault="0049128E">
      <w:pPr>
        <w:widowControl w:val="0"/>
        <w:rPr>
          <w:szCs w:val="24"/>
        </w:rPr>
      </w:pPr>
    </w:p>
    <w:p w:rsidR="0049128E" w:rsidRPr="00576ED7" w:rsidRDefault="0049128E" w:rsidP="00A6585D">
      <w:pPr>
        <w:widowControl w:val="0"/>
        <w:jc w:val="both"/>
        <w:rPr>
          <w:szCs w:val="24"/>
        </w:rPr>
      </w:pPr>
      <w:r w:rsidRPr="00576ED7">
        <w:rPr>
          <w:szCs w:val="24"/>
        </w:rPr>
        <w:t xml:space="preserve">In this chapter, we take up exclusions from gross income.  Congress has chosen – for various reasons – to permit taxpayers not to “count” certain accessions to wealth in their gross income.  An exclusion is </w:t>
      </w:r>
      <w:r w:rsidRPr="00576ED7">
        <w:rPr>
          <w:i/>
          <w:szCs w:val="24"/>
        </w:rPr>
        <w:t>not</w:t>
      </w:r>
      <w:r w:rsidRPr="00576ED7">
        <w:rPr>
          <w:szCs w:val="24"/>
        </w:rPr>
        <w:t xml:space="preserve"> the same as a deduction.  A d</w:t>
      </w:r>
      <w:r w:rsidRPr="00576ED7">
        <w:rPr>
          <w:szCs w:val="24"/>
        </w:rPr>
        <w:t>e</w:t>
      </w:r>
      <w:r w:rsidRPr="00576ED7">
        <w:rPr>
          <w:szCs w:val="24"/>
        </w:rPr>
        <w:t>duction is a reduction (subtraction) from what would otherwise be “taxable i</w:t>
      </w:r>
      <w:r w:rsidRPr="00576ED7">
        <w:rPr>
          <w:szCs w:val="24"/>
        </w:rPr>
        <w:t>n</w:t>
      </w:r>
      <w:r w:rsidRPr="00576ED7">
        <w:rPr>
          <w:szCs w:val="24"/>
        </w:rPr>
        <w:t>come.”  An exclusion does not even count as “gross income,” and so cannot b</w:t>
      </w:r>
      <w:r w:rsidRPr="00576ED7">
        <w:rPr>
          <w:szCs w:val="24"/>
        </w:rPr>
        <w:t>e</w:t>
      </w:r>
      <w:r w:rsidRPr="00576ED7">
        <w:rPr>
          <w:szCs w:val="24"/>
        </w:rPr>
        <w:t xml:space="preserve">come “taxable income” – even though it usually is quite clearly an “accession to wealth.”  We are still focusing on the first line of the “tax formula” – only now we are examining accessions to wealth that are </w:t>
      </w:r>
      <w:r w:rsidRPr="00576ED7">
        <w:rPr>
          <w:i/>
          <w:szCs w:val="24"/>
        </w:rPr>
        <w:t>not</w:t>
      </w:r>
      <w:r w:rsidRPr="00576ED7">
        <w:rPr>
          <w:szCs w:val="24"/>
        </w:rPr>
        <w:t xml:space="preserve"> included in gross income as o</w:t>
      </w:r>
      <w:r w:rsidRPr="00576ED7">
        <w:rPr>
          <w:szCs w:val="24"/>
        </w:rPr>
        <w:t>p</w:t>
      </w:r>
      <w:r w:rsidRPr="00576ED7">
        <w:rPr>
          <w:szCs w:val="24"/>
        </w:rPr>
        <w:t>posed to those that are.  Deductions come later.</w:t>
      </w:r>
    </w:p>
    <w:p w:rsidR="0049128E" w:rsidRPr="00576ED7" w:rsidRDefault="0049128E" w:rsidP="00A6585D">
      <w:pPr>
        <w:widowControl w:val="0"/>
        <w:jc w:val="both"/>
        <w:rPr>
          <w:szCs w:val="24"/>
        </w:rPr>
      </w:pPr>
    </w:p>
    <w:p w:rsidR="0049128E" w:rsidRPr="00576ED7" w:rsidRDefault="00B54A77" w:rsidP="00A6585D">
      <w:pPr>
        <w:widowControl w:val="0"/>
        <w:jc w:val="both"/>
        <w:rPr>
          <w:szCs w:val="24"/>
        </w:rPr>
      </w:pPr>
      <w:r w:rsidRPr="00576ED7">
        <w:rPr>
          <w:noProof/>
          <w:szCs w:val="24"/>
        </w:rPr>
        <mc:AlternateContent>
          <mc:Choice Requires="wps">
            <w:drawing>
              <wp:anchor distT="152400" distB="152400" distL="152400" distR="152400" simplePos="0" relativeHeight="251655168" behindDoc="0" locked="0" layoutInCell="0" allowOverlap="1" wp14:anchorId="0226146F" wp14:editId="09EAA69E">
                <wp:simplePos x="0" y="0"/>
                <wp:positionH relativeFrom="margin">
                  <wp:posOffset>2390140</wp:posOffset>
                </wp:positionH>
                <wp:positionV relativeFrom="paragraph">
                  <wp:posOffset>36195</wp:posOffset>
                </wp:positionV>
                <wp:extent cx="2690495" cy="2416810"/>
                <wp:effectExtent l="0" t="0" r="14605" b="2159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416810"/>
                        </a:xfrm>
                        <a:prstGeom prst="rect">
                          <a:avLst/>
                        </a:prstGeom>
                        <a:solidFill>
                          <a:srgbClr val="FFFFFF"/>
                        </a:solidFill>
                        <a:ln w="12192">
                          <a:solidFill>
                            <a:srgbClr val="000000"/>
                          </a:solidFill>
                          <a:miter lim="800000"/>
                          <a:headEnd/>
                          <a:tailEnd/>
                        </a:ln>
                      </wps:spPr>
                      <wps:txbx>
                        <w:txbxContent>
                          <w:p w:rsidR="00FF5E72" w:rsidRDefault="00FF5E72" w:rsidP="005D54A9">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 xml:space="preserve">➔   (gross income) </w:t>
                            </w:r>
                          </w:p>
                          <w:p w:rsidR="00FF5E72" w:rsidRDefault="00FF5E72" w:rsidP="005D54A9">
                            <w:pPr>
                              <w:widowControl w:val="0"/>
                              <w:jc w:val="both"/>
                              <w:rPr>
                                <w:rFonts w:ascii="Tw Cen MT" w:hAnsi="Tw Cen MT"/>
                              </w:rPr>
                            </w:pPr>
                            <w:r>
                              <w:rPr>
                                <w:rFonts w:ascii="Tw Cen MT" w:hAnsi="Tw Cen MT"/>
                                <w:u w:val="single"/>
                              </w:rPr>
                              <w:t>MINUS deductions named in § 62</w:t>
                            </w:r>
                          </w:p>
                          <w:p w:rsidR="00FF5E72" w:rsidRDefault="00FF5E72" w:rsidP="005D54A9">
                            <w:pPr>
                              <w:widowControl w:val="0"/>
                              <w:jc w:val="both"/>
                              <w:rPr>
                                <w:rFonts w:ascii="Tw Cen MT" w:hAnsi="Tw Cen MT"/>
                              </w:rPr>
                            </w:pPr>
                            <w:r>
                              <w:rPr>
                                <w:rFonts w:ascii="Tw Cen MT" w:hAnsi="Tw Cen MT"/>
                              </w:rPr>
                              <w:t>EQUALS (adjusted gross income (AGI))</w:t>
                            </w:r>
                          </w:p>
                          <w:p w:rsidR="00FF5E72" w:rsidRDefault="00FF5E72" w:rsidP="005D54A9">
                            <w:pPr>
                              <w:widowControl w:val="0"/>
                              <w:jc w:val="both"/>
                              <w:rPr>
                                <w:rFonts w:ascii="Tw Cen MT" w:hAnsi="Tw Cen MT"/>
                              </w:rPr>
                            </w:pPr>
                            <w:r>
                              <w:rPr>
                                <w:rFonts w:ascii="Tw Cen MT" w:hAnsi="Tw Cen MT"/>
                              </w:rPr>
                              <w:t>MINUS (standard deduction or itemized deductions)</w:t>
                            </w:r>
                          </w:p>
                          <w:p w:rsidR="00FF5E72" w:rsidRDefault="00FF5E72" w:rsidP="005D54A9">
                            <w:pPr>
                              <w:widowControl w:val="0"/>
                              <w:jc w:val="both"/>
                              <w:rPr>
                                <w:rFonts w:ascii="Tw Cen MT" w:hAnsi="Tw Cen MT"/>
                              </w:rPr>
                            </w:pPr>
                            <w:r>
                              <w:rPr>
                                <w:rFonts w:ascii="Tw Cen MT" w:hAnsi="Tw Cen MT"/>
                              </w:rPr>
                              <w:t>MINUS (personal exemptions)</w:t>
                            </w:r>
                          </w:p>
                          <w:p w:rsidR="00FF5E72" w:rsidRDefault="00FF5E72" w:rsidP="005D54A9">
                            <w:pPr>
                              <w:widowControl w:val="0"/>
                              <w:jc w:val="both"/>
                              <w:rPr>
                                <w:rFonts w:ascii="Tw Cen MT" w:hAnsi="Tw Cen MT"/>
                              </w:rPr>
                            </w:pPr>
                            <w:r>
                              <w:rPr>
                                <w:rFonts w:ascii="Tw Cen MT" w:hAnsi="Tw Cen MT"/>
                              </w:rPr>
                              <w:t>EQUALS (taxable income)</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Compute income tax liability from tables in § 1 (indexed for inflation)</w:t>
                            </w:r>
                          </w:p>
                          <w:p w:rsidR="00FF5E72" w:rsidRDefault="00FF5E72" w:rsidP="005D54A9">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188.2pt;margin-top:2.85pt;width:211.85pt;height:190.3pt;z-index:251655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6XLQIAAFwEAAAOAAAAZHJzL2Uyb0RvYy54bWysVNtu2zAMfR+wfxD0vvjSLk2MOEWXLsOA&#10;7gK0+wBZlm1hsqhJSuzs60vJSRZ028swPwiiRB2S55Be3Y69InthnQRd0myWUiI0h1rqtqTfnrZv&#10;FpQ4z3TNFGhR0oNw9Hb9+tVqMIXIoQNVC0sQRLtiMCXtvDdFkjjeiZ65GRih8bIB2zOPpm2T2rIB&#10;0XuV5Gk6TwawtbHAhXN4ej9d0nXEbxrB/ZemccITVVLMzcfVxrUKa7JesaK1zHSSH9Ng/5BFz6TG&#10;oGeoe+YZ2Vn5G1QvuQUHjZ9x6BNoGslFrAGrydIX1Tx2zIhYC5LjzJkm9/9g+ef9V0tkXdKbJSWa&#10;9ajRkxg9eQcjuVoGfgbjCnR7NOjoRzxHnWOtzjwA/+6Ihk3HdCvurIWhE6zG/LLwMrl4OuG4AFIN&#10;n6DGOGznIQKNje0DeUgHQXTU6XDWJuTC8TCfL9Pr5VtKON7l19l8kUX1Elacnhvr/AcBPQmbkloU&#10;P8Kz/YPzIR1WnFxCNAdK1lupVDRsW22UJXuGjbKNX6zghZvSZMDi8myZTxT8FSON358weumx5ZXs&#10;S7o4O7EiEPde17EhPZNq2mPOSh+ZDORNNPqxGqNoVzcnhSqoD8ithanFcSRx04H9ScmA7V1S92PH&#10;rKBEfdSoz80cpwfn4dKwl0Z1aTDNEaqknpJpu/HTDO2MlW2HkaaO0HCHmjYysh3En7I65o8tHEU4&#10;jluYkUs7ev36KayfAQAA//8DAFBLAwQUAAYACAAAACEAkkeoMNwAAAAJAQAADwAAAGRycy9kb3du&#10;cmV2LnhtbEyPwU7DMBBE70j8g7VI3KjdFtIoxKlQJO5NKIKjGy9JRLwOsduEv2c5wXH1RjNv8/3i&#10;BnHBKfSeNKxXCgRS421PrYbjy/NdCiJEQ9YMnlDDNwbYF9dXucmsn6nCSx1bwSUUMqOhi3HMpAxN&#10;h86ElR+RmH34yZnI59RKO5mZy90gN0ol0pmeeKEzI5YdNp/12WnwVVW+buqvw1s527KdD0sc3zut&#10;b2+Wp0cQEZf4F4ZffVaHgp1O/kw2iEHDdpfcc1TDww4E81SpNYgTgzTZgixy+f+D4gcAAP//AwBQ&#10;SwECLQAUAAYACAAAACEAtoM4kv4AAADhAQAAEwAAAAAAAAAAAAAAAAAAAAAAW0NvbnRlbnRfVHlw&#10;ZXNdLnhtbFBLAQItABQABgAIAAAAIQA4/SH/1gAAAJQBAAALAAAAAAAAAAAAAAAAAC8BAABfcmVs&#10;cy8ucmVsc1BLAQItABQABgAIAAAAIQAXqC6XLQIAAFwEAAAOAAAAAAAAAAAAAAAAAC4CAABkcnMv&#10;ZTJvRG9jLnhtbFBLAQItABQABgAIAAAAIQCSR6gw3AAAAAkBAAAPAAAAAAAAAAAAAAAAAIcEAABk&#10;cnMvZG93bnJldi54bWxQSwUGAAAAAAQABADzAAAAkAUAAAAA&#10;" o:allowincell="f" strokeweight=".96pt">
                <v:textbox inset="6pt,6pt,6pt,6pt">
                  <w:txbxContent>
                    <w:p w:rsidR="00FF5E72" w:rsidRDefault="00FF5E72" w:rsidP="005D54A9">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 xml:space="preserve">➔   (gross income) </w:t>
                      </w:r>
                    </w:p>
                    <w:p w:rsidR="00FF5E72" w:rsidRDefault="00FF5E72" w:rsidP="005D54A9">
                      <w:pPr>
                        <w:widowControl w:val="0"/>
                        <w:jc w:val="both"/>
                        <w:rPr>
                          <w:rFonts w:ascii="Tw Cen MT" w:hAnsi="Tw Cen MT"/>
                        </w:rPr>
                      </w:pPr>
                      <w:r>
                        <w:rPr>
                          <w:rFonts w:ascii="Tw Cen MT" w:hAnsi="Tw Cen MT"/>
                          <w:u w:val="single"/>
                        </w:rPr>
                        <w:t>MINUS deductions named in § 62</w:t>
                      </w:r>
                    </w:p>
                    <w:p w:rsidR="00FF5E72" w:rsidRDefault="00FF5E72" w:rsidP="005D54A9">
                      <w:pPr>
                        <w:widowControl w:val="0"/>
                        <w:jc w:val="both"/>
                        <w:rPr>
                          <w:rFonts w:ascii="Tw Cen MT" w:hAnsi="Tw Cen MT"/>
                        </w:rPr>
                      </w:pPr>
                      <w:r>
                        <w:rPr>
                          <w:rFonts w:ascii="Tw Cen MT" w:hAnsi="Tw Cen MT"/>
                        </w:rPr>
                        <w:t>EQUALS (adjusted gross income (AGI))</w:t>
                      </w:r>
                    </w:p>
                    <w:p w:rsidR="00FF5E72" w:rsidRDefault="00FF5E72" w:rsidP="005D54A9">
                      <w:pPr>
                        <w:widowControl w:val="0"/>
                        <w:jc w:val="both"/>
                        <w:rPr>
                          <w:rFonts w:ascii="Tw Cen MT" w:hAnsi="Tw Cen MT"/>
                        </w:rPr>
                      </w:pPr>
                      <w:r>
                        <w:rPr>
                          <w:rFonts w:ascii="Tw Cen MT" w:hAnsi="Tw Cen MT"/>
                        </w:rPr>
                        <w:t>MINUS (standard deduction or itemized deductions)</w:t>
                      </w:r>
                    </w:p>
                    <w:p w:rsidR="00FF5E72" w:rsidRDefault="00FF5E72" w:rsidP="005D54A9">
                      <w:pPr>
                        <w:widowControl w:val="0"/>
                        <w:jc w:val="both"/>
                        <w:rPr>
                          <w:rFonts w:ascii="Tw Cen MT" w:hAnsi="Tw Cen MT"/>
                        </w:rPr>
                      </w:pPr>
                      <w:r>
                        <w:rPr>
                          <w:rFonts w:ascii="Tw Cen MT" w:hAnsi="Tw Cen MT"/>
                        </w:rPr>
                        <w:t>MINUS (personal exemptions)</w:t>
                      </w:r>
                    </w:p>
                    <w:p w:rsidR="00FF5E72" w:rsidRDefault="00FF5E72" w:rsidP="005D54A9">
                      <w:pPr>
                        <w:widowControl w:val="0"/>
                        <w:jc w:val="both"/>
                        <w:rPr>
                          <w:rFonts w:ascii="Tw Cen MT" w:hAnsi="Tw Cen MT"/>
                        </w:rPr>
                      </w:pPr>
                      <w:r>
                        <w:rPr>
                          <w:rFonts w:ascii="Tw Cen MT" w:hAnsi="Tw Cen MT"/>
                        </w:rPr>
                        <w:t>EQUALS (taxable income)</w:t>
                      </w:r>
                    </w:p>
                    <w:p w:rsidR="00FF5E72" w:rsidRDefault="00FF5E72" w:rsidP="005D54A9">
                      <w:pPr>
                        <w:widowControl w:val="0"/>
                        <w:jc w:val="both"/>
                        <w:rPr>
                          <w:rFonts w:ascii="Tw Cen MT" w:hAnsi="Tw Cen MT"/>
                        </w:rPr>
                      </w:pPr>
                    </w:p>
                    <w:p w:rsidR="00FF5E72" w:rsidRDefault="00FF5E72" w:rsidP="005D54A9">
                      <w:pPr>
                        <w:widowControl w:val="0"/>
                        <w:jc w:val="both"/>
                        <w:rPr>
                          <w:rFonts w:ascii="Tw Cen MT" w:hAnsi="Tw Cen MT"/>
                        </w:rPr>
                      </w:pPr>
                      <w:r>
                        <w:rPr>
                          <w:rFonts w:ascii="Tw Cen MT" w:hAnsi="Tw Cen MT"/>
                        </w:rPr>
                        <w:t>Compute income tax liability from tables in § 1 (indexed for inflation)</w:t>
                      </w:r>
                    </w:p>
                    <w:p w:rsidR="00FF5E72" w:rsidRDefault="00FF5E72" w:rsidP="005D54A9">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availability of exclusions may have several consequences:</w:t>
      </w:r>
    </w:p>
    <w:p w:rsidR="0049128E" w:rsidRPr="00576ED7" w:rsidRDefault="0049128E" w:rsidP="00A6585D">
      <w:pPr>
        <w:widowControl w:val="0"/>
        <w:ind w:left="720" w:hanging="720"/>
        <w:jc w:val="both"/>
        <w:rPr>
          <w:szCs w:val="24"/>
        </w:rPr>
      </w:pPr>
      <w:r w:rsidRPr="00576ED7">
        <w:rPr>
          <w:szCs w:val="24"/>
        </w:rPr>
        <w:tab/>
        <w:t>•Taxpayers may feel encou</w:t>
      </w:r>
      <w:r w:rsidRPr="00576ED7">
        <w:rPr>
          <w:szCs w:val="24"/>
        </w:rPr>
        <w:t>r</w:t>
      </w:r>
      <w:r w:rsidRPr="00576ED7">
        <w:rPr>
          <w:szCs w:val="24"/>
        </w:rPr>
        <w:t>agement to seek wealth in forms that the Code excludes from their gross income.  They will do this at the e</w:t>
      </w:r>
      <w:r w:rsidRPr="00576ED7">
        <w:rPr>
          <w:szCs w:val="24"/>
        </w:rPr>
        <w:t>x</w:t>
      </w:r>
      <w:r w:rsidRPr="00576ED7">
        <w:rPr>
          <w:szCs w:val="24"/>
        </w:rPr>
        <w:t>pense (opportunity cost) of procuring wealth in a form subject to income tax.</w:t>
      </w:r>
    </w:p>
    <w:p w:rsidR="0049128E" w:rsidRPr="00576ED7" w:rsidRDefault="0049128E" w:rsidP="00A6585D">
      <w:pPr>
        <w:widowControl w:val="0"/>
        <w:ind w:left="720"/>
        <w:jc w:val="both"/>
        <w:rPr>
          <w:szCs w:val="24"/>
        </w:rPr>
      </w:pPr>
      <w:r w:rsidRPr="00576ED7">
        <w:rPr>
          <w:szCs w:val="24"/>
        </w:rPr>
        <w:t>•The fact that a taxpayer may acquire a particular form of wealth without bea</w:t>
      </w:r>
      <w:r w:rsidRPr="00576ED7">
        <w:rPr>
          <w:szCs w:val="24"/>
        </w:rPr>
        <w:t>r</w:t>
      </w:r>
      <w:r w:rsidRPr="00576ED7">
        <w:rPr>
          <w:szCs w:val="24"/>
        </w:rPr>
        <w:t>ing any tax burden does not mean that the taxpayer ne</w:t>
      </w:r>
      <w:r w:rsidRPr="00576ED7">
        <w:rPr>
          <w:szCs w:val="24"/>
        </w:rPr>
        <w:t>c</w:t>
      </w:r>
      <w:r w:rsidRPr="00576ED7">
        <w:rPr>
          <w:szCs w:val="24"/>
        </w:rPr>
        <w:t>essarily enjoys the full benefit of the exclusion.  Others may “capture” some or all of the benefit.</w:t>
      </w:r>
    </w:p>
    <w:p w:rsidR="0049128E" w:rsidRPr="00576ED7" w:rsidRDefault="0049128E" w:rsidP="00A6585D">
      <w:pPr>
        <w:widowControl w:val="0"/>
        <w:ind w:left="720"/>
        <w:jc w:val="both"/>
        <w:rPr>
          <w:szCs w:val="24"/>
        </w:rPr>
      </w:pPr>
      <w:r w:rsidRPr="00576ED7">
        <w:rPr>
          <w:szCs w:val="24"/>
        </w:rPr>
        <w:t>•The fact that many taxpayers find a particular benefit to be attractive will most certainly affect the market for that benefit, e.g., health care.  Taxpa</w:t>
      </w:r>
      <w:r w:rsidRPr="00576ED7">
        <w:rPr>
          <w:szCs w:val="24"/>
        </w:rPr>
        <w:t>y</w:t>
      </w:r>
      <w:r w:rsidRPr="00576ED7">
        <w:rPr>
          <w:szCs w:val="24"/>
        </w:rPr>
        <w:t>ers acting as consumers will bid up the price of the benefit and so must spend more to acquire such forms of wealth (benefits) than they would if all taxpayers had to purchase the benefit with after-tax dollars.  The price of acquiring the tax-favored benefit will change.  Entrepreneurs may be encouraged to enter fields in which their customers can purchase their goods and services with untaxed dollars.  Such entrepreneurs might have created more societal value by selling other goods and services.</w:t>
      </w:r>
    </w:p>
    <w:p w:rsidR="0049128E" w:rsidRPr="00576ED7" w:rsidRDefault="0049128E" w:rsidP="00A6585D">
      <w:pPr>
        <w:widowControl w:val="0"/>
        <w:ind w:left="720"/>
        <w:jc w:val="both"/>
        <w:rPr>
          <w:szCs w:val="24"/>
        </w:rPr>
      </w:pPr>
      <w:r w:rsidRPr="00576ED7">
        <w:rPr>
          <w:szCs w:val="24"/>
        </w:rPr>
        <w:lastRenderedPageBreak/>
        <w:t>•The Treasury obviously must forego tax revenues simply because these accessions to wealth are not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light of these points, you should consider the net effectiveness of exclusions from gross income as a means of congressional pursuit of policy.  Consider also whether there are better ways to accomplish these objectives.  We will consider the parameters of some exclusions and note others.  This text groups excluded benefits very roughly into three overlapping categories:  those that encourage the development of the society and government that we want, those that encourage the creation of social benefits – perhaps of a sort that the government might ot</w:t>
      </w:r>
      <w:r w:rsidRPr="00576ED7">
        <w:rPr>
          <w:szCs w:val="24"/>
        </w:rPr>
        <w:t>h</w:t>
      </w:r>
      <w:r w:rsidRPr="00576ED7">
        <w:rPr>
          <w:szCs w:val="24"/>
        </w:rPr>
        <w:t>erwise feel obliged to provide, and those that are employment-based.</w:t>
      </w:r>
    </w:p>
    <w:p w:rsidR="0049128E" w:rsidRPr="00576ED7" w:rsidRDefault="0049128E" w:rsidP="00A6585D">
      <w:pPr>
        <w:widowControl w:val="0"/>
        <w:jc w:val="both"/>
        <w:rPr>
          <w:szCs w:val="24"/>
        </w:rPr>
      </w:pPr>
    </w:p>
    <w:p w:rsidR="0049128E" w:rsidRPr="00576ED7" w:rsidRDefault="0049128E" w:rsidP="00910345">
      <w:pPr>
        <w:pStyle w:val="Heading3"/>
      </w:pPr>
      <w:bookmarkStart w:id="39" w:name="_Toc375132926"/>
      <w:r w:rsidRPr="00576ED7">
        <w:t>I.  The Society and Government that We Want</w:t>
      </w:r>
      <w:bookmarkEnd w:id="39"/>
      <w:r w:rsidRPr="00576ED7">
        <w:fldChar w:fldCharType="begin"/>
      </w:r>
      <w:r w:rsidRPr="00576ED7">
        <w:instrText xml:space="preserve"> TC \l1 "I.  The Society and Government that We Want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w:t>
      </w:r>
      <w:r w:rsidRPr="00576ED7">
        <w:rPr>
          <w:szCs w:val="24"/>
        </w:rPr>
        <w:t>r</w:t>
      </w:r>
      <w:r w:rsidRPr="00576ED7">
        <w:rPr>
          <w:szCs w:val="24"/>
        </w:rPr>
        <w:t>tain type of society and government.  You might see in such provisions as §§ 102, 103, 107, and 121 the policies of generosity, federalism, spiritual growth, and home ownership.  Consider:</w:t>
      </w:r>
    </w:p>
    <w:p w:rsidR="0049128E" w:rsidRPr="00576ED7" w:rsidRDefault="0049128E" w:rsidP="00A6585D">
      <w:pPr>
        <w:widowControl w:val="0"/>
        <w:ind w:left="720"/>
        <w:jc w:val="both"/>
        <w:rPr>
          <w:szCs w:val="24"/>
        </w:rPr>
      </w:pPr>
      <w:r w:rsidRPr="00576ED7">
        <w:rPr>
          <w:szCs w:val="24"/>
        </w:rPr>
        <w:t>•Whether these are policies that the government should pursue;</w:t>
      </w:r>
    </w:p>
    <w:p w:rsidR="0049128E" w:rsidRPr="00576ED7" w:rsidRDefault="0049128E" w:rsidP="00A6585D">
      <w:pPr>
        <w:widowControl w:val="0"/>
        <w:ind w:left="720"/>
        <w:jc w:val="both"/>
        <w:rPr>
          <w:szCs w:val="24"/>
        </w:rPr>
      </w:pPr>
      <w:r w:rsidRPr="00576ED7">
        <w:rPr>
          <w:szCs w:val="24"/>
        </w:rPr>
        <w:t>•Whether tax benefits are the appropriate means of pursuing these policies.  After all, those who choose to avail themselves of the benefits of these tax benefits do so at the expense of taxpayers who do not;</w:t>
      </w:r>
    </w:p>
    <w:p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and/or capture by those other than the inten</w:t>
      </w:r>
      <w:r w:rsidRPr="00576ED7">
        <w:rPr>
          <w:szCs w:val="24"/>
        </w:rPr>
        <w:t>d</w:t>
      </w:r>
      <w:r w:rsidRPr="00576ED7">
        <w:rPr>
          <w:szCs w:val="24"/>
        </w:rPr>
        <w:t>ed beneficiaries.</w:t>
      </w:r>
    </w:p>
    <w:p w:rsidR="003C07D8" w:rsidRDefault="003C07D8" w:rsidP="00B54A77">
      <w:pPr>
        <w:widowControl w:val="0"/>
        <w:ind w:left="720"/>
        <w:jc w:val="both"/>
        <w:rPr>
          <w:szCs w:val="24"/>
        </w:rPr>
      </w:pPr>
    </w:p>
    <w:p w:rsidR="003C07D8" w:rsidRPr="00576ED7" w:rsidRDefault="003C07D8" w:rsidP="00B54A77">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 10</w:t>
      </w:r>
      <w:r w:rsidR="002471C6">
        <w:rPr>
          <w:i/>
          <w:szCs w:val="24"/>
        </w:rPr>
        <w:t>2, and Related Basis Rules, §§ 1014, 1015</w:t>
      </w:r>
      <w:r w:rsidRPr="00576ED7">
        <w:rPr>
          <w:szCs w:val="24"/>
        </w:rPr>
        <w:fldChar w:fldCharType="begin"/>
      </w:r>
      <w:r w:rsidRPr="00576ED7">
        <w:rPr>
          <w:i/>
          <w:szCs w:val="24"/>
        </w:rPr>
        <w:instrText xml:space="preserve"> TC \l2 "A.  Gifts and Inheritances:  § 102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102.  There has always been an exclusion for gifts and inheritances from the federal income tax in the Code.  Perhaps Congress has always felt that it would be inappropriate to assess a tax on the generosity of relatives who give birthday and Christmas gifts – sometimes very expensive ones.  But:</w:t>
      </w:r>
    </w:p>
    <w:p w:rsidR="0049128E" w:rsidRPr="00576ED7" w:rsidRDefault="0049128E" w:rsidP="00A6585D">
      <w:pPr>
        <w:widowControl w:val="0"/>
        <w:ind w:left="720"/>
        <w:jc w:val="both"/>
        <w:rPr>
          <w:szCs w:val="24"/>
        </w:rPr>
      </w:pPr>
      <w:r w:rsidRPr="00576ED7">
        <w:rPr>
          <w:szCs w:val="24"/>
        </w:rPr>
        <w:t>•Is it possible that this may lead to a culture of gift-giving in contexts ot</w:t>
      </w:r>
      <w:r w:rsidRPr="00576ED7">
        <w:rPr>
          <w:szCs w:val="24"/>
        </w:rPr>
        <w:t>h</w:t>
      </w:r>
      <w:r w:rsidRPr="00576ED7">
        <w:rPr>
          <w:szCs w:val="24"/>
        </w:rPr>
        <w:t>er than the family – whose effects may not reflect generosity or affection?</w:t>
      </w:r>
    </w:p>
    <w:p w:rsidR="0049128E" w:rsidRPr="00576ED7" w:rsidRDefault="0049128E" w:rsidP="00A6585D">
      <w:pPr>
        <w:widowControl w:val="0"/>
        <w:ind w:left="720"/>
        <w:jc w:val="both"/>
        <w:rPr>
          <w:szCs w:val="24"/>
        </w:rPr>
      </w:pPr>
      <w:r w:rsidRPr="00576ED7">
        <w:rPr>
          <w:szCs w:val="24"/>
        </w:rPr>
        <w:t xml:space="preserve">•If so, is it possible that the costs of such gifts will escalate, and is it not certain that the donor will (at least try to) deduct the escalating costs of </w:t>
      </w:r>
      <w:r w:rsidRPr="00576ED7">
        <w:rPr>
          <w:szCs w:val="24"/>
        </w:rPr>
        <w:lastRenderedPageBreak/>
        <w:t>such gifts?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two cases concern the provision of the Internal Revenue Code which e</w:t>
      </w:r>
      <w:r w:rsidRPr="00576ED7">
        <w:rPr>
          <w:szCs w:val="24"/>
        </w:rPr>
        <w:t>x</w:t>
      </w:r>
      <w:r w:rsidRPr="00576ED7">
        <w:rPr>
          <w:szCs w:val="24"/>
        </w:rPr>
        <w:t>cludes from the gross income of an income taxpayer “the value of property a</w:t>
      </w:r>
      <w:r w:rsidRPr="00576ED7">
        <w:rPr>
          <w:szCs w:val="24"/>
        </w:rPr>
        <w:t>c</w:t>
      </w:r>
      <w:r w:rsidRPr="00576ED7">
        <w:rPr>
          <w:szCs w:val="24"/>
        </w:rPr>
        <w:t>quired by gift.”  [footnote omitted] ... The importance to decision of the facts of the cases requires that we state them in some detail.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w:t>
      </w:r>
      <w:r w:rsidRPr="00576ED7">
        <w:rPr>
          <w:szCs w:val="24"/>
        </w:rPr>
        <w:t>t</w:t>
      </w:r>
      <w:r w:rsidRPr="00576ED7">
        <w:rPr>
          <w:szCs w:val="24"/>
        </w:rPr>
        <w:t>ted] was president of the Duberstein Iron &amp; Metal Company, a corporation with headquarters in Dayton, Ohio.  For some years, the taxpayer’s company had done business with Mohawk Metal Corporation, whose headquarters were in New York City.  The president of Mohawk was one Berman.  The taxpayer and Berman had generally used the telephone to transact their companies’ business with each ot</w:t>
      </w:r>
      <w:r w:rsidRPr="00576ED7">
        <w:rPr>
          <w:szCs w:val="24"/>
        </w:rPr>
        <w:t>h</w:t>
      </w:r>
      <w:r w:rsidRPr="00576ED7">
        <w:rPr>
          <w:szCs w:val="24"/>
        </w:rPr>
        <w:t>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w:t>
      </w:r>
      <w:r w:rsidRPr="00576ED7">
        <w:rPr>
          <w:szCs w:val="24"/>
        </w:rPr>
        <w:t>o</w:t>
      </w:r>
      <w:r w:rsidRPr="00576ED7">
        <w:rPr>
          <w:szCs w:val="24"/>
        </w:rPr>
        <w:t>hawk’s products in which Duberstein’s company itself was not interested.  Duberstein provided the names of potential customers for these items.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w:t>
      </w:r>
      <w:r w:rsidRPr="00576ED7">
        <w:rPr>
          <w:szCs w:val="24"/>
        </w:rPr>
        <w:t>r</w:t>
      </w:r>
      <w:r w:rsidRPr="00576ED7">
        <w:rPr>
          <w:szCs w:val="24"/>
        </w:rPr>
        <w:t>mation about the customers.  It appeared that Mohawk later deducted the value of the Cadillac as a business expense on its corporate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Duberstein did not include the value of the Cadillac in gross income for 1951, deeming it a gift.  The Commissioner asserted a deficiency for the car’s value </w:t>
      </w:r>
      <w:r w:rsidRPr="00576ED7">
        <w:rPr>
          <w:szCs w:val="24"/>
        </w:rPr>
        <w:lastRenderedPageBreak/>
        <w:t>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Pr="00576ED7">
        <w:rPr>
          <w:szCs w:val="24"/>
        </w:rPr>
        <w:t>.  The taxpayer, Stanton, had been for approx</w:t>
      </w:r>
      <w:r w:rsidRPr="00576ED7">
        <w:rPr>
          <w:szCs w:val="24"/>
        </w:rPr>
        <w:t>i</w:t>
      </w:r>
      <w:r w:rsidRPr="00576ED7">
        <w:rPr>
          <w:szCs w:val="24"/>
        </w:rPr>
        <w:t>mately 10 years in the employ of Trinity Church in New York City.  He was comptroller of the Church corporation, and president of a corporation, Trinity O</w:t>
      </w:r>
      <w:r w:rsidRPr="00576ED7">
        <w:rPr>
          <w:szCs w:val="24"/>
        </w:rPr>
        <w:t>p</w:t>
      </w:r>
      <w:r w:rsidRPr="00576ED7">
        <w:rPr>
          <w:szCs w:val="24"/>
        </w:rPr>
        <w:t>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Company’s directors, who seem to have included the rector and vestrymen of the church, passed the following resolution upon his re</w:t>
      </w:r>
      <w:r w:rsidRPr="00576ED7">
        <w:rPr>
          <w:szCs w:val="24"/>
        </w:rPr>
        <w:t>s</w:t>
      </w:r>
      <w:r w:rsidRPr="00576ED7">
        <w:rPr>
          <w:szCs w:val="24"/>
        </w:rPr>
        <w:t>ignation:</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“Be it resolved that, in appreciation of the services rendered by Mr. Sta</w:t>
      </w:r>
      <w:r w:rsidRPr="00576ED7">
        <w:rPr>
          <w:szCs w:val="24"/>
        </w:rPr>
        <w:t>n</w:t>
      </w:r>
      <w:r w:rsidRPr="00576ED7">
        <w:rPr>
          <w:szCs w:val="24"/>
        </w:rPr>
        <w:t>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w:t>
      </w:r>
      <w:r w:rsidRPr="00576ED7">
        <w:rPr>
          <w:szCs w:val="24"/>
        </w:rPr>
        <w:t>e</w:t>
      </w:r>
      <w:r w:rsidRPr="00576ED7">
        <w:rPr>
          <w:szCs w:val="24"/>
        </w:rPr>
        <w:t>tirement benefits not already accrued up to November 30, 1942.”</w:t>
      </w:r>
    </w:p>
    <w:p w:rsidR="002471C6" w:rsidRPr="00576ED7" w:rsidRDefault="002471C6"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w:t>
      </w:r>
      <w:r w:rsidRPr="00576ED7">
        <w:rPr>
          <w:szCs w:val="24"/>
        </w:rPr>
        <w:t>u</w:t>
      </w:r>
      <w:r w:rsidRPr="00576ED7">
        <w:rPr>
          <w:szCs w:val="24"/>
        </w:rPr>
        <w:t>ation.  He did a splendid piece of work, we felt.  Besides that ... , he was liked by all of the members of the Vestry personally.”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And by another: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w:t>
      </w:r>
      <w:r w:rsidRPr="00576ED7">
        <w:rPr>
          <w:szCs w:val="24"/>
        </w:rPr>
        <w:t>o</w:t>
      </w:r>
      <w:r w:rsidRPr="00576ED7">
        <w:rPr>
          <w:szCs w:val="24"/>
        </w:rPr>
        <w:t xml:space="preserve">ing in business for himself.  We felt that he was entitled to that evidence of </w:t>
      </w:r>
      <w:r w:rsidRPr="00576ED7">
        <w:rPr>
          <w:szCs w:val="24"/>
        </w:rPr>
        <w:lastRenderedPageBreak/>
        <w:t>good will.”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evidently attended by some acrimony.  At a special board meeting on October 28, 1942, Stanton had intervened on Watkins’ side and asked reconsideration of the matter.  The minutes reflect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Board adhered to its determination that Watkins be separated from emplo</w:t>
      </w:r>
      <w:r w:rsidRPr="00576ED7">
        <w:rPr>
          <w:szCs w:val="24"/>
        </w:rPr>
        <w:t>y</w:t>
      </w:r>
      <w:r w:rsidRPr="00576ED7">
        <w:rPr>
          <w:szCs w:val="24"/>
        </w:rPr>
        <w:t>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out of an abundance of caution.  The taxpayer received in cash a refund of his contributions to the retirement plans, and there is no suggestion that he was entitled to more.  He was required to perform no further services for Trinity after his resignation.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w:t>
      </w:r>
      <w:r w:rsidRPr="00576ED7">
        <w:rPr>
          <w:szCs w:val="24"/>
        </w:rPr>
        <w:t>x</w:t>
      </w:r>
      <w:r w:rsidRPr="00576ED7">
        <w:rPr>
          <w:szCs w:val="24"/>
        </w:rPr>
        <w:t>payer.  The Court of Appeals for the Second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taxpayer’s petition in No. 546.  On this basis, and b</w:t>
      </w:r>
      <w:r w:rsidRPr="00576ED7">
        <w:rPr>
          <w:szCs w:val="24"/>
        </w:rPr>
        <w:t>e</w:t>
      </w:r>
      <w:r w:rsidRPr="00576ED7">
        <w:rPr>
          <w:szCs w:val="24"/>
        </w:rPr>
        <w:lastRenderedPageBreak/>
        <w:t>cause of the importance of the question in the administration of the income tax laws, we granted certiorari in both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income tax statutes ever since.  The meaning of the term “gift” as applied to particular transfers has always been a matter of contention.  [footnote omitted] Specific and illuminating legislative history on the point does not appear to exist.  Analogies and inferences drawn from other revenue provisions, such as the estate and gift taxes, are dubious. [citation omitted].  The meaning of the statutory term has been shaped largely by the decisional law.  With this, we turn to the conte</w:t>
      </w:r>
      <w:r w:rsidRPr="00576ED7">
        <w:rPr>
          <w:szCs w:val="24"/>
        </w:rPr>
        <w:t>n</w:t>
      </w:r>
      <w:r w:rsidRPr="00576ED7">
        <w:rPr>
          <w:szCs w:val="24"/>
        </w:rPr>
        <w:t>tions made by the Government in these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w:t>
      </w:r>
      <w:r w:rsidRPr="00576ED7">
        <w:rPr>
          <w:szCs w:val="24"/>
        </w:rPr>
        <w:t>l</w:t>
      </w:r>
      <w:r w:rsidRPr="00576ED7">
        <w:rPr>
          <w:szCs w:val="24"/>
        </w:rPr>
        <w:t>ing with the numerous cases that arise.  [footnote omitted] We reject this invit</w:t>
      </w:r>
      <w:r w:rsidRPr="00576ED7">
        <w:rPr>
          <w:szCs w:val="24"/>
        </w:rPr>
        <w:t>a</w:t>
      </w:r>
      <w:r w:rsidRPr="00576ED7">
        <w:rPr>
          <w:szCs w:val="24"/>
        </w:rPr>
        <w:t>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w:t>
      </w:r>
      <w:r w:rsidRPr="00576ED7">
        <w:rPr>
          <w:szCs w:val="24"/>
        </w:rPr>
        <w:t>n</w:t>
      </w:r>
      <w:r w:rsidRPr="00576ED7">
        <w:rPr>
          <w:szCs w:val="24"/>
        </w:rPr>
        <w:t>crete cases.  The cases at bar are fair examples of the settings in which the pro</w:t>
      </w:r>
      <w:r w:rsidRPr="00576ED7">
        <w:rPr>
          <w:szCs w:val="24"/>
        </w:rPr>
        <w:t>b</w:t>
      </w:r>
      <w:r w:rsidRPr="00576ED7">
        <w:rPr>
          <w:szCs w:val="24"/>
        </w:rPr>
        <w:t>lem usually arises.  They present situations in which payments have been made in a context with business overtones – an employer making a payment to a retiring employee; a businessman giving something of value to another businessman who has been of advantage to him in his business.  In this context, we review the law as established by the prior cases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w:t>
      </w:r>
      <w:r w:rsidRPr="00576ED7">
        <w:rPr>
          <w:szCs w:val="24"/>
        </w:rPr>
        <w:t>y</w:t>
      </w:r>
      <w:r w:rsidRPr="00576ED7">
        <w:rPr>
          <w:szCs w:val="24"/>
        </w:rPr>
        <w:t xml:space="preserve">ment does not establish that it is a gift.  </w:t>
      </w:r>
      <w:r w:rsidRPr="00576ED7">
        <w:rPr>
          <w:i/>
          <w:szCs w:val="24"/>
        </w:rPr>
        <w:t>Old Colony Trust Co. v. Commissioner</w:t>
      </w:r>
      <w:r w:rsidRPr="00576ED7">
        <w:rPr>
          <w:szCs w:val="24"/>
        </w:rPr>
        <w:t>, 279 U.S. 716, 730.  And, importantly, if the payment proceeds primarily from “the constraining force of any moral or legal duty,” or from “the incentive of a</w:t>
      </w:r>
      <w:r w:rsidRPr="00576ED7">
        <w:rPr>
          <w:szCs w:val="24"/>
        </w:rPr>
        <w:t>n</w:t>
      </w:r>
      <w:r w:rsidRPr="00576ED7">
        <w:rPr>
          <w:szCs w:val="24"/>
        </w:rPr>
        <w:t xml:space="preserve">ticipated benefit” of an economic nature, </w:t>
      </w:r>
      <w:r w:rsidRPr="00576ED7">
        <w:rPr>
          <w:i/>
          <w:szCs w:val="24"/>
        </w:rPr>
        <w:t>Bogardus v. Commissioner</w:t>
      </w:r>
      <w:r w:rsidRPr="00576ED7">
        <w:rPr>
          <w:szCs w:val="24"/>
        </w:rPr>
        <w:t xml:space="preserve">, 302 U.S. 34, 41, it is not a gift.  And, conversely, “[w]here the payment is in return for services </w:t>
      </w:r>
      <w:r w:rsidRPr="00576ED7">
        <w:rPr>
          <w:szCs w:val="24"/>
        </w:rPr>
        <w:lastRenderedPageBreak/>
        <w:t xml:space="preserve">rendered, it is irrelevant that the donor derives no economic benefit from it.”  </w:t>
      </w:r>
      <w:r w:rsidRPr="00576ED7">
        <w:rPr>
          <w:i/>
          <w:szCs w:val="24"/>
        </w:rPr>
        <w:t>Robertson v. United States</w:t>
      </w:r>
      <w:r w:rsidRPr="00576ED7">
        <w:rPr>
          <w:szCs w:val="24"/>
        </w:rPr>
        <w:t>, 343 U.S. 711, 714.</w:t>
      </w:r>
      <w:r w:rsidRPr="00576ED7">
        <w:rPr>
          <w:rStyle w:val="FootnoteReference"/>
          <w:szCs w:val="24"/>
        </w:rPr>
        <w:footnoteReference w:id="49"/>
      </w:r>
      <w:r w:rsidRPr="00576ED7">
        <w:rPr>
          <w:szCs w:val="24"/>
        </w:rPr>
        <w:t xml:space="preserve">  A gift in the statutory sense, on the other hand, proceeds from a “detached and disinterested generosity,” </w:t>
      </w:r>
      <w:r w:rsidRPr="00576ED7">
        <w:rPr>
          <w:i/>
          <w:szCs w:val="24"/>
        </w:rPr>
        <w:t>Commi</w:t>
      </w:r>
      <w:r w:rsidRPr="00576ED7">
        <w:rPr>
          <w:i/>
          <w:szCs w:val="24"/>
        </w:rPr>
        <w:t>s</w:t>
      </w:r>
      <w:r w:rsidRPr="00576ED7">
        <w:rPr>
          <w:i/>
          <w:szCs w:val="24"/>
        </w:rPr>
        <w:t>sioner v. LoBue</w:t>
      </w:r>
      <w:r w:rsidRPr="00576ED7">
        <w:rPr>
          <w:szCs w:val="24"/>
        </w:rPr>
        <w:t xml:space="preserve">, 351 U.S. 243, 246; “out of affection, respect, admiration,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xml:space="preserve">, 302 U.S. 34, 43.  “What controls is the intention with which payment, however voluntary, has been made.”  </w:t>
      </w:r>
      <w:r w:rsidRPr="00576ED7">
        <w:rPr>
          <w:i/>
          <w:szCs w:val="24"/>
        </w:rPr>
        <w:t>Id.</w:t>
      </w:r>
      <w:r w:rsidRPr="00576ED7">
        <w:rPr>
          <w:szCs w:val="24"/>
        </w:rPr>
        <w:t xml:space="preserve"> at 302 U.S. 45 (dissenting opinion).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Government says that this “intention” of the transferor cannot mean what the cases on the common law concept of gift call “donative intent.”  With that we are in agreement, for our decisions fully support this.  Moreover, the </w:t>
      </w:r>
      <w:r w:rsidRPr="00576ED7">
        <w:rPr>
          <w:i/>
          <w:szCs w:val="24"/>
        </w:rPr>
        <w:t>Bogardus</w:t>
      </w:r>
      <w:r w:rsidRPr="00576ED7">
        <w:rPr>
          <w:szCs w:val="24"/>
        </w:rPr>
        <w:t xml:space="preserve"> case itself makes it plain that the donor’s characterization of his action is not determ</w:t>
      </w:r>
      <w:r w:rsidRPr="00576ED7">
        <w:rPr>
          <w:szCs w:val="24"/>
        </w:rPr>
        <w:t>i</w:t>
      </w:r>
      <w:r w:rsidRPr="00576ED7">
        <w:rPr>
          <w:szCs w:val="24"/>
        </w:rPr>
        <w:t xml:space="preserve">native – that there must be an objective inquiry as to whether what is called a gift amounts to it in reality.  </w:t>
      </w:r>
      <w:r w:rsidR="002471C6">
        <w:rPr>
          <w:szCs w:val="24"/>
        </w:rPr>
        <w:t xml:space="preserve">302 U.S. at 40.  </w:t>
      </w:r>
      <w:r w:rsidRPr="00576ED7">
        <w:rPr>
          <w:szCs w:val="24"/>
        </w:rPr>
        <w:t>It scarcely needs adding that the parties’ expectations or hopes as to the tax treatment of their conduct, in themselves, have nothing to do with the matter.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“motive,” rather than “intention.”  We must confess to some skepticism as to whether such a verbal mutation would be of any practical consequence.  We take it that the proper criterion, established by decision here, is one that inquires what the basic reason for his conduct was in fact – the dominant reason that explains his action in making the transfer.  Further than that we do not think it profitable to go.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w:t>
      </w:r>
      <w:r w:rsidRPr="00576ED7">
        <w:rPr>
          <w:szCs w:val="24"/>
        </w:rPr>
        <w:t>e</w:t>
      </w:r>
      <w:r w:rsidRPr="00576ED7">
        <w:rPr>
          <w:szCs w:val="24"/>
        </w:rPr>
        <w:t>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w:t>
      </w:r>
      <w:r w:rsidRPr="00576ED7">
        <w:rPr>
          <w:szCs w:val="24"/>
        </w:rPr>
        <w:t>e</w:t>
      </w:r>
      <w:r w:rsidRPr="00576ED7">
        <w:rPr>
          <w:szCs w:val="24"/>
        </w:rPr>
        <w:t>fore us, and would be painting on a large canvas with indeed a broad brush.  The Government derives its test from such propositions as the following: that pa</w:t>
      </w:r>
      <w:r w:rsidRPr="00576ED7">
        <w:rPr>
          <w:szCs w:val="24"/>
        </w:rPr>
        <w:t>y</w:t>
      </w:r>
      <w:r w:rsidRPr="00576ED7">
        <w:rPr>
          <w:szCs w:val="24"/>
        </w:rPr>
        <w:t xml:space="preserve">ments by an employer to an employee, even though voluntary, ought, by and </w:t>
      </w:r>
      <w:r w:rsidRPr="00576ED7">
        <w:rPr>
          <w:szCs w:val="24"/>
        </w:rPr>
        <w:lastRenderedPageBreak/>
        <w:t>large, to be taxable; that the concept of a gift is inconsistent with a payment’s b</w:t>
      </w:r>
      <w:r w:rsidRPr="00576ED7">
        <w:rPr>
          <w:szCs w:val="24"/>
        </w:rPr>
        <w:t>e</w:t>
      </w:r>
      <w:r w:rsidRPr="00576ED7">
        <w:rPr>
          <w:szCs w:val="24"/>
        </w:rPr>
        <w:t>ing a deductible business expense; that a gift involves “personal” elements; that a business corporation cannot properly make a gift of its assets.  The Government admits that there are exceptions and qualifications to these propositions.  We think, to the extent they are correct, that these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w:t>
      </w:r>
      <w:r w:rsidRPr="00576ED7">
        <w:rPr>
          <w:szCs w:val="24"/>
        </w:rPr>
        <w:t>h</w:t>
      </w:r>
      <w:r w:rsidRPr="00576ED7">
        <w:rPr>
          <w:szCs w:val="24"/>
        </w:rPr>
        <w:t>ers are overstatements of possible evidentiary inferences relevant to a factual d</w:t>
      </w:r>
      <w:r w:rsidRPr="00576ED7">
        <w:rPr>
          <w:szCs w:val="24"/>
        </w:rPr>
        <w:t>e</w:t>
      </w:r>
      <w:r w:rsidRPr="00576ED7">
        <w:rPr>
          <w:szCs w:val="24"/>
        </w:rPr>
        <w:t>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The taxing statute does not make nondeductibility by the transferor a condition on the “gift” exclusion; nor does it draw any distinction, in terms, between transfers by corporations and individuals, as to the availability of the “gift” exclusion to the transferee.  The conclusion whether a transfer amounts to a “gift” is one that must be reached on consider</w:t>
      </w:r>
      <w:r w:rsidRPr="00576ED7">
        <w:rPr>
          <w:szCs w:val="24"/>
        </w:rPr>
        <w:t>a</w:t>
      </w:r>
      <w:r w:rsidRPr="00576ED7">
        <w:rPr>
          <w:szCs w:val="24"/>
        </w:rPr>
        <w:t>tion of all the factors.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w:t>
      </w:r>
      <w:r w:rsidRPr="00576ED7">
        <w:rPr>
          <w:szCs w:val="24"/>
        </w:rPr>
        <w:t>x</w:t>
      </w:r>
      <w:r w:rsidRPr="00576ED7">
        <w:rPr>
          <w:szCs w:val="24"/>
        </w:rPr>
        <w:t>pense.  As we have said, we find no basis for such a conclusion in the statute; and if it were applied as a determinative rule of “law,” it would force the tribunals tr</w:t>
      </w:r>
      <w:r w:rsidRPr="00576ED7">
        <w:rPr>
          <w:szCs w:val="24"/>
        </w:rPr>
        <w:t>y</w:t>
      </w:r>
      <w:r w:rsidRPr="00576ED7">
        <w:rPr>
          <w:szCs w:val="24"/>
        </w:rPr>
        <w:t>ing tax cases involving the donee’s liability into elaborate inquiries into the local law of corporations or into the peripheral deductibility of payments as business expenses.  The former issue might make the tax tribunals the most frequent inve</w:t>
      </w:r>
      <w:r w:rsidRPr="00576ED7">
        <w:rPr>
          <w:szCs w:val="24"/>
        </w:rPr>
        <w:t>s</w:t>
      </w:r>
      <w:r w:rsidRPr="00576ED7">
        <w:rPr>
          <w:szCs w:val="24"/>
        </w:rPr>
        <w:t>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w:t>
      </w:r>
      <w:r w:rsidRPr="00576ED7">
        <w:rPr>
          <w:szCs w:val="24"/>
        </w:rPr>
        <w:t>v</w:t>
      </w:r>
      <w:r w:rsidRPr="00576ED7">
        <w:rPr>
          <w:szCs w:val="24"/>
        </w:rPr>
        <w:lastRenderedPageBreak/>
        <w:t>ernment may, in nonabsolute form as crystallizations of experience, prove persu</w:t>
      </w:r>
      <w:r w:rsidRPr="00576ED7">
        <w:rPr>
          <w:szCs w:val="24"/>
        </w:rPr>
        <w:t>a</w:t>
      </w:r>
      <w:r w:rsidRPr="00576ED7">
        <w:rPr>
          <w:szCs w:val="24"/>
        </w:rPr>
        <w:t>sive to the trier of facts in a particular case, neither they nor any more detailed statement than has been made can be laid down as a matter of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Third</w:t>
      </w:r>
      <w:r w:rsidRPr="00576ED7">
        <w:rPr>
          <w:szCs w:val="24"/>
        </w:rPr>
        <w:t>.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w:t>
      </w:r>
      <w:r w:rsidRPr="00576ED7">
        <w:rPr>
          <w:szCs w:val="24"/>
        </w:rPr>
        <w:t>u</w:t>
      </w:r>
      <w:r w:rsidRPr="00576ED7">
        <w:rPr>
          <w:szCs w:val="24"/>
        </w:rPr>
        <w:t xml:space="preserve">sions of the trier of fact.  </w:t>
      </w:r>
      <w:r w:rsidRPr="00576ED7">
        <w:rPr>
          <w:i/>
          <w:szCs w:val="24"/>
        </w:rPr>
        <w:t>Baker v. Texas &amp; Pacific R. Co.</w:t>
      </w:r>
      <w:r w:rsidRPr="00576ED7">
        <w:rPr>
          <w:szCs w:val="24"/>
        </w:rPr>
        <w:t xml:space="preserve">, 359 U.S. 227; </w:t>
      </w:r>
      <w:r w:rsidRPr="00576ED7">
        <w:rPr>
          <w:i/>
          <w:szCs w:val="24"/>
        </w:rPr>
        <w:t>Commi</w:t>
      </w:r>
      <w:r w:rsidRPr="00576ED7">
        <w:rPr>
          <w:i/>
          <w:szCs w:val="24"/>
        </w:rPr>
        <w:t>s</w:t>
      </w:r>
      <w:r w:rsidRPr="00576ED7">
        <w:rPr>
          <w:i/>
          <w:szCs w:val="24"/>
        </w:rPr>
        <w:t>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w:t>
      </w:r>
      <w:r w:rsidRPr="00576ED7">
        <w:rPr>
          <w:szCs w:val="24"/>
        </w:rPr>
        <w:t>n</w:t>
      </w:r>
      <w:r w:rsidRPr="00576ED7">
        <w:rPr>
          <w:szCs w:val="24"/>
        </w:rPr>
        <w:t>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conclusion may not satisfy an academic desire for tidiness, symmetry, and precision in this area, any more than a system based on the determinations of va</w:t>
      </w:r>
      <w:r w:rsidRPr="00576ED7">
        <w:rPr>
          <w:szCs w:val="24"/>
        </w:rPr>
        <w:t>r</w:t>
      </w:r>
      <w:r w:rsidRPr="00576ED7">
        <w:rPr>
          <w:szCs w:val="24"/>
        </w:rPr>
        <w:t>ious factfinders ordinarily does.  But we see it as implicit in the present statutory treatment of the exclusion for gifts, and in the variety of forums in which federal income tax cases can be tried.  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w:t>
      </w:r>
      <w:r w:rsidRPr="00576ED7">
        <w:rPr>
          <w:szCs w:val="24"/>
        </w:rPr>
        <w:t>e</w:t>
      </w:r>
      <w:r w:rsidRPr="00576ED7">
        <w:rPr>
          <w:szCs w:val="24"/>
        </w:rPr>
        <w:t>what, since federal income tax decisions, even those in tribunals of first instance turning on issues of fact, tend to be reported, and since there may be a natural te</w:t>
      </w:r>
      <w:r w:rsidRPr="00576ED7">
        <w:rPr>
          <w:szCs w:val="24"/>
        </w:rPr>
        <w:t>n</w:t>
      </w:r>
      <w:r w:rsidRPr="00576ED7">
        <w:rPr>
          <w:szCs w:val="24"/>
        </w:rPr>
        <w:t>dency of professional triers of fact to follow one another’s determinations, even as to factual matters.  But the question here remains basically one of fact, for dete</w:t>
      </w:r>
      <w:r w:rsidRPr="00576ED7">
        <w:rPr>
          <w:szCs w:val="24"/>
        </w:rPr>
        <w:t>r</w:t>
      </w:r>
      <w:r w:rsidRPr="00576ED7">
        <w:rPr>
          <w:szCs w:val="24"/>
        </w:rPr>
        <w:t>mination on a case-by-case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w:t>
      </w:r>
      <w:r w:rsidRPr="00576ED7">
        <w:rPr>
          <w:szCs w:val="24"/>
        </w:rPr>
        <w:t>c</w:t>
      </w:r>
      <w:r w:rsidRPr="00576ED7">
        <w:rPr>
          <w:szCs w:val="24"/>
        </w:rPr>
        <w:t>tions, the only inquiry is whether it cannot be said that reasonable men could reach differing conclusions on the issue.  [citation omitted].  Where the trial has been by a judge without a jury, the judge’s findings must stand unless “clearly erroneous.”  Fed. Rules Civ. Proc. 52(a). ... The rule itself applies also to factual inferences from undisputed basic facts citation omitted], as will on many occ</w:t>
      </w:r>
      <w:r w:rsidRPr="00576ED7">
        <w:rPr>
          <w:szCs w:val="24"/>
        </w:rPr>
        <w:t>a</w:t>
      </w:r>
      <w:r w:rsidRPr="00576ED7">
        <w:rPr>
          <w:szCs w:val="24"/>
        </w:rPr>
        <w:t xml:space="preserve">sions be presented in this area.  [citation omitted].  And Congress has, in the most </w:t>
      </w:r>
      <w:r w:rsidRPr="00576ED7">
        <w:rPr>
          <w:szCs w:val="24"/>
        </w:rPr>
        <w:lastRenderedPageBreak/>
        <w:t>explicit terms, attached the identical weight to the findings of the Tax Court.  I.R.C. § 7482(a).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Court was “clearly erroneous.”  It seems to us plain that, as trier of the facts, it was warran</w:t>
      </w:r>
      <w:r w:rsidRPr="00576ED7">
        <w:rPr>
          <w:szCs w:val="24"/>
        </w:rPr>
        <w:t>t</w:t>
      </w:r>
      <w:r w:rsidRPr="00576ED7">
        <w:rPr>
          <w:szCs w:val="24"/>
        </w:rPr>
        <w:t>ed in concluding that, despite the characterization of the transfer of the Cadillac by the parties, and the absence of any obligation, even of a moral nature, to make it, it was, at bottom, a recompense for Duberstein’s past services, or an induc</w:t>
      </w:r>
      <w:r w:rsidRPr="00576ED7">
        <w:rPr>
          <w:szCs w:val="24"/>
        </w:rPr>
        <w:t>e</w:t>
      </w:r>
      <w:r w:rsidRPr="00576ED7">
        <w:rPr>
          <w:szCs w:val="24"/>
        </w:rPr>
        <w:t>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Pr="00576ED7">
        <w:rPr>
          <w:szCs w:val="24"/>
        </w:rPr>
        <w:t>, we are in disagreement.  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w:t>
      </w:r>
      <w:r w:rsidRPr="00576ED7">
        <w:rPr>
          <w:szCs w:val="24"/>
        </w:rPr>
        <w:t>e</w:t>
      </w:r>
      <w:r w:rsidRPr="00576ED7">
        <w:rPr>
          <w:szCs w:val="24"/>
        </w:rPr>
        <w:t>lation of what the District Court’s concept of the determining facts and legal standard may be. [citation omitted].  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w:t>
      </w:r>
      <w:r w:rsidRPr="00576ED7">
        <w:rPr>
          <w:szCs w:val="24"/>
        </w:rPr>
        <w:t>o</w:t>
      </w:r>
      <w:r w:rsidRPr="00576ED7">
        <w:rPr>
          <w:szCs w:val="24"/>
        </w:rPr>
        <w:t>ceedings not inconsistent with this opinion.</w:t>
      </w:r>
    </w:p>
    <w:p w:rsidR="0049128E" w:rsidRPr="00576ED7" w:rsidRDefault="0049128E" w:rsidP="00A6585D">
      <w:pPr>
        <w:widowControl w:val="0"/>
        <w:jc w:val="both"/>
        <w:rPr>
          <w:szCs w:val="24"/>
        </w:rPr>
      </w:pPr>
      <w:r w:rsidRPr="00576ED7">
        <w:rPr>
          <w:szCs w:val="24"/>
        </w:rPr>
        <w:lastRenderedPageBreak/>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WHITTAKER, ... concurs only in the result of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concurring and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FRANKFURTER, concurring in the judgment in No. 376 and di</w:t>
      </w:r>
      <w:r w:rsidRPr="00576ED7">
        <w:rPr>
          <w:szCs w:val="24"/>
        </w:rPr>
        <w:t>s</w:t>
      </w:r>
      <w:r w:rsidRPr="00576ED7">
        <w:rPr>
          <w:szCs w:val="24"/>
        </w:rPr>
        <w:t>senting in No. 546.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w:t>
      </w:r>
      <w:r w:rsidRPr="00576ED7">
        <w:rPr>
          <w:szCs w:val="24"/>
        </w:rPr>
        <w:t>t</w:t>
      </w:r>
      <w:r w:rsidRPr="00576ED7">
        <w:rPr>
          <w:szCs w:val="24"/>
        </w:rPr>
        <w:t>ness is possible in isolating and emphasizing factors which militate against a gift in particular situations.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w:t>
      </w:r>
      <w:r w:rsidRPr="00576ED7">
        <w:rPr>
          <w:szCs w:val="24"/>
        </w:rPr>
        <w:t>m</w:t>
      </w:r>
      <w:r w:rsidRPr="00576ED7">
        <w:rPr>
          <w:szCs w:val="24"/>
        </w:rPr>
        <w:t>plications are so forceful that I would apply a presumptive rule placing the burden upon the beneficiary to prove the payment wholly unrelated to his services to the enterprise.  The Court, however, has declined so to analyze the problem, and has concluded</w:t>
      </w:r>
    </w:p>
    <w:p w:rsidR="00D27616" w:rsidRPr="00576ED7" w:rsidRDefault="00D27616"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“that the governing principles are necessarily general, and [...] that the problem is one which, under the present statutory framework, does not lend itself to any more definitive statement that would produce a talisman for the solution of concrete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What the Court now does sets factfinding bodies to sail on an illimitable ocean of individual beliefs and experiences.  This can hardly fail to invite, if indeed not encourage, too individualized diversities in the administration of the income tax law.  I am afraid that, by these new phrasings, the practicalities of tax administr</w:t>
      </w:r>
      <w:r w:rsidRPr="00576ED7">
        <w:rPr>
          <w:szCs w:val="24"/>
        </w:rPr>
        <w:t>a</w:t>
      </w:r>
      <w:r w:rsidRPr="00576ED7">
        <w:rPr>
          <w:szCs w:val="24"/>
        </w:rPr>
        <w:t xml:space="preserve">tion, which should be as uniform as is possible in so vast a country as ours, will be embarrassed. ... I agree with the Court in reversing the judgment in </w:t>
      </w:r>
      <w:r w:rsidRPr="00576ED7">
        <w:rPr>
          <w:i/>
          <w:szCs w:val="24"/>
        </w:rPr>
        <w:t>Commi</w:t>
      </w:r>
      <w:r w:rsidRPr="00576ED7">
        <w:rPr>
          <w:i/>
          <w:szCs w:val="24"/>
        </w:rPr>
        <w:t>s</w:t>
      </w:r>
      <w:r w:rsidRPr="00576ED7">
        <w:rPr>
          <w:i/>
          <w:szCs w:val="24"/>
        </w:rPr>
        <w:t>sioner v. 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rsidR="002471C6" w:rsidRDefault="002471C6" w:rsidP="00A6585D">
      <w:pPr>
        <w:widowControl w:val="0"/>
        <w:ind w:left="720"/>
        <w:jc w:val="both"/>
        <w:rPr>
          <w:szCs w:val="24"/>
        </w:rPr>
      </w:pPr>
    </w:p>
    <w:p w:rsidR="002471C6" w:rsidRPr="00576ED7" w:rsidRDefault="002471C6" w:rsidP="002471C6">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w:t>
      </w:r>
      <w:r w:rsidRPr="00576ED7">
        <w:rPr>
          <w:szCs w:val="24"/>
        </w:rPr>
        <w:t>i</w:t>
      </w:r>
      <w:r w:rsidRPr="00576ED7">
        <w:rPr>
          <w:szCs w:val="24"/>
        </w:rPr>
        <w:t xml:space="preserve">dence and determined that the Vestry was motivated by gratitude to a friend, good will, esteem, and kindliness.  Hence the payment was a gift.  </w:t>
      </w:r>
      <w:r w:rsidRPr="00576ED7">
        <w:rPr>
          <w:i/>
          <w:szCs w:val="24"/>
        </w:rPr>
        <w:t>Stanton v. U.S.</w:t>
      </w:r>
      <w:r w:rsidRPr="00576ED7">
        <w:rPr>
          <w:szCs w:val="24"/>
        </w:rPr>
        <w:t xml:space="preserve">, 186 F. Supp. 393, 396-97 (E.D.N.Y. 1963).  The court of appeals affirmed because the determination of the federal district court was not clearly erroneous.  </w:t>
      </w:r>
      <w:r w:rsidRPr="00576ED7">
        <w:rPr>
          <w:i/>
          <w:szCs w:val="24"/>
        </w:rPr>
        <w:t>U.S. v. Sta</w:t>
      </w:r>
      <w:r w:rsidRPr="00576ED7">
        <w:rPr>
          <w:i/>
          <w:szCs w:val="24"/>
        </w:rPr>
        <w:t>n</w:t>
      </w:r>
      <w:r w:rsidRPr="00576ED7">
        <w:rPr>
          <w:i/>
          <w:szCs w:val="24"/>
        </w:rPr>
        <w:t>ton</w:t>
      </w:r>
      <w:r w:rsidRPr="00576ED7">
        <w:rPr>
          <w:szCs w:val="24"/>
        </w:rPr>
        <w:t>, 287 F.2d 876, 877 (</w:t>
      </w:r>
      <w:r w:rsidR="000977F2" w:rsidRPr="00576ED7">
        <w:rPr>
          <w:szCs w:val="24"/>
        </w:rPr>
        <w:t>2</w:t>
      </w:r>
      <w:r w:rsidR="000977F2" w:rsidRPr="00576ED7">
        <w:rPr>
          <w:szCs w:val="24"/>
          <w:vertAlign w:val="superscript"/>
        </w:rPr>
        <w:t>nd</w:t>
      </w:r>
      <w:r w:rsidR="000977F2"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Supreme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gift in the statutory sense ... proceeds from a “detached and disinterested generosity” [citation omitted], “out of affection, respect, admiration, char</w:t>
      </w:r>
      <w:r w:rsidRPr="00576ED7">
        <w:rPr>
          <w:szCs w:val="24"/>
        </w:rPr>
        <w:t>i</w:t>
      </w:r>
      <w:r w:rsidRPr="00576ED7">
        <w:rPr>
          <w:szCs w:val="24"/>
        </w:rPr>
        <w:t>ty or like impulses.” [citation omitted].  And in this regard, the most crit</w:t>
      </w:r>
      <w:r w:rsidRPr="00576ED7">
        <w:rPr>
          <w:szCs w:val="24"/>
        </w:rPr>
        <w:t>i</w:t>
      </w:r>
      <w:r w:rsidRPr="00576ED7">
        <w:rPr>
          <w:szCs w:val="24"/>
        </w:rPr>
        <w:lastRenderedPageBreak/>
        <w:t>cal consideration ... is the transferor’s “intention.”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Do people give gifts because they are detached and disinterested – or very a</w:t>
      </w:r>
      <w:r w:rsidRPr="00576ED7">
        <w:rPr>
          <w:szCs w:val="24"/>
        </w:rPr>
        <w:t>t</w:t>
      </w:r>
      <w:r w:rsidRPr="00576ED7">
        <w:rPr>
          <w:szCs w:val="24"/>
        </w:rPr>
        <w:t>tached and intensely interested?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donee is the one who will invoke § 102.  How is the donee to prove the donor’s intent? Consider:</w:t>
      </w:r>
    </w:p>
    <w:p w:rsidR="0049128E" w:rsidRPr="00576ED7" w:rsidRDefault="0049128E" w:rsidP="00A6585D">
      <w:pPr>
        <w:widowControl w:val="0"/>
        <w:ind w:left="720"/>
        <w:jc w:val="both"/>
        <w:rPr>
          <w:szCs w:val="24"/>
        </w:rPr>
      </w:pPr>
      <w:r w:rsidRPr="00576ED7">
        <w:rPr>
          <w:szCs w:val="24"/>
        </w:rPr>
        <w:t>•Taxpayer first joined a bakery workers’ union in 1922 and gradually rose through the ranks.  In 1947, he was elected international vice president.  He was an effective leader and was instrumental in the merger of several locals into one large local.  Other officials of the local decided to give him and his wife a testimonial dinner at which the local would present him with sufficient funds to purchase a home.  Taxpayer had nothing to do with the planning of the dinner and objected to it.  The local raised money by selling insertions in a special souvenir journal.  More than 1300 pe</w:t>
      </w:r>
      <w:r w:rsidRPr="00576ED7">
        <w:rPr>
          <w:szCs w:val="24"/>
        </w:rPr>
        <w:t>r</w:t>
      </w:r>
      <w:r w:rsidRPr="00576ED7">
        <w:rPr>
          <w:szCs w:val="24"/>
        </w:rPr>
        <w:t>sons attended the dinner.  There were six groups who contributed journal insertions:</w:t>
      </w:r>
    </w:p>
    <w:p w:rsidR="0049128E" w:rsidRPr="00576ED7" w:rsidRDefault="0049128E" w:rsidP="00A6585D">
      <w:pPr>
        <w:widowControl w:val="0"/>
        <w:ind w:left="1440"/>
        <w:jc w:val="both"/>
        <w:rPr>
          <w:szCs w:val="24"/>
        </w:rPr>
      </w:pPr>
      <w:r w:rsidRPr="00576ED7">
        <w:rPr>
          <w:szCs w:val="24"/>
        </w:rPr>
        <w:t>•Employers of bakery workers who wanted to stay on good terms with the local made deductible payments from their business a</w:t>
      </w:r>
      <w:r w:rsidRPr="00576ED7">
        <w:rPr>
          <w:szCs w:val="24"/>
        </w:rPr>
        <w:t>c</w:t>
      </w:r>
      <w:r w:rsidRPr="00576ED7">
        <w:rPr>
          <w:szCs w:val="24"/>
        </w:rPr>
        <w:t>counts.  Many employers had known taxpayer for many years and were on good terms with him.  Most of this group’s journal inse</w:t>
      </w:r>
      <w:r w:rsidRPr="00576ED7">
        <w:rPr>
          <w:szCs w:val="24"/>
        </w:rPr>
        <w:t>r</w:t>
      </w:r>
      <w:r w:rsidRPr="00576ED7">
        <w:rPr>
          <w:szCs w:val="24"/>
        </w:rPr>
        <w:t>tions included a greeting such as “congratulations” and “best wis</w:t>
      </w:r>
      <w:r w:rsidRPr="00576ED7">
        <w:rPr>
          <w:szCs w:val="24"/>
        </w:rPr>
        <w:t>h</w:t>
      </w:r>
      <w:r w:rsidRPr="00576ED7">
        <w:rPr>
          <w:szCs w:val="24"/>
        </w:rPr>
        <w:t>es.”</w:t>
      </w:r>
    </w:p>
    <w:p w:rsidR="0049128E" w:rsidRPr="00576ED7" w:rsidRDefault="0049128E" w:rsidP="00A6585D">
      <w:pPr>
        <w:widowControl w:val="0"/>
        <w:ind w:left="1440"/>
        <w:jc w:val="both"/>
        <w:rPr>
          <w:szCs w:val="24"/>
        </w:rPr>
      </w:pPr>
      <w:r w:rsidRPr="00576ED7">
        <w:rPr>
          <w:szCs w:val="24"/>
        </w:rPr>
        <w:t>•Employer trade associations made payments from assessments on employers, who in turn deducted payments that they made from their business accounts.</w:t>
      </w:r>
    </w:p>
    <w:p w:rsidR="0049128E" w:rsidRPr="00576ED7" w:rsidRDefault="0049128E" w:rsidP="00A6585D">
      <w:pPr>
        <w:widowControl w:val="0"/>
        <w:ind w:left="1440"/>
        <w:jc w:val="both"/>
        <w:rPr>
          <w:szCs w:val="24"/>
        </w:rPr>
      </w:pPr>
      <w:r w:rsidRPr="00576ED7">
        <w:rPr>
          <w:szCs w:val="24"/>
        </w:rPr>
        <w:t>•Businesses who sold supplies to the baking industry and treated payments for journal insertions as deductible advertising expenses.</w:t>
      </w:r>
    </w:p>
    <w:p w:rsidR="0049128E" w:rsidRPr="00576ED7" w:rsidRDefault="0049128E" w:rsidP="00A6585D">
      <w:pPr>
        <w:widowControl w:val="0"/>
        <w:ind w:left="1440"/>
        <w:jc w:val="both"/>
        <w:rPr>
          <w:szCs w:val="24"/>
        </w:rPr>
      </w:pPr>
      <w:r w:rsidRPr="00576ED7">
        <w:rPr>
          <w:szCs w:val="24"/>
        </w:rPr>
        <w:t>•Other union locals who made payments from funds accumulated from dues that they collected from members.</w:t>
      </w:r>
    </w:p>
    <w:p w:rsidR="0049128E" w:rsidRPr="00576ED7" w:rsidRDefault="0049128E" w:rsidP="00A6585D">
      <w:pPr>
        <w:widowControl w:val="0"/>
        <w:ind w:left="1440"/>
        <w:jc w:val="both"/>
        <w:rPr>
          <w:szCs w:val="24"/>
        </w:rPr>
      </w:pPr>
      <w:r w:rsidRPr="00576ED7">
        <w:rPr>
          <w:szCs w:val="24"/>
        </w:rPr>
        <w:t>•Lawyers and doctors who knew taxpayer personally and were in some manner associated with union activity in the baking industry.  Some of these persons deducted their expenditure.</w:t>
      </w:r>
    </w:p>
    <w:p w:rsidR="0049128E" w:rsidRPr="00576ED7" w:rsidRDefault="0049128E" w:rsidP="00A6585D">
      <w:pPr>
        <w:widowControl w:val="0"/>
        <w:ind w:left="1440"/>
        <w:jc w:val="both"/>
        <w:rPr>
          <w:szCs w:val="24"/>
        </w:rPr>
      </w:pPr>
      <w:r w:rsidRPr="00576ED7">
        <w:rPr>
          <w:szCs w:val="24"/>
        </w:rPr>
        <w:t>•Employees and other individuals, many of whom purchased di</w:t>
      </w:r>
      <w:r w:rsidRPr="00576ED7">
        <w:rPr>
          <w:szCs w:val="24"/>
        </w:rPr>
        <w:t>n</w:t>
      </w:r>
      <w:r w:rsidRPr="00576ED7">
        <w:rPr>
          <w:szCs w:val="24"/>
        </w:rPr>
        <w:t>ner tickets but only a few of whom purchased journal insertions.  Many in this group felt friendship, admiration, affection, and r</w:t>
      </w:r>
      <w:r w:rsidRPr="00576ED7">
        <w:rPr>
          <w:szCs w:val="24"/>
        </w:rPr>
        <w:t>e</w:t>
      </w:r>
      <w:r w:rsidRPr="00576ED7">
        <w:rPr>
          <w:szCs w:val="24"/>
        </w:rPr>
        <w:t>spect for taxpayer.</w:t>
      </w:r>
    </w:p>
    <w:p w:rsidR="0049128E" w:rsidRPr="00576ED7" w:rsidRDefault="0049128E" w:rsidP="00A6585D">
      <w:pPr>
        <w:widowControl w:val="0"/>
        <w:ind w:left="720"/>
        <w:jc w:val="both"/>
        <w:rPr>
          <w:szCs w:val="24"/>
        </w:rPr>
      </w:pPr>
      <w:r w:rsidRPr="00576ED7">
        <w:rPr>
          <w:szCs w:val="24"/>
        </w:rPr>
        <w:t>Taxpayers (husband and wife) received nearly $61,000 from these contr</w:t>
      </w:r>
      <w:r w:rsidRPr="00576ED7">
        <w:rPr>
          <w:szCs w:val="24"/>
        </w:rPr>
        <w:t>i</w:t>
      </w:r>
      <w:r w:rsidRPr="00576ED7">
        <w:rPr>
          <w:szCs w:val="24"/>
        </w:rPr>
        <w:t xml:space="preserve">butions in 1956 and claimed on their income tax return that the amount </w:t>
      </w:r>
      <w:r w:rsidRPr="00576ED7">
        <w:rPr>
          <w:szCs w:val="24"/>
        </w:rPr>
        <w:lastRenderedPageBreak/>
        <w:t>was excludable as a gift.</w:t>
      </w:r>
    </w:p>
    <w:p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seem to invite such issues?</w:t>
      </w:r>
    </w:p>
    <w:p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Does Justice Frankfurter have a point when he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individual beliefs and experiences.  This can hardly fail to invite, if indeed not encourage, too individualized diversities in the administr</w:t>
      </w:r>
      <w:r w:rsidRPr="00576ED7">
        <w:rPr>
          <w:szCs w:val="24"/>
        </w:rPr>
        <w:t>a</w:t>
      </w:r>
      <w:r w:rsidRPr="00576ED7">
        <w:rPr>
          <w:szCs w:val="24"/>
        </w:rPr>
        <w:t>tion of the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combined two cases.  How many possible outcomes for the two ta</w:t>
      </w:r>
      <w:r w:rsidRPr="00576ED7">
        <w:rPr>
          <w:szCs w:val="24"/>
        </w:rPr>
        <w:t>x</w:t>
      </w:r>
      <w:r w:rsidRPr="00576ED7">
        <w:rPr>
          <w:szCs w:val="24"/>
        </w:rPr>
        <w:t>payers were there? How many of them were espoused by at least one judge?</w:t>
      </w:r>
    </w:p>
    <w:p w:rsidR="0049128E" w:rsidRPr="00576ED7" w:rsidRDefault="0049128E" w:rsidP="00A6585D">
      <w:pPr>
        <w:widowControl w:val="0"/>
        <w:ind w:left="720"/>
        <w:jc w:val="both"/>
        <w:rPr>
          <w:szCs w:val="24"/>
        </w:rPr>
      </w:pPr>
      <w:r w:rsidRPr="00576ED7">
        <w:rPr>
          <w:szCs w:val="24"/>
        </w:rPr>
        <w:t>•No justice voted for Duberstein to win and Stanton to lose.</w:t>
      </w:r>
    </w:p>
    <w:p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probably was a business culture that developed until the 1950s of giving very substantial business gifts in settings such as these.  When the marginal tax bracket of the donor is very high, e.g., 70% and maybe higher, the cost of making a very substantial gift is actually quite low if its donor may deduct its cost. Is it possible that Berman felt that if his gift was not sufficiently generous, Duberstein might pitch some of that business to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Subsequent to </w:t>
      </w:r>
      <w:r w:rsidRPr="00576ED7">
        <w:rPr>
          <w:i/>
          <w:szCs w:val="24"/>
        </w:rPr>
        <w:t>Duberstein</w:t>
      </w:r>
      <w:r w:rsidRPr="00576ED7">
        <w:rPr>
          <w:szCs w:val="24"/>
        </w:rPr>
        <w:t>, Congress added § 102(c)(1) and § 274(b)(1) to the Code.  Read these sections.</w:t>
      </w:r>
    </w:p>
    <w:p w:rsidR="0049128E" w:rsidRPr="00576ED7" w:rsidRDefault="0049128E" w:rsidP="00A6585D">
      <w:pPr>
        <w:widowControl w:val="0"/>
        <w:ind w:left="720"/>
        <w:jc w:val="both"/>
        <w:rPr>
          <w:szCs w:val="24"/>
        </w:rPr>
      </w:pPr>
      <w:r w:rsidRPr="00576ED7">
        <w:rPr>
          <w:szCs w:val="24"/>
        </w:rPr>
        <w:t xml:space="preserve">•Would § 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ind w:left="720"/>
        <w:jc w:val="both"/>
        <w:rPr>
          <w:szCs w:val="24"/>
        </w:rPr>
      </w:pPr>
      <w:r w:rsidRPr="00576ED7">
        <w:rPr>
          <w:szCs w:val="24"/>
        </w:rPr>
        <w:t xml:space="preserve">•Would § 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Notice: §§ 261 to 280H do not themselves establish deduction rules, but rather limit deductions that other Code sections might provide when the expenditure is for certain items or purposes.</w:t>
      </w:r>
    </w:p>
    <w:p w:rsidR="0049128E" w:rsidRPr="00576ED7" w:rsidRDefault="0049128E" w:rsidP="00A6585D">
      <w:pPr>
        <w:widowControl w:val="0"/>
        <w:ind w:left="720"/>
        <w:jc w:val="both"/>
        <w:rPr>
          <w:szCs w:val="24"/>
        </w:rPr>
      </w:pPr>
      <w:r w:rsidRPr="00576ED7">
        <w:rPr>
          <w:szCs w:val="24"/>
        </w:rPr>
        <w:t>•In the case of gifts, § 274(b) limits the deductibility of a gift(s) given to one individual to a total of $25 if its cost is deducted under § 162 (trade or business expenses) or § 212 (expenses of producing or collecting profit or managing property held to produce income).</w:t>
      </w:r>
    </w:p>
    <w:p w:rsidR="0049128E" w:rsidRPr="00576ED7" w:rsidRDefault="0049128E" w:rsidP="00A6585D">
      <w:pPr>
        <w:widowControl w:val="0"/>
        <w:ind w:left="720"/>
        <w:jc w:val="both"/>
        <w:rPr>
          <w:szCs w:val="24"/>
        </w:rPr>
      </w:pPr>
      <w:r w:rsidRPr="00576ED7">
        <w:rPr>
          <w:szCs w:val="24"/>
        </w:rPr>
        <w:lastRenderedPageBreak/>
        <w:t xml:space="preserve">•In </w:t>
      </w:r>
      <w:r w:rsidRPr="00576ED7">
        <w:rPr>
          <w:i/>
          <w:szCs w:val="24"/>
        </w:rPr>
        <w:t>Duberstein</w:t>
      </w:r>
      <w:r w:rsidRPr="00576ED7">
        <w:rPr>
          <w:szCs w:val="24"/>
        </w:rPr>
        <w:t xml:space="preserve">, § 274(b) would have limited Mohawk Corporation’s § 162 deduction to $25.  If Mohawk had nevertheless purchased a Cadillac for Duberstein, </w:t>
      </w:r>
      <w:r w:rsidRPr="00576ED7">
        <w:rPr>
          <w:i/>
          <w:szCs w:val="24"/>
        </w:rPr>
        <w:t>Mohawk</w:t>
      </w:r>
      <w:r w:rsidRPr="00576ED7">
        <w:rPr>
          <w:szCs w:val="24"/>
        </w:rPr>
        <w:t xml:space="preserve"> would have paid income tax on the cost of the gift (less $25).  In essence, Mohawk would have been a surrogate taxpayer for Duberstein’s accession to wealth.</w:t>
      </w:r>
    </w:p>
    <w:p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rsidR="0049128E" w:rsidRPr="00576ED7" w:rsidRDefault="0049128E" w:rsidP="00A6585D">
      <w:pPr>
        <w:widowControl w:val="0"/>
        <w:ind w:left="1440"/>
        <w:jc w:val="both"/>
        <w:rPr>
          <w:szCs w:val="24"/>
        </w:rPr>
      </w:pPr>
      <w:r w:rsidRPr="00576ED7">
        <w:rPr>
          <w:szCs w:val="24"/>
        </w:rPr>
        <w:t>•No matter what the merits of particular gifts, isn’t litigation of business gift issues likely to be much less frequent because of § 274(b)(1)?</w:t>
      </w:r>
    </w:p>
    <w:p w:rsidR="0049128E" w:rsidRPr="00576ED7" w:rsidRDefault="0049128E" w:rsidP="00A6585D">
      <w:pPr>
        <w:widowControl w:val="0"/>
        <w:ind w:left="1440"/>
        <w:jc w:val="both"/>
        <w:rPr>
          <w:szCs w:val="24"/>
        </w:rPr>
      </w:pPr>
      <w:r w:rsidRPr="00576ED7">
        <w:rPr>
          <w:szCs w:val="24"/>
        </w:rPr>
        <w:t xml:space="preserve">•Is congressional reaction to </w:t>
      </w:r>
      <w:r w:rsidRPr="00576ED7">
        <w:rPr>
          <w:i/>
          <w:szCs w:val="24"/>
        </w:rPr>
        <w:t>Duberstein</w:t>
      </w:r>
      <w:r w:rsidRPr="00576ED7">
        <w:rPr>
          <w:szCs w:val="24"/>
        </w:rPr>
        <w:t xml:space="preserve"> better than the position that the Commissioner argued for in the case? Of course, the co</w:t>
      </w:r>
      <w:r w:rsidRPr="00576ED7">
        <w:rPr>
          <w:szCs w:val="24"/>
        </w:rPr>
        <w:t>n</w:t>
      </w:r>
      <w:r w:rsidRPr="00576ED7">
        <w:rPr>
          <w:szCs w:val="24"/>
        </w:rPr>
        <w:t>gressional solution was not one that the Commissioner would be in a position to advocate.</w:t>
      </w:r>
    </w:p>
    <w:p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8.  Section 102's exclusion also extends to bequests.  Section 102(b)(2) provides that income </w:t>
      </w:r>
      <w:r w:rsidRPr="00576ED7">
        <w:rPr>
          <w:i/>
          <w:szCs w:val="24"/>
        </w:rPr>
        <w:t>from</w:t>
      </w:r>
      <w:r w:rsidRPr="00576ED7">
        <w:rPr>
          <w:szCs w:val="24"/>
        </w:rPr>
        <w:t xml:space="preserve"> gifted property is not excluded from a taxpayer’s gross income.  In </w:t>
      </w:r>
      <w:r w:rsidRPr="00576ED7">
        <w:rPr>
          <w:i/>
          <w:szCs w:val="24"/>
        </w:rPr>
        <w:t>Irwin v. Gavit</w:t>
      </w:r>
      <w:r w:rsidRPr="00576ED7">
        <w:rPr>
          <w:szCs w:val="24"/>
        </w:rPr>
        <w:t>, 268 U.S. 161 (1925), the Supreme Court held that the gift e</w:t>
      </w:r>
      <w:r w:rsidRPr="00576ED7">
        <w:rPr>
          <w:szCs w:val="24"/>
        </w:rPr>
        <w:t>x</w:t>
      </w:r>
      <w:r w:rsidRPr="00576ED7">
        <w:rPr>
          <w:szCs w:val="24"/>
        </w:rPr>
        <w:t xml:space="preserve">clusion extended to the gift of the corpus of a trust, but not to the income from it.  </w:t>
      </w:r>
      <w:r w:rsidRPr="00576ED7">
        <w:rPr>
          <w:i/>
          <w:szCs w:val="24"/>
        </w:rPr>
        <w:t>Id.</w:t>
      </w:r>
      <w:r w:rsidRPr="00576ED7">
        <w:rPr>
          <w:szCs w:val="24"/>
        </w:rPr>
        <w:t xml:space="preserve"> at 167.  An income beneficiary for life must pay income tax on that income; the remainderman does not pay income tax on the property.</w:t>
      </w:r>
    </w:p>
    <w:p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w:t>
      </w:r>
      <w:r w:rsidRPr="00576ED7">
        <w:rPr>
          <w:szCs w:val="24"/>
        </w:rPr>
        <w:t>i</w:t>
      </w:r>
      <w:r w:rsidRPr="00576ED7">
        <w:rPr>
          <w:szCs w:val="24"/>
        </w:rPr>
        <w:t>ciary dies.</w:t>
      </w:r>
    </w:p>
    <w:p w:rsidR="0049128E" w:rsidRPr="00576ED7" w:rsidRDefault="0049128E" w:rsidP="00A6585D">
      <w:pPr>
        <w:widowControl w:val="0"/>
        <w:ind w:left="720"/>
        <w:jc w:val="both"/>
        <w:rPr>
          <w:szCs w:val="24"/>
        </w:rPr>
      </w:pPr>
      <w:r w:rsidRPr="00576ED7">
        <w:rPr>
          <w:szCs w:val="24"/>
        </w:rPr>
        <w:t xml:space="preserve">•If the donor had simply given the corpus outright without subjecting it to a life estate, the value of the exclusion would have been more.  Where did this loss in value disappear to? Shouldn’t </w:t>
      </w:r>
      <w:r w:rsidRPr="00576ED7">
        <w:rPr>
          <w:i/>
          <w:szCs w:val="24"/>
        </w:rPr>
        <w:t>someone</w:t>
      </w:r>
      <w:r w:rsidRPr="00576ED7">
        <w:rPr>
          <w:szCs w:val="24"/>
        </w:rPr>
        <w:t xml:space="preserve"> benefit from it?</w:t>
      </w:r>
    </w:p>
    <w:p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Taxpayer was an attorney who entered into a contract with a client whereby he agreed to provide whatever legal services she should require for the remainder of her life without billing her.  The client agreed to bequeath to taxpayer certain stock.  Eventually the client died, and taxpayer received the stock.  Taxpayer a</w:t>
      </w:r>
      <w:r w:rsidRPr="00576ED7">
        <w:rPr>
          <w:szCs w:val="24"/>
        </w:rPr>
        <w:t>r</w:t>
      </w:r>
      <w:r w:rsidRPr="00576ED7">
        <w:rPr>
          <w:szCs w:val="24"/>
        </w:rPr>
        <w:t>gued that the fmv of the stock should be excluded from his gross income under § 102(a).</w:t>
      </w:r>
    </w:p>
    <w:p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962687" w:rsidRPr="00576ED7">
        <w:rPr>
          <w:szCs w:val="24"/>
          <w:vertAlign w:val="superscript"/>
        </w:rPr>
        <w:t>nd</w:t>
      </w:r>
      <w:r w:rsidR="00962687" w:rsidRPr="00576ED7">
        <w:rPr>
          <w:szCs w:val="24"/>
        </w:rPr>
        <w:t xml:space="preserve"> Cir.</w:t>
      </w:r>
      <w:r w:rsidRPr="00576ED7">
        <w:rPr>
          <w:szCs w:val="24"/>
        </w:rPr>
        <w:t xml:space="preserve">), </w:t>
      </w:r>
      <w:r w:rsidRPr="00576ED7">
        <w:rPr>
          <w:i/>
          <w:szCs w:val="24"/>
        </w:rPr>
        <w:t xml:space="preserve">cert. </w:t>
      </w:r>
      <w:r w:rsidRPr="00576ED7">
        <w:rPr>
          <w:i/>
          <w:szCs w:val="24"/>
        </w:rPr>
        <w:lastRenderedPageBreak/>
        <w:t>denied</w:t>
      </w:r>
      <w:r w:rsidRPr="00576ED7">
        <w:rPr>
          <w:szCs w:val="24"/>
        </w:rPr>
        <w:t>, 419 U.S. 828 (1974).</w:t>
      </w:r>
    </w:p>
    <w:p w:rsidR="0049128E" w:rsidRPr="00576ED7" w:rsidRDefault="0049128E" w:rsidP="00A6585D">
      <w:pPr>
        <w:widowControl w:val="0"/>
        <w:jc w:val="both"/>
        <w:rPr>
          <w:szCs w:val="24"/>
        </w:rPr>
      </w:pPr>
    </w:p>
    <w:p w:rsidR="00D27616" w:rsidRPr="00576ED7" w:rsidRDefault="0049128E" w:rsidP="00A6585D">
      <w:pPr>
        <w:widowControl w:val="0"/>
        <w:jc w:val="both"/>
        <w:rPr>
          <w:szCs w:val="24"/>
        </w:rPr>
      </w:pPr>
      <w:r w:rsidRPr="00576ED7">
        <w:rPr>
          <w:szCs w:val="24"/>
        </w:rPr>
        <w:t>10.  Re</w:t>
      </w:r>
      <w:r w:rsidR="002471C6">
        <w:rPr>
          <w:szCs w:val="24"/>
        </w:rPr>
        <w:t>ad §§ 74 and 274(j) carefully.</w:t>
      </w:r>
    </w:p>
    <w:p w:rsidR="0025177E" w:rsidRPr="00576ED7" w:rsidRDefault="00C007EA" w:rsidP="00A6585D">
      <w:pPr>
        <w:widowControl w:val="0"/>
        <w:jc w:val="both"/>
        <w:rPr>
          <w:szCs w:val="24"/>
        </w:rPr>
      </w:pPr>
      <w:r w:rsidRPr="00576ED7">
        <w:rPr>
          <w:noProof/>
          <w:szCs w:val="24"/>
        </w:rPr>
        <w:drawing>
          <wp:inline distT="0" distB="0" distL="0" distR="0" wp14:anchorId="0A06A909" wp14:editId="3C8F7A21">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Income Taxation: Gross Income: Gifts, Bequests, Prizes, and Donative Cancellations of Indebtedness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11.  Recall from chapter 1: </w:t>
      </w:r>
      <w:r w:rsidRPr="00576ED7">
        <w:rPr>
          <w:i/>
          <w:szCs w:val="24"/>
        </w:rPr>
        <w:t>The Essence of Basis</w:t>
      </w:r>
      <w:r w:rsidRPr="00576ED7">
        <w:rPr>
          <w:szCs w:val="24"/>
        </w:rPr>
        <w:t>: Adjusted basis represents mo</w:t>
      </w:r>
      <w:r w:rsidRPr="00576ED7">
        <w:rPr>
          <w:szCs w:val="24"/>
        </w:rPr>
        <w:t>n</w:t>
      </w:r>
      <w:r w:rsidRPr="00576ED7">
        <w:rPr>
          <w:szCs w:val="24"/>
        </w:rPr>
        <w:t xml:space="preserve">ey that will not again be subject to income tax, usually because it is what remains after taxpayer already paid income tax on a greater sum of money.  More pithily: basis is “money that has already been taxed” (and so can’t be taxed again).  </w:t>
      </w:r>
    </w:p>
    <w:p w:rsidR="0049128E" w:rsidRPr="00576ED7" w:rsidRDefault="0049128E" w:rsidP="00A6585D">
      <w:pPr>
        <w:widowControl w:val="0"/>
        <w:ind w:left="720"/>
        <w:jc w:val="both"/>
        <w:rPr>
          <w:szCs w:val="24"/>
        </w:rPr>
      </w:pPr>
      <w:r w:rsidRPr="00576ED7">
        <w:rPr>
          <w:szCs w:val="24"/>
        </w:rPr>
        <w:t>•Section 1015 states a special rule governing a donee’s basis in property that s/he acquired by gift.  Read the first sentence of § 1015(a).  What rule(s) does it 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12.  Consider this hypothetical posed by the Supreme Court in </w:t>
      </w:r>
      <w:r w:rsidRPr="00576ED7">
        <w:rPr>
          <w:i/>
          <w:szCs w:val="24"/>
        </w:rPr>
        <w:t>Taft v. Bowers</w:t>
      </w:r>
      <w:r w:rsidRPr="00576ED7">
        <w:rPr>
          <w:szCs w:val="24"/>
        </w:rPr>
        <w:t>, 278 U.S. 470 (1929), where the Court held that the Code’s adjusted basis rules appl</w:t>
      </w:r>
      <w:r w:rsidRPr="00576ED7">
        <w:rPr>
          <w:szCs w:val="24"/>
        </w:rPr>
        <w:t>i</w:t>
      </w:r>
      <w:r w:rsidRPr="00576ED7">
        <w:rPr>
          <w:szCs w:val="24"/>
        </w:rPr>
        <w:t xml:space="preserve">cable to gifts </w:t>
      </w:r>
      <w:r w:rsidR="002471C6">
        <w:rPr>
          <w:szCs w:val="24"/>
        </w:rPr>
        <w:t xml:space="preserve">are </w:t>
      </w:r>
      <w:r w:rsidRPr="00576ED7">
        <w:rPr>
          <w:szCs w:val="24"/>
        </w:rPr>
        <w:t>constitutional: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1916, A purchased 100 shares of stock for $1000, which he held until 1923, when their fair market value had become $2000.  He then gave them to B, who sold them during the year 1923 for $5000.”</w:t>
      </w:r>
    </w:p>
    <w:p w:rsidR="0049128E" w:rsidRPr="00576ED7" w:rsidRDefault="0049128E" w:rsidP="00A6585D">
      <w:pPr>
        <w:widowControl w:val="0"/>
        <w:ind w:left="72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 1015(a).</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•(ii) Suppose that A had purchased the shares for $5000 and gave them to B when their fmv was $2000.  B sold the shares in 1923 for $1000.  How much loss may B claim on her income tax return for 1923?</w:t>
      </w:r>
    </w:p>
    <w:p w:rsidR="002471C6" w:rsidRDefault="002471C6"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•(iii) Suppose that A had purchased the shares for $2000 and gave them to B when their fmv was $1000.  B sold the shares in 1923 for $1500.  How much gain or loss must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•(iv) Suppose that A had purchased the shares for $2000 and gave them to B when their fmv was $1000.  B sold them for $5000.  On how much gain must B pay income tax in 1923?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•(v) Suppose that A had purchased the shares for $2000 and gave them to B when their fmv was $3000.  B sold them for $1000.  How much loss may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13.  The federal estate and gift taxes are </w:t>
      </w:r>
      <w:r w:rsidRPr="00576ED7">
        <w:rPr>
          <w:i/>
          <w:szCs w:val="24"/>
        </w:rPr>
        <w:t>in pari materia</w:t>
      </w:r>
      <w:r w:rsidRPr="00576ED7">
        <w:rPr>
          <w:szCs w:val="24"/>
        </w:rPr>
        <w:t xml:space="preserve"> with each other.  The fe</w:t>
      </w:r>
      <w:r w:rsidRPr="00576ED7">
        <w:rPr>
          <w:szCs w:val="24"/>
        </w:rPr>
        <w:t>d</w:t>
      </w:r>
      <w:r w:rsidRPr="00576ED7">
        <w:rPr>
          <w:szCs w:val="24"/>
        </w:rPr>
        <w:t xml:space="preserve">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rsidR="0049128E" w:rsidRPr="00576ED7" w:rsidRDefault="0049128E" w:rsidP="00A6585D">
      <w:pPr>
        <w:widowControl w:val="0"/>
        <w:ind w:left="720" w:hanging="720"/>
        <w:jc w:val="both"/>
        <w:rPr>
          <w:szCs w:val="24"/>
        </w:rPr>
      </w:pPr>
      <w:r w:rsidRPr="00576ED7">
        <w:rPr>
          <w:szCs w:val="24"/>
        </w:rPr>
        <w:tab/>
        <w:t>•What does this mean?</w:t>
      </w:r>
    </w:p>
    <w:p w:rsidR="0049128E" w:rsidRPr="00576ED7" w:rsidRDefault="0049128E" w:rsidP="00A6585D">
      <w:pPr>
        <w:widowControl w:val="0"/>
        <w:jc w:val="both"/>
        <w:rPr>
          <w:szCs w:val="24"/>
        </w:rPr>
      </w:pPr>
    </w:p>
    <w:p w:rsidR="0049128E" w:rsidRPr="00576ED7" w:rsidRDefault="002471C6" w:rsidP="00A6585D">
      <w:pPr>
        <w:widowControl w:val="0"/>
        <w:jc w:val="both"/>
        <w:rPr>
          <w:szCs w:val="24"/>
        </w:rPr>
      </w:pPr>
      <w:r w:rsidRPr="00576ED7">
        <w:rPr>
          <w:noProof/>
          <w:szCs w:val="24"/>
        </w:rPr>
        <mc:AlternateContent>
          <mc:Choice Requires="wps">
            <w:drawing>
              <wp:anchor distT="152400" distB="152400" distL="152400" distR="152400" simplePos="0" relativeHeight="251656192" behindDoc="0" locked="0" layoutInCell="0" allowOverlap="1" wp14:anchorId="674D1397" wp14:editId="12F5655E">
                <wp:simplePos x="0" y="0"/>
                <wp:positionH relativeFrom="margin">
                  <wp:posOffset>2169795</wp:posOffset>
                </wp:positionH>
                <wp:positionV relativeFrom="paragraph">
                  <wp:posOffset>4445</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rsidR="00FF5E72" w:rsidRDefault="00FF5E72"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170.85pt;margin-top:.35pt;width:225.1pt;height:213.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4uLAIAAFwEAAAOAAAAZHJzL2Uyb0RvYy54bWysVNtu2zAMfR+wfxD0vjj22iYz4hRdugwD&#10;ugvQ7gNkWbaFSaImKbGzry8lp2nQbS/D/CCIEnVInkN6dT1qRfbCeQmmovlsTokwHBppuop+f9i+&#10;WVLiAzMNU2BERQ/C0+v161erwZaigB5UIxxBEOPLwVa0D8GWWeZ5LzTzM7DC4GULTrOApuuyxrEB&#10;0bXKivn8KhvANdYBF97j6e10SdcJv20FD1/b1otAVEUxt5BWl9Y6rtl6xcrOMdtLfkyD/UMWmkmD&#10;QU9QtywwsnPyNygtuQMPbZhx0Bm0reQi1YDV5PMX1dz3zIpUC5Lj7Ykm//9g+Zf9N0dkU9EFKmWY&#10;Ro0exBjIexjJReJnsL5Et3uLjmHEc9Q51ertHfAfnhjY9Mx04sY5GHrBGswvj8xmZ0+jIr70EaQe&#10;PkODcdguQAIaW6cjeUgHQXTU6XDSJubC8bBYXi4XC7zieFcs8vziMmWXsfLpuXU+fBSgSdxU1KH4&#10;CZ7t73yI6bDyySVG86Bks5VKJcN19UY5smfYKNv0pQpeuClDBiyuyN8VEwV/xZin708YWgZseSV1&#10;RZcnJ1ZG4j6YJjVkYFJNe8xZmSOTkbyJxjDWYxLt7TJGiMzW0ByQWwdTi+NI4qYH94uSAdu7ov7n&#10;jjlBifpkUJ/FFU4PzsO54c6N+txghiNURQMl03YTphnaWSe7HiNNHWHgBjVtZWL7Oatj/tjCSYTj&#10;uMUZObeT1/NPYf0IAAD//wMAUEsDBBQABgAIAAAAIQCfvb4V3AAAAAgBAAAPAAAAZHJzL2Rvd25y&#10;ZXYueG1sTI9BT4QwEIXvJv6HZky8uQXciIsMG0PifUGNHrt0pETaIu0u+O8dT3p5yeS9vPdNuV/t&#10;KM40h8E7hHSTgCDXeT24HuHl+enmHkSIymk1ekcI3xRgX11elKrQfnENndvYCy5xoVAIJsapkDJ0&#10;hqwKGz+RY+/Dz1ZFPude6lktXG5HmSXJnbRqcLxg1ES1oe6zPVkE3zT1a9Z+Hd7qRdf9cljj9G4Q&#10;r6/WxwcQkdb4F4ZffEaHipmO/uR0ECPC7TbNOYrAyna+S3cgjgjbLM9BVqX8/0D1AwAA//8DAFBL&#10;AQItABQABgAIAAAAIQC2gziS/gAAAOEBAAATAAAAAAAAAAAAAAAAAAAAAABbQ29udGVudF9UeXBl&#10;c10ueG1sUEsBAi0AFAAGAAgAAAAhADj9If/WAAAAlAEAAAsAAAAAAAAAAAAAAAAALwEAAF9yZWxz&#10;Ly5yZWxzUEsBAi0AFAAGAAgAAAAhADhbXi4sAgAAXAQAAA4AAAAAAAAAAAAAAAAALgIAAGRycy9l&#10;Mm9Eb2MueG1sUEsBAi0AFAAGAAgAAAAhAJ+9vhXcAAAACAEAAA8AAAAAAAAAAAAAAAAAhgQAAGRy&#10;cy9kb3ducmV2LnhtbFBLBQYAAAAABAAEAPMAAACPBQAAAAA=&#10;" o:allowincell="f" strokeweight=".96pt">
                <v:textbox inset="6pt,6pt,6pt,6pt">
                  <w:txbxContent>
                    <w:p w:rsidR="00FF5E72" w:rsidRDefault="00FF5E72"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w:t>
                      </w:r>
                      <w:r>
                        <w:rPr>
                          <w:rFonts w:ascii="Tw Cen MT" w:hAnsi="Tw Cen MT"/>
                        </w:rPr>
                        <w:t>n</w:t>
                      </w:r>
                      <w:r>
                        <w:rPr>
                          <w:rFonts w:ascii="Tw Cen MT" w:hAnsi="Tw Cen MT"/>
                        </w:rPr>
                        <w:t xml:space="preserve">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 xml:space="preserve">14.  Now consider the effect of § 1015(d)(1 and 6).  Assume that the gift tax on any gift is 20% of the </w:t>
      </w:r>
      <w:r w:rsidR="0049128E" w:rsidRPr="00576ED7">
        <w:rPr>
          <w:i/>
          <w:szCs w:val="24"/>
        </w:rPr>
        <w:t>fmv</w:t>
      </w:r>
      <w:r w:rsidR="0049128E" w:rsidRPr="00576ED7">
        <w:rPr>
          <w:szCs w:val="24"/>
        </w:rPr>
        <w:t xml:space="preserve"> of the gift.  Assume also that the gift was made in 2013.  How does this change your a</w:t>
      </w:r>
      <w:r w:rsidR="0049128E" w:rsidRPr="00576ED7">
        <w:rPr>
          <w:szCs w:val="24"/>
        </w:rPr>
        <w:t>n</w:t>
      </w:r>
      <w:r w:rsidR="0049128E" w:rsidRPr="00576ED7">
        <w:rPr>
          <w:szCs w:val="24"/>
        </w:rPr>
        <w:t>swers to the first question i</w:t>
      </w:r>
      <w:r w:rsidR="0049128E" w:rsidRPr="00576ED7">
        <w:rPr>
          <w:szCs w:val="24"/>
        </w:rPr>
        <w:t>m</w:t>
      </w:r>
      <w:r w:rsidR="0049128E" w:rsidRPr="00576ED7">
        <w:rPr>
          <w:szCs w:val="24"/>
        </w:rPr>
        <w:t>mediately above?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15.  Now imagine:  Taxpayer wanted to give $800 as a gift to his son.  Assume that the gift is subject to federal gift tax.  A</w:t>
      </w:r>
      <w:r w:rsidRPr="00576ED7">
        <w:rPr>
          <w:szCs w:val="24"/>
        </w:rPr>
        <w:t>s</w:t>
      </w:r>
      <w:r w:rsidRPr="00576ED7">
        <w:rPr>
          <w:szCs w:val="24"/>
        </w:rPr>
        <w:t xml:space="preserve">sume that the gift tax is 20% of the fmv of the gift.  Instead of giving the son $800 and paying $160 in federal gift tax, taxpayer gave his son property with a fmv of $1000 on the condition that son pay the $200 gift tax.  Must </w:t>
      </w:r>
      <w:r w:rsidRPr="00576ED7">
        <w:rPr>
          <w:i/>
          <w:szCs w:val="24"/>
        </w:rPr>
        <w:t>father</w:t>
      </w:r>
      <w:r w:rsidRPr="00576ED7">
        <w:rPr>
          <w:szCs w:val="24"/>
        </w:rPr>
        <w:t xml:space="preserve"> recognize gross income?  Read on.</w:t>
      </w:r>
    </w:p>
    <w:p w:rsidR="0049128E" w:rsidRPr="00576ED7" w:rsidRDefault="0049128E" w:rsidP="00A6585D">
      <w:pPr>
        <w:widowControl w:val="0"/>
        <w:jc w:val="both"/>
        <w:rPr>
          <w:szCs w:val="24"/>
        </w:rPr>
      </w:pPr>
    </w:p>
    <w:p w:rsidR="00D27616" w:rsidRPr="00576ED7" w:rsidRDefault="00D27616" w:rsidP="00A6585D">
      <w:pPr>
        <w:widowControl w:val="0"/>
        <w:jc w:val="both"/>
        <w:rPr>
          <w:b/>
          <w:szCs w:val="24"/>
        </w:rPr>
      </w:pPr>
    </w:p>
    <w:p w:rsidR="0049128E" w:rsidRPr="00576ED7" w:rsidRDefault="0049128E" w:rsidP="00A6585D">
      <w:pPr>
        <w:widowControl w:val="0"/>
        <w:jc w:val="both"/>
        <w:rPr>
          <w:szCs w:val="24"/>
        </w:rPr>
      </w:pPr>
      <w:r w:rsidRPr="00576ED7">
        <w:rPr>
          <w:b/>
          <w:szCs w:val="24"/>
        </w:rPr>
        <w:t>Diedrich v. Commissioner</w:t>
      </w:r>
      <w:r w:rsidRPr="00576ED7">
        <w:rPr>
          <w:szCs w:val="24"/>
        </w:rPr>
        <w:t>, 457 U.S. 191 (1982)</w:t>
      </w:r>
      <w:r w:rsidRPr="00576ED7">
        <w:rPr>
          <w:szCs w:val="24"/>
        </w:rPr>
        <w:fldChar w:fldCharType="begin"/>
      </w:r>
      <w:r w:rsidRPr="00576ED7">
        <w:rPr>
          <w:szCs w:val="24"/>
        </w:rPr>
        <w:instrText xml:space="preserve"> TC \l3 "Diedrich v. Commissioner, 457 U.S. 191 (1982)</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CHIEF JUSTICE BURGER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granted certiorari to resolve a Circuit conflict as to whether a donor who makes a gift of property on condition that the donee pay the resulting gift tax r</w:t>
      </w:r>
      <w:r w:rsidRPr="00576ED7">
        <w:rPr>
          <w:szCs w:val="24"/>
        </w:rPr>
        <w:t>e</w:t>
      </w:r>
      <w:r w:rsidRPr="00576ED7">
        <w:rPr>
          <w:szCs w:val="24"/>
        </w:rPr>
        <w:t>ceives taxable income to the extent that the gift tax paid by the donee exceeds the donor’s adjusted basis in the property transferred.  The United States Court of Appeals for the Eighth Circuit held that the donor realized income.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i/>
          <w:szCs w:val="24"/>
        </w:rPr>
        <w:t>Diedrich v. Commissioner of Internal Revenue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1972, petitioners Victor and Frances Diedrich made gifts of approximately 85,000 shares of stock to their three children ... The gifts were subject to a cond</w:t>
      </w:r>
      <w:r w:rsidRPr="00576ED7">
        <w:rPr>
          <w:szCs w:val="24"/>
        </w:rPr>
        <w:t>i</w:t>
      </w:r>
      <w:r w:rsidRPr="00576ED7">
        <w:rPr>
          <w:szCs w:val="24"/>
        </w:rPr>
        <w:t>tion that the donees pay the resulting federal and state gift taxes. ... The donors’ basis in the transferred stock was $51,073; the gift tax paid in 1972 by the donees was $62,992.  Petitioners did not include as income on their 1972 federal income tax returns any portion of the gift tax paid by the donees.  After an audit, the Commissioner of Internal Revenue determined that petitioners had realized i</w:t>
      </w:r>
      <w:r w:rsidRPr="00576ED7">
        <w:rPr>
          <w:szCs w:val="24"/>
        </w:rPr>
        <w:t>n</w:t>
      </w:r>
      <w:r w:rsidRPr="00576ED7">
        <w:rPr>
          <w:szCs w:val="24"/>
        </w:rPr>
        <w:t>come to the extent that the gift tax owed by petitioners, but paid by the donees, exceeded the donors’ basis in the property.  Accordingly, petitioners’ taxable i</w:t>
      </w:r>
      <w:r w:rsidRPr="00576ED7">
        <w:rPr>
          <w:szCs w:val="24"/>
        </w:rPr>
        <w:t>n</w:t>
      </w:r>
      <w:r w:rsidRPr="00576ED7">
        <w:rPr>
          <w:szCs w:val="24"/>
        </w:rPr>
        <w:t>come for 1972 was increased by $5,959.</w:t>
      </w:r>
      <w:r w:rsidRPr="00576ED7">
        <w:rPr>
          <w:rStyle w:val="FootnoteReference"/>
          <w:szCs w:val="24"/>
        </w:rPr>
        <w:footnoteReference w:id="50"/>
      </w:r>
      <w:r w:rsidRPr="00576ED7">
        <w:rPr>
          <w:szCs w:val="24"/>
        </w:rPr>
        <w:t xml:space="preserve">  Petitioners filed a petition in the Uni</w:t>
      </w:r>
      <w:r w:rsidRPr="00576ED7">
        <w:rPr>
          <w:szCs w:val="24"/>
        </w:rPr>
        <w:t>t</w:t>
      </w:r>
      <w:r w:rsidRPr="00576ED7">
        <w:rPr>
          <w:szCs w:val="24"/>
        </w:rPr>
        <w:t>ed States Tax Court for redetermination of the deficiencies.  The Tax Court held for the taxpayers, concluding that no income had been realized.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United States Court of Appeals for the Eighth Circuit ... reversed, concluding that, “to the extent the gift taxes paid by donees” exceeded the donors’ adjusted bases in the property transferred, “the donors realized taxable income.”  The Court of Appeals rejected the Tax Court’s conclusion that the taxpayers merely had made a “net gift” of the difference between the fair market value of the tran</w:t>
      </w:r>
      <w:r w:rsidRPr="00576ED7">
        <w:rPr>
          <w:szCs w:val="24"/>
        </w:rPr>
        <w:t>s</w:t>
      </w:r>
      <w:r w:rsidRPr="00576ED7">
        <w:rPr>
          <w:szCs w:val="24"/>
        </w:rPr>
        <w:t xml:space="preserve">ferred property and the gift taxes paid by the donees.  The court reasoned that a donor receives a benefit when a donee discharges a donor’s legal obligation to pay gift taxes.  The Court of Appeals agreed with the Commissioner in rejecting the holding in </w:t>
      </w:r>
      <w:r w:rsidRPr="00576ED7">
        <w:rPr>
          <w:i/>
          <w:szCs w:val="24"/>
        </w:rPr>
        <w:t>Turner v. Commissioner</w:t>
      </w:r>
      <w:r w:rsidRPr="00576ED7">
        <w:rPr>
          <w:szCs w:val="24"/>
        </w:rPr>
        <w:t xml:space="preserve">, 49 T.C. 356 (1968), </w:t>
      </w:r>
      <w:r w:rsidRPr="00576ED7">
        <w:rPr>
          <w:i/>
          <w:szCs w:val="24"/>
        </w:rPr>
        <w:t>aff’d per curiam</w:t>
      </w:r>
      <w:r w:rsidRPr="00576ED7">
        <w:rPr>
          <w:szCs w:val="24"/>
        </w:rPr>
        <w:t xml:space="preserve">, 410 F.2d 752 (CA6 1969), and its progeny, and adopted the approach of </w:t>
      </w:r>
      <w:r w:rsidRPr="00576ED7">
        <w:rPr>
          <w:i/>
          <w:szCs w:val="24"/>
        </w:rPr>
        <w:t>Johnson v. Commissioner</w:t>
      </w:r>
      <w:r w:rsidRPr="00576ED7">
        <w:rPr>
          <w:szCs w:val="24"/>
        </w:rPr>
        <w:t xml:space="preserve">, 59 T.C. 791 (1973), </w:t>
      </w:r>
      <w:r w:rsidRPr="00576ED7">
        <w:rPr>
          <w:i/>
          <w:szCs w:val="24"/>
        </w:rPr>
        <w:t>aff’d</w:t>
      </w:r>
      <w:r w:rsidRPr="00576ED7">
        <w:rPr>
          <w:szCs w:val="24"/>
        </w:rPr>
        <w:t xml:space="preserve">, 495 F.2d 1079 (CA6), </w:t>
      </w:r>
      <w:r w:rsidRPr="00576ED7">
        <w:rPr>
          <w:i/>
          <w:szCs w:val="24"/>
        </w:rPr>
        <w:t>cert. denied</w:t>
      </w:r>
      <w:r w:rsidRPr="00576ED7">
        <w:rPr>
          <w:szCs w:val="24"/>
        </w:rPr>
        <w:t xml:space="preserve">, 419 U.S. 1040 (1974), and </w:t>
      </w:r>
      <w:r w:rsidRPr="00576ED7">
        <w:rPr>
          <w:i/>
          <w:szCs w:val="24"/>
        </w:rPr>
        <w:t>Estate of Levine v. Commissioner</w:t>
      </w:r>
      <w:r w:rsidRPr="00576ED7">
        <w:rPr>
          <w:szCs w:val="24"/>
        </w:rPr>
        <w:t xml:space="preserve">, 72 T.C. 780 (1979), </w:t>
      </w:r>
      <w:r w:rsidRPr="00576ED7">
        <w:rPr>
          <w:i/>
          <w:szCs w:val="24"/>
        </w:rPr>
        <w:t>aff’d</w:t>
      </w:r>
      <w:r w:rsidRPr="00576ED7">
        <w:rPr>
          <w:szCs w:val="24"/>
        </w:rPr>
        <w:t>, 634 F.2d 12 (CA2 1980).  We granted certiorari to resolve this conflict, and we affirm.</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2471C6">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lastRenderedPageBreak/>
        <w:t>... This Court has recognized that “income” may be realized by a variety of ind</w:t>
      </w:r>
      <w:r w:rsidRPr="00576ED7">
        <w:rPr>
          <w:szCs w:val="24"/>
        </w:rPr>
        <w:t>i</w:t>
      </w:r>
      <w:r w:rsidRPr="00576ED7">
        <w:rPr>
          <w:szCs w:val="24"/>
        </w:rPr>
        <w:t xml:space="preserve">rect means.  In </w:t>
      </w:r>
      <w:r w:rsidRPr="00576ED7">
        <w:rPr>
          <w:i/>
          <w:szCs w:val="24"/>
        </w:rPr>
        <w:t>Old Colony Trust Co. v. Commissioner</w:t>
      </w:r>
      <w:r w:rsidRPr="00576ED7">
        <w:rPr>
          <w:szCs w:val="24"/>
        </w:rPr>
        <w:t>, 279 U.S. 716 (1929), the Court held that payment of an employee’s income taxes by an employer constitu</w:t>
      </w:r>
      <w:r w:rsidRPr="00576ED7">
        <w:rPr>
          <w:szCs w:val="24"/>
        </w:rPr>
        <w:t>t</w:t>
      </w:r>
      <w:r w:rsidRPr="00576ED7">
        <w:rPr>
          <w:szCs w:val="24"/>
        </w:rPr>
        <w:t>ed income to the employee.  Speaking for the Court, Chief Justice Taft concluded that</w:t>
      </w:r>
      <w:r w:rsidR="00B438C2">
        <w:rPr>
          <w:szCs w:val="24"/>
        </w:rPr>
        <w:t xml:space="preserve"> </w:t>
      </w:r>
      <w:r w:rsidRPr="00576ED7">
        <w:rPr>
          <w:szCs w:val="24"/>
        </w:rPr>
        <w:t>“[t]he payment of the tax by the employe[r] was in consideration of the se</w:t>
      </w:r>
      <w:r w:rsidRPr="00576ED7">
        <w:rPr>
          <w:szCs w:val="24"/>
        </w:rPr>
        <w:t>r</w:t>
      </w:r>
      <w:r w:rsidRPr="00576ED7">
        <w:rPr>
          <w:szCs w:val="24"/>
        </w:rPr>
        <w:t>vices rendered by the employee, and was a gain derived by the employee from his labor.”</w:t>
      </w:r>
      <w:r w:rsidR="00B438C2">
        <w:rPr>
          <w:szCs w:val="24"/>
        </w:rPr>
        <w:t xml:space="preserve">  </w:t>
      </w:r>
      <w:r w:rsidRPr="00576ED7">
        <w:rPr>
          <w:i/>
          <w:szCs w:val="24"/>
        </w:rPr>
        <w:t>Id.</w:t>
      </w:r>
      <w:r w:rsidR="00B438C2">
        <w:rPr>
          <w:szCs w:val="24"/>
        </w:rPr>
        <w:t>,</w:t>
      </w:r>
      <w:r w:rsidRPr="00576ED7">
        <w:rPr>
          <w:szCs w:val="24"/>
        </w:rPr>
        <w:t xml:space="preserve"> at 729.  The Court made clear that the substance, not the form, of the agreed transaction controls.  “The discharge by a third person of an obligation to him is equivalent to receipt by the person taxed.”  </w:t>
      </w:r>
      <w:r w:rsidRPr="00576ED7">
        <w:rPr>
          <w:i/>
          <w:szCs w:val="24"/>
        </w:rPr>
        <w:t>Ibid</w:t>
      </w:r>
      <w:r w:rsidRPr="00576ED7">
        <w:rPr>
          <w:szCs w:val="24"/>
        </w:rPr>
        <w:t>.  The employee, in other words, was placed in a better position as a result of the employer’s discharge of the employee’s legal obligation to pay the income taxes; the employee thus r</w:t>
      </w:r>
      <w:r w:rsidRPr="00576ED7">
        <w:rPr>
          <w:szCs w:val="24"/>
        </w:rPr>
        <w:t>e</w:t>
      </w:r>
      <w:r w:rsidRPr="00576ED7">
        <w:rPr>
          <w:szCs w:val="24"/>
        </w:rPr>
        <w:t>ceived a gain subject to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holding in </w:t>
      </w:r>
      <w:r w:rsidRPr="00576ED7">
        <w:rPr>
          <w:i/>
          <w:szCs w:val="24"/>
        </w:rPr>
        <w:t>Old Colony</w:t>
      </w:r>
      <w:r w:rsidRPr="00576ED7">
        <w:rPr>
          <w:szCs w:val="24"/>
        </w:rPr>
        <w:t xml:space="preserve"> was reaffirmed in </w:t>
      </w:r>
      <w:r w:rsidRPr="00576ED7">
        <w:rPr>
          <w:i/>
          <w:szCs w:val="24"/>
        </w:rPr>
        <w:t>Crane v. Commissioner</w:t>
      </w:r>
      <w:r w:rsidRPr="00576ED7">
        <w:rPr>
          <w:szCs w:val="24"/>
        </w:rPr>
        <w:t xml:space="preserve">, 331 U.S. 1 (1947).  In </w:t>
      </w:r>
      <w:r w:rsidRPr="00576ED7">
        <w:rPr>
          <w:i/>
          <w:szCs w:val="24"/>
        </w:rPr>
        <w:t>Crane</w:t>
      </w:r>
      <w:r w:rsidRPr="00576ED7">
        <w:rPr>
          <w:szCs w:val="24"/>
        </w:rPr>
        <w:t>, the Court concluded that relief from the obligation of a nonr</w:t>
      </w:r>
      <w:r w:rsidRPr="00576ED7">
        <w:rPr>
          <w:szCs w:val="24"/>
        </w:rPr>
        <w:t>e</w:t>
      </w:r>
      <w:r w:rsidRPr="00576ED7">
        <w:rPr>
          <w:szCs w:val="24"/>
        </w:rPr>
        <w:t xml:space="preserve">course mortgage in which the value of the property exceeded the value of the mortgage constituted income to the taxpayer.  The taxpayer in </w:t>
      </w:r>
      <w:r w:rsidRPr="00576ED7">
        <w:rPr>
          <w:i/>
          <w:szCs w:val="24"/>
        </w:rPr>
        <w:t>Crane</w:t>
      </w:r>
      <w:r w:rsidRPr="00576ED7">
        <w:rPr>
          <w:szCs w:val="24"/>
        </w:rPr>
        <w:t xml:space="preserve"> acquired depreciable property, an apartment building, subject to an unassumed mortgage.  The taxpayer later sold the apartment building, which was still subject to the no</w:t>
      </w:r>
      <w:r w:rsidRPr="00576ED7">
        <w:rPr>
          <w:szCs w:val="24"/>
        </w:rPr>
        <w:t>n</w:t>
      </w:r>
      <w:r w:rsidRPr="00576ED7">
        <w:rPr>
          <w:szCs w:val="24"/>
        </w:rPr>
        <w:t>recourse mortgage, for cash plus the buyer’s assumption of the mortgage.  This Court held that the amount of the mortgage was properly included in the amount realized on the sale, noting that, if the taxpayer transfers subject to the mortgage,</w:t>
      </w:r>
    </w:p>
    <w:p w:rsidR="0049128E" w:rsidRPr="00576ED7" w:rsidRDefault="0049128E" w:rsidP="00A6585D">
      <w:pPr>
        <w:widowControl w:val="0"/>
        <w:jc w:val="both"/>
        <w:rPr>
          <w:szCs w:val="24"/>
        </w:rPr>
      </w:pPr>
    </w:p>
    <w:p w:rsidR="00B438C2" w:rsidRDefault="0049128E" w:rsidP="00B438C2">
      <w:pPr>
        <w:widowControl w:val="0"/>
        <w:ind w:left="720"/>
        <w:jc w:val="both"/>
        <w:rPr>
          <w:szCs w:val="24"/>
        </w:rPr>
      </w:pPr>
      <w:r w:rsidRPr="00576ED7">
        <w:rPr>
          <w:szCs w:val="24"/>
        </w:rPr>
        <w:t>“the benefit to him is as real and substantial as if the mortgage were di</w:t>
      </w:r>
      <w:r w:rsidRPr="00576ED7">
        <w:rPr>
          <w:szCs w:val="24"/>
        </w:rPr>
        <w:t>s</w:t>
      </w:r>
      <w:r w:rsidRPr="00576ED7">
        <w:rPr>
          <w:szCs w:val="24"/>
        </w:rPr>
        <w:t>charged, or as if a personal debt in an equal amount had been assumed by another.”</w:t>
      </w:r>
      <w:r w:rsidR="00B438C2">
        <w:rPr>
          <w:szCs w:val="24"/>
        </w:rPr>
        <w:t xml:space="preserve">  </w:t>
      </w:r>
      <w:r w:rsidRPr="00576ED7">
        <w:rPr>
          <w:i/>
          <w:szCs w:val="24"/>
        </w:rPr>
        <w:t>Id.</w:t>
      </w:r>
      <w:r w:rsidRPr="00576ED7">
        <w:rPr>
          <w:szCs w:val="24"/>
        </w:rPr>
        <w:t xml:space="preserve"> at 331 U.S. 14. [footnote omitted]</w:t>
      </w:r>
    </w:p>
    <w:p w:rsidR="00B438C2" w:rsidRDefault="00B438C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Again, it was the “reality,” not the form, of the transaction that governed.  </w:t>
      </w:r>
      <w:r w:rsidRPr="00576ED7">
        <w:rPr>
          <w:i/>
          <w:szCs w:val="24"/>
        </w:rPr>
        <w:t>Ibid</w:t>
      </w:r>
      <w:r w:rsidRPr="00576ED7">
        <w:rPr>
          <w:szCs w:val="24"/>
        </w:rPr>
        <w:t>.  The Court found it immaterial whether the seller received money prior to the sale in order to discharge the mortgage, or whether the seller merely transferred the property subject to the mortgage.  In either case the taxpayer realized an economic benefit.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w:t>
      </w:r>
      <w:r w:rsidRPr="00576ED7">
        <w:rPr>
          <w:rStyle w:val="FootnoteReference"/>
          <w:szCs w:val="24"/>
        </w:rPr>
        <w:footnoteReference w:id="51"/>
      </w:r>
      <w:r w:rsidRPr="00576ED7">
        <w:rPr>
          <w:szCs w:val="24"/>
        </w:rPr>
        <w:t xml:space="preserve">  A common method of stru</w:t>
      </w:r>
      <w:r w:rsidRPr="00576ED7">
        <w:rPr>
          <w:szCs w:val="24"/>
        </w:rPr>
        <w:t>c</w:t>
      </w:r>
      <w:r w:rsidRPr="00576ED7">
        <w:rPr>
          <w:szCs w:val="24"/>
        </w:rPr>
        <w:lastRenderedPageBreak/>
        <w:t>turing gift transactions is for the donor to make the gift subject to the condition that the donee pay the resulting gift tax, as was done in ... the case[] now before us.  When a gift is made, the gift tax liability falls on the donor under 26 U.S.C. § 2502(d).</w:t>
      </w:r>
      <w:r w:rsidRPr="00576ED7">
        <w:rPr>
          <w:rStyle w:val="FootnoteReference"/>
          <w:szCs w:val="24"/>
        </w:rPr>
        <w:footnoteReference w:id="52"/>
      </w:r>
      <w:r w:rsidRPr="00576ED7">
        <w:rPr>
          <w:szCs w:val="24"/>
        </w:rPr>
        <w:t xml:space="preserve">  When a donor makes a gift to a donee, a “debt” to the United States for the amount of the gift tax is incurred by the donor.  Those taxes are as much the legal obligation of the donor as the donor’s income taxes; for these purposes, they are the same kind of debt obligation as the income taxes of the employee in </w:t>
      </w:r>
      <w:r w:rsidRPr="00576ED7">
        <w:rPr>
          <w:i/>
          <w:szCs w:val="24"/>
        </w:rPr>
        <w:t>Old Colony</w:t>
      </w:r>
      <w:r w:rsidRPr="00576ED7">
        <w:rPr>
          <w:szCs w:val="24"/>
        </w:rPr>
        <w:t xml:space="preserve">, </w:t>
      </w:r>
      <w:r w:rsidRPr="00576ED7">
        <w:rPr>
          <w:i/>
          <w:szCs w:val="24"/>
        </w:rPr>
        <w:t>supra</w:t>
      </w:r>
      <w:r w:rsidRPr="00576ED7">
        <w:rPr>
          <w:szCs w:val="24"/>
        </w:rPr>
        <w:t>.  Similarly, when a donee agrees to discharge an indebtedness in consideration of the gift, the person relieved of the tax liability realizes an ec</w:t>
      </w:r>
      <w:r w:rsidRPr="00576ED7">
        <w:rPr>
          <w:szCs w:val="24"/>
        </w:rPr>
        <w:t>o</w:t>
      </w:r>
      <w:r w:rsidRPr="00576ED7">
        <w:rPr>
          <w:szCs w:val="24"/>
        </w:rPr>
        <w:t>nomic benefit.  In short, the donor realizes an immediate economic benefit by the donee’s assumption of the donor’s legal obligation to pay the gift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examination of the donor’s intent does not change the character of this benefit.  Although intent is relevant in determining whether a gift has been made, subje</w:t>
      </w:r>
      <w:r w:rsidRPr="00576ED7">
        <w:rPr>
          <w:szCs w:val="24"/>
        </w:rPr>
        <w:t>c</w:t>
      </w:r>
      <w:r w:rsidRPr="00576ED7">
        <w:rPr>
          <w:szCs w:val="24"/>
        </w:rPr>
        <w:t>tive intent has not characteristically been a factor in determining whether an ind</w:t>
      </w:r>
      <w:r w:rsidRPr="00576ED7">
        <w:rPr>
          <w:szCs w:val="24"/>
        </w:rPr>
        <w:t>i</w:t>
      </w:r>
      <w:r w:rsidRPr="00576ED7">
        <w:rPr>
          <w:szCs w:val="24"/>
        </w:rPr>
        <w:t>vidual has realized income. [footnote omitted]  Even if intent were a factor, the donor’s intent with respect to the condition shifting the gift tax obligation from the donor to the donee was plainly to relieve the donor of a debt owed to the Uni</w:t>
      </w:r>
      <w:r w:rsidRPr="00576ED7">
        <w:rPr>
          <w:szCs w:val="24"/>
        </w:rPr>
        <w:t>t</w:t>
      </w:r>
      <w:r w:rsidRPr="00576ED7">
        <w:rPr>
          <w:szCs w:val="24"/>
        </w:rPr>
        <w:t>ed States; the choice was made because the donor would receive a benefit in relief from the obligation to pay the gift tax.</w:t>
      </w:r>
      <w:r w:rsidRPr="00576ED7">
        <w:rPr>
          <w:rStyle w:val="FootnoteReference"/>
          <w:szCs w:val="24"/>
        </w:rPr>
        <w:footnoteReference w:id="5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Finally, the benefit realized by the taxpayer is not diminished by the fact that the liability attaches during the course of a donative transfer.  It cannot be doubted </w:t>
      </w:r>
      <w:r w:rsidRPr="00576ED7">
        <w:rPr>
          <w:szCs w:val="24"/>
        </w:rPr>
        <w:lastRenderedPageBreak/>
        <w:t>that the donors were aware that the gift tax obligation would arise immediately upon the transfer of the property; the economic benefit to the donors in the di</w:t>
      </w:r>
      <w:r w:rsidRPr="00576ED7">
        <w:rPr>
          <w:szCs w:val="24"/>
        </w:rPr>
        <w:t>s</w:t>
      </w:r>
      <w:r w:rsidRPr="00576ED7">
        <w:rPr>
          <w:szCs w:val="24"/>
        </w:rPr>
        <w:t>charge of the gift tax liability is indistinguishable from the benefit arising from discharge of a preexisting obligation.  Nor is there any doubt that, had the donors sold a portion of the stock immediately before the gift transfer in order to raise funds to pay the expected gift tax, a taxable gain would have been realized.  26 U.S.C. § 1001.  The fact that the gift tax obligation was discharged by way of a conditional gift, rather than from funds derived from a pre-gift sale, does not alter the underlying benefit to the donors.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Consistent with the economic reality, the Commissioner has treated these cond</w:t>
      </w:r>
      <w:r w:rsidRPr="00576ED7">
        <w:rPr>
          <w:szCs w:val="24"/>
        </w:rPr>
        <w:t>i</w:t>
      </w:r>
      <w:r w:rsidRPr="00576ED7">
        <w:rPr>
          <w:szCs w:val="24"/>
        </w:rPr>
        <w:t>tional gifts as a discharge of indebtedness through a part gift and part sale of the gift property transferred.  The transfer is treated as if the donor sells the property to the donee for less than the fair market value.  The “sale” price is the amount necessary to discharge the gift tax indebtedness; the balance of the value of the transferred property is treated as a gift.  The gain thus derived by the donor is the amount of the gift tax liability less the donor’s adjusted basis in the entire prope</w:t>
      </w:r>
      <w:r w:rsidRPr="00576ED7">
        <w:rPr>
          <w:szCs w:val="24"/>
        </w:rPr>
        <w:t>r</w:t>
      </w:r>
      <w:r w:rsidRPr="00576ED7">
        <w:rPr>
          <w:szCs w:val="24"/>
        </w:rPr>
        <w:t>ty.  Accordingly, income is realized to the extent that the gift tax exceeds the d</w:t>
      </w:r>
      <w:r w:rsidRPr="00576ED7">
        <w:rPr>
          <w:szCs w:val="24"/>
        </w:rPr>
        <w:t>o</w:t>
      </w:r>
      <w:r w:rsidRPr="00576ED7">
        <w:rPr>
          <w:szCs w:val="24"/>
        </w:rPr>
        <w:t>nor’s adjusted basis in the property.  This treatment is consistent with § 1001 of the Internal Revenue Code, which provides that the gain from the disposition of property is the excess of the amount realized over the transferor’s adjusted basis in the property.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We recognize that Congress has structured gift transactions to encourage transfer of property by limiting the tax consequences of a transfer.  </w:t>
      </w:r>
      <w:r w:rsidRPr="00576ED7">
        <w:rPr>
          <w:i/>
          <w:szCs w:val="24"/>
        </w:rPr>
        <w:t>See, e.g.</w:t>
      </w:r>
      <w:r w:rsidRPr="00576ED7">
        <w:rPr>
          <w:szCs w:val="24"/>
        </w:rPr>
        <w:t>, 26 U.S.C. § 102 (gifts excluded from donee’s gross income).  Congress may obviously pr</w:t>
      </w:r>
      <w:r w:rsidRPr="00576ED7">
        <w:rPr>
          <w:szCs w:val="24"/>
        </w:rPr>
        <w:t>o</w:t>
      </w:r>
      <w:r w:rsidRPr="00576ED7">
        <w:rPr>
          <w:szCs w:val="24"/>
        </w:rPr>
        <w:t>vide a similar exclusion for the conditional gift.  Should Congress wish to encou</w:t>
      </w:r>
      <w:r w:rsidRPr="00576ED7">
        <w:rPr>
          <w:szCs w:val="24"/>
        </w:rPr>
        <w:t>r</w:t>
      </w:r>
      <w:r w:rsidRPr="00576ED7">
        <w:rPr>
          <w:szCs w:val="24"/>
        </w:rPr>
        <w:t>age “net gifts,” changes in the income tax consequences of such gifts lie within the legislative responsibility.  Until such time, we are bound by Congress’ ma</w:t>
      </w:r>
      <w:r w:rsidRPr="00576ED7">
        <w:rPr>
          <w:szCs w:val="24"/>
        </w:rPr>
        <w:t>n</w:t>
      </w:r>
      <w:r w:rsidRPr="00576ED7">
        <w:rPr>
          <w:szCs w:val="24"/>
        </w:rPr>
        <w:t>date that gross income includes income “from whatever source derived.”  We therefore hold that a donor who makes a gift of property on condition that the d</w:t>
      </w:r>
      <w:r w:rsidRPr="00576ED7">
        <w:rPr>
          <w:szCs w:val="24"/>
        </w:rPr>
        <w:t>o</w:t>
      </w:r>
      <w:r w:rsidRPr="00576ED7">
        <w:rPr>
          <w:szCs w:val="24"/>
        </w:rPr>
        <w:t>nee pay the resulting gift taxes realizes taxable income to the extent that the gift taxes paid by the donee exceed the donor’s adjusted basis in the property.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United States Court of Appeals for the Eighth Circuit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REHNQUIST,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Court in this case ... begs the question of whether a taxable transaction has taken place at all when it concludes that “[t]he principles of </w:t>
      </w:r>
      <w:r w:rsidRPr="00576ED7">
        <w:rPr>
          <w:i/>
          <w:szCs w:val="24"/>
        </w:rPr>
        <w:t>Old Colony</w:t>
      </w:r>
      <w:r w:rsidRPr="00576ED7">
        <w:rPr>
          <w:szCs w:val="24"/>
        </w:rPr>
        <w:t xml:space="preserve"> and </w:t>
      </w:r>
      <w:r w:rsidRPr="00576ED7">
        <w:rPr>
          <w:i/>
          <w:szCs w:val="24"/>
        </w:rPr>
        <w:t>Crane</w:t>
      </w:r>
      <w:r w:rsidRPr="00576ED7">
        <w:rPr>
          <w:szCs w:val="24"/>
        </w:rPr>
        <w:t xml:space="preserve"> control”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Old Colony</w:t>
      </w:r>
      <w:r w:rsidRPr="00576ED7">
        <w:rPr>
          <w:szCs w:val="24"/>
        </w:rPr>
        <w:t>, the employer agreed to pay the employee’s federal tax liability as part of his compensation.  The employee provided his services to the employer in exchange for compensation.  The exchange of compensation for services was u</w:t>
      </w:r>
      <w:r w:rsidRPr="00576ED7">
        <w:rPr>
          <w:szCs w:val="24"/>
        </w:rPr>
        <w:t>n</w:t>
      </w:r>
      <w:r w:rsidRPr="00576ED7">
        <w:rPr>
          <w:szCs w:val="24"/>
        </w:rPr>
        <w:t>deniably a taxable transaction.  The only question was whether the employee’s taxable income included the employer’s assumption of the employee’s income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Crane</w:t>
      </w:r>
      <w:r w:rsidRPr="00576ED7">
        <w:rPr>
          <w:szCs w:val="24"/>
        </w:rPr>
        <w:t>, the taxpayer sold real property for cash plus the buyer’s assumption of a mortgage.  Clearly a sale had occurred, and the only question was whether the amount of the mortgage assumed by the buyer should be included in the amount realized by the taxpayer.  The Court rejected the taxpayer’s contention that what she sold was not the property itself, but her equity in that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Unlike </w:t>
      </w:r>
      <w:r w:rsidRPr="00576ED7">
        <w:rPr>
          <w:i/>
          <w:szCs w:val="24"/>
        </w:rPr>
        <w:t>Old Colony</w:t>
      </w:r>
      <w:r w:rsidRPr="00576ED7">
        <w:rPr>
          <w:szCs w:val="24"/>
        </w:rPr>
        <w:t xml:space="preserve"> or </w:t>
      </w:r>
      <w:r w:rsidRPr="00576ED7">
        <w:rPr>
          <w:i/>
          <w:szCs w:val="24"/>
        </w:rPr>
        <w:t>Crane</w:t>
      </w:r>
      <w:r w:rsidRPr="00576ED7">
        <w:rPr>
          <w:szCs w:val="24"/>
        </w:rPr>
        <w:t xml:space="preserve">, the question in this case is not the amount of income the taxpayer has realized as a result of a concededly taxable transaction, but whether a taxable transaction has taken place at all.  Only after one concludes that a partial sale occurs when the donee agrees to pay the gift tax do </w:t>
      </w:r>
      <w:r w:rsidRPr="00576ED7">
        <w:rPr>
          <w:i/>
          <w:szCs w:val="24"/>
        </w:rPr>
        <w:t>Old Colony</w:t>
      </w:r>
      <w:r w:rsidRPr="00576ED7">
        <w:rPr>
          <w:szCs w:val="24"/>
        </w:rPr>
        <w:t xml:space="preserve"> and </w:t>
      </w:r>
      <w:r w:rsidRPr="00576ED7">
        <w:rPr>
          <w:i/>
          <w:szCs w:val="24"/>
        </w:rPr>
        <w:t>Crane</w:t>
      </w:r>
      <w:r w:rsidRPr="00576ED7">
        <w:rPr>
          <w:szCs w:val="24"/>
        </w:rPr>
        <w:t xml:space="preserve"> become relevant in ascertaining the amount of income realized by the d</w:t>
      </w:r>
      <w:r w:rsidRPr="00576ED7">
        <w:rPr>
          <w:szCs w:val="24"/>
        </w:rPr>
        <w:t>o</w:t>
      </w:r>
      <w:r w:rsidRPr="00576ED7">
        <w:rPr>
          <w:szCs w:val="24"/>
        </w:rPr>
        <w:t>nor as a result of the transaction.  Nowhere does the Court explain why a gift b</w:t>
      </w:r>
      <w:r w:rsidRPr="00576ED7">
        <w:rPr>
          <w:szCs w:val="24"/>
        </w:rPr>
        <w:t>e</w:t>
      </w:r>
      <w:r w:rsidRPr="00576ED7">
        <w:rPr>
          <w:szCs w:val="24"/>
        </w:rPr>
        <w:t>comes a partial sale merely because the donor and donee structure the gift so that the gift tax imposed by Congress on the transaction is paid by the donee, rather than the donor.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my view, the resolution of this case turns upon congressional intent: whether Congress intended to characterize a gift as a partial sale whenever the donee agrees to pay the gift tax.  Congress has determined that a gift should not be co</w:t>
      </w:r>
      <w:r w:rsidRPr="00576ED7">
        <w:rPr>
          <w:szCs w:val="24"/>
        </w:rPr>
        <w:t>n</w:t>
      </w:r>
      <w:r w:rsidRPr="00576ED7">
        <w:rPr>
          <w:szCs w:val="24"/>
        </w:rPr>
        <w:t xml:space="preserve">sidered income to the donee.  26 U.S.C. § 102.  Instead, gift transactions are to be subject to a tax system wholly separate and distinct from the income tax.  </w:t>
      </w:r>
      <w:r w:rsidRPr="00576ED7">
        <w:rPr>
          <w:i/>
          <w:szCs w:val="24"/>
        </w:rPr>
        <w:t>See</w:t>
      </w:r>
      <w:r w:rsidRPr="00576ED7">
        <w:rPr>
          <w:szCs w:val="24"/>
        </w:rPr>
        <w:t xml:space="preserve"> 26 U.S.C. § 2501 et seq.  Both the donor and the donee may be held liable for the gift tax.  §§ 2502(d), 6324(b).  Although the primary liability for the gift tax is on the donor, the donee is liable to the extent of the value of the gift should the donor fail </w:t>
      </w:r>
      <w:r w:rsidRPr="00576ED7">
        <w:rPr>
          <w:szCs w:val="24"/>
        </w:rPr>
        <w:lastRenderedPageBreak/>
        <w:t>to pay the tax.  I see no evidence in the tax statutes that Congress forbade the pa</w:t>
      </w:r>
      <w:r w:rsidRPr="00576ED7">
        <w:rPr>
          <w:szCs w:val="24"/>
        </w:rPr>
        <w:t>r</w:t>
      </w:r>
      <w:r w:rsidRPr="00576ED7">
        <w:rPr>
          <w:szCs w:val="24"/>
        </w:rPr>
        <w:t>ties to agree among themselves as to who would pay the gift tax upon pain of such an agreement being considered a taxable event for the purposes of the income tax.  Although Congress could certainly determine that the payment of the gift tax by the donee constitutes income to the donor, the relevant statutes do not affirmativ</w:t>
      </w:r>
      <w:r w:rsidRPr="00576ED7">
        <w:rPr>
          <w:szCs w:val="24"/>
        </w:rPr>
        <w:t>e</w:t>
      </w:r>
      <w:r w:rsidRPr="00576ED7">
        <w:rPr>
          <w:szCs w:val="24"/>
        </w:rPr>
        <w:t>ly indicate that Congress has made such a determination.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Assuming that the outcome advocated by Justice Rehnquist is what the parties wanted, is there a way for the parties in </w:t>
      </w:r>
      <w:r w:rsidRPr="00576ED7">
        <w:rPr>
          <w:i/>
          <w:szCs w:val="24"/>
        </w:rPr>
        <w:t>Diedrich</w:t>
      </w:r>
      <w:r w:rsidRPr="00576ED7">
        <w:rPr>
          <w:szCs w:val="24"/>
        </w:rPr>
        <w:t xml:space="preserve"> to structure the gift so as to achieve that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Return to the hypothetical in the note immediately preceding </w:t>
      </w:r>
      <w:r w:rsidRPr="00576ED7">
        <w:rPr>
          <w:i/>
          <w:szCs w:val="24"/>
        </w:rPr>
        <w:t>Diedrich</w:t>
      </w:r>
      <w:r w:rsidRPr="00576ED7">
        <w:rPr>
          <w:szCs w:val="24"/>
        </w:rPr>
        <w:t>.  Read the second paragraph of the Court’s second footnote.  In the hypothetical, how much gift tax should the son have to pay?</w:t>
      </w:r>
    </w:p>
    <w:p w:rsidR="0049128E" w:rsidRPr="00576ED7" w:rsidRDefault="0049128E" w:rsidP="00A6585D">
      <w:pPr>
        <w:widowControl w:val="0"/>
        <w:ind w:left="720"/>
        <w:jc w:val="both"/>
        <w:rPr>
          <w:szCs w:val="24"/>
        </w:rPr>
      </w:pPr>
      <w:r w:rsidRPr="00576ED7">
        <w:rPr>
          <w:szCs w:val="24"/>
        </w:rPr>
        <w:t>•Rev. Rul. 75-72 gives the following formula:</w:t>
      </w:r>
    </w:p>
    <w:p w:rsidR="0049128E" w:rsidRPr="00576ED7" w:rsidRDefault="0049128E" w:rsidP="00A6585D">
      <w:pPr>
        <w:widowControl w:val="0"/>
        <w:ind w:left="1440"/>
        <w:jc w:val="both"/>
        <w:rPr>
          <w:szCs w:val="24"/>
        </w:rPr>
      </w:pPr>
      <w:r w:rsidRPr="00576ED7">
        <w:rPr>
          <w:szCs w:val="24"/>
        </w:rPr>
        <w:t>(tentative tax)/(1 + λ) = (true tax)</w:t>
      </w:r>
    </w:p>
    <w:p w:rsidR="0049128E" w:rsidRPr="00576ED7" w:rsidRDefault="0049128E" w:rsidP="00A6585D">
      <w:pPr>
        <w:widowControl w:val="0"/>
        <w:ind w:left="1440"/>
        <w:jc w:val="both"/>
        <w:rPr>
          <w:szCs w:val="24"/>
        </w:rPr>
      </w:pPr>
      <w:r w:rsidRPr="00576ED7">
        <w:rPr>
          <w:szCs w:val="24"/>
        </w:rPr>
        <w:t>•”tentative tax” is the tax as computed on the fmv of the gifted property; λ is the tax rate; “true tax” is the actual gift tax that the donee must (actually) pay.</w:t>
      </w:r>
    </w:p>
    <w:p w:rsidR="0049128E" w:rsidRPr="00576ED7" w:rsidRDefault="0049128E" w:rsidP="00A6585D">
      <w:pPr>
        <w:widowControl w:val="0"/>
        <w:ind w:left="720"/>
        <w:jc w:val="both"/>
        <w:rPr>
          <w:szCs w:val="24"/>
        </w:rPr>
      </w:pPr>
      <w:r w:rsidRPr="00576ED7">
        <w:rPr>
          <w:szCs w:val="24"/>
        </w:rPr>
        <w:t>•Notice: In our example, application of the formula yields a “true tax” of $166.67.  The net value of the gift would therefore be $833.33.  20% of $833.33 is $166.67.</w:t>
      </w:r>
    </w:p>
    <w:p w:rsidR="0049128E" w:rsidRPr="00576ED7" w:rsidRDefault="0049128E" w:rsidP="00A6585D">
      <w:pPr>
        <w:widowControl w:val="0"/>
        <w:ind w:left="1440"/>
        <w:jc w:val="both"/>
        <w:rPr>
          <w:szCs w:val="24"/>
        </w:rPr>
      </w:pPr>
      <w:r w:rsidRPr="00576ED7">
        <w:rPr>
          <w:szCs w:val="24"/>
        </w:rPr>
        <w:t>•The use of a net gift enables the donor/donee, between them, to pay less gift tax.  This enlarges the net gift.</w:t>
      </w:r>
    </w:p>
    <w:p w:rsidR="0049128E" w:rsidRPr="00576ED7" w:rsidRDefault="0049128E" w:rsidP="00A6585D">
      <w:pPr>
        <w:widowControl w:val="0"/>
        <w:ind w:left="1440"/>
        <w:jc w:val="both"/>
        <w:rPr>
          <w:szCs w:val="24"/>
        </w:rPr>
      </w:pPr>
      <w:r w:rsidRPr="00576ED7">
        <w:rPr>
          <w:szCs w:val="24"/>
        </w:rPr>
        <w:t xml:space="preserve">•To what extent does the holding in </w:t>
      </w:r>
      <w:r w:rsidRPr="00576ED7">
        <w:rPr>
          <w:i/>
          <w:szCs w:val="24"/>
        </w:rPr>
        <w:t>Diedrich</w:t>
      </w:r>
      <w:r w:rsidRPr="00576ED7">
        <w:rPr>
          <w:szCs w:val="24"/>
        </w:rPr>
        <w:t xml:space="preserve"> upset this planning?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There are times when we want to bifurcate the tax treatment of a transaction.  In other words, we want to treat it as partly one thing and partly another.  In part IIC of the opinion, the Court characterized the transaction as partly a gift and par</w:t>
      </w:r>
      <w:r w:rsidRPr="00576ED7">
        <w:rPr>
          <w:szCs w:val="24"/>
        </w:rPr>
        <w:t>t</w:t>
      </w:r>
      <w:r w:rsidRPr="00576ED7">
        <w:rPr>
          <w:szCs w:val="24"/>
        </w:rPr>
        <w:t xml:space="preserve">ly a sale.  The logical way to treat a transaction that is partly one thing and partly another is to pro-rate it.  A certain </w:t>
      </w:r>
      <w:r w:rsidRPr="00576ED7">
        <w:rPr>
          <w:i/>
          <w:szCs w:val="24"/>
        </w:rPr>
        <w:t>portion</w:t>
      </w:r>
      <w:r w:rsidRPr="00576ED7">
        <w:rPr>
          <w:szCs w:val="24"/>
        </w:rPr>
        <w:t xml:space="preserve"> of the transaction is one thing and the </w:t>
      </w:r>
      <w:r w:rsidRPr="00576ED7">
        <w:rPr>
          <w:i/>
          <w:szCs w:val="24"/>
        </w:rPr>
        <w:t>remaining portion</w:t>
      </w:r>
      <w:r w:rsidRPr="00576ED7">
        <w:rPr>
          <w:szCs w:val="24"/>
        </w:rPr>
        <w:t xml:space="preserve"> is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Remember that the taxpayer computes gains derived from dealings in property, § 61(a)(3), by subtracting “adjusted basis” from “amount realized,”  § 1001(a).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transaction is partly a gift and partly a sale, how should we (logically) dete</w:t>
      </w:r>
      <w:r w:rsidRPr="00576ED7">
        <w:rPr>
          <w:szCs w:val="24"/>
        </w:rPr>
        <w:t>r</w:t>
      </w:r>
      <w:r w:rsidRPr="00576ED7">
        <w:rPr>
          <w:szCs w:val="24"/>
        </w:rPr>
        <w:t>mine what portion of the transaction is gift and what portion is sale?</w:t>
      </w:r>
    </w:p>
    <w:p w:rsidR="0049128E" w:rsidRPr="00576ED7" w:rsidRDefault="0049128E" w:rsidP="00A6585D">
      <w:pPr>
        <w:widowControl w:val="0"/>
        <w:ind w:left="720"/>
        <w:jc w:val="both"/>
        <w:rPr>
          <w:szCs w:val="24"/>
        </w:rPr>
      </w:pPr>
      <w:r w:rsidRPr="00576ED7">
        <w:rPr>
          <w:szCs w:val="24"/>
        </w:rPr>
        <w:t>•Our taxpayer is disposing of the property.</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sale portion of the transaction?</w:t>
      </w:r>
    </w:p>
    <w:p w:rsidR="0049128E" w:rsidRPr="00576ED7" w:rsidRDefault="0049128E" w:rsidP="00A6585D">
      <w:pPr>
        <w:widowControl w:val="0"/>
        <w:ind w:left="720"/>
        <w:jc w:val="both"/>
        <w:rPr>
          <w:szCs w:val="24"/>
        </w:rPr>
      </w:pPr>
      <w:r w:rsidRPr="00576ED7">
        <w:rPr>
          <w:szCs w:val="24"/>
        </w:rPr>
        <w:t>•How should we logically determine the “amount realized” and the “a</w:t>
      </w:r>
      <w:r w:rsidRPr="00576ED7">
        <w:rPr>
          <w:szCs w:val="24"/>
        </w:rPr>
        <w:t>d</w:t>
      </w:r>
      <w:r w:rsidRPr="00576ED7">
        <w:rPr>
          <w:szCs w:val="24"/>
        </w:rPr>
        <w:t>justed basis” on the gift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Typically, we know some information and have to compute what we don’t know.  In a part gift/part sale, we often know the total fmv of the property, the amount realized from the sale portion of the transaction, and the taxpayer’s basis in all of the property.  </w:t>
      </w:r>
    </w:p>
    <w:p w:rsidR="0049128E" w:rsidRPr="00576ED7" w:rsidRDefault="0049128E" w:rsidP="00A6585D">
      <w:pPr>
        <w:widowControl w:val="0"/>
        <w:ind w:left="720"/>
        <w:jc w:val="both"/>
        <w:rPr>
          <w:szCs w:val="24"/>
        </w:rPr>
      </w:pPr>
      <w:r w:rsidRPr="00576ED7">
        <w:rPr>
          <w:szCs w:val="24"/>
        </w:rPr>
        <w:t>•Logically, the sale portion of the transaction should be (amount rea</w:t>
      </w:r>
      <w:r w:rsidRPr="00576ED7">
        <w:rPr>
          <w:szCs w:val="24"/>
        </w:rPr>
        <w:t>l</w:t>
      </w:r>
      <w:r w:rsidRPr="00576ED7">
        <w:rPr>
          <w:szCs w:val="24"/>
        </w:rPr>
        <w:t>ized)/(fmv of the property).  That same fraction should be multiplied by taxpayer’s total basis in the property.</w:t>
      </w:r>
    </w:p>
    <w:p w:rsidR="0049128E" w:rsidRPr="00576ED7" w:rsidRDefault="0049128E" w:rsidP="00A6585D">
      <w:pPr>
        <w:widowControl w:val="0"/>
        <w:ind w:left="720"/>
        <w:jc w:val="both"/>
        <w:rPr>
          <w:szCs w:val="24"/>
        </w:rPr>
      </w:pPr>
      <w:r w:rsidRPr="00576ED7">
        <w:rPr>
          <w:szCs w:val="24"/>
        </w:rPr>
        <w:t>•The balance of the “adjusted basis” and the balance of the “amount rea</w:t>
      </w:r>
      <w:r w:rsidRPr="00576ED7">
        <w:rPr>
          <w:szCs w:val="24"/>
        </w:rPr>
        <w:t>l</w:t>
      </w:r>
      <w:r w:rsidRPr="00576ED7">
        <w:rPr>
          <w:szCs w:val="24"/>
        </w:rPr>
        <w:t>ized” determine the gain on the non-sale portion of the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may transfer property to a charity through a part-gift/part-sale.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would this analysis apply to the following facts:</w:t>
      </w:r>
    </w:p>
    <w:p w:rsidR="0049128E" w:rsidRPr="00576ED7" w:rsidRDefault="0049128E" w:rsidP="00A6585D">
      <w:pPr>
        <w:widowControl w:val="0"/>
        <w:ind w:left="720"/>
        <w:jc w:val="both"/>
        <w:rPr>
          <w:szCs w:val="24"/>
        </w:rPr>
      </w:pPr>
      <w:r w:rsidRPr="00576ED7">
        <w:rPr>
          <w:szCs w:val="24"/>
        </w:rPr>
        <w:t>•Taxpayer’s adjusted basis in Blackacre is $10.  The fmv of Blackacre is now $100.  Taxpayer sells Blackacre to State University for $20.  Taxpa</w:t>
      </w:r>
      <w:r w:rsidRPr="00576ED7">
        <w:rPr>
          <w:szCs w:val="24"/>
        </w:rPr>
        <w:t>y</w:t>
      </w:r>
      <w:r w:rsidRPr="00576ED7">
        <w:rPr>
          <w:szCs w:val="24"/>
        </w:rPr>
        <w:t>er may deduct the value of gifts to State University.</w:t>
      </w:r>
    </w:p>
    <w:p w:rsidR="0049128E" w:rsidRPr="00576ED7" w:rsidRDefault="0049128E" w:rsidP="00A6585D">
      <w:pPr>
        <w:widowControl w:val="0"/>
        <w:ind w:left="7200" w:hanging="6480"/>
        <w:jc w:val="both"/>
        <w:rPr>
          <w:szCs w:val="24"/>
        </w:rPr>
      </w:pPr>
      <w:r w:rsidRPr="00576ED7">
        <w:rPr>
          <w:szCs w:val="24"/>
        </w:rPr>
        <w:t>•On how much gain should taxpayer pay income tax?</w:t>
      </w:r>
      <w:r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Reg. § 1.1001-1(e)(1).  This is the rule that the IRS applied in </w:t>
      </w:r>
      <w:r w:rsidRPr="00576ED7">
        <w:rPr>
          <w:i/>
          <w:szCs w:val="24"/>
        </w:rPr>
        <w:t>Diedrich</w:t>
      </w:r>
      <w:r w:rsidRPr="00576ED7">
        <w:rPr>
          <w:szCs w:val="24"/>
        </w:rPr>
        <w:t>.  Does the logic of part IIC of the opinion support this rule? If not, why didn’t the taxpayer(s) point this out?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Read Reg. § 1.1015-4(a </w:t>
      </w:r>
      <w:r w:rsidRPr="00576ED7">
        <w:rPr>
          <w:i/>
          <w:szCs w:val="24"/>
        </w:rPr>
        <w:t>and</w:t>
      </w:r>
      <w:r w:rsidRPr="00576ED7">
        <w:rPr>
          <w:szCs w:val="24"/>
        </w:rPr>
        <w:t xml:space="preserve"> b).  Describe the calculation of the Diedrich chi</w:t>
      </w:r>
      <w:r w:rsidRPr="00576ED7">
        <w:rPr>
          <w:szCs w:val="24"/>
        </w:rPr>
        <w:t>l</w:t>
      </w:r>
      <w:r w:rsidRPr="00576ED7">
        <w:rPr>
          <w:szCs w:val="24"/>
        </w:rPr>
        <w:t xml:space="preserve">dren’s (i.e., the donees’) basis in the stock that they received.  Consider: did the Diedrich children pay their parents anything for the property, or did </w:t>
      </w:r>
      <w:r w:rsidRPr="00576ED7">
        <w:rPr>
          <w:i/>
          <w:szCs w:val="24"/>
        </w:rPr>
        <w:t>they</w:t>
      </w:r>
      <w:r w:rsidRPr="00576ED7">
        <w:rPr>
          <w:szCs w:val="24"/>
        </w:rPr>
        <w:t xml:space="preserve"> give a gift to their parents, and if so, what was it?</w:t>
      </w:r>
    </w:p>
    <w:p w:rsidR="0049128E" w:rsidRPr="00576ED7" w:rsidRDefault="0049128E" w:rsidP="00A6585D">
      <w:pPr>
        <w:widowControl w:val="0"/>
        <w:jc w:val="both"/>
        <w:rPr>
          <w:szCs w:val="24"/>
        </w:rPr>
      </w:pPr>
      <w:r w:rsidRPr="00576ED7">
        <w:rPr>
          <w:szCs w:val="24"/>
        </w:rPr>
        <w:t xml:space="preserve">6.  Read Reg. § 1.1015-4(a </w:t>
      </w:r>
      <w:r w:rsidRPr="00576ED7">
        <w:rPr>
          <w:i/>
          <w:szCs w:val="24"/>
        </w:rPr>
        <w:t>and</w:t>
      </w:r>
      <w:r w:rsidRPr="00576ED7">
        <w:rPr>
          <w:szCs w:val="24"/>
        </w:rPr>
        <w:t xml:space="preserve"> b) Examples 1, 2, 3, and 4.</w:t>
      </w:r>
    </w:p>
    <w:p w:rsidR="0049128E" w:rsidRPr="00576ED7" w:rsidRDefault="0049128E" w:rsidP="00A6585D">
      <w:pPr>
        <w:widowControl w:val="0"/>
        <w:ind w:left="720"/>
        <w:jc w:val="both"/>
        <w:rPr>
          <w:szCs w:val="24"/>
        </w:rPr>
      </w:pPr>
      <w:r w:rsidRPr="00576ED7">
        <w:rPr>
          <w:szCs w:val="24"/>
        </w:rPr>
        <w:t>•Now throw in some gift tax.  What should be the basis of A’s son in the property if gift tax of the following amounts is paid?</w:t>
      </w:r>
    </w:p>
    <w:p w:rsidR="0049128E" w:rsidRPr="00576ED7" w:rsidRDefault="0049128E" w:rsidP="00A6585D">
      <w:pPr>
        <w:widowControl w:val="0"/>
        <w:ind w:left="1440"/>
        <w:jc w:val="both"/>
        <w:rPr>
          <w:szCs w:val="24"/>
        </w:rPr>
      </w:pPr>
      <w:r w:rsidRPr="00576ED7">
        <w:rPr>
          <w:szCs w:val="24"/>
        </w:rPr>
        <w:t>•$12,000 in Example 1.</w:t>
      </w:r>
    </w:p>
    <w:p w:rsidR="0049128E" w:rsidRPr="00576ED7" w:rsidRDefault="0049128E" w:rsidP="00A6585D">
      <w:pPr>
        <w:widowControl w:val="0"/>
        <w:ind w:left="1440"/>
        <w:jc w:val="both"/>
        <w:rPr>
          <w:szCs w:val="24"/>
        </w:rPr>
      </w:pPr>
      <w:r w:rsidRPr="00576ED7">
        <w:rPr>
          <w:szCs w:val="24"/>
        </w:rPr>
        <w:lastRenderedPageBreak/>
        <w:t>•$18,000 in Example 2.</w:t>
      </w:r>
    </w:p>
    <w:p w:rsidR="0049128E" w:rsidRPr="00576ED7" w:rsidRDefault="0049128E" w:rsidP="00A6585D">
      <w:pPr>
        <w:widowControl w:val="0"/>
        <w:ind w:left="1440"/>
        <w:jc w:val="both"/>
        <w:rPr>
          <w:szCs w:val="24"/>
        </w:rPr>
      </w:pPr>
      <w:r w:rsidRPr="00576ED7">
        <w:rPr>
          <w:szCs w:val="24"/>
        </w:rPr>
        <w:t>•$18,000 in Example 3.</w:t>
      </w:r>
    </w:p>
    <w:p w:rsidR="0049128E" w:rsidRDefault="0049128E" w:rsidP="00A6585D">
      <w:pPr>
        <w:widowControl w:val="0"/>
        <w:ind w:left="1440"/>
        <w:jc w:val="both"/>
        <w:rPr>
          <w:szCs w:val="24"/>
        </w:rPr>
      </w:pPr>
      <w:r w:rsidRPr="00576ED7">
        <w:rPr>
          <w:szCs w:val="24"/>
        </w:rPr>
        <w:t>•$6000 in Example 4.</w:t>
      </w:r>
    </w:p>
    <w:p w:rsidR="00C14C08" w:rsidRDefault="00C14C08" w:rsidP="00A6585D">
      <w:pPr>
        <w:widowControl w:val="0"/>
        <w:ind w:left="1440"/>
        <w:jc w:val="both"/>
        <w:rPr>
          <w:szCs w:val="24"/>
        </w:rPr>
      </w:pPr>
    </w:p>
    <w:p w:rsidR="00C14C08" w:rsidRPr="00576ED7" w:rsidRDefault="00C14C08" w:rsidP="00C14C08">
      <w:pPr>
        <w:widowControl w:val="0"/>
        <w:jc w:val="both"/>
        <w:rPr>
          <w:szCs w:val="24"/>
        </w:rPr>
      </w:pPr>
      <w:r>
        <w:rPr>
          <w:szCs w:val="24"/>
        </w:rPr>
        <w:t>7.  What should be the basis rules when property is acquired from a decedent? Read § 1014.</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6B3E94FF" wp14:editId="5AE6F046">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C14C08" w:rsidP="00A6585D">
      <w:pPr>
        <w:widowControl w:val="0"/>
        <w:jc w:val="both"/>
        <w:rPr>
          <w:szCs w:val="24"/>
        </w:rPr>
      </w:pPr>
      <w:r>
        <w:rPr>
          <w:szCs w:val="24"/>
        </w:rPr>
        <w:t>8</w:t>
      </w:r>
      <w:r w:rsidR="0025177E"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D0447F" w:rsidRPr="00576ED7">
        <w:rPr>
          <w:i/>
          <w:szCs w:val="24"/>
        </w:rPr>
        <w:t>Basic Federal Income Taxation: Property Transactions: Computation of Gain and Loss Realized</w:t>
      </w:r>
      <w:r w:rsidR="0049128E" w:rsidRPr="00576ED7">
        <w:rPr>
          <w:szCs w:val="24"/>
        </w:rPr>
        <w:t>.  Some of the questions present new i</w:t>
      </w:r>
      <w:r w:rsidR="0049128E" w:rsidRPr="00576ED7">
        <w:rPr>
          <w:szCs w:val="24"/>
        </w:rPr>
        <w:t>s</w:t>
      </w:r>
      <w:r w:rsidR="0049128E" w:rsidRPr="00576ED7">
        <w:rPr>
          <w:szCs w:val="24"/>
        </w:rPr>
        <w:t>sues, but you can reason through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Exclusion of Gain from Sale of Principal Residence:  § 121</w:t>
      </w:r>
      <w:r w:rsidRPr="00576ED7">
        <w:rPr>
          <w:szCs w:val="24"/>
        </w:rPr>
        <w:fldChar w:fldCharType="begin"/>
      </w:r>
      <w:r w:rsidRPr="00576ED7">
        <w:rPr>
          <w:i/>
          <w:szCs w:val="24"/>
        </w:rPr>
        <w:instrText xml:space="preserve"> TC \l2 "B.  Exclusion of Gain from Sale of Principal Residence:  § 121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President George Bush II announced early in his presidency that he wanted Ame</w:t>
      </w:r>
      <w:r w:rsidRPr="00576ED7">
        <w:rPr>
          <w:szCs w:val="24"/>
        </w:rPr>
        <w:t>r</w:t>
      </w:r>
      <w:r w:rsidRPr="00576ED7">
        <w:rPr>
          <w:szCs w:val="24"/>
        </w:rPr>
        <w:t>ica to be an “ownership society.”  How would (does) widespread taxpayer owne</w:t>
      </w:r>
      <w:r w:rsidRPr="00576ED7">
        <w:rPr>
          <w:szCs w:val="24"/>
        </w:rPr>
        <w:t>r</w:t>
      </w:r>
      <w:r w:rsidRPr="00576ED7">
        <w:rPr>
          <w:szCs w:val="24"/>
        </w:rPr>
        <w:t>ship of private homes make America a better place? We have already examined imputed income derived from ownership of property – and that is most significant with regard to ownership of principal residences.</w:t>
      </w:r>
    </w:p>
    <w:p w:rsidR="0049128E" w:rsidRPr="00576ED7" w:rsidRDefault="0049128E" w:rsidP="00A6585D">
      <w:pPr>
        <w:widowControl w:val="0"/>
        <w:ind w:left="720"/>
        <w:jc w:val="both"/>
        <w:rPr>
          <w:szCs w:val="24"/>
        </w:rPr>
      </w:pPr>
      <w:r w:rsidRPr="00576ED7">
        <w:rPr>
          <w:szCs w:val="24"/>
        </w:rPr>
        <w:t>•Read § 121.</w:t>
      </w:r>
    </w:p>
    <w:p w:rsidR="0049128E" w:rsidRPr="00576ED7" w:rsidRDefault="0049128E" w:rsidP="00A6585D">
      <w:pPr>
        <w:widowControl w:val="0"/>
        <w:ind w:left="1440"/>
        <w:jc w:val="both"/>
        <w:rPr>
          <w:szCs w:val="24"/>
        </w:rPr>
      </w:pPr>
      <w:r w:rsidRPr="00576ED7">
        <w:rPr>
          <w:szCs w:val="24"/>
        </w:rPr>
        <w:t>•What is the rule of § 121(a)?</w:t>
      </w:r>
    </w:p>
    <w:p w:rsidR="0049128E" w:rsidRPr="00576ED7" w:rsidRDefault="0049128E" w:rsidP="00A6585D">
      <w:pPr>
        <w:widowControl w:val="0"/>
        <w:ind w:left="1440"/>
        <w:jc w:val="both"/>
        <w:rPr>
          <w:szCs w:val="24"/>
        </w:rPr>
      </w:pPr>
      <w:r w:rsidRPr="00576ED7">
        <w:rPr>
          <w:szCs w:val="24"/>
        </w:rPr>
        <w:t>•Does § 121 promote an “ownership society” – or something else? Don’t forget that –</w:t>
      </w:r>
    </w:p>
    <w:p w:rsidR="0049128E" w:rsidRPr="00576ED7" w:rsidRDefault="0049128E" w:rsidP="00A6585D">
      <w:pPr>
        <w:widowControl w:val="0"/>
        <w:ind w:left="2160"/>
        <w:jc w:val="both"/>
        <w:rPr>
          <w:szCs w:val="24"/>
        </w:rPr>
      </w:pPr>
      <w:r w:rsidRPr="00576ED7">
        <w:rPr>
          <w:szCs w:val="24"/>
        </w:rPr>
        <w:t>•§ 163(h) permits deduction of mortgage interest on up to $1,000,000 of indebtedness incurred to purchase a home or of interest on up to $100,000 of home equity indebtedness.</w:t>
      </w:r>
    </w:p>
    <w:p w:rsidR="0049128E" w:rsidRPr="00576ED7" w:rsidRDefault="0049128E" w:rsidP="00A6585D">
      <w:pPr>
        <w:widowControl w:val="0"/>
        <w:ind w:left="2160"/>
        <w:jc w:val="both"/>
        <w:rPr>
          <w:szCs w:val="24"/>
        </w:rPr>
      </w:pPr>
      <w:r w:rsidRPr="00576ED7">
        <w:rPr>
          <w:szCs w:val="24"/>
        </w:rPr>
        <w:t>•§ 164(a)(1) permits a deduction for state and local, and foreign real property taxes.</w:t>
      </w:r>
    </w:p>
    <w:p w:rsidR="0049128E" w:rsidRPr="00576ED7" w:rsidRDefault="0049128E" w:rsidP="00A6585D">
      <w:pPr>
        <w:widowControl w:val="0"/>
        <w:ind w:left="720"/>
        <w:jc w:val="both"/>
        <w:rPr>
          <w:szCs w:val="24"/>
        </w:rPr>
      </w:pPr>
      <w:r w:rsidRPr="00576ED7">
        <w:rPr>
          <w:szCs w:val="24"/>
        </w:rPr>
        <w:t>•Notice that § 121(b)(4)[(5)] and § 121(c) employ bifurcation ratios.  Are the ratios what you expect them to be?</w:t>
      </w:r>
    </w:p>
    <w:p w:rsidR="0049128E" w:rsidRPr="00576ED7" w:rsidRDefault="0049128E" w:rsidP="00A6585D">
      <w:pPr>
        <w:widowControl w:val="0"/>
        <w:jc w:val="both"/>
        <w:rPr>
          <w:szCs w:val="24"/>
        </w:rPr>
      </w:pPr>
    </w:p>
    <w:p w:rsidR="0051042E" w:rsidRPr="00576ED7" w:rsidRDefault="00C007EA" w:rsidP="00A6585D">
      <w:pPr>
        <w:widowControl w:val="0"/>
        <w:jc w:val="both"/>
        <w:rPr>
          <w:szCs w:val="24"/>
        </w:rPr>
      </w:pPr>
      <w:r w:rsidRPr="00576ED7">
        <w:rPr>
          <w:noProof/>
          <w:szCs w:val="24"/>
        </w:rPr>
        <w:drawing>
          <wp:inline distT="0" distB="0" distL="0" distR="0" wp14:anchorId="689C8E03" wp14:editId="5900E819">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Interest on State and Local Bonds:  § 103</w:t>
      </w:r>
      <w:r w:rsidRPr="00576ED7">
        <w:rPr>
          <w:szCs w:val="24"/>
        </w:rPr>
        <w:fldChar w:fldCharType="begin"/>
      </w:r>
      <w:r w:rsidRPr="00576ED7">
        <w:rPr>
          <w:i/>
          <w:szCs w:val="24"/>
        </w:rPr>
        <w:instrText xml:space="preserve"> TC \l2 "C.  Interest on State and Local Bonds:  § 103</w:instrText>
      </w:r>
      <w:r w:rsidRPr="00576ED7">
        <w:rPr>
          <w:szCs w:val="24"/>
        </w:rPr>
        <w:fldChar w:fldCharType="end"/>
      </w:r>
    </w:p>
    <w:p w:rsidR="00D27616" w:rsidRPr="00576ED7" w:rsidRDefault="00D27616"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Read §§ 103 and 141.</w:t>
      </w:r>
      <w:r w:rsidRPr="00576ED7">
        <w:rPr>
          <w:rStyle w:val="FootnoteReference"/>
          <w:szCs w:val="24"/>
        </w:rPr>
        <w:footnoteReference w:id="5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Interest derived from a state or local bond is excluded from a taxpayer’s gross i</w:t>
      </w:r>
      <w:r w:rsidRPr="00576ED7">
        <w:rPr>
          <w:szCs w:val="24"/>
        </w:rPr>
        <w:t>n</w:t>
      </w:r>
      <w:r w:rsidRPr="00576ED7">
        <w:rPr>
          <w:szCs w:val="24"/>
        </w:rPr>
        <w:t>come.  § 103(a).  This exclusion does not extend to interest derived from a “pr</w:t>
      </w:r>
      <w:r w:rsidRPr="00576ED7">
        <w:rPr>
          <w:szCs w:val="24"/>
        </w:rPr>
        <w:t>i</w:t>
      </w:r>
      <w:r w:rsidRPr="00576ED7">
        <w:rPr>
          <w:szCs w:val="24"/>
        </w:rPr>
        <w:t>vate activity bond,” § 103(b)(1), or an “arbitrage bond,” § 103(b)(2).</w:t>
      </w:r>
      <w:r w:rsidRPr="00576ED7">
        <w:rPr>
          <w:rStyle w:val="FootnoteReference"/>
          <w:szCs w:val="24"/>
        </w:rPr>
        <w:footnoteReference w:id="55"/>
      </w:r>
      <w:r w:rsidRPr="00576ED7">
        <w:rPr>
          <w:szCs w:val="24"/>
        </w:rPr>
        <w:t xml:space="preserve">  This pr</w:t>
      </w:r>
      <w:r w:rsidRPr="00576ED7">
        <w:rPr>
          <w:szCs w:val="24"/>
        </w:rPr>
        <w:t>o</w:t>
      </w:r>
      <w:r w:rsidRPr="00576ED7">
        <w:rPr>
          <w:szCs w:val="24"/>
        </w:rPr>
        <w:t>vision has always been a part of the Code.  There may have been some doubt about whether Congress had the constitutional power to tax such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might appear that this would encourage investors to choose to purchase the bonds of state and local governments.  After all, the interest income that such bonds generate is not subject to tax, whereas other investment income is subject to federal income tax.  The investor should be able to keep more of his/her income.  However, both borrowers (state and local governments) and inve</w:t>
      </w:r>
      <w:r w:rsidRPr="00576ED7">
        <w:rPr>
          <w:szCs w:val="24"/>
        </w:rPr>
        <w:t>s</w:t>
      </w:r>
      <w:r w:rsidRPr="00576ED7">
        <w:rPr>
          <w:szCs w:val="24"/>
        </w:rPr>
        <w:t>tors know that the interest on such bonds is not subject to federal i</w:t>
      </w:r>
      <w:r w:rsidRPr="00576ED7">
        <w:rPr>
          <w:szCs w:val="24"/>
        </w:rPr>
        <w:t>n</w:t>
      </w:r>
      <w:r w:rsidRPr="00576ED7">
        <w:rPr>
          <w:szCs w:val="24"/>
        </w:rPr>
        <w:t>come tax.  Hence, state and local governments are able to borrow money at less than prevailing interest rates, i.e., the rate that any other borrower would have to pay.  If the market “bids down” the interest rate to the point that taxpayers in the highest tax bracket (now 3</w:t>
      </w:r>
      <w:r w:rsidR="00A56BAC">
        <w:rPr>
          <w:szCs w:val="24"/>
        </w:rPr>
        <w:t>9.6</w:t>
      </w:r>
      <w:r w:rsidRPr="00576ED7">
        <w:rPr>
          <w:szCs w:val="24"/>
        </w:rPr>
        <w:t>%) are no better off than they would be if they had simply purchased a corp</w:t>
      </w:r>
      <w:r w:rsidRPr="00576ED7">
        <w:rPr>
          <w:szCs w:val="24"/>
        </w:rPr>
        <w:t>o</w:t>
      </w:r>
      <w:r w:rsidRPr="00576ED7">
        <w:rPr>
          <w:szCs w:val="24"/>
        </w:rPr>
        <w:t>rate bond carrying equivalent risk and paid the income tax on the interest that they receive, the exclusion would function “only” as a means by which the U.S. Trea</w:t>
      </w:r>
      <w:r w:rsidRPr="00576ED7">
        <w:rPr>
          <w:szCs w:val="24"/>
        </w:rPr>
        <w:t>s</w:t>
      </w:r>
      <w:r w:rsidRPr="00576ED7">
        <w:rPr>
          <w:szCs w:val="24"/>
        </w:rPr>
        <w:t>ury transfers the tax revenue that it must forego to state and local governments.  There are some (potential) economic distortions that this exclusion causes:</w:t>
      </w:r>
    </w:p>
    <w:p w:rsidR="0049128E" w:rsidRPr="00576ED7" w:rsidRDefault="00B265B4"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7216" behindDoc="0" locked="0" layoutInCell="0" allowOverlap="1" wp14:anchorId="12D4ED36" wp14:editId="0D9CFA33">
                <wp:simplePos x="0" y="0"/>
                <wp:positionH relativeFrom="margin">
                  <wp:posOffset>41275</wp:posOffset>
                </wp:positionH>
                <wp:positionV relativeFrom="margin">
                  <wp:posOffset>588645</wp:posOffset>
                </wp:positionV>
                <wp:extent cx="2682875" cy="4298315"/>
                <wp:effectExtent l="0" t="0" r="22225" b="2603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298315"/>
                        </a:xfrm>
                        <a:prstGeom prst="rect">
                          <a:avLst/>
                        </a:prstGeom>
                        <a:solidFill>
                          <a:srgbClr val="FFFFFF"/>
                        </a:solidFill>
                        <a:ln w="12192">
                          <a:solidFill>
                            <a:srgbClr val="000000"/>
                          </a:solidFill>
                          <a:miter lim="800000"/>
                          <a:headEnd/>
                          <a:tailEnd/>
                        </a:ln>
                      </wps:spPr>
                      <wps:txbx>
                        <w:txbxContent>
                          <w:p w:rsidR="00FF5E72" w:rsidRDefault="00FF5E72"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FF5E72" w:rsidRDefault="00FF5E72" w:rsidP="00D27616">
                            <w:pPr>
                              <w:widowControl w:val="0"/>
                              <w:jc w:val="both"/>
                              <w:rPr>
                                <w:rFonts w:ascii="Tw Cen MT" w:hAnsi="Tw Cen MT"/>
                              </w:rPr>
                            </w:pPr>
                            <w:r>
                              <w:rPr>
                                <w:rFonts w:ascii="Tw Cen MT" w:hAnsi="Tw Cen MT"/>
                              </w:rPr>
                              <w:t>•Yes.</w:t>
                            </w:r>
                          </w:p>
                          <w:p w:rsidR="00FF5E72" w:rsidRDefault="00FF5E72"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FF5E72" w:rsidRDefault="00FF5E72"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FF5E72" w:rsidRDefault="00FF5E72"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3.25pt;margin-top:46.35pt;width:211.25pt;height:338.45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YxLAIAAFwEAAAOAAAAZHJzL2Uyb0RvYy54bWysVNuO2yAQfa/Uf0C8N068u7lYcVbbbFNV&#10;2l6k3X4AxthGBYYCib39+g44SdPbS1U/IAaGMzPnzHh9O2hFDsJ5Caaks8mUEmE41NK0Jf38tHu1&#10;pMQHZmqmwIiSPgtPbzcvX6x7W4gcOlC1cARBjC96W9IuBFtkmeed0MxPwAqDlw04zQKars1qx3pE&#10;1yrLp9N51oOrrQMuvMfT+/GSbhJ+0wgePjaNF4GokmJuIa0urVVcs82aFa1jtpP8mAb7hyw0kwaD&#10;nqHuWWBk7+RvUFpyBx6aMOGgM2gayUWqAauZTX+p5rFjVqRakBxvzzT5/wfLPxw+OSLrki4WlBim&#10;UaMnMQTyGgZyPYv89NYX6PZo0TEMeI46p1q9fQD+xRMD246ZVtw5B30nWI35pZfZxdMRx0eQqn8P&#10;NcZh+wAJaGicjuQhHQTRUafnszYxF46H+XyZLxc3lHC8u85Xy6vZTcwuY8XpuXU+vBWgSdyU1KH4&#10;CZ4dHnwYXU8uMZoHJeudVCoZrq22ypEDw0bZpe+I/pObMqTH4vLZKh8p+CvGNH1/wtAyYMsrqUu6&#10;PDuxIhL3xtSpIQOTatxjecpglZHJSN5IYxiqIYl2tTopVEH9jNw6GFscRxI3HbhvlPTY3iX1X/fM&#10;CUrUO4P6LOY4PTgPl4a7NKpLgxmOUCUNlIzbbRhnaG+dbDuMNHaEgTvUtJGJ7ZjymNUxf2zhpNdx&#10;3OKMXNrJ68dPYfMdAAD//wMAUEsDBBQABgAIAAAAIQD4tNLm2wAAAAgBAAAPAAAAZHJzL2Rvd25y&#10;ZXYueG1sTI9BT4QwFITvJv6H5pl4c4tEWUEeG0PifcE1euzSJyXSFml3wX/v86THyUxmvil3qx3F&#10;meYweIdwu0lAkOu8HlyPcHh5vnkAEaJyWo3eEcI3BdhVlxelKrRfXEPnNvaCS1woFIKJcSqkDJ0h&#10;q8LGT+TY+/CzVZHl3Es9q4XL7SjTJMmkVYPjBaMmqg11n+3JIvimqV/T9mv/Vi+67pf9Gqd3g3h9&#10;tT49goi0xr8w/OIzOlTMdPQnp4MYEbJ7DiLk6RYE23dpzteOCNssz0BWpfx/oPoBAAD//wMAUEsB&#10;Ai0AFAAGAAgAAAAhALaDOJL+AAAA4QEAABMAAAAAAAAAAAAAAAAAAAAAAFtDb250ZW50X1R5cGVz&#10;XS54bWxQSwECLQAUAAYACAAAACEAOP0h/9YAAACUAQAACwAAAAAAAAAAAAAAAAAvAQAAX3JlbHMv&#10;LnJlbHNQSwECLQAUAAYACAAAACEAbht2MSwCAABcBAAADgAAAAAAAAAAAAAAAAAuAgAAZHJzL2Uy&#10;b0RvYy54bWxQSwECLQAUAAYACAAAACEA+LTS5tsAAAAIAQAADwAAAAAAAAAAAAAAAACGBAAAZHJz&#10;L2Rvd25yZXYueG1sUEsFBgAAAAAEAAQA8wAAAI4FAAAAAA==&#10;" o:allowincell="f" strokeweight=".96pt">
                <v:textbox inset="6pt,6pt,6pt,6pt">
                  <w:txbxContent>
                    <w:p w:rsidR="00FF5E72" w:rsidRDefault="00FF5E72" w:rsidP="00D27616">
                      <w:pPr>
                        <w:widowControl w:val="0"/>
                        <w:jc w:val="both"/>
                        <w:rPr>
                          <w:rFonts w:ascii="Tw Cen MT" w:hAnsi="Tw Cen MT"/>
                        </w:rPr>
                      </w:pPr>
                      <w:r>
                        <w:rPr>
                          <w:rFonts w:ascii="Tw Cen MT" w:hAnsi="Tw Cen MT"/>
                        </w:rPr>
                        <w:t>If one state has been profligate in its spending and now finds that it must bo</w:t>
                      </w:r>
                      <w:r>
                        <w:rPr>
                          <w:rFonts w:ascii="Tw Cen MT" w:hAnsi="Tw Cen MT"/>
                        </w:rPr>
                        <w:t>r</w:t>
                      </w:r>
                      <w:r>
                        <w:rPr>
                          <w:rFonts w:ascii="Tw Cen MT" w:hAnsi="Tw Cen MT"/>
                        </w:rPr>
                        <w:t>row enormous amounts on which it will be paying interest far into the future, should taxpayers in other states care?</w:t>
                      </w:r>
                    </w:p>
                    <w:p w:rsidR="00FF5E72" w:rsidRDefault="00FF5E72" w:rsidP="00D27616">
                      <w:pPr>
                        <w:widowControl w:val="0"/>
                        <w:jc w:val="both"/>
                        <w:rPr>
                          <w:rFonts w:ascii="Tw Cen MT" w:hAnsi="Tw Cen MT"/>
                        </w:rPr>
                      </w:pPr>
                      <w:r>
                        <w:rPr>
                          <w:rFonts w:ascii="Tw Cen MT" w:hAnsi="Tw Cen MT"/>
                        </w:rPr>
                        <w:t>•Yes.</w:t>
                      </w:r>
                    </w:p>
                    <w:p w:rsidR="00FF5E72" w:rsidRDefault="00FF5E72" w:rsidP="00D27616">
                      <w:pPr>
                        <w:widowControl w:val="0"/>
                        <w:jc w:val="both"/>
                        <w:rPr>
                          <w:rFonts w:ascii="Tw Cen MT" w:hAnsi="Tw Cen MT"/>
                        </w:rPr>
                      </w:pPr>
                      <w:r>
                        <w:rPr>
                          <w:rFonts w:ascii="Tw Cen MT" w:hAnsi="Tw Cen MT"/>
                        </w:rPr>
                        <w:t>•Profligate states make it far more likely that the interest that state and local go</w:t>
                      </w:r>
                      <w:r>
                        <w:rPr>
                          <w:rFonts w:ascii="Tw Cen MT" w:hAnsi="Tw Cen MT"/>
                        </w:rPr>
                        <w:t>v</w:t>
                      </w:r>
                      <w:r>
                        <w:rPr>
                          <w:rFonts w:ascii="Tw Cen MT" w:hAnsi="Tw Cen MT"/>
                        </w:rPr>
                        <w:t>ernments must pay will be attractive to taxpayers whose marginal tax bracket is less than the highest marginal tax brac</w:t>
                      </w:r>
                      <w:r>
                        <w:rPr>
                          <w:rFonts w:ascii="Tw Cen MT" w:hAnsi="Tw Cen MT"/>
                        </w:rPr>
                        <w:t>k</w:t>
                      </w:r>
                      <w:r>
                        <w:rPr>
                          <w:rFonts w:ascii="Tw Cen MT" w:hAnsi="Tw Cen MT"/>
                        </w:rPr>
                        <w:t>et.  This means that there will be a rev</w:t>
                      </w:r>
                      <w:r>
                        <w:rPr>
                          <w:rFonts w:ascii="Tw Cen MT" w:hAnsi="Tw Cen MT"/>
                        </w:rPr>
                        <w:t>e</w:t>
                      </w:r>
                      <w:r>
                        <w:rPr>
                          <w:rFonts w:ascii="Tw Cen MT" w:hAnsi="Tw Cen MT"/>
                        </w:rPr>
                        <w:t>nue transfer from the U.S. Treasury to those in the highest tax bracket instead of to the state and local governments.</w:t>
                      </w:r>
                    </w:p>
                    <w:p w:rsidR="00FF5E72" w:rsidRDefault="00FF5E72" w:rsidP="00D27616">
                      <w:pPr>
                        <w:widowControl w:val="0"/>
                        <w:jc w:val="both"/>
                        <w:rPr>
                          <w:rFonts w:ascii="Tw Cen MT" w:hAnsi="Tw Cen MT"/>
                        </w:rPr>
                      </w:pPr>
                      <w:r>
                        <w:rPr>
                          <w:rFonts w:ascii="Tw Cen MT" w:hAnsi="Tw Cen MT"/>
                        </w:rPr>
                        <w:t>•As more money is transferred from the U.S. Treasury to state and local gover</w:t>
                      </w:r>
                      <w:r>
                        <w:rPr>
                          <w:rFonts w:ascii="Tw Cen MT" w:hAnsi="Tw Cen MT"/>
                        </w:rPr>
                        <w:t>n</w:t>
                      </w:r>
                      <w:r>
                        <w:rPr>
                          <w:rFonts w:ascii="Tw Cen MT" w:hAnsi="Tw Cen MT"/>
                        </w:rPr>
                        <w:t>ments and to the nation’s highest income earners, a tax increase becomes more likely – or a spending cut.</w:t>
                      </w:r>
                    </w:p>
                    <w:p w:rsidR="00FF5E72" w:rsidRDefault="00FF5E72" w:rsidP="00D27616">
                      <w:pPr>
                        <w:widowControl w:val="0"/>
                        <w:jc w:val="both"/>
                        <w:rPr>
                          <w:rFonts w:ascii="Tw Cen MT" w:hAnsi="Tw Cen MT"/>
                        </w:rPr>
                      </w:pPr>
                      <w:r>
                        <w:rPr>
                          <w:rFonts w:ascii="Tw Cen MT" w:hAnsi="Tw Cen MT"/>
                        </w:rPr>
                        <w:t>•Residents of the profligate state may have enjoyed consumption that the res</w:t>
                      </w:r>
                      <w:r>
                        <w:rPr>
                          <w:rFonts w:ascii="Tw Cen MT" w:hAnsi="Tw Cen MT"/>
                        </w:rPr>
                        <w:t>i</w:t>
                      </w:r>
                      <w:r>
                        <w:rPr>
                          <w:rFonts w:ascii="Tw Cen MT" w:hAnsi="Tw Cen MT"/>
                        </w:rPr>
                        <w:t>dents of more frugal (responsible?) states did not, but now must indirectly pay for.</w:t>
                      </w:r>
                    </w:p>
                  </w:txbxContent>
                </v:textbox>
                <w10:wrap type="square" side="largest" anchorx="margin" anchory="margin"/>
              </v:shape>
            </w:pict>
          </mc:Fallback>
        </mc:AlternateContent>
      </w:r>
      <w:r w:rsidR="0049128E" w:rsidRPr="00576ED7">
        <w:rPr>
          <w:szCs w:val="24"/>
        </w:rPr>
        <w:t>•If there are enough taxpayers in the highest tax bracket to “clear the ma</w:t>
      </w:r>
      <w:r w:rsidR="0049128E" w:rsidRPr="00576ED7">
        <w:rPr>
          <w:szCs w:val="24"/>
        </w:rPr>
        <w:t>r</w:t>
      </w:r>
      <w:r w:rsidR="0049128E" w:rsidRPr="00576ED7">
        <w:rPr>
          <w:szCs w:val="24"/>
        </w:rPr>
        <w:t>ket” for state and local bonds, the interest rate on such bonds should grav</w:t>
      </w:r>
      <w:r w:rsidR="0049128E" w:rsidRPr="00576ED7">
        <w:rPr>
          <w:szCs w:val="24"/>
        </w:rPr>
        <w:t>i</w:t>
      </w:r>
      <w:r w:rsidR="0049128E" w:rsidRPr="00576ED7">
        <w:rPr>
          <w:szCs w:val="24"/>
        </w:rPr>
        <w:t>tate to (1 − λ)*(prevailing interest on corporate bonds), where λ d</w:t>
      </w:r>
      <w:r w:rsidR="0049128E" w:rsidRPr="00576ED7">
        <w:rPr>
          <w:szCs w:val="24"/>
        </w:rPr>
        <w:t>e</w:t>
      </w:r>
      <w:r w:rsidR="0049128E" w:rsidRPr="00576ED7">
        <w:rPr>
          <w:szCs w:val="24"/>
        </w:rPr>
        <w:t xml:space="preserve">notes the highest marginal tax rate.  If this is the case, </w:t>
      </w:r>
      <w:r w:rsidR="0049128E" w:rsidRPr="00576ED7">
        <w:rPr>
          <w:i/>
          <w:szCs w:val="24"/>
        </w:rPr>
        <w:t>all</w:t>
      </w:r>
      <w:r w:rsidR="0049128E" w:rsidRPr="00576ED7">
        <w:rPr>
          <w:szCs w:val="24"/>
        </w:rPr>
        <w:t xml:space="preserve"> of the tax that the U.S. Treasury foregoes is transferred to state and local governments.</w:t>
      </w:r>
    </w:p>
    <w:p w:rsidR="0049128E" w:rsidRPr="00576ED7" w:rsidRDefault="0049128E" w:rsidP="00A6585D">
      <w:pPr>
        <w:widowControl w:val="0"/>
        <w:jc w:val="both"/>
        <w:rPr>
          <w:szCs w:val="24"/>
        </w:rPr>
      </w:pPr>
    </w:p>
    <w:p w:rsidR="0049128E" w:rsidRPr="00576ED7" w:rsidRDefault="0049128E" w:rsidP="00A6585D">
      <w:pPr>
        <w:widowControl w:val="0"/>
        <w:ind w:left="720" w:hanging="720"/>
        <w:jc w:val="both"/>
        <w:rPr>
          <w:szCs w:val="24"/>
        </w:rPr>
      </w:pPr>
      <w:r w:rsidRPr="00576ED7">
        <w:rPr>
          <w:szCs w:val="24"/>
        </w:rPr>
        <w:tab/>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w:t>
      </w:r>
      <w:r w:rsidRPr="00576ED7">
        <w:rPr>
          <w:szCs w:val="24"/>
        </w:rPr>
        <w:t>o</w:t>
      </w:r>
      <w:r w:rsidRPr="00576ED7">
        <w:rPr>
          <w:szCs w:val="24"/>
        </w:rPr>
        <w:t>rate bonds).  Perhaps it will be necessary to entice some taxpa</w:t>
      </w:r>
      <w:r w:rsidRPr="00576ED7">
        <w:rPr>
          <w:szCs w:val="24"/>
        </w:rPr>
        <w:t>y</w:t>
      </w:r>
      <w:r w:rsidRPr="00576ED7">
        <w:rPr>
          <w:szCs w:val="24"/>
        </w:rPr>
        <w:t>ers in the second-to-highest or even third-to-highest bracket.  The effect of this is to give taxpayers in the highest tax bracket a win</w:t>
      </w:r>
      <w:r w:rsidRPr="00576ED7">
        <w:rPr>
          <w:szCs w:val="24"/>
        </w:rPr>
        <w:t>d</w:t>
      </w:r>
      <w:r w:rsidRPr="00576ED7">
        <w:rPr>
          <w:szCs w:val="24"/>
        </w:rPr>
        <w:t>fall, i.e., an after-tax return on state and local bonds that is higher than the after-tax return on corp</w:t>
      </w:r>
      <w:r w:rsidRPr="00576ED7">
        <w:rPr>
          <w:szCs w:val="24"/>
        </w:rPr>
        <w:t>o</w:t>
      </w:r>
      <w:r w:rsidRPr="00576ED7">
        <w:rPr>
          <w:szCs w:val="24"/>
        </w:rPr>
        <w:t xml:space="preserve">rate bonds.  In </w:t>
      </w:r>
      <w:r w:rsidRPr="00576ED7">
        <w:rPr>
          <w:i/>
          <w:szCs w:val="24"/>
        </w:rPr>
        <w:t>this</w:t>
      </w:r>
      <w:r w:rsidRPr="00576ED7">
        <w:rPr>
          <w:szCs w:val="24"/>
        </w:rPr>
        <w:t xml:space="preserve"> case, not all of the foregone tax revenue is tran</w:t>
      </w:r>
      <w:r w:rsidRPr="00576ED7">
        <w:rPr>
          <w:szCs w:val="24"/>
        </w:rPr>
        <w:t>s</w:t>
      </w:r>
      <w:r w:rsidRPr="00576ED7">
        <w:rPr>
          <w:szCs w:val="24"/>
        </w:rPr>
        <w:t>ferred from the U.S. Treasury to state and local governments; some of it is transferred to taxpayers in the highest tax bracket.</w:t>
      </w:r>
    </w:p>
    <w:p w:rsidR="0049128E" w:rsidRPr="00576ED7" w:rsidRDefault="0049128E" w:rsidP="00A6585D">
      <w:pPr>
        <w:widowControl w:val="0"/>
        <w:ind w:left="720"/>
        <w:jc w:val="both"/>
        <w:rPr>
          <w:szCs w:val="24"/>
        </w:rPr>
      </w:pPr>
      <w:r w:rsidRPr="00576ED7">
        <w:rPr>
          <w:szCs w:val="24"/>
        </w:rPr>
        <w:t>•How will this affect the market for corporate bonds?</w:t>
      </w:r>
    </w:p>
    <w:p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than to the federal government.  Most of the (rational) voters will have high incomes.</w:t>
      </w:r>
    </w:p>
    <w:p w:rsidR="0049128E" w:rsidRPr="00576ED7" w:rsidRDefault="0049128E" w:rsidP="00A6585D">
      <w:pPr>
        <w:widowControl w:val="0"/>
        <w:ind w:left="720"/>
        <w:jc w:val="both"/>
        <w:rPr>
          <w:szCs w:val="24"/>
        </w:rPr>
      </w:pPr>
      <w:r w:rsidRPr="00576ED7">
        <w:rPr>
          <w:szCs w:val="24"/>
        </w:rPr>
        <w:t xml:space="preserve">•There is no limit to the amount of interest that a taxpayer may exclude </w:t>
      </w:r>
      <w:r w:rsidRPr="00576ED7">
        <w:rPr>
          <w:szCs w:val="24"/>
        </w:rPr>
        <w:lastRenderedPageBreak/>
        <w:t>under this provision.</w:t>
      </w:r>
      <w:r w:rsidRPr="00576ED7">
        <w:rPr>
          <w:rStyle w:val="FootnoteReference"/>
          <w:szCs w:val="24"/>
        </w:rPr>
        <w:footnoteReference w:id="56"/>
      </w:r>
      <w:r w:rsidRPr="00576ED7">
        <w:rPr>
          <w:szCs w:val="24"/>
        </w:rPr>
        <w:t xml:space="preserve">  Hence state and local governments may be encou</w:t>
      </w:r>
      <w:r w:rsidRPr="00576ED7">
        <w:rPr>
          <w:szCs w:val="24"/>
        </w:rPr>
        <w:t>r</w:t>
      </w:r>
      <w:r w:rsidRPr="00576ED7">
        <w:rPr>
          <w:szCs w:val="24"/>
        </w:rPr>
        <w:t>aged to borrow more than they otherwise would.  The laws of some states limit the amount that they can borrow.</w:t>
      </w:r>
    </w:p>
    <w:p w:rsidR="0049128E" w:rsidRPr="00576ED7" w:rsidRDefault="0049128E" w:rsidP="00A6585D">
      <w:pPr>
        <w:widowControl w:val="0"/>
        <w:ind w:left="720"/>
        <w:jc w:val="both"/>
        <w:rPr>
          <w:szCs w:val="24"/>
        </w:rPr>
      </w:pPr>
      <w:r w:rsidRPr="00576ED7">
        <w:rPr>
          <w:szCs w:val="24"/>
        </w:rPr>
        <w:t>•State and local governments may elect to finance “too many” capital pr</w:t>
      </w:r>
      <w:r w:rsidRPr="00576ED7">
        <w:rPr>
          <w:szCs w:val="24"/>
        </w:rPr>
        <w:t>o</w:t>
      </w:r>
      <w:r w:rsidRPr="00576ED7">
        <w:rPr>
          <w:szCs w:val="24"/>
        </w:rPr>
        <w:t>jects – e.g., highways, schools, government buildings – by issuing bonds, as opposed either to foregoing such expenditures or by procuring nece</w:t>
      </w:r>
      <w:r w:rsidRPr="00576ED7">
        <w:rPr>
          <w:szCs w:val="24"/>
        </w:rPr>
        <w:t>s</w:t>
      </w:r>
      <w:r w:rsidRPr="00576ED7">
        <w:rPr>
          <w:szCs w:val="24"/>
        </w:rPr>
        <w:t>sary funds in another manner, e.g., raising taxes.</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Scholarships: § 117</w:t>
      </w:r>
      <w:r w:rsidRPr="00576ED7">
        <w:rPr>
          <w:szCs w:val="24"/>
        </w:rPr>
        <w:fldChar w:fldCharType="begin"/>
      </w:r>
      <w:r w:rsidRPr="00576ED7">
        <w:rPr>
          <w:i/>
          <w:szCs w:val="24"/>
        </w:rPr>
        <w:instrText xml:space="preserve"> TC \l2 "D.  Scholarships: § 117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justification do you see for the exclusion(s) provided by § 117? Some of you receive scholarship assistance on which you pay no federal income tax.  Ot</w:t>
      </w:r>
      <w:r w:rsidRPr="00576ED7">
        <w:rPr>
          <w:szCs w:val="24"/>
        </w:rPr>
        <w:t>h</w:t>
      </w:r>
      <w:r w:rsidRPr="00576ED7">
        <w:rPr>
          <w:szCs w:val="24"/>
        </w:rPr>
        <w:t xml:space="preserve">ers do not receive such assistance and must work to be here.  The wages that such students earn </w:t>
      </w:r>
      <w:r w:rsidRPr="00576ED7">
        <w:rPr>
          <w:i/>
          <w:szCs w:val="24"/>
        </w:rPr>
        <w:t>are</w:t>
      </w:r>
      <w:r w:rsidRPr="00576ED7">
        <w:rPr>
          <w:szCs w:val="24"/>
        </w:rPr>
        <w:t xml:space="preserv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Moldaur is the son of a professor at the Mega State University.  Moldaur has e</w:t>
      </w:r>
      <w:r w:rsidRPr="00576ED7">
        <w:rPr>
          <w:szCs w:val="24"/>
        </w:rPr>
        <w:t>n</w:t>
      </w:r>
      <w:r w:rsidRPr="00576ED7">
        <w:rPr>
          <w:szCs w:val="24"/>
        </w:rPr>
        <w:t>rolled at Mega State University.  Tuition is $20,000 at Mega State University.  Moldaur is entitled to a 50% reduction in his tuition because he is the son of a professor.  In addition, Moldaur qualified for a Hilfen Scholarship under the state’s lottery-to-education scholarship program.  The state collects lottery rev</w:t>
      </w:r>
      <w:r w:rsidRPr="00576ED7">
        <w:rPr>
          <w:szCs w:val="24"/>
        </w:rPr>
        <w:t>e</w:t>
      </w:r>
      <w:r w:rsidRPr="00576ED7">
        <w:rPr>
          <w:szCs w:val="24"/>
        </w:rPr>
        <w:t>nues and divides them equally among those who qualify for scholarships.  This year, each scholarship recipient was credited with $14,000 towards tuition.  The result for Moldaur is that he had a $4000 account surplus, which the university refunded to him.</w:t>
      </w:r>
    </w:p>
    <w:p w:rsidR="0049128E" w:rsidRPr="00576ED7" w:rsidRDefault="0049128E" w:rsidP="00A6585D">
      <w:pPr>
        <w:widowControl w:val="0"/>
        <w:ind w:left="720"/>
        <w:jc w:val="both"/>
        <w:rPr>
          <w:szCs w:val="24"/>
        </w:rPr>
      </w:pPr>
      <w:r w:rsidRPr="00576ED7">
        <w:rPr>
          <w:szCs w:val="24"/>
        </w:rPr>
        <w:t>•Tax consequences to Moldaur? Read § 117(b)(1) and Reg. § 1.117-1(a) carefully.</w:t>
      </w:r>
    </w:p>
    <w:p w:rsidR="0049128E" w:rsidRPr="00576ED7" w:rsidRDefault="0049128E" w:rsidP="00A6585D">
      <w:pPr>
        <w:widowControl w:val="0"/>
        <w:ind w:left="720"/>
        <w:jc w:val="both"/>
        <w:rPr>
          <w:szCs w:val="24"/>
        </w:rPr>
      </w:pPr>
      <w:r w:rsidRPr="00576ED7">
        <w:rPr>
          <w:szCs w:val="24"/>
        </w:rPr>
        <w:t>•Tax consequences to Moldaur’s father? Read § 117(d) carefully.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A37383D" wp14:editId="13756177">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w:t>
      </w:r>
      <w:r w:rsidR="00D0447F" w:rsidRPr="00576ED7">
        <w:rPr>
          <w:i/>
          <w:szCs w:val="24"/>
        </w:rPr>
        <w:t>ation</w:t>
      </w:r>
      <w:r w:rsidRPr="00576ED7">
        <w:rPr>
          <w:i/>
          <w:szCs w:val="24"/>
        </w:rPr>
        <w:t>: Gross Income: Schola</w:t>
      </w:r>
      <w:r w:rsidRPr="00576ED7">
        <w:rPr>
          <w:i/>
          <w:szCs w:val="24"/>
        </w:rPr>
        <w:t>r</w:t>
      </w:r>
      <w:r w:rsidRPr="00576ED7">
        <w:rPr>
          <w:i/>
          <w:szCs w:val="24"/>
        </w:rPr>
        <w:t>ships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Rental Value of Parsonages: § 107</w:t>
      </w:r>
      <w:r w:rsidRPr="00576ED7">
        <w:rPr>
          <w:szCs w:val="24"/>
        </w:rPr>
        <w:fldChar w:fldCharType="begin"/>
      </w:r>
      <w:r w:rsidRPr="00576ED7">
        <w:rPr>
          <w:i/>
          <w:szCs w:val="24"/>
        </w:rPr>
        <w:instrText xml:space="preserve"> TC \l2 "E.  Rental Value of Parsonages: § 107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107 and 265.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“minister of the gospel” may exclude the housing allowance that a congregation pays to him/her.  Such a taxpayer may spend some of this allowance on home mortgage interest (deductible under § 163(h)) or real estate taxes (deductible u</w:t>
      </w:r>
      <w:r w:rsidRPr="00576ED7">
        <w:rPr>
          <w:szCs w:val="24"/>
        </w:rPr>
        <w:t>n</w:t>
      </w:r>
      <w:r w:rsidRPr="00576ED7">
        <w:rPr>
          <w:szCs w:val="24"/>
        </w:rPr>
        <w:t>der § 164(a)(1)).  Explain how this is a double dip.  How might a congregation, as payor of this allowance, capture some or all of the benefit of the exclusion?</w:t>
      </w:r>
    </w:p>
    <w:p w:rsidR="0049128E" w:rsidRPr="00576ED7" w:rsidRDefault="0049128E" w:rsidP="00A6585D">
      <w:pPr>
        <w:widowControl w:val="0"/>
        <w:jc w:val="both"/>
        <w:rPr>
          <w:szCs w:val="24"/>
        </w:rPr>
      </w:pPr>
    </w:p>
    <w:p w:rsidR="00D27616" w:rsidRPr="00576ED7" w:rsidRDefault="00D27616" w:rsidP="00910345">
      <w:pPr>
        <w:pStyle w:val="Heading3"/>
      </w:pPr>
    </w:p>
    <w:p w:rsidR="0049128E" w:rsidRPr="00576ED7" w:rsidRDefault="0049128E" w:rsidP="00910345">
      <w:pPr>
        <w:pStyle w:val="Heading3"/>
      </w:pPr>
      <w:bookmarkStart w:id="40" w:name="_Toc375132927"/>
      <w:r w:rsidRPr="00576ED7">
        <w:t>II.  Social Benefits</w:t>
      </w:r>
      <w:bookmarkEnd w:id="40"/>
      <w:r w:rsidRPr="00576ED7">
        <w:fldChar w:fldCharType="begin"/>
      </w:r>
      <w:r w:rsidRPr="00576ED7">
        <w:instrText xml:space="preserve"> TC \l1 "II.  Social Benefits</w:instrText>
      </w:r>
      <w:r w:rsidRPr="00576ED7">
        <w:fldChar w:fldCharType="end"/>
      </w:r>
    </w:p>
    <w:p w:rsidR="0049128E" w:rsidRPr="00576ED7" w:rsidRDefault="0049128E" w:rsidP="00A6585D">
      <w:pPr>
        <w:widowControl w:val="0"/>
        <w:jc w:val="both"/>
        <w:rPr>
          <w:szCs w:val="24"/>
        </w:rPr>
      </w:pPr>
    </w:p>
    <w:p w:rsidR="0049128E" w:rsidRPr="00576ED7" w:rsidRDefault="00A56BAC" w:rsidP="00A6585D">
      <w:pPr>
        <w:widowControl w:val="0"/>
        <w:jc w:val="both"/>
        <w:rPr>
          <w:szCs w:val="24"/>
        </w:rPr>
      </w:pPr>
      <w:r w:rsidRPr="00576ED7">
        <w:rPr>
          <w:noProof/>
          <w:szCs w:val="24"/>
        </w:rPr>
        <mc:AlternateContent>
          <mc:Choice Requires="wps">
            <w:drawing>
              <wp:anchor distT="152400" distB="152400" distL="152400" distR="152400" simplePos="0" relativeHeight="251658240" behindDoc="0" locked="0" layoutInCell="0" allowOverlap="1" wp14:anchorId="1928DBE3" wp14:editId="4F885C25">
                <wp:simplePos x="0" y="0"/>
                <wp:positionH relativeFrom="margin">
                  <wp:posOffset>1823085</wp:posOffset>
                </wp:positionH>
                <wp:positionV relativeFrom="paragraph">
                  <wp:posOffset>146050</wp:posOffset>
                </wp:positionV>
                <wp:extent cx="3383915" cy="2164715"/>
                <wp:effectExtent l="0" t="0" r="26035" b="26035"/>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4715"/>
                        </a:xfrm>
                        <a:prstGeom prst="rect">
                          <a:avLst/>
                        </a:prstGeom>
                        <a:solidFill>
                          <a:srgbClr val="FFFFFF"/>
                        </a:solidFill>
                        <a:ln w="12192">
                          <a:solidFill>
                            <a:srgbClr val="000000"/>
                          </a:solidFill>
                          <a:miter lim="800000"/>
                          <a:headEnd/>
                          <a:tailEnd/>
                        </a:ln>
                      </wps:spPr>
                      <wps:txbx>
                        <w:txbxContent>
                          <w:p w:rsidR="00FF5E72" w:rsidRDefault="00FF5E72"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143.55pt;margin-top:11.5pt;width:266.45pt;height:170.45pt;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KfKwIAAFwEAAAOAAAAZHJzL2Uyb0RvYy54bWysVNuO2yAQfa/Uf0C8N06cNJ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Jb1aUmKY&#10;Ro0exRDIGxjIIo/89NYX6PZg0TEMeI46p1q9vQf+1RMD246ZVtw6B30nWI35zeLL7OLpiOMjSNV/&#10;gBrjsH2ABDQ0TkfykA6C6KjT8axNzIXj4Xy+ml/PXlPC8S6fLRdXaMQYrHh6bp0P7wRoEjcldSh+&#10;gmeHex9G1yeXGM2DkvVOKpUM11Zb5ciBYaPs0ndC/8lNGdJjcfnsOh8p+CvGNH1/wtAyYMsrqUu6&#10;OjuxIhL31tSYJysCk2rcY3nKnJiM5I00hqEakmiL1MGR5grqI3LrYGxxHEncdOC+U9Jje5fUf9sz&#10;JyhR7w3qc7XE6cF5uDTcpVFdGsxwhCppoGTcbsM4Q3vrZNthpLEjDNyipo1MbD9ndcofWzjpdRq3&#10;OCOXdvJ6/ilsfgAAAP//AwBQSwMEFAAGAAgAAAAhAIKZf7fcAAAACgEAAA8AAABkcnMvZG93bnJl&#10;di54bWxMj01PhDAQhu8m/odmTLy5ZSFZESkbQ+J9QTd67NKREukUaXfBf+940tu8mSfvR7lf3Sgu&#10;OIfBk4LtJgGB1HkzUK/g9eX5LgcRoiajR0+o4BsD7Kvrq1IXxi/U4KWNvWATCoVWYGOcCilDZ9Hp&#10;sPETEv8+/Ox0ZDn30sx6YXM3yjRJdtLpgTjB6glri91ne3YKfNPUx7T9OrzVi6n75bDG6d0qdXuz&#10;Pj2CiLjGPxh+63N1qLjTyZ/JBDEqSPP7LaN8ZLyJgZzzQJwUZLvsAWRVyv8Tqh8AAAD//wMAUEsB&#10;Ai0AFAAGAAgAAAAhALaDOJL+AAAA4QEAABMAAAAAAAAAAAAAAAAAAAAAAFtDb250ZW50X1R5cGVz&#10;XS54bWxQSwECLQAUAAYACAAAACEAOP0h/9YAAACUAQAACwAAAAAAAAAAAAAAAAAvAQAAX3JlbHMv&#10;LnJlbHNQSwECLQAUAAYACAAAACEApRIynysCAABcBAAADgAAAAAAAAAAAAAAAAAuAgAAZHJzL2Uy&#10;b0RvYy54bWxQSwECLQAUAAYACAAAACEAgpl/t9wAAAAKAQAADwAAAAAAAAAAAAAAAACFBAAAZHJz&#10;L2Rvd25yZXYueG1sUEsFBgAAAAAEAAQA8wAAAI4FAAAAAA==&#10;" o:allowincell="f" strokeweight=".96pt">
                <v:textbox inset="6pt,6pt,6pt,6pt">
                  <w:txbxContent>
                    <w:p w:rsidR="00FF5E72" w:rsidRDefault="00FF5E72" w:rsidP="006E49F6">
                      <w:pPr>
                        <w:widowControl w:val="0"/>
                        <w:jc w:val="both"/>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w:t>
                      </w:r>
                      <w:r>
                        <w:rPr>
                          <w:rFonts w:ascii="Tw Cen MT" w:hAnsi="Tw Cen MT"/>
                        </w:rPr>
                        <w:t>a</w:t>
                      </w:r>
                      <w:r>
                        <w:rPr>
                          <w:rFonts w:ascii="Tw Cen MT" w:hAnsi="Tw Cen MT"/>
                        </w:rPr>
                        <w:t>terializes.  Notice that policy-holders pay their pr</w:t>
                      </w:r>
                      <w:r>
                        <w:rPr>
                          <w:rFonts w:ascii="Tw Cen MT" w:hAnsi="Tw Cen MT"/>
                        </w:rPr>
                        <w:t>e</w:t>
                      </w:r>
                      <w:r>
                        <w:rPr>
                          <w:rFonts w:ascii="Tw Cen MT" w:hAnsi="Tw Cen MT"/>
                        </w:rPr>
                        <w:t>miums from after-tax money.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sidRPr="00576ED7">
        <w:rPr>
          <w:szCs w:val="24"/>
        </w:rPr>
        <w:t>The Code excludes from gross income payments for various benefits or the fmv of benefits taxpayer r</w:t>
      </w:r>
      <w:r w:rsidR="0049128E" w:rsidRPr="00576ED7">
        <w:rPr>
          <w:szCs w:val="24"/>
        </w:rPr>
        <w:t>e</w:t>
      </w:r>
      <w:r w:rsidR="0049128E" w:rsidRPr="00576ED7">
        <w:rPr>
          <w:szCs w:val="24"/>
        </w:rPr>
        <w:t>ceives in kind.  Who should administer gover</w:t>
      </w:r>
      <w:r w:rsidR="0049128E" w:rsidRPr="00576ED7">
        <w:rPr>
          <w:szCs w:val="24"/>
        </w:rPr>
        <w:t>n</w:t>
      </w:r>
      <w:r w:rsidR="0049128E" w:rsidRPr="00576ED7">
        <w:rPr>
          <w:szCs w:val="24"/>
        </w:rPr>
        <w:t>ment benefit programs, e.g., benefits for workplace injury? Who administers benefit “pr</w:t>
      </w:r>
      <w:r w:rsidR="0049128E" w:rsidRPr="00576ED7">
        <w:rPr>
          <w:szCs w:val="24"/>
        </w:rPr>
        <w:t>o</w:t>
      </w:r>
      <w:r w:rsidR="0049128E" w:rsidRPr="00576ED7">
        <w:rPr>
          <w:szCs w:val="24"/>
        </w:rPr>
        <w:t>grams” when they are the product of e</w:t>
      </w:r>
      <w:r w:rsidR="0049128E" w:rsidRPr="00576ED7">
        <w:rPr>
          <w:szCs w:val="24"/>
        </w:rPr>
        <w:t>x</w:t>
      </w:r>
      <w:r w:rsidR="0049128E" w:rsidRPr="00576ED7">
        <w:rPr>
          <w:szCs w:val="24"/>
        </w:rPr>
        <w:t>clusions from gross i</w:t>
      </w:r>
      <w:r w:rsidR="0049128E" w:rsidRPr="00576ED7">
        <w:rPr>
          <w:szCs w:val="24"/>
        </w:rPr>
        <w:t>n</w:t>
      </w:r>
      <w:r w:rsidR="0049128E" w:rsidRPr="00576ED7">
        <w:rPr>
          <w:szCs w:val="24"/>
        </w:rPr>
        <w:t>come?</w:t>
      </w:r>
    </w:p>
    <w:p w:rsidR="0049128E" w:rsidRDefault="0049128E" w:rsidP="00A6585D">
      <w:pPr>
        <w:widowControl w:val="0"/>
        <w:jc w:val="both"/>
        <w:rPr>
          <w:szCs w:val="24"/>
        </w:rPr>
      </w:pPr>
    </w:p>
    <w:p w:rsidR="00A56BAC" w:rsidRPr="00576ED7" w:rsidRDefault="00A56BA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Life Insurance Death Benefits: § 101</w:t>
      </w:r>
      <w:r w:rsidRPr="00576ED7">
        <w:rPr>
          <w:szCs w:val="24"/>
        </w:rPr>
        <w:fldChar w:fldCharType="begin"/>
      </w:r>
      <w:r w:rsidRPr="00576ED7">
        <w:rPr>
          <w:i/>
          <w:szCs w:val="24"/>
        </w:rPr>
        <w:instrText xml:space="preserve"> TC \l2 "A.  Life Insurance Death Benefits: § 101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101(a)(1) excludes from gross income “amounts received (whether in a single sum or otherwise) under a life insurance contract, if such amounts are paid by reason of death.”  This provision has always been a part of the Code, and the desire to avoid taxing heirs has made repeal difficult.  Many people purchase life insurance so that family members will receive money at a time when they no longer have the income of the deceased insured.  It could be unseemly to tax a </w:t>
      </w:r>
      <w:r w:rsidRPr="00576ED7">
        <w:rPr>
          <w:szCs w:val="24"/>
        </w:rPr>
        <w:lastRenderedPageBreak/>
        <w:t>grieving family under such circumstances.</w:t>
      </w:r>
    </w:p>
    <w:p w:rsidR="0049128E" w:rsidRPr="00576ED7" w:rsidRDefault="0049128E" w:rsidP="00A6585D">
      <w:pPr>
        <w:widowControl w:val="0"/>
        <w:ind w:left="720"/>
        <w:jc w:val="both"/>
        <w:rPr>
          <w:szCs w:val="24"/>
        </w:rPr>
      </w:pPr>
      <w:r w:rsidRPr="00576ED7">
        <w:rPr>
          <w:szCs w:val="24"/>
        </w:rPr>
        <w:t>•”If any amount excluded from gross income ... is held under an agre</w:t>
      </w:r>
      <w:r w:rsidRPr="00576ED7">
        <w:rPr>
          <w:szCs w:val="24"/>
        </w:rPr>
        <w:t>e</w:t>
      </w:r>
      <w:r w:rsidRPr="00576ED7">
        <w:rPr>
          <w:szCs w:val="24"/>
        </w:rPr>
        <w:t>ment to pay interest thereon, the interest payments shall be included in gross income.”  § 101(c).</w:t>
      </w:r>
    </w:p>
    <w:p w:rsidR="0049128E" w:rsidRPr="00576ED7" w:rsidRDefault="0049128E" w:rsidP="00A6585D">
      <w:pPr>
        <w:widowControl w:val="0"/>
        <w:ind w:left="720"/>
        <w:jc w:val="both"/>
        <w:rPr>
          <w:szCs w:val="24"/>
        </w:rPr>
      </w:pPr>
      <w:r w:rsidRPr="00576ED7">
        <w:rPr>
          <w:szCs w:val="24"/>
        </w:rPr>
        <w:t>•In the event that life insurance proceeds are paid otherwise than as a lump sum, a portion of each payment is allocated pro rata to the amount exclu</w:t>
      </w:r>
      <w:r w:rsidRPr="00576ED7">
        <w:rPr>
          <w:szCs w:val="24"/>
        </w:rPr>
        <w:t>d</w:t>
      </w:r>
      <w:r w:rsidRPr="00576ED7">
        <w:rPr>
          <w:szCs w:val="24"/>
        </w:rPr>
        <w:t xml:space="preserve">ed and the remaining return on investment </w:t>
      </w:r>
      <w:r w:rsidRPr="00576ED7">
        <w:rPr>
          <w:i/>
          <w:szCs w:val="24"/>
        </w:rPr>
        <w:t>is</w:t>
      </w:r>
      <w:r w:rsidRPr="00576ED7">
        <w:rPr>
          <w:szCs w:val="24"/>
        </w:rPr>
        <w:t xml:space="preserve"> subject to income tax.  § 101(d)(1).</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Consider:  H purchased a life insurance policy on his life with a face amount of $200,000 and named W as the beneficiary.  H died.  W and the insurance comp</w:t>
      </w:r>
      <w:r w:rsidRPr="00576ED7">
        <w:rPr>
          <w:szCs w:val="24"/>
        </w:rPr>
        <w:t>a</w:t>
      </w:r>
      <w:r w:rsidRPr="00576ED7">
        <w:rPr>
          <w:szCs w:val="24"/>
        </w:rPr>
        <w:t>ny entered an agreement whereby the insurance company would hold $200,000 and pay her $250,000 in five years; W would have no claim of right to the funds during that time.  At that time, instead of paying W $250,000, the insurance co</w:t>
      </w:r>
      <w:r w:rsidRPr="00576ED7">
        <w:rPr>
          <w:szCs w:val="24"/>
        </w:rPr>
        <w:t>m</w:t>
      </w:r>
      <w:r w:rsidRPr="00576ED7">
        <w:rPr>
          <w:szCs w:val="24"/>
        </w:rPr>
        <w:t>pany will pay W $28,000 per year at a time when her life expectancy will be ten years.</w:t>
      </w:r>
    </w:p>
    <w:p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p>
    <w:p w:rsidR="0049128E" w:rsidRPr="00576ED7" w:rsidRDefault="0049128E" w:rsidP="00A6585D">
      <w:pPr>
        <w:widowControl w:val="0"/>
        <w:ind w:left="720"/>
        <w:jc w:val="both"/>
        <w:rPr>
          <w:szCs w:val="24"/>
        </w:rPr>
      </w:pPr>
      <w:r w:rsidRPr="00576ED7">
        <w:rPr>
          <w:szCs w:val="24"/>
        </w:rPr>
        <w:t>•How would the payments to W during the succeeding ten years be taxed?</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 101(c and d); Reg. § 1.101-3(a); Reg. § 1.101-4(a)(1)(i); Reg. § 1.101-4(g) (Examples 1 and 5 (first two sentences only)).</w:t>
      </w:r>
    </w:p>
    <w:p w:rsidR="0049128E" w:rsidRPr="00576ED7" w:rsidRDefault="0049128E" w:rsidP="00A6585D">
      <w:pPr>
        <w:widowControl w:val="0"/>
        <w:ind w:left="2160"/>
        <w:jc w:val="both"/>
        <w:rPr>
          <w:szCs w:val="24"/>
        </w:rPr>
      </w:pPr>
      <w:r w:rsidRPr="00576ED7">
        <w:rPr>
          <w:szCs w:val="24"/>
        </w:rPr>
        <w:t>•The last provision might not be in your edition of the Re</w:t>
      </w:r>
      <w:r w:rsidRPr="00576ED7">
        <w:rPr>
          <w:szCs w:val="24"/>
        </w:rPr>
        <w:t>g</w:t>
      </w:r>
      <w:r w:rsidRPr="00576ED7">
        <w:rPr>
          <w:szCs w:val="24"/>
        </w:rPr>
        <w:t>ulations.  Go to Westlaw or Lexis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consideration, the exclusion is lost.  The beneficiary in such a case may exclude only the amount paid for the policy (i.e., premiums) plus any subs</w:t>
      </w:r>
      <w:r w:rsidRPr="00576ED7">
        <w:rPr>
          <w:szCs w:val="24"/>
        </w:rPr>
        <w:t>e</w:t>
      </w:r>
      <w:r w:rsidRPr="00576ED7">
        <w:rPr>
          <w:szCs w:val="24"/>
        </w:rPr>
        <w:t>quent pa</w:t>
      </w:r>
      <w:r w:rsidRPr="00576ED7">
        <w:rPr>
          <w:szCs w:val="24"/>
        </w:rPr>
        <w:t>y</w:t>
      </w:r>
      <w:r w:rsidRPr="00576ED7">
        <w:rPr>
          <w:szCs w:val="24"/>
        </w:rPr>
        <w:t>ments, i.e., prem</w:t>
      </w:r>
      <w:r w:rsidRPr="00576ED7">
        <w:rPr>
          <w:szCs w:val="24"/>
        </w:rPr>
        <w:t>i</w:t>
      </w:r>
      <w:r w:rsidRPr="00576ED7">
        <w:rPr>
          <w:szCs w:val="24"/>
        </w:rPr>
        <w:t>ums.</w:t>
      </w:r>
    </w:p>
    <w:p w:rsidR="0049128E" w:rsidRPr="00576ED7" w:rsidRDefault="0049128E" w:rsidP="00A6585D">
      <w:pPr>
        <w:widowControl w:val="0"/>
        <w:ind w:left="720"/>
        <w:jc w:val="both"/>
        <w:rPr>
          <w:szCs w:val="24"/>
        </w:rPr>
      </w:pPr>
      <w:r w:rsidRPr="00576ED7">
        <w:rPr>
          <w:szCs w:val="24"/>
        </w:rPr>
        <w:t>•An exce</w:t>
      </w:r>
      <w:r w:rsidRPr="00576ED7">
        <w:rPr>
          <w:szCs w:val="24"/>
        </w:rPr>
        <w:t>p</w:t>
      </w:r>
      <w:r w:rsidRPr="00576ED7">
        <w:rPr>
          <w:szCs w:val="24"/>
        </w:rPr>
        <w:t>tion to this exception is made when the transfe</w:t>
      </w:r>
      <w:r w:rsidRPr="00576ED7">
        <w:rPr>
          <w:szCs w:val="24"/>
        </w:rPr>
        <w:t>r</w:t>
      </w:r>
      <w:r w:rsidRPr="00576ED7">
        <w:rPr>
          <w:szCs w:val="24"/>
        </w:rPr>
        <w:t>ee takes for his/her basis the basis of the transfe</w:t>
      </w:r>
      <w:r w:rsidRPr="00576ED7">
        <w:rPr>
          <w:szCs w:val="24"/>
        </w:rPr>
        <w:t>r</w:t>
      </w:r>
      <w:r w:rsidRPr="00576ED7">
        <w:rPr>
          <w:szCs w:val="24"/>
        </w:rPr>
        <w:t>or.  § 101(a)(2)(A).</w:t>
      </w:r>
    </w:p>
    <w:p w:rsidR="0049128E" w:rsidRPr="00576ED7" w:rsidRDefault="0049128E" w:rsidP="00A6585D">
      <w:pPr>
        <w:widowControl w:val="0"/>
        <w:ind w:left="720"/>
        <w:jc w:val="both"/>
        <w:rPr>
          <w:szCs w:val="24"/>
        </w:rPr>
      </w:pPr>
      <w:r w:rsidRPr="00576ED7">
        <w:rPr>
          <w:szCs w:val="24"/>
        </w:rPr>
        <w:t>•When might a transferee take for his/her basis the basis of the transferee?</w:t>
      </w:r>
    </w:p>
    <w:p w:rsidR="0049128E" w:rsidRPr="00576ED7" w:rsidRDefault="0049128E" w:rsidP="00A6585D">
      <w:pPr>
        <w:widowControl w:val="0"/>
        <w:ind w:left="720"/>
        <w:jc w:val="both"/>
        <w:rPr>
          <w:szCs w:val="24"/>
        </w:rPr>
      </w:pPr>
      <w:r w:rsidRPr="00576ED7">
        <w:rPr>
          <w:szCs w:val="24"/>
        </w:rPr>
        <w:t>•Another exception to the exception is made when the transfer is to the i</w:t>
      </w:r>
      <w:r w:rsidRPr="00576ED7">
        <w:rPr>
          <w:szCs w:val="24"/>
        </w:rPr>
        <w:t>n</w:t>
      </w:r>
      <w:r w:rsidRPr="00576ED7">
        <w:rPr>
          <w:szCs w:val="24"/>
        </w:rPr>
        <w:t>sured, a partner of the insured, a partnership in which the insured is a par</w:t>
      </w:r>
      <w:r w:rsidRPr="00576ED7">
        <w:rPr>
          <w:szCs w:val="24"/>
        </w:rPr>
        <w:t>t</w:t>
      </w:r>
      <w:r w:rsidRPr="00576ED7">
        <w:rPr>
          <w:szCs w:val="24"/>
        </w:rPr>
        <w:t>ner, or a corporation in which the insured is a shareholder or officer.  § 101(a)(2)(B).</w:t>
      </w:r>
    </w:p>
    <w:p w:rsidR="0049128E" w:rsidRPr="00576ED7" w:rsidRDefault="00A56BAC"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9264" behindDoc="0" locked="0" layoutInCell="0" allowOverlap="1" wp14:anchorId="3D43D8A0" wp14:editId="6EDA3C27">
                <wp:simplePos x="0" y="0"/>
                <wp:positionH relativeFrom="margin">
                  <wp:posOffset>1423670</wp:posOffset>
                </wp:positionH>
                <wp:positionV relativeFrom="paragraph">
                  <wp:posOffset>116205</wp:posOffset>
                </wp:positionV>
                <wp:extent cx="3678555" cy="3877945"/>
                <wp:effectExtent l="0" t="0" r="17145" b="27305"/>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3877945"/>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A note about life insurance</w:t>
                            </w:r>
                            <w:r>
                              <w:rPr>
                                <w:rFonts w:ascii="Tw Cen MT" w:hAnsi="Tw Cen MT"/>
                              </w:rPr>
                              <w:t>.  Life insurance comes in var</w:t>
                            </w:r>
                            <w:r>
                              <w:rPr>
                                <w:rFonts w:ascii="Tw Cen MT" w:hAnsi="Tw Cen MT"/>
                              </w:rPr>
                              <w:t>i</w:t>
                            </w:r>
                            <w:r>
                              <w:rPr>
                                <w:rFonts w:ascii="Tw Cen MT" w:hAnsi="Tw Cen MT"/>
                              </w:rPr>
                              <w:t>ous forms, and tax benefits can extend well beyond e</w:t>
                            </w:r>
                            <w:r>
                              <w:rPr>
                                <w:rFonts w:ascii="Tw Cen MT" w:hAnsi="Tw Cen MT"/>
                              </w:rPr>
                              <w:t>x</w:t>
                            </w:r>
                            <w:r>
                              <w:rPr>
                                <w:rFonts w:ascii="Tw Cen MT" w:hAnsi="Tw Cen MT"/>
                              </w:rPr>
                              <w:t>cluding death benefits from gross income.  “Life insurance contract” is defined in § 7702 so as to preclude an i</w:t>
                            </w:r>
                            <w:r>
                              <w:rPr>
                                <w:rFonts w:ascii="Tw Cen MT" w:hAnsi="Tw Cen MT"/>
                              </w:rPr>
                              <w:t>n</w:t>
                            </w:r>
                            <w:r>
                              <w:rPr>
                                <w:rFonts w:ascii="Tw Cen MT" w:hAnsi="Tw Cen MT"/>
                              </w:rPr>
                              <w:t xml:space="preserve">vestment from being a “life insurance contract.”  To be insurance, there must be a shifting of risk from the insured to the insurer.  </w:t>
                            </w:r>
                          </w:p>
                          <w:p w:rsidR="00FF5E72" w:rsidRDefault="00FF5E72">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FF5E72" w:rsidRDefault="00FF5E72">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w:t>
                            </w:r>
                            <w:r>
                              <w:rPr>
                                <w:rFonts w:ascii="Tw Cen MT" w:hAnsi="Tw Cen MT"/>
                              </w:rPr>
                              <w:t>h</w:t>
                            </w:r>
                            <w:r>
                              <w:rPr>
                                <w:rFonts w:ascii="Tw Cen MT" w:hAnsi="Tw Cen MT"/>
                              </w:rPr>
                              <w:t>erwise increase because the insured is older and the risk of his/her death higher.</w:t>
                            </w:r>
                          </w:p>
                          <w:p w:rsidR="00FF5E72" w:rsidRDefault="00FF5E72">
                            <w:pPr>
                              <w:widowControl w:val="0"/>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112.1pt;margin-top:9.15pt;width:289.65pt;height:305.3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wyKgIAAFwEAAAOAAAAZHJzL2Uyb0RvYy54bWysVNtu2zAMfR+wfxD0vjj3pEacokuXYUB3&#10;Adp9gCzLtjBJ1CQldvf1peQ0zW4vw/wgiBJ1eHhIenPda0WOwnkJpqCT0ZgSYThU0jQF/fqwf7Om&#10;xAdmKqbAiII+Ck+vt69fbTqbiym0oCrhCIIYn3e2oG0INs8yz1uhmR+BFQYva3CaBTRdk1WOdYiu&#10;VTYdj5dZB66yDrjwHk9vh0u6Tfh1LXj4XNdeBKIKitxCWl1ay7hm2w3LG8dsK/mJBvsHFppJg0HP&#10;ULcsMHJw8jcoLbkDD3UYcdAZ1LXkIuWA2UzGv2Rz3zIrUi4ojrdnmfz/g+Wfjl8ckVVBVwtKDNNY&#10;owfRB/IWejKfRX0663N0u7foGHo8xzqnXL29A/7NEwO7lplG3DgHXStYhfwm8WV28XTA8RGk7D5C&#10;hXHYIUAC6muno3goB0F0rNPjuTaRC8fD2XK1XiyQI8e72Xq1upovUgyWPz+3zof3AjSJm4I6LH6C&#10;Z8c7HyIdlj+7xGgelKz2UqlkuKbcKUeODBtln74T+k9uypAOk5tOrqaDBH/FGKfvTxhaBmx5JXVB&#10;12cnlkfh3pkqNWRgUg175KzMScko3iBj6Ms+FW2edI4yl1A9orYOhhbHkcRNC+4HJR22d0H99wNz&#10;ghL1wWB9VkucHpyHS8NdGuWlwQxHqIIGSobtLgwzdLBONi1GGjrCwA3WtJZJ7RdWJ/7YwqkIp3GL&#10;M3JpJ6+Xn8L2CQAA//8DAFBLAwQUAAYACAAAACEAJbnIXt0AAAAKAQAADwAAAGRycy9kb3ducmV2&#10;LnhtbEyPwU7DMBBE70j8g7VI3KiNC1VI41QoEvcmFMHRjbdxRGyH2G3C37Oc4Liap5m3xW5xA7vg&#10;FPvgFdyvBDD0bTC97xQcXl/uMmAxaW/0EDwq+MYIu/L6qtC5CbOv8dKkjlGJj7lWYFMac85ja9Hp&#10;uAojespOYXI60Tl13Ex6pnI3cCnEhjvde1qwesTKYvvZnJ2CUNfVm2y+9u/VbKpu3i9p/LBK3d4s&#10;z1tgCZf0B8OvPqlDSU7HcPYmskGBlA+SUAqyNTACMrF+BHZUsJFPAnhZ8P8vlD8AAAD//wMAUEsB&#10;Ai0AFAAGAAgAAAAhALaDOJL+AAAA4QEAABMAAAAAAAAAAAAAAAAAAAAAAFtDb250ZW50X1R5cGVz&#10;XS54bWxQSwECLQAUAAYACAAAACEAOP0h/9YAAACUAQAACwAAAAAAAAAAAAAAAAAvAQAAX3JlbHMv&#10;LnJlbHNQSwECLQAUAAYACAAAACEAd7OMMioCAABcBAAADgAAAAAAAAAAAAAAAAAuAgAAZHJzL2Uy&#10;b0RvYy54bWxQSwECLQAUAAYACAAAACEAJbnIXt0AAAAKAQAADwAAAAAAAAAAAAAAAACEBAAAZHJz&#10;L2Rvd25yZXYueG1sUEsFBgAAAAAEAAQA8wAAAI4FAAAAAA==&#10;" o:allowincell="f" strokeweight=".96pt">
                <v:textbox inset="6pt,6pt,6pt,6pt">
                  <w:txbxContent>
                    <w:p w:rsidR="00FF5E72" w:rsidRDefault="00FF5E72">
                      <w:pPr>
                        <w:widowControl w:val="0"/>
                        <w:rPr>
                          <w:rFonts w:ascii="Tw Cen MT" w:hAnsi="Tw Cen MT"/>
                        </w:rPr>
                      </w:pPr>
                      <w:r>
                        <w:rPr>
                          <w:rFonts w:ascii="Tw Cen MT" w:hAnsi="Tw Cen MT"/>
                          <w:i/>
                        </w:rPr>
                        <w:t>A note about life insurance</w:t>
                      </w:r>
                      <w:r>
                        <w:rPr>
                          <w:rFonts w:ascii="Tw Cen MT" w:hAnsi="Tw Cen MT"/>
                        </w:rPr>
                        <w:t>.  Life insurance comes in var</w:t>
                      </w:r>
                      <w:r>
                        <w:rPr>
                          <w:rFonts w:ascii="Tw Cen MT" w:hAnsi="Tw Cen MT"/>
                        </w:rPr>
                        <w:t>i</w:t>
                      </w:r>
                      <w:r>
                        <w:rPr>
                          <w:rFonts w:ascii="Tw Cen MT" w:hAnsi="Tw Cen MT"/>
                        </w:rPr>
                        <w:t>ous forms, and tax benefits can extend well beyond e</w:t>
                      </w:r>
                      <w:r>
                        <w:rPr>
                          <w:rFonts w:ascii="Tw Cen MT" w:hAnsi="Tw Cen MT"/>
                        </w:rPr>
                        <w:t>x</w:t>
                      </w:r>
                      <w:r>
                        <w:rPr>
                          <w:rFonts w:ascii="Tw Cen MT" w:hAnsi="Tw Cen MT"/>
                        </w:rPr>
                        <w:t>cluding death benefits from gross income.  “Life insurance contract” is defined in § 7702 so as to preclude an i</w:t>
                      </w:r>
                      <w:r>
                        <w:rPr>
                          <w:rFonts w:ascii="Tw Cen MT" w:hAnsi="Tw Cen MT"/>
                        </w:rPr>
                        <w:t>n</w:t>
                      </w:r>
                      <w:r>
                        <w:rPr>
                          <w:rFonts w:ascii="Tw Cen MT" w:hAnsi="Tw Cen MT"/>
                        </w:rPr>
                        <w:t xml:space="preserve">vestment from being a “life insurance contract.”  To be insurance, there must be a shifting of risk from the insured to the insurer.  </w:t>
                      </w:r>
                    </w:p>
                    <w:p w:rsidR="00FF5E72" w:rsidRDefault="00FF5E72">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FF5E72" w:rsidRDefault="00FF5E72">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w:t>
                      </w:r>
                      <w:r>
                        <w:rPr>
                          <w:rFonts w:ascii="Tw Cen MT" w:hAnsi="Tw Cen MT"/>
                        </w:rPr>
                        <w:t>h</w:t>
                      </w:r>
                      <w:r>
                        <w:rPr>
                          <w:rFonts w:ascii="Tw Cen MT" w:hAnsi="Tw Cen MT"/>
                        </w:rPr>
                        <w:t>erwise increase because the insured is older and the risk of his/her death higher.</w:t>
                      </w:r>
                    </w:p>
                    <w:p w:rsidR="00FF5E72" w:rsidRDefault="00FF5E72">
                      <w:pPr>
                        <w:widowControl w:val="0"/>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•When (why) would transfers such as those described in § 101(a)(2)(B) occur?</w:t>
      </w:r>
      <w:r w:rsidR="0049128E" w:rsidRPr="00576ED7">
        <w:rPr>
          <w:szCs w:val="24"/>
        </w:rPr>
        <w:tab/>
      </w:r>
      <w:r w:rsidR="0049128E" w:rsidRPr="00576ED7">
        <w:rPr>
          <w:szCs w:val="24"/>
        </w:rPr>
        <w:tab/>
      </w:r>
      <w:r w:rsidR="0049128E" w:rsidRPr="00576ED7">
        <w:rPr>
          <w:szCs w:val="24"/>
        </w:rPr>
        <w:tab/>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 purchased a pe</w:t>
      </w:r>
      <w:r w:rsidRPr="00576ED7">
        <w:rPr>
          <w:szCs w:val="24"/>
        </w:rPr>
        <w:t>r</w:t>
      </w:r>
      <w:r w:rsidRPr="00576ED7">
        <w:rPr>
          <w:szCs w:val="24"/>
        </w:rPr>
        <w:t>manent life insu</w:t>
      </w:r>
      <w:r w:rsidRPr="00576ED7">
        <w:rPr>
          <w:szCs w:val="24"/>
        </w:rPr>
        <w:t>r</w:t>
      </w:r>
      <w:r w:rsidRPr="00576ED7">
        <w:rPr>
          <w:szCs w:val="24"/>
        </w:rPr>
        <w:t>ance policy on his life with a face amount of $300,000.  He named W as the beneficiary.  When H was 63 years old and the children were grown, W died.  H saw no need to continue making premium payments so he sold the policy to his employer for $100,000.</w:t>
      </w:r>
    </w:p>
    <w:p w:rsidR="0049128E" w:rsidRPr="00576ED7" w:rsidRDefault="0049128E" w:rsidP="00A6585D">
      <w:pPr>
        <w:widowControl w:val="0"/>
        <w:ind w:left="720"/>
        <w:jc w:val="both"/>
        <w:rPr>
          <w:szCs w:val="24"/>
        </w:rPr>
      </w:pPr>
      <w:r w:rsidRPr="00576ED7">
        <w:rPr>
          <w:szCs w:val="24"/>
        </w:rPr>
        <w:t>•How would you compute H’s gross income from this sale?</w:t>
      </w:r>
    </w:p>
    <w:p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rsidR="0049128E" w:rsidRDefault="0049128E" w:rsidP="00A6585D">
      <w:pPr>
        <w:widowControl w:val="0"/>
        <w:ind w:left="720"/>
        <w:jc w:val="both"/>
        <w:rPr>
          <w:szCs w:val="24"/>
        </w:rPr>
      </w:pPr>
      <w:r w:rsidRPr="00576ED7">
        <w:rPr>
          <w:szCs w:val="24"/>
        </w:rPr>
        <w:t>•Are there additional facts that you would need to know?</w:t>
      </w:r>
    </w:p>
    <w:p w:rsidR="00A56BAC" w:rsidRDefault="00A56BAC" w:rsidP="00A6585D">
      <w:pPr>
        <w:widowControl w:val="0"/>
        <w:ind w:left="720"/>
        <w:jc w:val="both"/>
        <w:rPr>
          <w:szCs w:val="24"/>
        </w:rPr>
      </w:pPr>
      <w:r>
        <w:rPr>
          <w:szCs w:val="24"/>
        </w:rPr>
        <w:t>•Read on.</w:t>
      </w:r>
    </w:p>
    <w:p w:rsidR="008945D5" w:rsidRPr="00576ED7" w:rsidRDefault="008945D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2009-13</w:t>
      </w:r>
      <w:r w:rsidRPr="00576ED7">
        <w:rPr>
          <w:szCs w:val="24"/>
        </w:rPr>
        <w:t>, 2009-21 I.R.B. 1029</w:t>
      </w:r>
      <w:r w:rsidRPr="00576ED7">
        <w:rPr>
          <w:szCs w:val="24"/>
        </w:rPr>
        <w:fldChar w:fldCharType="begin"/>
      </w:r>
      <w:r w:rsidRPr="00576ED7">
        <w:rPr>
          <w:szCs w:val="24"/>
        </w:rPr>
        <w:instrText xml:space="preserve"> TC \l3 "Rev. Rul. 2009-13, 2009-21 I.R.B. 1029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is the amount and character of A’s income recognized upon the surrender or </w:t>
      </w:r>
      <w:r w:rsidRPr="00576ED7">
        <w:rPr>
          <w:szCs w:val="24"/>
        </w:rPr>
        <w:lastRenderedPageBreak/>
        <w:t>sale of the life insurance contracts described in the situations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January 1 of Year 1, A, an individual, entered into a “life insurance contract” (as defined in § 7702 ...) with cash value.  Under the contract, A was the insured, and the named beneficiary was a member of A’s family.  A had the right to change the beneficiary, take out a policy loan, or surrender the contract for its cash surrender value.  The contract in A’s hands was ... [a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June 15 of Year 8, A surrendered the contract for its $78,000 cash surrender value, which reflected the subtraction of $10,000 of “cost-of-insurance” charges collected by the issuer for periods ending on or before the surrender of the co</w:t>
      </w:r>
      <w:r w:rsidRPr="00576ED7">
        <w:rPr>
          <w:szCs w:val="24"/>
        </w:rPr>
        <w:t>n</w:t>
      </w:r>
      <w:r w:rsidRPr="00576ED7">
        <w:rPr>
          <w:szCs w:val="24"/>
        </w:rPr>
        <w:t>tract.  Through that date, A had paid premiums totaling $64,000 with regard to the life insurance contract.  A had neither received any distributions under the co</w:t>
      </w:r>
      <w:r w:rsidRPr="00576ED7">
        <w:rPr>
          <w:szCs w:val="24"/>
        </w:rPr>
        <w:t>n</w:t>
      </w:r>
      <w:r w:rsidRPr="00576ED7">
        <w:rPr>
          <w:szCs w:val="24"/>
        </w:rPr>
        <w:t>tract nor borrowed against the contract’s cash surrender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are the same as in Situation 1, except that on June 15 of Year 8, A sold the life insurance contract for $80,000 to B, a person unrelated to A and who would suffer no economic loss upon A’s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Amount of income recognized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If a non-annuity amount is received ... on the complete surrender, redemption, or maturity of the contract, § 72(e)(5)(A) requires that the amount be included in gross income but only to the extent it exceeds investment in the contract.  For this purpose, § 72(e)(6) defines “investment in the contract” as of any date as the a</w:t>
      </w:r>
      <w:r w:rsidRPr="00576ED7">
        <w:rPr>
          <w:szCs w:val="24"/>
        </w:rPr>
        <w:t>g</w:t>
      </w:r>
      <w:r w:rsidRPr="00576ED7">
        <w:rPr>
          <w:szCs w:val="24"/>
        </w:rPr>
        <w:t>gregate amount of premiums or other consideration paid for the contract before that date, less the aggregate amount received under the contract before that date to the extent that amount was excludable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1, A received $78,000 on the complete surrender of a life insurance contract.  A’s income upon surrender of the contract is determined under § 72(e)(5).  Under § 72(e)(5)(A), the amount received is included in gross income to the extent it exceeds the investment in the contract.  As A paid aggregate pr</w:t>
      </w:r>
      <w:r w:rsidRPr="00576ED7">
        <w:rPr>
          <w:szCs w:val="24"/>
        </w:rPr>
        <w:t>e</w:t>
      </w:r>
      <w:r w:rsidRPr="00576ED7">
        <w:rPr>
          <w:szCs w:val="24"/>
        </w:rPr>
        <w:t>miums of $64,000 with regard to the contract, and neither received any distrib</w:t>
      </w:r>
      <w:r w:rsidRPr="00576ED7">
        <w:rPr>
          <w:szCs w:val="24"/>
        </w:rPr>
        <w:t>u</w:t>
      </w:r>
      <w:r w:rsidRPr="00576ED7">
        <w:rPr>
          <w:szCs w:val="24"/>
        </w:rPr>
        <w:t>tions under the contract nor borrowed against the contract’s cash surrender value prior to surrender, A’s “investment in the contract” as required by § 72(e)(6) was $64,000.  Consequently, pursuant to § 72(e)(5)(A), A recognized $14,000 of i</w:t>
      </w:r>
      <w:r w:rsidRPr="00576ED7">
        <w:rPr>
          <w:szCs w:val="24"/>
        </w:rPr>
        <w:t>n</w:t>
      </w:r>
      <w:r w:rsidRPr="00576ED7">
        <w:rPr>
          <w:szCs w:val="24"/>
        </w:rPr>
        <w:t>come on surrender of the contract, which is the excess of $78,000 received over $64,000.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gain is ordinary income.]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61(a)(3) provides that gross income includes gains derived from dealings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provides that the gain realized from the sale or other disposition of property is the excess of the amount realized over the adjusted basis provided in § 1011 for determining gain.  Thus, to determine the amount of A’s income from the sale of the life insurance contract in Situation 2, it is necessary to dete</w:t>
      </w:r>
      <w:r w:rsidRPr="00576ED7">
        <w:rPr>
          <w:szCs w:val="24"/>
        </w:rPr>
        <w:t>r</w:t>
      </w:r>
      <w:r w:rsidRPr="00576ED7">
        <w:rPr>
          <w:szCs w:val="24"/>
        </w:rPr>
        <w:t>mine A’s amount realized from the sale, and A’s adjusted basis in the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 1001(b), A’s amount realized from the sale of the life insurance contract is the sum of money received from the sale, or $80,000.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Under §§ 1011 and 1012, the adjusted basis for determining gain or loss is gene</w:t>
      </w:r>
      <w:r w:rsidRPr="00576ED7">
        <w:rPr>
          <w:szCs w:val="24"/>
        </w:rPr>
        <w:t>r</w:t>
      </w:r>
      <w:r w:rsidRPr="00576ED7">
        <w:rPr>
          <w:szCs w:val="24"/>
        </w:rPr>
        <w:t xml:space="preserve">ally the cost of the property adjusted as provided in § 1016 ... Under § 1016(a)(1), </w:t>
      </w:r>
      <w:r w:rsidRPr="00576ED7">
        <w:rPr>
          <w:szCs w:val="24"/>
        </w:rPr>
        <w:lastRenderedPageBreak/>
        <w:t xml:space="preserve">proper adjustment must be made for expenditures, receipts, losses, or other items properly chargeable to capital account.  </w:t>
      </w:r>
      <w:r w:rsidRPr="00576ED7">
        <w:rPr>
          <w:i/>
          <w:szCs w:val="24"/>
        </w:rPr>
        <w:t>See also</w:t>
      </w:r>
      <w:r w:rsidRPr="00576ED7">
        <w:rPr>
          <w:szCs w:val="24"/>
        </w:rPr>
        <w:t xml:space="preserve"> Reg. § 1.1016-2(a).  Section 72 has no bearing on the determination of the basis of a life insurance contract that is sold, because § 72 applies only to amounts received under the contract.</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Both the Code and the courts acknowledge that a life insurance contract, although a single asset, may have both investment characteristics and insurance characteri</w:t>
      </w:r>
      <w:r w:rsidRPr="00576ED7">
        <w:rPr>
          <w:szCs w:val="24"/>
        </w:rPr>
        <w:t>s</w:t>
      </w:r>
      <w:r w:rsidRPr="00576ED7">
        <w:rPr>
          <w:szCs w:val="24"/>
        </w:rPr>
        <w:t xml:space="preserve">tics.  </w:t>
      </w:r>
      <w:r w:rsidRPr="00576ED7">
        <w:rPr>
          <w:i/>
          <w:szCs w:val="24"/>
        </w:rPr>
        <w:t>See, e.g.</w:t>
      </w:r>
      <w:r w:rsidRPr="00576ED7">
        <w:rPr>
          <w:szCs w:val="24"/>
        </w:rPr>
        <w:t>, § 7702 (defining life insurance contract for federal income tax pu</w:t>
      </w:r>
      <w:r w:rsidRPr="00576ED7">
        <w:rPr>
          <w:szCs w:val="24"/>
        </w:rPr>
        <w:t>r</w:t>
      </w:r>
      <w:r w:rsidRPr="00576ED7">
        <w:rPr>
          <w:szCs w:val="24"/>
        </w:rPr>
        <w:t>poses by reference, in part, to both the cash surrender value and death benefits under the contract); [citations omitted].  To measure a taxpayer’s gain upon the sale of a life insurance contract, it is necessary to reduce basis by that portion of the premium paid for the contract that was expended for the provision of insu</w:t>
      </w:r>
      <w:r w:rsidRPr="00576ED7">
        <w:rPr>
          <w:szCs w:val="24"/>
        </w:rPr>
        <w:t>r</w:t>
      </w:r>
      <w:r w:rsidRPr="00576ED7">
        <w:rPr>
          <w:szCs w:val="24"/>
        </w:rPr>
        <w:t>ance before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A paid total premiums of $64,000 under the life insurance contract through the date of sale, and $10,000 was subtracted from the contract’s cash su</w:t>
      </w:r>
      <w:r w:rsidRPr="00576ED7">
        <w:rPr>
          <w:szCs w:val="24"/>
        </w:rPr>
        <w:t>r</w:t>
      </w:r>
      <w:r w:rsidRPr="00576ED7">
        <w:rPr>
          <w:szCs w:val="24"/>
        </w:rPr>
        <w:t>render value as cost-of-insurance charges.  Accordingly, A’s adjusted basis in the contract as of the date of sale under §§ 1011 and 1012 and the authorities cited above was $54,000 ($64,000 premiums paid less $10,000 expended as cost of i</w:t>
      </w:r>
      <w:r w:rsidRPr="00576ED7">
        <w:rPr>
          <w:szCs w:val="24"/>
        </w:rPr>
        <w:t>n</w:t>
      </w:r>
      <w:r w:rsidRPr="00576ED7">
        <w:rPr>
          <w:szCs w:val="24"/>
        </w:rPr>
        <w:t>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A must recognize $26,000 on the sale of the life insurance contract to B, which is the excess of the amount realized on the sale ($80,000) over A’s adjusted basis of the contract ($54,000).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Unlike Situation 1, which involves the surrender of the life insurance contract to the issuer of the contract, Situation 2 involves an actual sale of the contract.  Ne</w:t>
      </w:r>
      <w:r w:rsidRPr="00576ED7">
        <w:rPr>
          <w:szCs w:val="24"/>
        </w:rPr>
        <w:t>v</w:t>
      </w:r>
      <w:r w:rsidRPr="00576ED7">
        <w:rPr>
          <w:szCs w:val="24"/>
        </w:rPr>
        <w:t>ertheless some or all of the gain on the sale of the contract may be ordinary if the substitute for ordinary income doctrine applies.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Application of the “substitute for ordinary income” doctrine is limited to the amount that would be recognized as ordinary income if the contract were surre</w:t>
      </w:r>
      <w:r w:rsidRPr="00576ED7">
        <w:rPr>
          <w:szCs w:val="24"/>
        </w:rPr>
        <w:t>n</w:t>
      </w:r>
      <w:r w:rsidRPr="00576ED7">
        <w:rPr>
          <w:szCs w:val="24"/>
        </w:rPr>
        <w:t>dered (i.e., to the inside build-up under the contract).  Hence, if the income reco</w:t>
      </w:r>
      <w:r w:rsidRPr="00576ED7">
        <w:rPr>
          <w:szCs w:val="24"/>
        </w:rPr>
        <w:t>g</w:t>
      </w:r>
      <w:r w:rsidRPr="00576ED7">
        <w:rPr>
          <w:szCs w:val="24"/>
        </w:rPr>
        <w:t>nized on the sale or exchange of a life insurance contract exceeds the “inside build-up” under the contract, the excess may qualify as gain from the sale or e</w:t>
      </w:r>
      <w:r w:rsidRPr="00576ED7">
        <w:rPr>
          <w:szCs w:val="24"/>
        </w:rPr>
        <w:t>x</w:t>
      </w:r>
      <w:r w:rsidRPr="00576ED7">
        <w:rPr>
          <w:szCs w:val="24"/>
        </w:rPr>
        <w:lastRenderedPageBreak/>
        <w:t xml:space="preserve">change of a capital asset.  </w:t>
      </w:r>
      <w:r w:rsidRPr="00576ED7">
        <w:rPr>
          <w:i/>
          <w:szCs w:val="24"/>
        </w:rPr>
        <w:t>See, e.g.</w:t>
      </w:r>
      <w:r w:rsidRPr="00576ED7">
        <w:rPr>
          <w:szCs w:val="24"/>
        </w:rPr>
        <w:t xml:space="preserve">, </w:t>
      </w:r>
      <w:r w:rsidRPr="00576ED7">
        <w:rPr>
          <w:i/>
          <w:szCs w:val="24"/>
        </w:rPr>
        <w:t>Commissioner v. Phillips</w:t>
      </w:r>
      <w:r w:rsidR="00322F11" w:rsidRPr="00576ED7">
        <w:rPr>
          <w:szCs w:val="24"/>
        </w:rPr>
        <w:t>, 275 F.2d 33, 36 n.</w:t>
      </w:r>
      <w:r w:rsidRPr="00576ED7">
        <w:rPr>
          <w:szCs w:val="24"/>
        </w:rPr>
        <w:t>3 (4th Cir.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the inside build-up under A’s life insurance contract immediately prior to the sale to B was $ 14,000 ($78,000 cash surrender value less $64,000 aggregate premiums paid).  Hence, $14,000 of the $26,000 of income that A must recognize on the sale of the contract is ordinary income under the “substitute for ordinary income” doctrine.  Because the life insurance contract in A’s hands was ... [a capital asset] and was held by A for more than one year, the remaining $12,000 of income is long-term capital gain within the meaning of § 1222(3).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HOLDINGS</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1.  In Situation 1, A must recognize $14,000 of ordinary income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 must recognize $26,000 of income upon sale of the life insu</w:t>
      </w:r>
      <w:r w:rsidRPr="00576ED7">
        <w:rPr>
          <w:szCs w:val="24"/>
        </w:rPr>
        <w:t>r</w:t>
      </w:r>
      <w:r w:rsidRPr="00576ED7">
        <w:rPr>
          <w:szCs w:val="24"/>
        </w:rPr>
        <w:t>ance contract.  Of this $26,000 of income, $14,000 is ordinary income, and $12,000 is long-term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the case of </w:t>
      </w:r>
      <w:r w:rsidRPr="00576ED7">
        <w:rPr>
          <w:i/>
          <w:szCs w:val="24"/>
        </w:rPr>
        <w:t>surrender</w:t>
      </w:r>
      <w:r w:rsidRPr="00576ED7">
        <w:rPr>
          <w:szCs w:val="24"/>
        </w:rPr>
        <w:t xml:space="preserve"> of a life insurance policy, inside buildup that (helps to) pay future premiums is </w:t>
      </w:r>
      <w:r w:rsidRPr="00576ED7">
        <w:rPr>
          <w:i/>
          <w:szCs w:val="24"/>
        </w:rPr>
        <w:t>not</w:t>
      </w:r>
      <w:r w:rsidRPr="00576ED7">
        <w:rPr>
          <w:szCs w:val="24"/>
        </w:rPr>
        <w:t xml:space="preserve"> subject to tax.  In the case of a </w:t>
      </w:r>
      <w:r w:rsidRPr="00576ED7">
        <w:rPr>
          <w:i/>
          <w:szCs w:val="24"/>
        </w:rPr>
        <w:t>sale</w:t>
      </w:r>
      <w:r w:rsidRPr="00576ED7">
        <w:rPr>
          <w:szCs w:val="24"/>
        </w:rPr>
        <w:t xml:space="preserve"> of an insurance policy, inside buildup that (helps to) pay future premiums </w:t>
      </w:r>
      <w:r w:rsidRPr="00576ED7">
        <w:rPr>
          <w:i/>
          <w:szCs w:val="24"/>
        </w:rPr>
        <w:t>is</w:t>
      </w:r>
      <w:r w:rsidRPr="00576ED7">
        <w:rPr>
          <w:szCs w:val="24"/>
        </w:rPr>
        <w:t xml:space="preserve"> subject to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assume that the face amount of the policy was $400,000.  B paid $80,000 for the policy plus another $500 per month in premiums for another six years. A died.  B received $400,000 from the life insurance company.  How much must B include in his/her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Section 72 governs the tax treatment of payouts from an annuity contract.  Se</w:t>
      </w:r>
      <w:r w:rsidRPr="00576ED7">
        <w:rPr>
          <w:szCs w:val="24"/>
        </w:rPr>
        <w:t>c</w:t>
      </w:r>
      <w:r w:rsidRPr="00576ED7">
        <w:rPr>
          <w:szCs w:val="24"/>
        </w:rPr>
        <w:t>tion 72(a)(1) provides that gross income includes “any amount received as an a</w:t>
      </w:r>
      <w:r w:rsidRPr="00576ED7">
        <w:rPr>
          <w:szCs w:val="24"/>
        </w:rPr>
        <w:t>n</w:t>
      </w:r>
      <w:r w:rsidRPr="00576ED7">
        <w:rPr>
          <w:szCs w:val="24"/>
        </w:rPr>
        <w:lastRenderedPageBreak/>
        <w:t>nuity ... under an annuity, endowment, or life insurance contract.”</w:t>
      </w:r>
    </w:p>
    <w:p w:rsidR="0049128E" w:rsidRDefault="0049128E" w:rsidP="00A6585D">
      <w:pPr>
        <w:widowControl w:val="0"/>
        <w:ind w:left="720"/>
        <w:jc w:val="both"/>
        <w:rPr>
          <w:szCs w:val="24"/>
        </w:rPr>
      </w:pPr>
      <w:r w:rsidRPr="00576ED7">
        <w:rPr>
          <w:szCs w:val="24"/>
        </w:rPr>
        <w:t>•Thus, annuity treatment can only apply to payments made under the named type of contracts.</w:t>
      </w:r>
    </w:p>
    <w:p w:rsidR="0071310C" w:rsidRPr="00576ED7" w:rsidRDefault="0071310C" w:rsidP="0071310C">
      <w:pPr>
        <w:widowControl w:val="0"/>
        <w:ind w:left="720"/>
        <w:jc w:val="both"/>
        <w:rPr>
          <w:szCs w:val="24"/>
        </w:rPr>
      </w:pPr>
      <w:r>
        <w:rPr>
          <w:szCs w:val="24"/>
        </w:rPr>
        <w:t>•</w:t>
      </w:r>
      <w:r w:rsidRPr="00576ED7">
        <w:rPr>
          <w:szCs w:val="24"/>
        </w:rPr>
        <w:t>A taxpayer may invest after-tax dollars in an annuity contract.  As with life insurance contracts, the inside buildup of an annuity contract is not subject to income tax.  At a certain point in time, the taxpayer begins to receive a stream of payments from the investment and the income that the annuity has accumulated. [You should see immediately that taxpayer will be receiving some of his/her own after-tax money and some not-yet-taxed investment income.]  There may be a fixed number of payments or the stream of payments may terminate only on the death of the taxpayer.  Se</w:t>
      </w:r>
      <w:r w:rsidRPr="00576ED7">
        <w:rPr>
          <w:szCs w:val="24"/>
        </w:rPr>
        <w:t>c</w:t>
      </w:r>
      <w:r w:rsidRPr="00576ED7">
        <w:rPr>
          <w:szCs w:val="24"/>
        </w:rPr>
        <w:t>tion 72 allocates a portion of each payment to taxpayer’s recovery of basis and a portion to not-yet-taxed inside buildup.</w:t>
      </w:r>
    </w:p>
    <w:p w:rsidR="0071310C" w:rsidRPr="00576ED7" w:rsidRDefault="0071310C" w:rsidP="0071310C">
      <w:pPr>
        <w:widowControl w:val="0"/>
        <w:ind w:left="720"/>
        <w:jc w:val="both"/>
        <w:rPr>
          <w:szCs w:val="24"/>
        </w:rPr>
      </w:pPr>
      <w:r w:rsidRPr="00576ED7">
        <w:rPr>
          <w:szCs w:val="24"/>
        </w:rPr>
        <w:t>•Section 72(c)(1) defines taxpayer’s “investment in the contract.”</w:t>
      </w:r>
    </w:p>
    <w:p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w:t>
      </w:r>
      <w:r w:rsidRPr="00576ED7">
        <w:rPr>
          <w:szCs w:val="24"/>
        </w:rPr>
        <w:t>n</w:t>
      </w:r>
      <w:r w:rsidRPr="00576ED7">
        <w:rPr>
          <w:szCs w:val="24"/>
        </w:rPr>
        <w:t>tract[.]”</w:t>
      </w:r>
    </w:p>
    <w:p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rsidR="0071310C" w:rsidRPr="00576ED7" w:rsidRDefault="0071310C" w:rsidP="0071310C">
      <w:pPr>
        <w:widowControl w:val="0"/>
        <w:ind w:left="720"/>
        <w:jc w:val="both"/>
        <w:rPr>
          <w:szCs w:val="24"/>
        </w:rPr>
      </w:pPr>
      <w:r w:rsidRPr="00576ED7">
        <w:rPr>
          <w:szCs w:val="24"/>
        </w:rPr>
        <w:t>•Section 72(b)(1) excepts from “amounts received as an annuity” a pro-rated amount of taxpayer’s basis in the contract.  This requires a determ</w:t>
      </w:r>
      <w:r w:rsidRPr="00576ED7">
        <w:rPr>
          <w:szCs w:val="24"/>
        </w:rPr>
        <w:t>i</w:t>
      </w:r>
      <w:r w:rsidRPr="00576ED7">
        <w:rPr>
          <w:szCs w:val="24"/>
        </w:rPr>
        <w:t>nation of taxpayer’s “expected return under the contract.”</w:t>
      </w:r>
    </w:p>
    <w:p w:rsidR="0071310C" w:rsidRPr="00576ED7" w:rsidRDefault="0071310C" w:rsidP="0071310C">
      <w:pPr>
        <w:widowControl w:val="0"/>
        <w:ind w:left="720"/>
        <w:jc w:val="both"/>
        <w:rPr>
          <w:szCs w:val="24"/>
        </w:rPr>
      </w:pPr>
      <w:r w:rsidRPr="00576ED7">
        <w:rPr>
          <w:szCs w:val="24"/>
        </w:rPr>
        <w:t xml:space="preserve">•If the “expected return” depends on the life expectancy of one or more individuals, taxpayer determines the “expected return” in accordance with actuarial tables that the Secretary of the Treasury has prescribed.  These tables are in the regulations, </w:t>
      </w:r>
      <w:r w:rsidRPr="00576ED7">
        <w:rPr>
          <w:i/>
          <w:szCs w:val="24"/>
        </w:rPr>
        <w:t>see</w:t>
      </w:r>
      <w:r w:rsidRPr="00576ED7">
        <w:rPr>
          <w:szCs w:val="24"/>
        </w:rPr>
        <w:t xml:space="preserve"> Reg. § 1.72-9.</w:t>
      </w:r>
    </w:p>
    <w:p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  This product is the “expected return.”</w:t>
      </w:r>
    </w:p>
    <w:p w:rsidR="0071310C" w:rsidRPr="00576ED7" w:rsidRDefault="0071310C" w:rsidP="0071310C">
      <w:pPr>
        <w:widowControl w:val="0"/>
        <w:ind w:left="1440"/>
        <w:jc w:val="both"/>
        <w:rPr>
          <w:szCs w:val="24"/>
        </w:rPr>
      </w:pPr>
      <w:r w:rsidRPr="00576ED7">
        <w:rPr>
          <w:szCs w:val="24"/>
        </w:rPr>
        <w:t>•Divide the taxpayer’s investment in the contract by the “expected return.”  Taxpayer multiplies this product by “any amount received as an annuity” to determine the amount that s/he excludes from gross income.</w:t>
      </w:r>
    </w:p>
    <w:p w:rsidR="0071310C" w:rsidRPr="00576ED7"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Once taxpayer has excluded his/her investment in the annuity contract from his/her gross i</w:t>
      </w:r>
      <w:r w:rsidRPr="00576ED7">
        <w:rPr>
          <w:szCs w:val="24"/>
        </w:rPr>
        <w:t>n</w:t>
      </w:r>
      <w:r w:rsidRPr="00576ED7">
        <w:rPr>
          <w:szCs w:val="24"/>
        </w:rPr>
        <w:t>come, taxpayer may no longer exclude any “amount received as an annu</w:t>
      </w:r>
      <w:r w:rsidRPr="00576ED7">
        <w:rPr>
          <w:szCs w:val="24"/>
        </w:rPr>
        <w:t>i</w:t>
      </w:r>
      <w:r w:rsidRPr="00576ED7">
        <w:rPr>
          <w:szCs w:val="24"/>
        </w:rPr>
        <w:t>ty” from his/her gross income.  § 72(b)(2).</w:t>
      </w:r>
    </w:p>
    <w:p w:rsidR="0071310C" w:rsidRPr="00576ED7" w:rsidRDefault="0071310C" w:rsidP="0071310C">
      <w:pPr>
        <w:widowControl w:val="0"/>
        <w:ind w:left="720"/>
        <w:jc w:val="both"/>
        <w:rPr>
          <w:szCs w:val="24"/>
        </w:rPr>
      </w:pPr>
      <w:r>
        <w:rPr>
          <w:i/>
          <w:szCs w:val="24"/>
        </w:rPr>
        <w:t>•</w:t>
      </w:r>
      <w:r w:rsidRPr="00576ED7">
        <w:rPr>
          <w:i/>
          <w:szCs w:val="24"/>
        </w:rPr>
        <w:t>If taxpayer dies before the actuaries predicted s/he would ...</w:t>
      </w:r>
      <w:r w:rsidRPr="00576ED7">
        <w:rPr>
          <w:szCs w:val="24"/>
        </w:rPr>
        <w:t xml:space="preserve">: On the other hand, should payments cease because taxpayer died prior to recovery of </w:t>
      </w:r>
      <w:r w:rsidRPr="00576ED7">
        <w:rPr>
          <w:szCs w:val="24"/>
        </w:rPr>
        <w:lastRenderedPageBreak/>
        <w:t>taxpayer’s investment in the contract, taxpayer may deduct the amount of the unrecovered investment for his/her last taxable year.  § 72(b)(3)(A).</w:t>
      </w:r>
    </w:p>
    <w:p w:rsidR="0071310C" w:rsidRPr="00576ED7" w:rsidRDefault="0071310C" w:rsidP="0071310C">
      <w:pPr>
        <w:widowControl w:val="0"/>
        <w:jc w:val="both"/>
        <w:rPr>
          <w:szCs w:val="24"/>
        </w:rPr>
      </w:pPr>
    </w:p>
    <w:p w:rsidR="0049128E" w:rsidRPr="00576ED7" w:rsidRDefault="00207C1C" w:rsidP="00A6585D">
      <w:pPr>
        <w:widowControl w:val="0"/>
        <w:jc w:val="both"/>
        <w:rPr>
          <w:szCs w:val="24"/>
        </w:rPr>
      </w:pPr>
      <w:r>
        <w:rPr>
          <w:szCs w:val="24"/>
        </w:rPr>
        <w:t>4</w:t>
      </w:r>
      <w:r w:rsidR="0071310C">
        <w:rPr>
          <w:szCs w:val="24"/>
        </w:rPr>
        <w:t>. S</w:t>
      </w:r>
      <w:r w:rsidR="0049128E" w:rsidRPr="00576ED7">
        <w:rPr>
          <w:szCs w:val="24"/>
        </w:rPr>
        <w:t>ection 72(e) states rules applicable to amounts received under an annuity, e</w:t>
      </w:r>
      <w:r w:rsidR="0049128E" w:rsidRPr="00576ED7">
        <w:rPr>
          <w:szCs w:val="24"/>
        </w:rPr>
        <w:t>n</w:t>
      </w:r>
      <w:r w:rsidR="0049128E" w:rsidRPr="00576ED7">
        <w:rPr>
          <w:szCs w:val="24"/>
        </w:rPr>
        <w:t xml:space="preserve">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w:t>
      </w:r>
      <w:r w:rsidR="0049128E" w:rsidRPr="00576ED7">
        <w:rPr>
          <w:szCs w:val="24"/>
        </w:rPr>
        <w:t>h</w:t>
      </w:r>
      <w:r w:rsidR="0049128E" w:rsidRPr="00576ED7">
        <w:rPr>
          <w:szCs w:val="24"/>
        </w:rPr>
        <w:t>er provision of this subtitle is applicable.  § 72(e)(1).</w:t>
      </w:r>
    </w:p>
    <w:p w:rsidR="0049128E" w:rsidRPr="00576ED7" w:rsidRDefault="0049128E" w:rsidP="00A6585D">
      <w:pPr>
        <w:widowControl w:val="0"/>
        <w:ind w:left="720"/>
        <w:jc w:val="both"/>
        <w:rPr>
          <w:szCs w:val="24"/>
        </w:rPr>
      </w:pPr>
      <w:r w:rsidRPr="00576ED7">
        <w:rPr>
          <w:szCs w:val="24"/>
        </w:rPr>
        <w:t>•Section 1001 is a provision of “this subtitle.”</w:t>
      </w:r>
    </w:p>
    <w:p w:rsidR="0049128E" w:rsidRPr="00576ED7" w:rsidRDefault="0049128E" w:rsidP="00A6585D">
      <w:pPr>
        <w:widowControl w:val="0"/>
        <w:ind w:left="1440"/>
        <w:jc w:val="both"/>
        <w:rPr>
          <w:szCs w:val="24"/>
        </w:rPr>
      </w:pPr>
      <w:r w:rsidRPr="00576ED7">
        <w:rPr>
          <w:szCs w:val="24"/>
        </w:rPr>
        <w:t>•In Situation 2, no payments were made under the contract.  I</w:t>
      </w:r>
      <w:r w:rsidRPr="00576ED7">
        <w:rPr>
          <w:szCs w:val="24"/>
        </w:rPr>
        <w:t>n</w:t>
      </w:r>
      <w:r w:rsidRPr="00576ED7">
        <w:rPr>
          <w:szCs w:val="24"/>
        </w:rPr>
        <w:t>stead, a third party bought the contract.  For that reason, § 72(e)(1) did not apply.  Instead, the ruling requires treatment of the sale as any other sale of property with adjustments to basis for prior e</w:t>
      </w:r>
      <w:r w:rsidRPr="00576ED7">
        <w:rPr>
          <w:szCs w:val="24"/>
        </w:rPr>
        <w:t>x</w:t>
      </w:r>
      <w:r w:rsidRPr="00576ED7">
        <w:rPr>
          <w:szCs w:val="24"/>
        </w:rPr>
        <w:t>penditures on life insurance.</w:t>
      </w:r>
    </w:p>
    <w:p w:rsidR="0049128E" w:rsidRPr="00576ED7" w:rsidRDefault="0049128E" w:rsidP="00A6585D">
      <w:pPr>
        <w:widowControl w:val="0"/>
        <w:ind w:left="720"/>
        <w:jc w:val="both"/>
        <w:rPr>
          <w:szCs w:val="24"/>
        </w:rPr>
      </w:pPr>
      <w:r w:rsidRPr="00576ED7">
        <w:rPr>
          <w:szCs w:val="24"/>
        </w:rPr>
        <w:t>•Section 72(e)(5)(C) provides that § 72(e)(1) applies to amounts not r</w:t>
      </w:r>
      <w:r w:rsidRPr="00576ED7">
        <w:rPr>
          <w:szCs w:val="24"/>
        </w:rPr>
        <w:t>e</w:t>
      </w:r>
      <w:r w:rsidRPr="00576ED7">
        <w:rPr>
          <w:szCs w:val="24"/>
        </w:rPr>
        <w:t xml:space="preserve">ceived as an annuity under a life insurance or endowment contract. </w:t>
      </w:r>
    </w:p>
    <w:p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rsidR="0049128E" w:rsidRPr="00576ED7" w:rsidRDefault="0049128E" w:rsidP="00A6585D">
      <w:pPr>
        <w:widowControl w:val="0"/>
        <w:ind w:left="1440"/>
        <w:jc w:val="both"/>
        <w:rPr>
          <w:szCs w:val="24"/>
        </w:rPr>
      </w:pPr>
      <w:r w:rsidRPr="00576ED7">
        <w:rPr>
          <w:szCs w:val="24"/>
        </w:rPr>
        <w:t>•Section 72(e)(1) provides that the amount taxpayer must include in his/her gross income is the amount of the payment “to the extent it exceeds the investment in the contract.”  Section 72(e)(6) defines “investment in the contract” to include the aggregate of premiums or other consideration paid for the contract minus any amounts previously received that taxpayer excluded from his/her gross i</w:t>
      </w:r>
      <w:r w:rsidRPr="00576ED7">
        <w:rPr>
          <w:szCs w:val="24"/>
        </w:rPr>
        <w:t>n</w:t>
      </w:r>
      <w:r w:rsidRPr="00576ED7">
        <w:rPr>
          <w:szCs w:val="24"/>
        </w:rPr>
        <w:t>come.</w:t>
      </w:r>
    </w:p>
    <w:p w:rsidR="0049128E" w:rsidRPr="00576ED7" w:rsidRDefault="0049128E" w:rsidP="00A6585D">
      <w:pPr>
        <w:widowControl w:val="0"/>
        <w:ind w:left="1440"/>
        <w:jc w:val="both"/>
        <w:rPr>
          <w:szCs w:val="24"/>
        </w:rPr>
      </w:pPr>
      <w:r w:rsidRPr="00576ED7">
        <w:rPr>
          <w:szCs w:val="24"/>
        </w:rPr>
        <w:t>•It is because of § 72(e)(5) that Situations 1 and 2 are resolved di</w:t>
      </w:r>
      <w:r w:rsidRPr="00576ED7">
        <w:rPr>
          <w:szCs w:val="24"/>
        </w:rPr>
        <w:t>f</w:t>
      </w:r>
      <w:r w:rsidRPr="00576ED7">
        <w:rPr>
          <w:szCs w:val="24"/>
        </w:rPr>
        <w:t>ferently.</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5</w:t>
      </w:r>
      <w:r w:rsidR="0049128E" w:rsidRPr="00576ED7">
        <w:rPr>
          <w:szCs w:val="24"/>
        </w:rPr>
        <w:t>.  Section 101(g): Amounts that a “terminally ill” or “chronically ill” person r</w:t>
      </w:r>
      <w:r w:rsidR="0049128E" w:rsidRPr="00576ED7">
        <w:rPr>
          <w:szCs w:val="24"/>
        </w:rPr>
        <w:t>e</w:t>
      </w:r>
      <w:r w:rsidR="0049128E" w:rsidRPr="00576ED7">
        <w:rPr>
          <w:szCs w:val="24"/>
        </w:rPr>
        <w:t>ceives under a life insurance contract may qualify for exclusion under § 101(a)(1).  The same is true of the “amount realized” on the sale of a life insurance policy to a “viatical settlement provider.”  § 101(g)(2).</w:t>
      </w:r>
    </w:p>
    <w:p w:rsidR="0049128E" w:rsidRPr="00576ED7" w:rsidRDefault="0049128E" w:rsidP="00A6585D">
      <w:pPr>
        <w:widowControl w:val="0"/>
        <w:ind w:left="720"/>
        <w:jc w:val="both"/>
        <w:rPr>
          <w:szCs w:val="24"/>
        </w:rPr>
      </w:pPr>
      <w:r w:rsidRPr="00576ED7">
        <w:rPr>
          <w:szCs w:val="24"/>
        </w:rPr>
        <w:t>•A “terminally ill” taxpayer is one who is certified by a physician as ha</w:t>
      </w:r>
      <w:r w:rsidRPr="00576ED7">
        <w:rPr>
          <w:szCs w:val="24"/>
        </w:rPr>
        <w:t>v</w:t>
      </w:r>
      <w:r w:rsidRPr="00576ED7">
        <w:rPr>
          <w:szCs w:val="24"/>
        </w:rPr>
        <w:t>ing “an illness or physical condition which can reasonably be expected to result in death in 24 months or less after the date of the certification.”  § 101(g)(4)(A).</w:t>
      </w:r>
    </w:p>
    <w:p w:rsidR="0049128E" w:rsidRPr="00576ED7" w:rsidRDefault="0049128E" w:rsidP="00A6585D">
      <w:pPr>
        <w:widowControl w:val="0"/>
        <w:ind w:left="720"/>
        <w:jc w:val="both"/>
        <w:rPr>
          <w:szCs w:val="24"/>
        </w:rPr>
      </w:pPr>
      <w:r w:rsidRPr="00576ED7">
        <w:rPr>
          <w:szCs w:val="24"/>
        </w:rPr>
        <w:t>•A “chronically ill” taxpayer is one who is not “terminally ill” and is un</w:t>
      </w:r>
      <w:r w:rsidRPr="00576ED7">
        <w:rPr>
          <w:szCs w:val="24"/>
        </w:rPr>
        <w:t>a</w:t>
      </w:r>
      <w:r w:rsidRPr="00576ED7">
        <w:rPr>
          <w:szCs w:val="24"/>
        </w:rPr>
        <w:t>ble to perform at least two activities of daily living (i.e., eating, toileting, transferring, bathing, dressing, and continence) or requires substantial s</w:t>
      </w:r>
      <w:r w:rsidRPr="00576ED7">
        <w:rPr>
          <w:szCs w:val="24"/>
        </w:rPr>
        <w:t>u</w:t>
      </w:r>
      <w:r w:rsidRPr="00576ED7">
        <w:rPr>
          <w:szCs w:val="24"/>
        </w:rPr>
        <w:t xml:space="preserve">pervision to protect himself/herself “from threats to health and safety due to severe cognitive impairment.”  § 101(g)(4)(B), referencing § </w:t>
      </w:r>
      <w:r w:rsidRPr="00576ED7">
        <w:rPr>
          <w:szCs w:val="24"/>
        </w:rPr>
        <w:lastRenderedPageBreak/>
        <w:t>7702B(c)(2).</w:t>
      </w:r>
    </w:p>
    <w:p w:rsidR="0049128E" w:rsidRPr="00576ED7" w:rsidRDefault="0049128E" w:rsidP="00A6585D">
      <w:pPr>
        <w:widowControl w:val="0"/>
        <w:ind w:left="720"/>
        <w:jc w:val="both"/>
        <w:rPr>
          <w:szCs w:val="24"/>
        </w:rPr>
      </w:pPr>
      <w:r w:rsidRPr="00576ED7">
        <w:rPr>
          <w:szCs w:val="24"/>
        </w:rPr>
        <w:t>•A “chronically ill” taxpayer must use the payment for unreimbursed costs of long-term care.  § 101(g)(3)(A).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101(g) enables an insured taxpayer to get money out of a life insurance policy at a time when s/he has a substantial need for cash and the risk of death has nearly materialized.</w:t>
      </w:r>
    </w:p>
    <w:p w:rsidR="0049128E" w:rsidRPr="00576ED7" w:rsidRDefault="0049128E" w:rsidP="00A6585D">
      <w:pPr>
        <w:widowControl w:val="0"/>
        <w:jc w:val="both"/>
        <w:rPr>
          <w:szCs w:val="24"/>
        </w:rPr>
      </w:pPr>
    </w:p>
    <w:p w:rsidR="0049128E" w:rsidRPr="00576ED7" w:rsidRDefault="00207C1C" w:rsidP="00A6585D">
      <w:pPr>
        <w:widowControl w:val="0"/>
        <w:jc w:val="both"/>
        <w:rPr>
          <w:szCs w:val="24"/>
        </w:rPr>
      </w:pPr>
      <w:r>
        <w:rPr>
          <w:szCs w:val="24"/>
        </w:rPr>
        <w:t>6</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buildup was free of income tax.  If one of the employees died, Wal-Mart would collect the proceeds of the policy without tax.  A number of businesses engaged in this practice of purchasing “co</w:t>
      </w:r>
      <w:r w:rsidR="0049128E" w:rsidRPr="00576ED7">
        <w:rPr>
          <w:szCs w:val="24"/>
        </w:rPr>
        <w:t>r</w:t>
      </w:r>
      <w:r w:rsidR="0049128E" w:rsidRPr="00576ED7">
        <w:rPr>
          <w:szCs w:val="24"/>
        </w:rPr>
        <w:t>porate-owned life insurance” (COLI) and did not inform the affected employees that it had done this. [Michael Moore lamented that Wal-Mart did not hand the money over to the family of a deceased employee.]</w:t>
      </w:r>
    </w:p>
    <w:p w:rsidR="0049128E" w:rsidRPr="00576ED7" w:rsidRDefault="0049128E" w:rsidP="00A6585D">
      <w:pPr>
        <w:widowControl w:val="0"/>
        <w:ind w:left="720"/>
        <w:jc w:val="both"/>
        <w:rPr>
          <w:szCs w:val="24"/>
        </w:rPr>
      </w:pPr>
      <w:r w:rsidRPr="00576ED7">
        <w:rPr>
          <w:szCs w:val="24"/>
        </w:rPr>
        <w:t>•In 2006 – before release of the movie – Congress enacted § 101(j) which limited the exclusion in the case of employer-owned contracts to the amounts paid for the policy.  § 101(j)(1).</w:t>
      </w:r>
    </w:p>
    <w:p w:rsidR="0049128E" w:rsidRDefault="0049128E" w:rsidP="00A6585D">
      <w:pPr>
        <w:widowControl w:val="0"/>
        <w:ind w:left="1440"/>
        <w:jc w:val="both"/>
        <w:rPr>
          <w:szCs w:val="24"/>
        </w:rPr>
      </w:pPr>
      <w:r w:rsidRPr="00576ED7">
        <w:rPr>
          <w:szCs w:val="24"/>
        </w:rPr>
        <w:t>•There is an exception to the exception if the employee is a key employee and is notified that the employer intends to procure such insurance and the employee gives his/her consent.  § 101(g)(2 and 4).</w:t>
      </w:r>
    </w:p>
    <w:p w:rsidR="0071310C" w:rsidRPr="00576ED7" w:rsidRDefault="0071310C" w:rsidP="0071310C">
      <w:pPr>
        <w:widowControl w:val="0"/>
        <w:jc w:val="both"/>
        <w:rPr>
          <w:szCs w:val="24"/>
        </w:rPr>
      </w:pPr>
    </w:p>
    <w:p w:rsidR="0071310C" w:rsidRPr="00576ED7" w:rsidRDefault="0071310C" w:rsidP="0071310C">
      <w:pPr>
        <w:widowControl w:val="0"/>
        <w:jc w:val="both"/>
        <w:rPr>
          <w:szCs w:val="24"/>
        </w:rPr>
      </w:pPr>
      <w:r w:rsidRPr="00576ED7">
        <w:rPr>
          <w:noProof/>
          <w:szCs w:val="24"/>
        </w:rPr>
        <w:drawing>
          <wp:inline distT="0" distB="0" distL="0" distR="0" wp14:anchorId="45428FB1" wp14:editId="258F45F4">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1310C" w:rsidRPr="00576ED7" w:rsidRDefault="0071310C" w:rsidP="0071310C">
      <w:pPr>
        <w:widowControl w:val="0"/>
        <w:jc w:val="both"/>
        <w:rPr>
          <w:szCs w:val="24"/>
        </w:rPr>
      </w:pPr>
      <w:r w:rsidRPr="00576ED7">
        <w:rPr>
          <w:szCs w:val="24"/>
        </w:rPr>
        <w:t xml:space="preserve">Do the CALI Lesson, </w:t>
      </w:r>
      <w:r w:rsidRPr="00576ED7">
        <w:rPr>
          <w:i/>
          <w:szCs w:val="24"/>
        </w:rPr>
        <w:t>Basic Federal Income Taxation: Gross Income: Annuities and Life Insurance Proceeds</w:t>
      </w:r>
      <w:r w:rsidRPr="00576ED7">
        <w:rPr>
          <w:szCs w:val="24"/>
        </w:rPr>
        <w:t xml:space="preserve">.  You may have to read some portions of the Code to answer all of the questions.  That would be a good thing.  However, do not worry about the consequences of a </w:t>
      </w:r>
      <w:r w:rsidRPr="00576ED7">
        <w:rPr>
          <w:i/>
          <w:szCs w:val="24"/>
        </w:rPr>
        <w:t>tax-deferred</w:t>
      </w:r>
      <w:r w:rsidRPr="00576ED7">
        <w:rPr>
          <w:szCs w:val="24"/>
        </w:rPr>
        <w:t xml:space="preserve"> corporate reorganization.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Compensation for Injuries or Sickness: §§ 104, 105, 106</w:t>
      </w:r>
      <w:r w:rsidRPr="00576ED7">
        <w:rPr>
          <w:szCs w:val="24"/>
        </w:rPr>
        <w:fldChar w:fldCharType="begin"/>
      </w:r>
      <w:r w:rsidRPr="00576ED7">
        <w:rPr>
          <w:i/>
          <w:szCs w:val="24"/>
        </w:rPr>
        <w:instrText xml:space="preserve"> TC \l2 "B.  Compensation for Injuries or Sickness: §§ 104, 105, 106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104.  Injured persons need compensation.  Consider the precise extent to which the subsections of § 104 exclude compensation for injury.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104(a)(2) seems to compel taxpayers to search for a physical injury, much as a tort claim involving only emotional distress involves a search for a physical manifestation.  Review part IIB of CADC’s opinion in </w:t>
      </w:r>
      <w:r w:rsidRPr="00576ED7">
        <w:rPr>
          <w:i/>
          <w:szCs w:val="24"/>
        </w:rPr>
        <w:t>Murphy v. Inte</w:t>
      </w:r>
      <w:r w:rsidRPr="00576ED7">
        <w:rPr>
          <w:i/>
          <w:szCs w:val="24"/>
        </w:rPr>
        <w:t>r</w:t>
      </w:r>
      <w:r w:rsidRPr="00576ED7">
        <w:rPr>
          <w:i/>
          <w:szCs w:val="24"/>
        </w:rPr>
        <w:lastRenderedPageBreak/>
        <w:t>nal Revenue Service</w:t>
      </w:r>
      <w:r w:rsidRPr="00576ED7">
        <w:rPr>
          <w:szCs w:val="24"/>
        </w:rPr>
        <w:t xml:space="preserve">, 493 F.3d 170 (CADC 2007), </w:t>
      </w:r>
      <w:r w:rsidRPr="00576ED7">
        <w:rPr>
          <w:i/>
          <w:szCs w:val="24"/>
        </w:rPr>
        <w:t>supra</w:t>
      </w:r>
      <w:r w:rsidRPr="00576ED7">
        <w:rPr>
          <w:szCs w:val="24"/>
        </w:rPr>
        <w:t>, chapter 2.  The Go</w:t>
      </w:r>
      <w:r w:rsidRPr="00576ED7">
        <w:rPr>
          <w:szCs w:val="24"/>
        </w:rPr>
        <w:t>v</w:t>
      </w:r>
      <w:r w:rsidRPr="00576ED7">
        <w:rPr>
          <w:szCs w:val="24"/>
        </w:rPr>
        <w:t>ernment was correct in its reading of the “on account of” language in the statute.  There must be a strong causal connection between the physical injury and the emotional distress – not the other way around – in order for it to be excluded from gross income by § 104(a)(2).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does § 104(a)(3) mean? What health or accident insurance payments does § 104(a)(3) reference?</w:t>
      </w:r>
    </w:p>
    <w:p w:rsidR="0049128E" w:rsidRPr="00576ED7" w:rsidRDefault="0049128E" w:rsidP="00A6585D">
      <w:pPr>
        <w:widowControl w:val="0"/>
        <w:ind w:left="720"/>
        <w:jc w:val="both"/>
        <w:rPr>
          <w:szCs w:val="24"/>
        </w:rPr>
      </w:pPr>
      <w:r w:rsidRPr="00576ED7">
        <w:rPr>
          <w:szCs w:val="24"/>
        </w:rPr>
        <w:t>•”Health and accident” insurance includes wage continuation policies.  This would be important for employees whose employers provide health insurance but not disability insurance.</w:t>
      </w:r>
    </w:p>
    <w:p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105.  What rule emerges from §§ 105(a and 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two problems are derived from and answered by Rev. Rul. 69-154.  What is your intuition about how they should be solved? Feel free to exa</w:t>
      </w:r>
      <w:r w:rsidRPr="00576ED7">
        <w:rPr>
          <w:szCs w:val="24"/>
        </w:rPr>
        <w:t>m</w:t>
      </w:r>
      <w:r w:rsidRPr="00576ED7">
        <w:rPr>
          <w:szCs w:val="24"/>
        </w:rPr>
        <w:t>ine the revenue ruling.</w:t>
      </w:r>
    </w:p>
    <w:p w:rsidR="0049128E" w:rsidRPr="00576ED7" w:rsidRDefault="0049128E" w:rsidP="00A6585D">
      <w:pPr>
        <w:widowControl w:val="0"/>
        <w:ind w:left="720"/>
        <w:jc w:val="both"/>
        <w:rPr>
          <w:szCs w:val="24"/>
        </w:rPr>
      </w:pPr>
      <w:r w:rsidRPr="00576ED7">
        <w:rPr>
          <w:szCs w:val="24"/>
        </w:rPr>
        <w:t>•C is covered by his employer’s health insurance policy. C’s employer pays the annual premium of $10,000.  This amount is excluded from C’s gross income.  In addition, C paid the entire premium of $5000 for a pe</w:t>
      </w:r>
      <w:r w:rsidRPr="00576ED7">
        <w:rPr>
          <w:szCs w:val="24"/>
        </w:rPr>
        <w:t>r</w:t>
      </w:r>
      <w:r w:rsidRPr="00576ED7">
        <w:rPr>
          <w:szCs w:val="24"/>
        </w:rPr>
        <w:t>sonal health insurance policy.</w:t>
      </w:r>
    </w:p>
    <w:p w:rsidR="0049128E" w:rsidRPr="00576ED7" w:rsidRDefault="0049128E" w:rsidP="00A6585D">
      <w:pPr>
        <w:widowControl w:val="0"/>
        <w:ind w:left="1440"/>
        <w:jc w:val="both"/>
        <w:rPr>
          <w:szCs w:val="24"/>
        </w:rPr>
      </w:pPr>
      <w:r w:rsidRPr="00576ED7">
        <w:rPr>
          <w:szCs w:val="24"/>
        </w:rPr>
        <w:t>•During the year, C had only one illness and incurred and paid total medical expenses, as defined in § 213 of the Code, of $2700.  In the same year as a result of this illness, C was indemnified $2100 under his employer’s insurance policy and $1500 under his pe</w:t>
      </w:r>
      <w:r w:rsidRPr="00576ED7">
        <w:rPr>
          <w:szCs w:val="24"/>
        </w:rPr>
        <w:t>r</w:t>
      </w:r>
      <w:r w:rsidRPr="00576ED7">
        <w:rPr>
          <w:szCs w:val="24"/>
        </w:rPr>
        <w:t>sonal insurance policy.</w:t>
      </w:r>
    </w:p>
    <w:p w:rsidR="0049128E" w:rsidRPr="00576ED7" w:rsidRDefault="0049128E" w:rsidP="00A6585D">
      <w:pPr>
        <w:widowControl w:val="0"/>
        <w:ind w:left="1440"/>
        <w:jc w:val="both"/>
        <w:rPr>
          <w:szCs w:val="24"/>
        </w:rPr>
      </w:pPr>
      <w:r w:rsidRPr="00576ED7">
        <w:rPr>
          <w:szCs w:val="24"/>
        </w:rPr>
        <w:t>•What is C’s gross income from the insurance companies’ rei</w:t>
      </w:r>
      <w:r w:rsidRPr="00576ED7">
        <w:rPr>
          <w:szCs w:val="24"/>
        </w:rPr>
        <w:t>m</w:t>
      </w:r>
      <w:r w:rsidRPr="00576ED7">
        <w:rPr>
          <w:szCs w:val="24"/>
        </w:rPr>
        <w:t>bursements?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 is covered by his employer’s health insurance policy.  The annual pr</w:t>
      </w:r>
      <w:r w:rsidRPr="00576ED7">
        <w:rPr>
          <w:szCs w:val="24"/>
        </w:rPr>
        <w:t>e</w:t>
      </w:r>
      <w:r w:rsidRPr="00576ED7">
        <w:rPr>
          <w:szCs w:val="24"/>
        </w:rPr>
        <w:t>mium is $10,000, of which the employer pays $4000 and $6000 is deduc</w:t>
      </w:r>
      <w:r w:rsidRPr="00576ED7">
        <w:rPr>
          <w:szCs w:val="24"/>
        </w:rPr>
        <w:t>t</w:t>
      </w:r>
      <w:r w:rsidRPr="00576ED7">
        <w:rPr>
          <w:szCs w:val="24"/>
        </w:rPr>
        <w:t>ed from D’s wages.  In addition, D paid the entire premium of $5000 for a personal health insurance policy.</w:t>
      </w:r>
    </w:p>
    <w:p w:rsidR="0049128E" w:rsidRPr="00576ED7" w:rsidRDefault="0049128E" w:rsidP="00A6585D">
      <w:pPr>
        <w:widowControl w:val="0"/>
        <w:ind w:left="1440"/>
        <w:jc w:val="both"/>
        <w:rPr>
          <w:szCs w:val="24"/>
        </w:rPr>
      </w:pPr>
      <w:r w:rsidRPr="00576ED7">
        <w:rPr>
          <w:szCs w:val="24"/>
        </w:rPr>
        <w:t>•During the year, D had only one illness and paid total medical e</w:t>
      </w:r>
      <w:r w:rsidRPr="00576ED7">
        <w:rPr>
          <w:szCs w:val="24"/>
        </w:rPr>
        <w:t>x</w:t>
      </w:r>
      <w:r w:rsidRPr="00576ED7">
        <w:rPr>
          <w:szCs w:val="24"/>
        </w:rPr>
        <w:t xml:space="preserve">penses, as defined in § 213 of the Code, of $2700.  In the same year as a result of this illness, D was indemnified $2100 under his </w:t>
      </w:r>
      <w:r w:rsidRPr="00576ED7">
        <w:rPr>
          <w:szCs w:val="24"/>
        </w:rPr>
        <w:lastRenderedPageBreak/>
        <w:t>employer’s insurance policy and $1500 under his personal insu</w:t>
      </w:r>
      <w:r w:rsidRPr="00576ED7">
        <w:rPr>
          <w:szCs w:val="24"/>
        </w:rPr>
        <w:t>r</w:t>
      </w:r>
      <w:r w:rsidRPr="00576ED7">
        <w:rPr>
          <w:szCs w:val="24"/>
        </w:rPr>
        <w:t>ance policy.</w:t>
      </w:r>
    </w:p>
    <w:p w:rsidR="0049128E" w:rsidRPr="00576ED7" w:rsidRDefault="0049128E" w:rsidP="00A6585D">
      <w:pPr>
        <w:widowControl w:val="0"/>
        <w:ind w:left="1440"/>
        <w:jc w:val="both"/>
        <w:rPr>
          <w:szCs w:val="24"/>
        </w:rPr>
      </w:pPr>
      <w:r w:rsidRPr="00576ED7">
        <w:rPr>
          <w:szCs w:val="24"/>
        </w:rPr>
        <w:t>•What is D’s gross income from these reimbursements?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106(a).</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47B7484" wp14:editId="0F319B63">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Damages and Related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C.  Social Security: § 86</w:t>
      </w:r>
      <w:r w:rsidRPr="00576ED7">
        <w:rPr>
          <w:szCs w:val="24"/>
        </w:rPr>
        <w:fldChar w:fldCharType="begin"/>
      </w:r>
      <w:r w:rsidRPr="00576ED7">
        <w:rPr>
          <w:i/>
          <w:szCs w:val="24"/>
        </w:rPr>
        <w:instrText xml:space="preserve"> TC \l2 "C.  Social Security: § 86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86.  It is not an easy read.  It is an example of the drafting contortions ne</w:t>
      </w:r>
      <w:r w:rsidRPr="00576ED7">
        <w:rPr>
          <w:szCs w:val="24"/>
        </w:rPr>
        <w:t>c</w:t>
      </w:r>
      <w:r w:rsidRPr="00576ED7">
        <w:rPr>
          <w:szCs w:val="24"/>
        </w:rPr>
        <w:t xml:space="preserve">essary to accomplish legislative compromise.  Section 86 of course is among the Code provisions that require inclusion of certain items in gross income.  Section 86 limits the amount of social security benefits that a taxpayer must include in gross income.  Taxpayer excludes the remainder. </w:t>
      </w:r>
    </w:p>
    <w:p w:rsidR="0049128E" w:rsidRPr="00576ED7" w:rsidRDefault="0049128E" w:rsidP="00A6585D">
      <w:pPr>
        <w:widowControl w:val="0"/>
        <w:ind w:left="720"/>
        <w:jc w:val="both"/>
        <w:rPr>
          <w:szCs w:val="24"/>
        </w:rPr>
      </w:pPr>
      <w:r w:rsidRPr="00576ED7">
        <w:rPr>
          <w:szCs w:val="24"/>
        </w:rPr>
        <w:t>•Section 86 establishes three levels of so-called “(b)(1)(A) amounts” of income – which we define momentarily.</w:t>
      </w:r>
    </w:p>
    <w:p w:rsidR="0049128E" w:rsidRPr="00576ED7" w:rsidRDefault="0049128E" w:rsidP="00A6585D">
      <w:pPr>
        <w:widowControl w:val="0"/>
        <w:ind w:left="720"/>
        <w:jc w:val="both"/>
        <w:rPr>
          <w:szCs w:val="24"/>
        </w:rPr>
      </w:pPr>
      <w:r w:rsidRPr="00576ED7">
        <w:rPr>
          <w:szCs w:val="24"/>
        </w:rPr>
        <w:t xml:space="preserve">•This amount will fall into one of three ranges that the Code defines in terms of the taxpayer’s filing status.  Each income range is subject to a </w:t>
      </w:r>
      <w:r w:rsidRPr="00576ED7">
        <w:rPr>
          <w:i/>
          <w:szCs w:val="24"/>
        </w:rPr>
        <w:t>di</w:t>
      </w:r>
      <w:r w:rsidRPr="00576ED7">
        <w:rPr>
          <w:i/>
          <w:szCs w:val="24"/>
        </w:rPr>
        <w:t>f</w:t>
      </w:r>
      <w:r w:rsidRPr="00576ED7">
        <w:rPr>
          <w:i/>
          <w:szCs w:val="24"/>
        </w:rPr>
        <w:t>ferent</w:t>
      </w:r>
      <w:r w:rsidRPr="00576ED7">
        <w:rPr>
          <w:szCs w:val="24"/>
        </w:rPr>
        <w:t xml:space="preserve"> set of rules governing inclusion of social security benefits in ta</w:t>
      </w:r>
      <w:r w:rsidRPr="00576ED7">
        <w:rPr>
          <w:szCs w:val="24"/>
        </w:rPr>
        <w:t>x</w:t>
      </w:r>
      <w:r w:rsidRPr="00576ED7">
        <w:rPr>
          <w:szCs w:val="24"/>
        </w:rPr>
        <w:t>payer’s gross income.  The three income ranges are the following:</w:t>
      </w:r>
    </w:p>
    <w:p w:rsidR="0049128E" w:rsidRPr="00576ED7" w:rsidRDefault="0049128E" w:rsidP="00A6585D">
      <w:pPr>
        <w:widowControl w:val="0"/>
        <w:ind w:left="1440"/>
        <w:jc w:val="both"/>
        <w:rPr>
          <w:szCs w:val="24"/>
        </w:rPr>
      </w:pPr>
      <w:r w:rsidRPr="00576ED7">
        <w:rPr>
          <w:szCs w:val="24"/>
        </w:rPr>
        <w:t>•“(b)(1)(A) amount” of income that is below the statutory “base amount.”</w:t>
      </w:r>
    </w:p>
    <w:p w:rsidR="0049128E" w:rsidRPr="00576ED7" w:rsidRDefault="0049128E" w:rsidP="00A6585D">
      <w:pPr>
        <w:widowControl w:val="0"/>
        <w:ind w:left="1440"/>
        <w:jc w:val="both"/>
        <w:rPr>
          <w:szCs w:val="24"/>
        </w:rPr>
      </w:pPr>
      <w:r w:rsidRPr="00576ED7">
        <w:rPr>
          <w:szCs w:val="24"/>
        </w:rPr>
        <w:t>•“(b)(1)(A) amount” of income that is above the statutory “base amount” but below the statutory “modified base amount.”</w:t>
      </w:r>
    </w:p>
    <w:p w:rsidR="0049128E" w:rsidRPr="00576ED7" w:rsidRDefault="0049128E" w:rsidP="00A6585D">
      <w:pPr>
        <w:widowControl w:val="0"/>
        <w:ind w:left="1440"/>
        <w:jc w:val="both"/>
        <w:rPr>
          <w:szCs w:val="24"/>
        </w:rPr>
      </w:pPr>
      <w:r w:rsidRPr="00576ED7">
        <w:rPr>
          <w:szCs w:val="24"/>
        </w:rPr>
        <w:t>•“(b)(1)(A) amount” of income that is above the statutory “mod</w:t>
      </w:r>
      <w:r w:rsidRPr="00576ED7">
        <w:rPr>
          <w:szCs w:val="24"/>
        </w:rPr>
        <w:t>i</w:t>
      </w:r>
      <w:r w:rsidRPr="00576ED7">
        <w:rPr>
          <w:szCs w:val="24"/>
        </w:rPr>
        <w:t>fied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Rather than try to state the computation rules, we will apply the rules through three problems involving the taxpayer “Joe the Pensioner.”  He is single and r</w:t>
      </w:r>
      <w:r w:rsidRPr="00576ED7">
        <w:rPr>
          <w:szCs w:val="24"/>
        </w:rPr>
        <w:t>e</w:t>
      </w:r>
      <w:r w:rsidRPr="00576ED7">
        <w:rPr>
          <w:szCs w:val="24"/>
        </w:rPr>
        <w:t>ceives social security benefits.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•Joe the Pensioner received $20,000 of social security benefits payments last year.  In addition, he received $1000 in municipal bond interest that § 103 exempts from his gross income.  Joe also did some work for his old employer for which he r</w:t>
      </w:r>
      <w:r w:rsidRPr="00576ED7">
        <w:rPr>
          <w:szCs w:val="24"/>
        </w:rPr>
        <w:t>e</w:t>
      </w:r>
      <w:r w:rsidRPr="00576ED7">
        <w:rPr>
          <w:szCs w:val="24"/>
        </w:rPr>
        <w:t>ceived $6000.  What is Joe’s gross income?</w:t>
      </w:r>
    </w:p>
    <w:p w:rsidR="0049128E" w:rsidRPr="00576ED7" w:rsidRDefault="0049128E" w:rsidP="00A6585D">
      <w:pPr>
        <w:widowControl w:val="0"/>
        <w:jc w:val="both"/>
        <w:rPr>
          <w:szCs w:val="24"/>
        </w:rPr>
      </w:pPr>
      <w:r w:rsidRPr="00576ED7">
        <w:rPr>
          <w:szCs w:val="24"/>
        </w:rPr>
        <w:lastRenderedPageBreak/>
        <w:t>Section 86(a) with deceptive simplicity sets forth rules governing taxpayer incl</w:t>
      </w:r>
      <w:r w:rsidRPr="00576ED7">
        <w:rPr>
          <w:szCs w:val="24"/>
        </w:rPr>
        <w:t>u</w:t>
      </w:r>
      <w:r w:rsidRPr="00576ED7">
        <w:rPr>
          <w:szCs w:val="24"/>
        </w:rPr>
        <w:t>sion in gross income of social security benefits.  Section 86(a) requires comput</w:t>
      </w:r>
      <w:r w:rsidRPr="00576ED7">
        <w:rPr>
          <w:szCs w:val="24"/>
        </w:rPr>
        <w:t>a</w:t>
      </w:r>
      <w:r w:rsidRPr="00576ED7">
        <w:rPr>
          <w:szCs w:val="24"/>
        </w:rPr>
        <w:t>tions of various amounts and then comparing them.  Hopefully, we can reduce this to a few straight-forward “if ... then” rules.  It is best</w:t>
      </w:r>
      <w:r w:rsidRPr="00576ED7">
        <w:rPr>
          <w:rStyle w:val="FootnoteReference"/>
          <w:szCs w:val="24"/>
        </w:rPr>
        <w:footnoteReference w:id="57"/>
      </w:r>
      <w:r w:rsidRPr="00576ED7">
        <w:rPr>
          <w:szCs w:val="24"/>
        </w:rPr>
        <w:t xml:space="preserve"> to begin with § 86(b) – the provision that actually defines the “Taxpayers to Whom Subsection (a) a</w:t>
      </w:r>
      <w:r w:rsidRPr="00576ED7">
        <w:rPr>
          <w:szCs w:val="24"/>
        </w:rPr>
        <w:t>p</w:t>
      </w:r>
      <w:r w:rsidRPr="00576ED7">
        <w:rPr>
          <w:szCs w:val="24"/>
        </w:rPr>
        <w:t>plies.”</w:t>
      </w:r>
    </w:p>
    <w:p w:rsidR="0049128E" w:rsidRPr="00576ED7" w:rsidRDefault="0049128E" w:rsidP="00A6585D">
      <w:pPr>
        <w:widowControl w:val="0"/>
        <w:ind w:left="720"/>
        <w:jc w:val="both"/>
        <w:rPr>
          <w:szCs w:val="24"/>
        </w:rPr>
      </w:pPr>
      <w:r w:rsidRPr="00576ED7">
        <w:rPr>
          <w:szCs w:val="24"/>
        </w:rPr>
        <w:t>•Section 86(b)(1)(A)(i) requires that we determine what Joe’s “modified agi” is.  That phrase is defined in § 86(b)(2).  Joe’s agi at the moment, not counting his social security benefits or tax exempt interest, is $6000.  To obtain Joe’s “modified agi,” we do not add his benefits (§ 86(b)(2)(A) (“determined without regard to this section”)) but we do add his tax e</w:t>
      </w:r>
      <w:r w:rsidRPr="00576ED7">
        <w:rPr>
          <w:szCs w:val="24"/>
        </w:rPr>
        <w:t>x</w:t>
      </w:r>
      <w:r w:rsidRPr="00576ED7">
        <w:rPr>
          <w:szCs w:val="24"/>
        </w:rPr>
        <w:t xml:space="preserve">empt interest, § 86(b)(2)(B), i.e., $1000.  </w:t>
      </w:r>
      <w:r w:rsidRPr="00576ED7">
        <w:rPr>
          <w:i/>
          <w:szCs w:val="24"/>
        </w:rPr>
        <w:t>Joe’s modified adjusted gross i</w:t>
      </w:r>
      <w:r w:rsidRPr="00576ED7">
        <w:rPr>
          <w:i/>
          <w:szCs w:val="24"/>
        </w:rPr>
        <w:t>n</w:t>
      </w:r>
      <w:r w:rsidRPr="00576ED7">
        <w:rPr>
          <w:i/>
          <w:szCs w:val="24"/>
        </w:rPr>
        <w:t>come is</w:t>
      </w:r>
      <w:r w:rsidRPr="00576ED7">
        <w:rPr>
          <w:szCs w:val="24"/>
        </w:rPr>
        <w:t xml:space="preserve"> </w:t>
      </w:r>
      <w:r w:rsidRPr="00576ED7">
        <w:rPr>
          <w:szCs w:val="24"/>
          <w:u w:val="single"/>
        </w:rPr>
        <w:t>$7000</w:t>
      </w:r>
      <w:r w:rsidRPr="00576ED7">
        <w:rPr>
          <w:szCs w:val="24"/>
        </w:rPr>
        <w:t>.</w:t>
      </w:r>
    </w:p>
    <w:p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w:t>
      </w:r>
      <w:r w:rsidRPr="00576ED7">
        <w:rPr>
          <w:i/>
          <w:szCs w:val="24"/>
        </w:rPr>
        <w:t>n</w:t>
      </w:r>
      <w:r w:rsidRPr="00576ED7">
        <w:rPr>
          <w:i/>
          <w:szCs w:val="24"/>
        </w:rPr>
        <w:t>come plus one-half of his social security benefits</w:t>
      </w:r>
      <w:r w:rsidRPr="00576ED7">
        <w:rPr>
          <w:szCs w:val="24"/>
        </w:rPr>
        <w:t xml:space="preserve">.  $7000 + $10,000 = </w:t>
      </w:r>
      <w:r w:rsidRPr="00576ED7">
        <w:rPr>
          <w:szCs w:val="24"/>
          <w:u w:val="single"/>
        </w:rPr>
        <w:t>$17,000</w:t>
      </w:r>
      <w:r w:rsidRPr="00576ED7">
        <w:rPr>
          <w:szCs w:val="24"/>
        </w:rPr>
        <w:t>.  We will refer to this as the “(b)(1)(A) amount.”</w:t>
      </w:r>
    </w:p>
    <w:p w:rsidR="0049128E" w:rsidRPr="00576ED7" w:rsidRDefault="0049128E" w:rsidP="00A6585D">
      <w:pPr>
        <w:widowControl w:val="0"/>
        <w:ind w:left="720"/>
        <w:jc w:val="both"/>
        <w:rPr>
          <w:szCs w:val="24"/>
        </w:rPr>
      </w:pPr>
      <w:r w:rsidRPr="00576ED7">
        <w:rPr>
          <w:szCs w:val="24"/>
        </w:rPr>
        <w:t>•Subtract the “base amount” from $17,000.  “Base amount” is defined for Joe in § 86(c)(1)(A) as $25,000.  Joe’s “modified agi” does not exceed this “base amount.”</w:t>
      </w:r>
    </w:p>
    <w:p w:rsidR="0049128E" w:rsidRPr="00576ED7" w:rsidRDefault="0049128E" w:rsidP="00A6585D">
      <w:pPr>
        <w:widowControl w:val="0"/>
        <w:ind w:left="1440"/>
        <w:jc w:val="both"/>
        <w:rPr>
          <w:szCs w:val="24"/>
        </w:rPr>
      </w:pPr>
      <w:r w:rsidRPr="00576ED7">
        <w:rPr>
          <w:szCs w:val="24"/>
        </w:rPr>
        <w:t>•Section 86(a)(1)(B) requires us to compute one-half of the excess described in § 86(b)(1)(A).  In our case, that will of course be $0.</w:t>
      </w:r>
    </w:p>
    <w:p w:rsidR="0049128E" w:rsidRPr="00576ED7" w:rsidRDefault="0049128E" w:rsidP="00A6585D">
      <w:pPr>
        <w:widowControl w:val="0"/>
        <w:ind w:left="1440"/>
        <w:jc w:val="both"/>
        <w:rPr>
          <w:szCs w:val="24"/>
        </w:rPr>
      </w:pPr>
      <w:r w:rsidRPr="00576ED7">
        <w:rPr>
          <w:szCs w:val="24"/>
        </w:rPr>
        <w:t>•§ 86(a)(1) requires a comparison: $0 &lt; $10,000.</w:t>
      </w:r>
    </w:p>
    <w:p w:rsidR="0049128E" w:rsidRPr="00576ED7" w:rsidRDefault="0049128E" w:rsidP="00A6585D">
      <w:pPr>
        <w:widowControl w:val="0"/>
        <w:ind w:left="1440"/>
        <w:jc w:val="both"/>
        <w:rPr>
          <w:szCs w:val="24"/>
        </w:rPr>
      </w:pPr>
      <w:r w:rsidRPr="00576ED7">
        <w:rPr>
          <w:szCs w:val="24"/>
        </w:rPr>
        <w:t>•Joe must include $0 of his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“modified agi” plus one-half of his/her social security benefits, </w:t>
      </w:r>
      <w:r w:rsidRPr="00576ED7">
        <w:rPr>
          <w:i/>
          <w:szCs w:val="24"/>
        </w:rPr>
        <w:t>then</w:t>
      </w:r>
      <w:r w:rsidRPr="00576ED7">
        <w:rPr>
          <w:szCs w:val="24"/>
        </w:rPr>
        <w:t xml:space="preserve"> there will be no “excess” – a term that a</w:t>
      </w:r>
      <w:r w:rsidRPr="00576ED7">
        <w:rPr>
          <w:szCs w:val="24"/>
        </w:rPr>
        <w:t>p</w:t>
      </w:r>
      <w:r w:rsidRPr="00576ED7">
        <w:rPr>
          <w:szCs w:val="24"/>
        </w:rPr>
        <w:t>pears in § 86(a)(1)(B).  We can state the following straight-forward rule.</w:t>
      </w:r>
    </w:p>
    <w:p w:rsidR="0049128E" w:rsidRPr="00576ED7" w:rsidRDefault="0049128E" w:rsidP="00A6585D">
      <w:pPr>
        <w:widowControl w:val="0"/>
        <w:ind w:left="720"/>
        <w:jc w:val="both"/>
        <w:rPr>
          <w:szCs w:val="24"/>
        </w:rPr>
      </w:pPr>
      <w:r w:rsidRPr="00576ED7">
        <w:rPr>
          <w:b/>
          <w:szCs w:val="24"/>
        </w:rPr>
        <w:t>1.  If taxpayer’s “modified agi” plus one-half of his/her social security benefits is less than the statutory “base amount,” none of taxpayer’s social security benefits will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rsidR="0049128E" w:rsidRPr="00576ED7" w:rsidRDefault="0049128E" w:rsidP="00A6585D">
      <w:pPr>
        <w:widowControl w:val="0"/>
        <w:ind w:left="720"/>
        <w:jc w:val="both"/>
        <w:rPr>
          <w:szCs w:val="24"/>
        </w:rPr>
      </w:pPr>
      <w:r w:rsidRPr="00576ED7">
        <w:rPr>
          <w:szCs w:val="24"/>
        </w:rPr>
        <w:t xml:space="preserve">•Joe’s “modified agi” plus one-half of his social security benefits plus tax exempt interest (i.e., “(b)(1)(A)” amount) equals $29,000.  This is more </w:t>
      </w:r>
      <w:r w:rsidRPr="00576ED7">
        <w:rPr>
          <w:szCs w:val="24"/>
        </w:rPr>
        <w:lastRenderedPageBreak/>
        <w:t>than the statutory “base amount,” i.e., $25,000, § 86(c)(1)(A).</w:t>
      </w:r>
    </w:p>
    <w:p w:rsidR="0049128E" w:rsidRPr="00576ED7" w:rsidRDefault="0049128E" w:rsidP="00A6585D">
      <w:pPr>
        <w:widowControl w:val="0"/>
        <w:ind w:left="1440"/>
        <w:jc w:val="both"/>
        <w:rPr>
          <w:szCs w:val="24"/>
        </w:rPr>
      </w:pPr>
      <w:r w:rsidRPr="00576ED7">
        <w:rPr>
          <w:szCs w:val="24"/>
        </w:rPr>
        <w:t>•Section 86(b)(1) describes a taxpayer whose “(b)(1)(A) amount” is more than a “modified base amount.”  For Joe, that amount is $34,000.  § 86(c)(2)(A).  Joe’s “(b)(1)(A) amount” does not exceed his “modified base amount,” so § 86(a)(1) applies to him.</w:t>
      </w:r>
    </w:p>
    <w:p w:rsidR="0049128E" w:rsidRPr="00576ED7" w:rsidRDefault="0049128E" w:rsidP="00A6585D">
      <w:pPr>
        <w:widowControl w:val="0"/>
        <w:ind w:left="720"/>
        <w:jc w:val="both"/>
        <w:rPr>
          <w:szCs w:val="24"/>
        </w:rPr>
      </w:pPr>
      <w:r w:rsidRPr="00576ED7">
        <w:rPr>
          <w:szCs w:val="24"/>
        </w:rPr>
        <w:t>•According to § 86(a)(1), Joe must include in his gross income the lesser of one-half of the social security benefits that he received or one-half of the amount by which his “(b)(1)(A)” amount exceeds his “base amount.”</w:t>
      </w:r>
    </w:p>
    <w:p w:rsidR="0049128E" w:rsidRPr="00576ED7" w:rsidRDefault="0049128E" w:rsidP="00A6585D">
      <w:pPr>
        <w:widowControl w:val="0"/>
        <w:ind w:left="1440"/>
        <w:jc w:val="both"/>
        <w:rPr>
          <w:szCs w:val="24"/>
        </w:rPr>
      </w:pPr>
      <w:r w:rsidRPr="00576ED7">
        <w:rPr>
          <w:szCs w:val="24"/>
        </w:rPr>
        <w:t>•The first amount is $10,000.  The second amount is $2000.</w:t>
      </w:r>
    </w:p>
    <w:p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$2000</w:t>
      </w:r>
      <w:r w:rsidRPr="00576ED7">
        <w:rPr>
          <w:szCs w:val="24"/>
        </w:rPr>
        <w:t xml:space="preserve"> of social security benefits in his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can now state the second of our straight-forward rules.</w:t>
      </w:r>
    </w:p>
    <w:p w:rsidR="0049128E" w:rsidRPr="00576ED7" w:rsidRDefault="0049128E" w:rsidP="00A6585D">
      <w:pPr>
        <w:widowControl w:val="0"/>
        <w:ind w:left="720"/>
        <w:jc w:val="both"/>
        <w:rPr>
          <w:szCs w:val="24"/>
        </w:rPr>
      </w:pPr>
      <w:r w:rsidRPr="00576ED7">
        <w:rPr>
          <w:b/>
          <w:szCs w:val="24"/>
        </w:rPr>
        <w:t>2.  If taxpayer’s “modified agi” plus one-half of his/her social security benefits is more than the statutory “base amount” but less than the “modified base amount,” taxpayer must include in his/her gross i</w:t>
      </w:r>
      <w:r w:rsidRPr="00576ED7">
        <w:rPr>
          <w:b/>
          <w:szCs w:val="24"/>
        </w:rPr>
        <w:t>n</w:t>
      </w:r>
      <w:r w:rsidRPr="00576ED7">
        <w:rPr>
          <w:b/>
          <w:szCs w:val="24"/>
        </w:rPr>
        <w:t>come the lesser of one-half of his/her social security benefits or one-half of the amount by which his/her “modified agi” exceeds the stat</w:t>
      </w:r>
      <w:r w:rsidRPr="00576ED7">
        <w:rPr>
          <w:b/>
          <w:szCs w:val="24"/>
        </w:rPr>
        <w:t>u</w:t>
      </w:r>
      <w:r w:rsidRPr="00576ED7">
        <w:rPr>
          <w:b/>
          <w:szCs w:val="24"/>
        </w:rPr>
        <w:t>tory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rsidR="0049128E" w:rsidRPr="00576ED7" w:rsidRDefault="0049128E" w:rsidP="00A6585D">
      <w:pPr>
        <w:widowControl w:val="0"/>
        <w:ind w:left="720"/>
        <w:jc w:val="both"/>
        <w:rPr>
          <w:szCs w:val="24"/>
        </w:rPr>
      </w:pPr>
      <w:r w:rsidRPr="00576ED7">
        <w:rPr>
          <w:szCs w:val="24"/>
        </w:rPr>
        <w:t>•Joe’s “(b)(1)(A) amount” is now $41,000.  This is $7000 more than his “modified base amount,” i.e., $34,000, § 86(c)(2)(A).  This means that § 86(a)(2) applies rather than § 86(a)(1).</w:t>
      </w:r>
    </w:p>
    <w:p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rsidR="0049128E" w:rsidRPr="00576ED7" w:rsidRDefault="0049128E" w:rsidP="00A6585D">
      <w:pPr>
        <w:widowControl w:val="0"/>
        <w:ind w:left="1440"/>
        <w:jc w:val="both"/>
        <w:rPr>
          <w:szCs w:val="24"/>
        </w:rPr>
      </w:pPr>
      <w:r w:rsidRPr="00576ED7">
        <w:rPr>
          <w:szCs w:val="24"/>
        </w:rPr>
        <w:t>•The first amount (§ 86(a)(2)(A)) is –</w:t>
      </w:r>
    </w:p>
    <w:p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 xml:space="preserve">85% of $7000 – or </w:t>
      </w:r>
      <w:r w:rsidRPr="00576ED7">
        <w:rPr>
          <w:szCs w:val="24"/>
        </w:rPr>
        <w:t>$5950, PLUS</w:t>
      </w:r>
    </w:p>
    <w:p w:rsidR="0049128E" w:rsidRPr="00576ED7" w:rsidRDefault="0049128E" w:rsidP="00A6585D">
      <w:pPr>
        <w:widowControl w:val="0"/>
        <w:ind w:left="2160"/>
        <w:jc w:val="both"/>
        <w:rPr>
          <w:szCs w:val="24"/>
        </w:rPr>
      </w:pPr>
      <w:r w:rsidRPr="00576ED7">
        <w:rPr>
          <w:szCs w:val="24"/>
        </w:rPr>
        <w:t xml:space="preserve">•the lesser of </w:t>
      </w:r>
    </w:p>
    <w:p w:rsidR="0049128E" w:rsidRPr="00576ED7" w:rsidRDefault="0049128E" w:rsidP="00A6585D">
      <w:pPr>
        <w:widowControl w:val="0"/>
        <w:ind w:left="2880"/>
        <w:jc w:val="both"/>
        <w:rPr>
          <w:szCs w:val="24"/>
        </w:rPr>
      </w:pPr>
      <w:r w:rsidRPr="00576ED7">
        <w:rPr>
          <w:szCs w:val="24"/>
        </w:rPr>
        <w:t>•the amount that would be included in Joe’s gross income if our second rule (i.e., § 86(a)(1)) did a</w:t>
      </w:r>
      <w:r w:rsidRPr="00576ED7">
        <w:rPr>
          <w:szCs w:val="24"/>
        </w:rPr>
        <w:t>p</w:t>
      </w:r>
      <w:r w:rsidRPr="00576ED7">
        <w:rPr>
          <w:szCs w:val="24"/>
        </w:rPr>
        <w:t>ply.  The lesser of one-half of Joe’s social security benefits (i.e., $10,000) or one-half of the excess of Joe’s “(b)(1)(A) amount” over his “base amount” (i.e., ½ of ($41,000 − $25,000) = $8000) is $8000.</w:t>
      </w:r>
    </w:p>
    <w:p w:rsidR="0049128E" w:rsidRPr="00576ED7" w:rsidRDefault="0049128E" w:rsidP="00A6585D">
      <w:pPr>
        <w:widowControl w:val="0"/>
        <w:ind w:left="2880"/>
        <w:jc w:val="both"/>
        <w:rPr>
          <w:szCs w:val="24"/>
        </w:rPr>
      </w:pPr>
      <w:r w:rsidRPr="00576ED7">
        <w:rPr>
          <w:szCs w:val="24"/>
        </w:rPr>
        <w:t>•</w:t>
      </w:r>
      <w:r w:rsidRPr="00576ED7">
        <w:rPr>
          <w:i/>
          <w:szCs w:val="24"/>
        </w:rPr>
        <w:t>or</w:t>
      </w:r>
    </w:p>
    <w:p w:rsidR="0049128E" w:rsidRPr="00576ED7" w:rsidRDefault="0049128E" w:rsidP="00A6585D">
      <w:pPr>
        <w:widowControl w:val="0"/>
        <w:ind w:left="2880"/>
        <w:jc w:val="both"/>
        <w:rPr>
          <w:szCs w:val="24"/>
        </w:rPr>
      </w:pPr>
      <w:r w:rsidRPr="00576ED7">
        <w:rPr>
          <w:szCs w:val="24"/>
        </w:rPr>
        <w:t xml:space="preserve">•one-half of the difference between Joe’s “base </w:t>
      </w:r>
      <w:r w:rsidRPr="00576ED7">
        <w:rPr>
          <w:szCs w:val="24"/>
        </w:rPr>
        <w:lastRenderedPageBreak/>
        <w:t>amount” and “modified base amount.”  The diffe</w:t>
      </w:r>
      <w:r w:rsidRPr="00576ED7">
        <w:rPr>
          <w:szCs w:val="24"/>
        </w:rPr>
        <w:t>r</w:t>
      </w:r>
      <w:r w:rsidRPr="00576ED7">
        <w:rPr>
          <w:szCs w:val="24"/>
        </w:rPr>
        <w:t>ence between Joe’s “base amount” and his “mod</w:t>
      </w:r>
      <w:r w:rsidRPr="00576ED7">
        <w:rPr>
          <w:szCs w:val="24"/>
        </w:rPr>
        <w:t>i</w:t>
      </w:r>
      <w:r w:rsidRPr="00576ED7">
        <w:rPr>
          <w:szCs w:val="24"/>
        </w:rPr>
        <w:t>fied base amount” is $34,000 − $25,000.  One-half of that amount is $4500.</w:t>
      </w:r>
    </w:p>
    <w:p w:rsidR="0049128E" w:rsidRPr="00576ED7" w:rsidRDefault="0049128E" w:rsidP="00A6585D">
      <w:pPr>
        <w:widowControl w:val="0"/>
        <w:ind w:left="2880"/>
        <w:jc w:val="both"/>
        <w:rPr>
          <w:szCs w:val="24"/>
        </w:rPr>
      </w:pPr>
      <w:r w:rsidRPr="00576ED7">
        <w:rPr>
          <w:szCs w:val="24"/>
        </w:rPr>
        <w:t>•$4500 &lt; $8000.</w:t>
      </w:r>
    </w:p>
    <w:p w:rsidR="0049128E" w:rsidRPr="00576ED7" w:rsidRDefault="0049128E" w:rsidP="00A6585D">
      <w:pPr>
        <w:widowControl w:val="0"/>
        <w:ind w:left="2160"/>
        <w:jc w:val="both"/>
        <w:rPr>
          <w:szCs w:val="24"/>
        </w:rPr>
      </w:pPr>
      <w:r w:rsidRPr="00576ED7">
        <w:rPr>
          <w:szCs w:val="24"/>
        </w:rPr>
        <w:t xml:space="preserve">•$5940 + $4500 EQUALS </w:t>
      </w:r>
      <w:r w:rsidRPr="00576ED7">
        <w:rPr>
          <w:szCs w:val="24"/>
          <w:u w:val="single"/>
        </w:rPr>
        <w:t>$10,440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second amount (§ 86(a)(2)(B)) is –</w:t>
      </w:r>
    </w:p>
    <w:p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rsidR="0049128E" w:rsidRPr="00576ED7" w:rsidRDefault="0049128E" w:rsidP="00A6585D">
      <w:pPr>
        <w:widowControl w:val="0"/>
        <w:ind w:left="720"/>
        <w:jc w:val="both"/>
        <w:rPr>
          <w:szCs w:val="24"/>
        </w:rPr>
      </w:pPr>
      <w:r w:rsidRPr="00576ED7">
        <w:rPr>
          <w:szCs w:val="24"/>
        </w:rPr>
        <w:t xml:space="preserve">•$10,440 &lt; $17,000.  Joe must include </w:t>
      </w:r>
      <w:r w:rsidRPr="00576ED7">
        <w:rPr>
          <w:szCs w:val="24"/>
          <w:u w:val="single"/>
        </w:rPr>
        <w:t>$10,440</w:t>
      </w:r>
      <w:r w:rsidRPr="00576ED7">
        <w:rPr>
          <w:szCs w:val="24"/>
        </w:rPr>
        <w:t xml:space="preserve"> in his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state the third of our straight-forward rules.</w:t>
      </w:r>
    </w:p>
    <w:p w:rsidR="0049128E" w:rsidRPr="00576ED7" w:rsidRDefault="0049128E" w:rsidP="00A6585D">
      <w:pPr>
        <w:widowControl w:val="0"/>
        <w:ind w:left="720"/>
        <w:jc w:val="both"/>
        <w:rPr>
          <w:szCs w:val="24"/>
        </w:rPr>
      </w:pPr>
      <w:r w:rsidRPr="00576ED7">
        <w:rPr>
          <w:b/>
          <w:szCs w:val="24"/>
        </w:rPr>
        <w:t>3.  If taxpayer’s “modified agi” plus one-half of his/her social security benefits is more than the statutory “adjusted base amount,” taxpayer must include in his/her gross income the lesser of two amounts co</w:t>
      </w:r>
      <w:r w:rsidRPr="00576ED7">
        <w:rPr>
          <w:b/>
          <w:szCs w:val="24"/>
        </w:rPr>
        <w:t>m</w:t>
      </w:r>
      <w:r w:rsidRPr="00576ED7">
        <w:rPr>
          <w:b/>
          <w:szCs w:val="24"/>
        </w:rPr>
        <w:t>puted according to two more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Unemployment Benefits: § 85</w:t>
      </w:r>
      <w:r w:rsidRPr="00576ED7">
        <w:rPr>
          <w:szCs w:val="24"/>
        </w:rPr>
        <w:fldChar w:fldCharType="begin"/>
      </w:r>
      <w:r w:rsidRPr="00576ED7">
        <w:rPr>
          <w:i/>
          <w:szCs w:val="24"/>
        </w:rPr>
        <w:instrText xml:space="preserve"> TC \l2 "D.  Unemployment Benefits: § 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must include in his/her gross income unemployment compensation.  § 85.</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D22D79D" wp14:editId="3CB69A25">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w:t>
      </w:r>
      <w:r w:rsidRPr="00576ED7">
        <w:rPr>
          <w:i/>
          <w:szCs w:val="24"/>
        </w:rPr>
        <w:t>n</w:t>
      </w:r>
      <w:r w:rsidRPr="00576ED7">
        <w:rPr>
          <w:i/>
          <w:szCs w:val="24"/>
        </w:rPr>
        <w:t>employment Compensation, and Social Security Benefits</w:t>
      </w:r>
      <w:r w:rsidRPr="00576ED7">
        <w:rPr>
          <w:szCs w:val="24"/>
        </w:rPr>
        <w:t xml:space="preserve">.  Several of the questions are derived from the next section of the text.  You should do the </w:t>
      </w:r>
      <w:r w:rsidR="0093600D" w:rsidRPr="00576ED7">
        <w:rPr>
          <w:szCs w:val="24"/>
        </w:rPr>
        <w:t>Lesson</w:t>
      </w:r>
      <w:r w:rsidRPr="00576ED7">
        <w:rPr>
          <w:szCs w:val="24"/>
        </w:rPr>
        <w:t xml:space="preserve"> twice: now and when you finish reading the next section.</w:t>
      </w:r>
    </w:p>
    <w:p w:rsidR="0049128E" w:rsidRPr="00576ED7" w:rsidRDefault="0049128E" w:rsidP="00A6585D">
      <w:pPr>
        <w:widowControl w:val="0"/>
        <w:jc w:val="both"/>
        <w:rPr>
          <w:szCs w:val="24"/>
        </w:rPr>
      </w:pPr>
    </w:p>
    <w:p w:rsidR="0049128E" w:rsidRPr="00576ED7" w:rsidRDefault="0049128E" w:rsidP="00910345">
      <w:pPr>
        <w:pStyle w:val="Heading3"/>
      </w:pPr>
      <w:bookmarkStart w:id="41" w:name="_Toc375132928"/>
      <w:r w:rsidRPr="00576ED7">
        <w:t>III.  Employment-Based Exclusions from Gross Income</w:t>
      </w:r>
      <w:bookmarkEnd w:id="41"/>
      <w:r w:rsidRPr="00576ED7">
        <w:fldChar w:fldCharType="begin"/>
      </w:r>
      <w:r w:rsidRPr="00576ED7">
        <w:instrText xml:space="preserve"> TC \l1 "III.  Employment-Based Exclusions from Gross Income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employment relationship is the seat of a very substantial number of excl</w:t>
      </w:r>
      <w:r w:rsidRPr="00576ED7">
        <w:rPr>
          <w:szCs w:val="24"/>
        </w:rPr>
        <w:t>u</w:t>
      </w:r>
      <w:r w:rsidRPr="00576ED7">
        <w:rPr>
          <w:szCs w:val="24"/>
        </w:rPr>
        <w:t>sions from gross income.  You will find that the benefits excluded from gross i</w:t>
      </w:r>
      <w:r w:rsidRPr="00576ED7">
        <w:rPr>
          <w:szCs w:val="24"/>
        </w:rPr>
        <w:t>n</w:t>
      </w:r>
      <w:r w:rsidRPr="00576ED7">
        <w:rPr>
          <w:szCs w:val="24"/>
        </w:rPr>
        <w:t>come by §§ 79, 106, 119, 127, 129, 132, and 137 are only available to “an e</w:t>
      </w:r>
      <w:r w:rsidRPr="00576ED7">
        <w:rPr>
          <w:szCs w:val="24"/>
        </w:rPr>
        <w:t>m</w:t>
      </w:r>
      <w:r w:rsidRPr="00576ED7">
        <w:rPr>
          <w:szCs w:val="24"/>
        </w:rPr>
        <w:t xml:space="preserve">ployee.”  Employment-based exclusions from gross income can have a powerful influence in shaping employment relationships.  Be alert to the possibility that the </w:t>
      </w:r>
      <w:r w:rsidRPr="00576ED7">
        <w:rPr>
          <w:szCs w:val="24"/>
        </w:rPr>
        <w:lastRenderedPageBreak/>
        <w:t>employer may capture the benefit of the exclusion through the simple expedient of paying employees less than it otherwise would have.  We should expect e</w:t>
      </w:r>
      <w:r w:rsidRPr="00576ED7">
        <w:rPr>
          <w:szCs w:val="24"/>
        </w:rPr>
        <w:t>m</w:t>
      </w:r>
      <w:r w:rsidRPr="00576ED7">
        <w:rPr>
          <w:szCs w:val="24"/>
        </w:rPr>
        <w:t>ployees to deem employers who pay substandard wages in exchange for benefits that employees don’t really want to be not particularly desirable.  The converse is true also: employees should seek out employers who provide benefits that they particularly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overlap between benefits provided in the employment setting that the Code excludes from gross income and social benefits that the Code excludes from gross income.  An implicit message is that the employment setting is where e</w:t>
      </w:r>
      <w:r w:rsidRPr="00576ED7">
        <w:rPr>
          <w:szCs w:val="24"/>
        </w:rPr>
        <w:t>m</w:t>
      </w:r>
      <w:r w:rsidRPr="00576ED7">
        <w:rPr>
          <w:szCs w:val="24"/>
        </w:rPr>
        <w:t xml:space="preserve">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  See whether you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Group Term Life Insurance: § 79</w:t>
      </w:r>
      <w:r w:rsidRPr="00576ED7">
        <w:rPr>
          <w:szCs w:val="24"/>
        </w:rPr>
        <w:fldChar w:fldCharType="begin"/>
      </w:r>
      <w:r w:rsidRPr="00576ED7">
        <w:rPr>
          <w:i/>
          <w:szCs w:val="24"/>
        </w:rPr>
        <w:instrText xml:space="preserve"> TC \l2 "A.  Group Term Life Insurance: § 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79.  What is the effect of restricting the exclusion to the purchase of group-term life insurance and not allowing discrimination in favor of a key e</w:t>
      </w:r>
      <w:r w:rsidRPr="00576ED7">
        <w:rPr>
          <w:szCs w:val="24"/>
        </w:rPr>
        <w:t>m</w:t>
      </w:r>
      <w:r w:rsidRPr="00576ED7">
        <w:rPr>
          <w:szCs w:val="24"/>
        </w:rPr>
        <w:t>ployee? Why should there be a $50,000 ceiling on the amount of group-term life insurance whose purchase is excluded from an employee’s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Educational Assistance Programs: § 127</w:t>
      </w:r>
      <w:r w:rsidRPr="00576ED7">
        <w:rPr>
          <w:szCs w:val="24"/>
        </w:rPr>
        <w:fldChar w:fldCharType="begin"/>
      </w:r>
      <w:r w:rsidRPr="00576ED7">
        <w:rPr>
          <w:i/>
          <w:szCs w:val="24"/>
        </w:rPr>
        <w:instrText xml:space="preserve"> TC \l2 "B.  Educational Assistance Programs: § 127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127.  Why might a relatively low-cost private school charge more tuition per credit hour in its night or weekend MBA programs than it does for its full-time day program?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 Care Assistance Programs: § 129</w:t>
      </w:r>
      <w:r w:rsidRPr="00576ED7">
        <w:rPr>
          <w:szCs w:val="24"/>
        </w:rPr>
        <w:fldChar w:fldCharType="begin"/>
      </w:r>
      <w:r w:rsidRPr="00576ED7">
        <w:rPr>
          <w:i/>
          <w:szCs w:val="24"/>
        </w:rPr>
        <w:instrText xml:space="preserve"> TC \l2 "C.  Dependent Care Assistance Programs: § 129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129.  Why might a highly-paid employee prefer a dependent care assi</w:t>
      </w:r>
      <w:r w:rsidRPr="00576ED7">
        <w:rPr>
          <w:szCs w:val="24"/>
        </w:rPr>
        <w:t>s</w:t>
      </w:r>
      <w:r w:rsidRPr="00576ED7">
        <w:rPr>
          <w:szCs w:val="24"/>
        </w:rPr>
        <w:t xml:space="preserve">tance program to a 20% credit against income tax liability? What is the maximum </w:t>
      </w:r>
      <w:r w:rsidR="007E6C15">
        <w:rPr>
          <w:szCs w:val="24"/>
        </w:rPr>
        <w:t>available exclusion if taxpayer has one child?</w:t>
      </w:r>
      <w:r w:rsidRPr="00576ED7">
        <w:rPr>
          <w:szCs w:val="24"/>
        </w:rPr>
        <w:t xml:space="preserve"> Compare these figure with th</w:t>
      </w:r>
      <w:r w:rsidR="007E6C15">
        <w:rPr>
          <w:szCs w:val="24"/>
        </w:rPr>
        <w:t>at</w:t>
      </w:r>
      <w:r w:rsidRPr="00576ED7">
        <w:rPr>
          <w:szCs w:val="24"/>
        </w:rPr>
        <w:t xml:space="preserve"> of § 21.</w:t>
      </w:r>
    </w:p>
    <w:p w:rsidR="0049128E" w:rsidRPr="00576ED7" w:rsidRDefault="0049128E" w:rsidP="00A6585D">
      <w:pPr>
        <w:widowControl w:val="0"/>
        <w:ind w:left="720"/>
        <w:jc w:val="both"/>
        <w:rPr>
          <w:szCs w:val="24"/>
        </w:rPr>
      </w:pPr>
      <w:r w:rsidRPr="00576ED7">
        <w:rPr>
          <w:szCs w:val="24"/>
        </w:rPr>
        <w:t>•Consider: Taxpayers (married filing jointly) have three children, none of whom has reached the age of 13.  They both work and earn substantial i</w:t>
      </w:r>
      <w:r w:rsidRPr="00576ED7">
        <w:rPr>
          <w:szCs w:val="24"/>
        </w:rPr>
        <w:t>n</w:t>
      </w:r>
      <w:r w:rsidRPr="00576ED7">
        <w:rPr>
          <w:szCs w:val="24"/>
        </w:rPr>
        <w:t>comes.  They are in the 35% income tax bracket, and their credit under § 21 is 20% of their dependent care expenses.  They incur $6000 of depen</w:t>
      </w:r>
      <w:r w:rsidRPr="00576ED7">
        <w:rPr>
          <w:szCs w:val="24"/>
        </w:rPr>
        <w:t>d</w:t>
      </w:r>
      <w:r w:rsidRPr="00576ED7">
        <w:rPr>
          <w:szCs w:val="24"/>
        </w:rPr>
        <w:lastRenderedPageBreak/>
        <w:t>ent care expenses during the year.  Should they prefer an exclusion under § 129 or a tax credit under § 21?</w:t>
      </w:r>
    </w:p>
    <w:p w:rsidR="0049128E" w:rsidRPr="00576ED7" w:rsidRDefault="0049128E" w:rsidP="00A6585D">
      <w:pPr>
        <w:widowControl w:val="0"/>
        <w:ind w:left="720"/>
        <w:jc w:val="both"/>
        <w:rPr>
          <w:szCs w:val="24"/>
        </w:rPr>
      </w:pPr>
      <w:r w:rsidRPr="00576ED7">
        <w:rPr>
          <w:szCs w:val="24"/>
        </w:rPr>
        <w:t xml:space="preserve">•Same facts, except that the ages of the children are 10, 15, and 16.  Should they prefer an exclusion under § 129 or a tax credit under § 21?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Employer Contributions to Accident and Health Plans: § 106</w:t>
      </w:r>
      <w:r w:rsidRPr="00576ED7">
        <w:rPr>
          <w:szCs w:val="24"/>
        </w:rPr>
        <w:fldChar w:fldCharType="begin"/>
      </w:r>
      <w:r w:rsidRPr="00576ED7">
        <w:rPr>
          <w:i/>
          <w:szCs w:val="24"/>
        </w:rPr>
        <w:instrText xml:space="preserve"> TC \l2 "D.  Employer Contributions to Accident and Health Plans: § 106</w:instrText>
      </w:r>
      <w:r w:rsidRPr="00576ED7">
        <w:rPr>
          <w:szCs w:val="24"/>
        </w:rPr>
        <w:fldChar w:fldCharType="end"/>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Read §§ 106 and 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lived under wage and price controls.  Employers could circumvent wage controls by providing employees with certain benefits, notably pensions and health insurance.  In 1954, Congress codified the employee exclusion of employer payments for accident or health plans in § 106(a).  Recall that § 105(b) excludes the payments that such plans provide for care from gross income.  Employers of course deduct whatever payments they make as employee compensation, § 162(a)(1).  Thus most of the money that employees spend or e</w:t>
      </w:r>
      <w:r w:rsidRPr="00576ED7">
        <w:rPr>
          <w:szCs w:val="24"/>
        </w:rPr>
        <w:t>m</w:t>
      </w:r>
      <w:r w:rsidRPr="00576ED7">
        <w:rPr>
          <w:szCs w:val="24"/>
        </w:rPr>
        <w:t>ployers spend on their behalf for health care is never subject to income tax at e</w:t>
      </w:r>
      <w:r w:rsidRPr="00576ED7">
        <w:rPr>
          <w:szCs w:val="24"/>
        </w:rPr>
        <w:t>i</w:t>
      </w:r>
      <w:r w:rsidRPr="00576ED7">
        <w:rPr>
          <w:szCs w:val="24"/>
        </w:rPr>
        <w:t>ther the employer or employee level.  Not surprisingly, in the United States health care is now a significant aspect of any employment relationship.  Costs have sp</w:t>
      </w:r>
      <w:r w:rsidRPr="00576ED7">
        <w:rPr>
          <w:szCs w:val="24"/>
        </w:rPr>
        <w:t>i</w:t>
      </w:r>
      <w:r w:rsidRPr="00576ED7">
        <w:rPr>
          <w:szCs w:val="24"/>
        </w:rPr>
        <w:t>raled upward, and payments for health plans have become the most costly e</w:t>
      </w:r>
      <w:r w:rsidRPr="00576ED7">
        <w:rPr>
          <w:szCs w:val="24"/>
        </w:rPr>
        <w:t>x</w:t>
      </w:r>
      <w:r w:rsidRPr="00576ED7">
        <w:rPr>
          <w:szCs w:val="24"/>
        </w:rPr>
        <w:t xml:space="preserve">penditure that employers make for employee benefits.  Highly distorted markets for health care services now exist in the United States.  </w:t>
      </w:r>
      <w:r w:rsidRPr="00576ED7">
        <w:rPr>
          <w:i/>
          <w:szCs w:val="24"/>
        </w:rPr>
        <w:t>See</w:t>
      </w:r>
      <w:r w:rsidRPr="00576ED7">
        <w:rPr>
          <w:szCs w:val="24"/>
        </w:rPr>
        <w:t xml:space="preserve"> William P. Kratzke, </w:t>
      </w:r>
      <w:r w:rsidRPr="00576ED7">
        <w:rPr>
          <w:i/>
          <w:szCs w:val="24"/>
        </w:rPr>
        <w:t>Tax Subsidies, Third-Party Payments, and Cross-Subsidization: America’s Di</w:t>
      </w:r>
      <w:r w:rsidRPr="00576ED7">
        <w:rPr>
          <w:i/>
          <w:szCs w:val="24"/>
        </w:rPr>
        <w:t>s</w:t>
      </w:r>
      <w:r w:rsidRPr="00576ED7">
        <w:rPr>
          <w:i/>
          <w:szCs w:val="24"/>
        </w:rPr>
        <w:t>torted Health Care Markets</w:t>
      </w:r>
      <w:r w:rsidRPr="00576ED7">
        <w:rPr>
          <w:szCs w:val="24"/>
        </w:rPr>
        <w:t xml:space="preserve">, 40 </w:t>
      </w:r>
      <w:r w:rsidRPr="00576ED7">
        <w:rPr>
          <w:smallCaps/>
          <w:szCs w:val="24"/>
        </w:rPr>
        <w:t>U. Mem. L. Rev.</w:t>
      </w:r>
      <w:r w:rsidRPr="00576ED7">
        <w:rPr>
          <w:szCs w:val="24"/>
        </w:rPr>
        <w:t xml:space="preserve"> 279 (2009).</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Health Savings Accounts (HSA) are savings accounts established for the benefit of an individual who has a high-deductible health plan.  </w:t>
      </w:r>
      <w:r w:rsidRPr="00576ED7">
        <w:rPr>
          <w:i/>
          <w:szCs w:val="24"/>
        </w:rPr>
        <w:t>See</w:t>
      </w:r>
      <w:r w:rsidRPr="00576ED7">
        <w:rPr>
          <w:szCs w:val="24"/>
        </w:rPr>
        <w:t xml:space="preserve"> § 223.  An employee taxpayer may deduct the contributions s/he makes to such an account.  § 223(a). An employee taxpayer may exclude employer contributions to such an account. § 106(d).  Unspent funds in an HSA grow tax-free.  § 223(e)(1). There is a monthly limit to the amount that taxpayer may save in such accounts.  The savings in the account can be withdrawn without income tax to pay for medical expenses, pr</w:t>
      </w:r>
      <w:r w:rsidRPr="00576ED7">
        <w:rPr>
          <w:szCs w:val="24"/>
        </w:rPr>
        <w:t>e</w:t>
      </w:r>
      <w:r w:rsidRPr="00576ED7">
        <w:rPr>
          <w:szCs w:val="24"/>
        </w:rPr>
        <w:t>sumably for the deductible portion that the health plan will not pay for.  § 213(f)(1).  Employer contributions to an HSA are not subject to employment ta</w:t>
      </w:r>
      <w:r w:rsidRPr="00576ED7">
        <w:rPr>
          <w:szCs w:val="24"/>
        </w:rPr>
        <w:t>x</w:t>
      </w:r>
      <w:r w:rsidRPr="00576ED7">
        <w:rPr>
          <w:szCs w:val="24"/>
        </w:rPr>
        <w:t>es, § 106(d)(1), but employee contributions are subject to employment taxes.</w:t>
      </w:r>
    </w:p>
    <w:p w:rsidR="002F35E7" w:rsidRDefault="002F35E7" w:rsidP="00A6585D">
      <w:pPr>
        <w:widowControl w:val="0"/>
        <w:jc w:val="both"/>
        <w:rPr>
          <w:szCs w:val="24"/>
        </w:rPr>
      </w:pPr>
    </w:p>
    <w:p w:rsidR="002F35E7" w:rsidRPr="00576ED7" w:rsidRDefault="002F35E7" w:rsidP="00A6585D">
      <w:pPr>
        <w:widowControl w:val="0"/>
        <w:jc w:val="both"/>
        <w:rPr>
          <w:szCs w:val="24"/>
        </w:rPr>
      </w:pPr>
      <w:r>
        <w:rPr>
          <w:szCs w:val="24"/>
        </w:rPr>
        <w:t>Beginning in tax year 2018, a 40% excise tax will be due from the health insu</w:t>
      </w:r>
      <w:r>
        <w:rPr>
          <w:szCs w:val="24"/>
        </w:rPr>
        <w:t>r</w:t>
      </w:r>
      <w:r>
        <w:rPr>
          <w:szCs w:val="24"/>
        </w:rPr>
        <w:t xml:space="preserve">ance issuer, the employer, or the plan administrator – as the case may be – on </w:t>
      </w:r>
      <w:r>
        <w:rPr>
          <w:szCs w:val="24"/>
        </w:rPr>
        <w:lastRenderedPageBreak/>
        <w:t>amounts paid for coverage that exceed a threshold cost of so-called “Cadillac health plans.”  § 4980I.  This tax is not deductible.  § 275(a)(6).  Such a tax will likely greatly increase the cost of such coverage and make employers less willing to provide it, even for substantial trade-offs in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  Meals or Lodging Furnished for the Convenience of the Employer: § 119</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 119</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Read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whether cash payments to state police troopers, designated as meal allowances, are included in gross income under § 61(a) of the Internal Revenue Code ..., 26 U.S.C. § 61(a), [footnote omitted] and, if so, are otherwise excludable under § 119 of the Code, 26 U.S.C. § 119.  [footnote omi</w:t>
      </w:r>
      <w:r w:rsidRPr="00576ED7">
        <w:rPr>
          <w:szCs w:val="24"/>
        </w:rPr>
        <w:t>t</w:t>
      </w:r>
      <w:r w:rsidRPr="00576ED7">
        <w:rPr>
          <w:szCs w:val="24"/>
        </w:rPr>
        <w: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Respondent [footnote omitted] is a state police trooper employed by the Div</w:t>
      </w:r>
      <w:r w:rsidRPr="00576ED7">
        <w:rPr>
          <w:szCs w:val="24"/>
        </w:rPr>
        <w:t>i</w:t>
      </w:r>
      <w:r w:rsidRPr="00576ED7">
        <w:rPr>
          <w:szCs w:val="24"/>
        </w:rPr>
        <w:t>sion of State Police of the Department of Law and Public Safety of the State of New Jersey.  During 1970, the tax year in question, he received a base salary of $8,739.38, and an additional $1,697.54 [footnote omitted] designated as an allo</w:t>
      </w:r>
      <w:r w:rsidRPr="00576ED7">
        <w:rPr>
          <w:szCs w:val="24"/>
        </w:rPr>
        <w:t>w</w:t>
      </w:r>
      <w:r w:rsidRPr="00576ED7">
        <w:rPr>
          <w:szCs w:val="24"/>
        </w:rPr>
        <w:t>ance for meals.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State’s cash allowance] system, troopers remain on call in their a</w:t>
      </w:r>
      <w:r w:rsidRPr="00576ED7">
        <w:rPr>
          <w:szCs w:val="24"/>
        </w:rPr>
        <w:t>s</w:t>
      </w:r>
      <w:r w:rsidRPr="00576ED7">
        <w:rPr>
          <w:szCs w:val="24"/>
        </w:rPr>
        <w:t>signed patrol areas during their midshift break.  Otherwise, troopers are not r</w:t>
      </w:r>
      <w:r w:rsidRPr="00576ED7">
        <w:rPr>
          <w:szCs w:val="24"/>
        </w:rPr>
        <w:t>e</w:t>
      </w:r>
      <w:r w:rsidRPr="00576ED7">
        <w:rPr>
          <w:szCs w:val="24"/>
        </w:rPr>
        <w:t>stricted in any way with respect to where they may eat in the patrol area and, i</w:t>
      </w:r>
      <w:r w:rsidRPr="00576ED7">
        <w:rPr>
          <w:szCs w:val="24"/>
        </w:rPr>
        <w:t>n</w:t>
      </w:r>
      <w:r w:rsidRPr="00576ED7">
        <w:rPr>
          <w:szCs w:val="24"/>
        </w:rPr>
        <w:t>deed, may eat at home if it is located within that area.  Troopers may also bring their midshift meal to the job and eat it in or near their patrol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meal allowance is paid biweekly in advance and is included, although sep</w:t>
      </w:r>
      <w:r w:rsidRPr="00576ED7">
        <w:rPr>
          <w:szCs w:val="24"/>
        </w:rPr>
        <w:t>a</w:t>
      </w:r>
      <w:r w:rsidRPr="00576ED7">
        <w:rPr>
          <w:szCs w:val="24"/>
        </w:rPr>
        <w:t>rately stated, with the trooper’s salary.  The meal allowance money is also sep</w:t>
      </w:r>
      <w:r w:rsidRPr="00576ED7">
        <w:rPr>
          <w:szCs w:val="24"/>
        </w:rPr>
        <w:t>a</w:t>
      </w:r>
      <w:r w:rsidRPr="00576ED7">
        <w:rPr>
          <w:szCs w:val="24"/>
        </w:rPr>
        <w:t>rately accounted for in the State’s accounting system.  Funds are never commi</w:t>
      </w:r>
      <w:r w:rsidRPr="00576ED7">
        <w:rPr>
          <w:szCs w:val="24"/>
        </w:rPr>
        <w:t>n</w:t>
      </w:r>
      <w:r w:rsidRPr="00576ED7">
        <w:rPr>
          <w:szCs w:val="24"/>
        </w:rPr>
        <w:lastRenderedPageBreak/>
        <w:t>gled between the salary and meal allowance accounts.  Because of these chara</w:t>
      </w:r>
      <w:r w:rsidRPr="00576ED7">
        <w:rPr>
          <w:szCs w:val="24"/>
        </w:rPr>
        <w:t>c</w:t>
      </w:r>
      <w:r w:rsidRPr="00576ED7">
        <w:rPr>
          <w:szCs w:val="24"/>
        </w:rPr>
        <w:t xml:space="preserve">teristics of the meal allowance system, the Tax Court concluded that the “meal allowance was not intended to represent additional compensation.”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sought review in the United States Tax Court, arguing that the cash meal allowance was not compensatory, but was furnished for the convenience of the employer, and hence was not “income” within the meaning of § 61(a), and that, in any case, the allowance could be excluded under § 119. ... [T]he Tax Court, with six dissents, [footnote omitted] held that the cash meal payments were income within the meaning of § 61 and, further, that such payments were not e</w:t>
      </w:r>
      <w:r w:rsidRPr="00576ED7">
        <w:rPr>
          <w:szCs w:val="24"/>
        </w:rPr>
        <w:t>x</w:t>
      </w:r>
      <w:r w:rsidRPr="00576ED7">
        <w:rPr>
          <w:szCs w:val="24"/>
        </w:rPr>
        <w:t xml:space="preserve">cludable under § 119.  [footnote omitted].  The Court of Appeals for the Third Circuit, in a per curiam opinion, held that its earlier decision in </w:t>
      </w:r>
      <w:r w:rsidRPr="00576ED7">
        <w:rPr>
          <w:i/>
          <w:szCs w:val="24"/>
        </w:rPr>
        <w:t>Saunders v. Co</w:t>
      </w:r>
      <w:r w:rsidRPr="00576ED7">
        <w:rPr>
          <w:i/>
          <w:szCs w:val="24"/>
        </w:rPr>
        <w:t>m</w:t>
      </w:r>
      <w:r w:rsidRPr="00576ED7">
        <w:rPr>
          <w:i/>
          <w:szCs w:val="24"/>
        </w:rPr>
        <w:t>missioner</w:t>
      </w:r>
      <w:r w:rsidRPr="00576ED7">
        <w:rPr>
          <w:szCs w:val="24"/>
        </w:rPr>
        <w:t>, 215 F.2d 768 (1954), which determined that cash payments under the New Jersey meal allowance program were not taxable, required reversal.  We granted certiorari to resolve a conflict among the Courts of Appeals on the que</w:t>
      </w:r>
      <w:r w:rsidRPr="00576ED7">
        <w:rPr>
          <w:szCs w:val="24"/>
        </w:rPr>
        <w:t>s</w:t>
      </w:r>
      <w:r w:rsidRPr="00576ED7">
        <w:rPr>
          <w:szCs w:val="24"/>
        </w:rPr>
        <w:t>tion.  [footnote omitted.  We reverse.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tabs>
          <w:tab w:val="center" w:pos="3960"/>
        </w:tabs>
        <w:jc w:val="both"/>
        <w:rPr>
          <w:szCs w:val="24"/>
        </w:rPr>
      </w:pPr>
      <w:r w:rsidRPr="00576ED7">
        <w:rPr>
          <w:szCs w:val="24"/>
        </w:rPr>
        <w:lastRenderedPageBreak/>
        <w:tab/>
        <w:t>A</w:t>
      </w:r>
    </w:p>
    <w:p w:rsidR="0049128E" w:rsidRPr="00576ED7" w:rsidRDefault="0049128E" w:rsidP="00A6585D">
      <w:pPr>
        <w:widowControl w:val="0"/>
        <w:jc w:val="both"/>
        <w:rPr>
          <w:szCs w:val="24"/>
        </w:rPr>
      </w:pPr>
      <w:r w:rsidRPr="00576ED7">
        <w:rPr>
          <w:szCs w:val="24"/>
        </w:rPr>
        <w:t>The starting point in the determination of the scope of “gross income” is the ca</w:t>
      </w:r>
      <w:r w:rsidRPr="00576ED7">
        <w:rPr>
          <w:szCs w:val="24"/>
        </w:rPr>
        <w:t>r</w:t>
      </w:r>
      <w:r w:rsidRPr="00576ED7">
        <w:rPr>
          <w:szCs w:val="24"/>
        </w:rPr>
        <w:t xml:space="preserve">dinal principle that Congress in creating the income tax intended “to use the full measure of its taxing power.”  [citations omitted].  ... In the absence of a specific exemption, therefore, respondent’s meal allowance payments are income within the meaning of § 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contends, however, that § 119 can be construed to be a specific e</w:t>
      </w:r>
      <w:r w:rsidRPr="00576ED7">
        <w:rPr>
          <w:szCs w:val="24"/>
        </w:rPr>
        <w:t>x</w:t>
      </w:r>
      <w:r w:rsidRPr="00576ED7">
        <w:rPr>
          <w:szCs w:val="24"/>
        </w:rPr>
        <w:t>emption covering the meal allowance payments to New Jersey troopers.  Altern</w:t>
      </w:r>
      <w:r w:rsidRPr="00576ED7">
        <w:rPr>
          <w:szCs w:val="24"/>
        </w:rPr>
        <w:t>a</w:t>
      </w:r>
      <w:r w:rsidRPr="00576ED7">
        <w:rPr>
          <w:szCs w:val="24"/>
        </w:rPr>
        <w:t>tively, respondent argues that notwithstanding § 119, a specific exemption may be found in a line of lower court cases and administrative rulings which recognize that benefits conferred by an employer on an employee “for the convenience of the employer” – at least when such benefits are not “compensatory” – are not i</w:t>
      </w:r>
      <w:r w:rsidRPr="00576ED7">
        <w:rPr>
          <w:szCs w:val="24"/>
        </w:rPr>
        <w:t>n</w:t>
      </w:r>
      <w:r w:rsidRPr="00576ED7">
        <w:rPr>
          <w:szCs w:val="24"/>
        </w:rPr>
        <w:t>come within the meaning of the Internal Revenue Code.  In responding to these contentions, we turn first to § 119.  Since we hold that § 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w:t>
      </w:r>
      <w:r w:rsidRPr="00576ED7">
        <w:rPr>
          <w:szCs w:val="24"/>
        </w:rPr>
        <w:t>y</w:t>
      </w:r>
      <w:r w:rsidRPr="00576ED7">
        <w:rPr>
          <w:szCs w:val="24"/>
        </w:rPr>
        <w:t>er, but only if ... the meals are furnished on the business premises of the employer ...”</w:t>
      </w:r>
      <w:r w:rsidR="00297B43">
        <w:rPr>
          <w:szCs w:val="24"/>
        </w:rPr>
        <w:t xml:space="preserve">  </w:t>
      </w:r>
      <w:r w:rsidRPr="00576ED7">
        <w:rPr>
          <w:szCs w:val="24"/>
        </w:rPr>
        <w:t>By its terms, § 119 covers meals furnished by the employer, and not cash r</w:t>
      </w:r>
      <w:r w:rsidRPr="00576ED7">
        <w:rPr>
          <w:szCs w:val="24"/>
        </w:rPr>
        <w:t>e</w:t>
      </w:r>
      <w:r w:rsidRPr="00576ED7">
        <w:rPr>
          <w:szCs w:val="24"/>
        </w:rPr>
        <w:t xml:space="preserve">imbursements for meals.  This is not a mere oversight.  As we shall explain at greater length below, the form of § 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 1.119-1(c)(2) ... Accordingly, r</w:t>
      </w:r>
      <w:r w:rsidRPr="00576ED7">
        <w:rPr>
          <w:szCs w:val="24"/>
        </w:rPr>
        <w:t>e</w:t>
      </w:r>
      <w:r w:rsidRPr="00576ED7">
        <w:rPr>
          <w:szCs w:val="24"/>
        </w:rPr>
        <w:t>spondent’s meal allowance payments are not subject to exclusion under § 119.</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The “convenience of the employer” doctrine is not a tidy one.  The phrase “co</w:t>
      </w:r>
      <w:r w:rsidRPr="00576ED7">
        <w:rPr>
          <w:szCs w:val="24"/>
        </w:rPr>
        <w:t>n</w:t>
      </w:r>
      <w:r w:rsidRPr="00576ED7">
        <w:rPr>
          <w:szCs w:val="24"/>
        </w:rPr>
        <w:t xml:space="preserve">venience of the employer” first appeared in O.D. 265, 1 Cum. Bull. 71 (1919), in </w:t>
      </w:r>
      <w:r w:rsidRPr="00576ED7">
        <w:rPr>
          <w:szCs w:val="24"/>
        </w:rPr>
        <w:lastRenderedPageBreak/>
        <w:t>a ruling exempting from the income tax board and lodging furnished seamen aboard ship.  The following year, T.D. 2992, 2 Cum. Bull. 76 (1920), was issued, and added a “convenience of the employer” section to Treas. Regs. 45, Art. 33 ...</w:t>
      </w:r>
      <w:r w:rsidR="00297B43">
        <w:rPr>
          <w:szCs w:val="24"/>
        </w:rPr>
        <w:t xml:space="preserve">  </w:t>
      </w:r>
      <w:r w:rsidRPr="00576ED7">
        <w:rPr>
          <w:szCs w:val="24"/>
        </w:rPr>
        <w:t>While T.D. 2992 extended the “convenience of the employer” test as a general rule solely to items received in kind, O.D. 514, 2 Cum. Bull. 90 (1920), extended the “convenience of the employer” doctrine to cash payments for “supper mo</w:t>
      </w:r>
      <w:r w:rsidRPr="00576ED7">
        <w:rPr>
          <w:szCs w:val="24"/>
        </w:rPr>
        <w:t>n</w:t>
      </w:r>
      <w:r w:rsidRPr="00576ED7">
        <w:rPr>
          <w:szCs w:val="24"/>
        </w:rPr>
        <w:t>ey.”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rationale of both T.D. 2992 and O.D. 514 appears to have been that benefits conferred by an employer on an employee in the designated circumstances were not compensation for services, and hence not income.  Subsequent rulings equi</w:t>
      </w:r>
      <w:r w:rsidRPr="00576ED7">
        <w:rPr>
          <w:szCs w:val="24"/>
        </w:rPr>
        <w:t>v</w:t>
      </w:r>
      <w:r w:rsidRPr="00576ED7">
        <w:rPr>
          <w:szCs w:val="24"/>
        </w:rPr>
        <w:t>ocate on whether the noncompensatory character of a benefit could be inferred merely from its characterization by the employer, or whether there must be add</w:t>
      </w:r>
      <w:r w:rsidRPr="00576ED7">
        <w:rPr>
          <w:szCs w:val="24"/>
        </w:rPr>
        <w:t>i</w:t>
      </w:r>
      <w:r w:rsidRPr="00576ED7">
        <w:rPr>
          <w:szCs w:val="24"/>
        </w:rPr>
        <w:t>tional evidence that employees are granted a benefit solely because the emplo</w:t>
      </w:r>
      <w:r w:rsidRPr="00576ED7">
        <w:rPr>
          <w:szCs w:val="24"/>
        </w:rPr>
        <w:t>y</w:t>
      </w:r>
      <w:r w:rsidRPr="00576ED7">
        <w:rPr>
          <w:szCs w:val="24"/>
        </w:rPr>
        <w:t>er’s business could not function properly unless an employee was furnished that benefit on the employer’s premises.  O.D. 514, for example, focuses only on the employer’s characterization.  [footnote omitted] Two rulings issued in 1921, ho</w:t>
      </w:r>
      <w:r w:rsidRPr="00576ED7">
        <w:rPr>
          <w:szCs w:val="24"/>
        </w:rPr>
        <w:t>w</w:t>
      </w:r>
      <w:r w:rsidRPr="00576ED7">
        <w:rPr>
          <w:szCs w:val="24"/>
        </w:rPr>
        <w:t>ever, dealing respectively with cannery workers [footnote omitted] and hospital employees, [footnote omitted] emphasize the necessity of the benefits to the fun</w:t>
      </w:r>
      <w:r w:rsidRPr="00576ED7">
        <w:rPr>
          <w:szCs w:val="24"/>
        </w:rPr>
        <w:t>c</w:t>
      </w:r>
      <w:r w:rsidRPr="00576ED7">
        <w:rPr>
          <w:szCs w:val="24"/>
        </w:rPr>
        <w:t>tioning of the employer’s business, and this emphasis was made the authoritative interpretation of the “convenience of the employer” provisions of the regulations in Mim. 5023, 1940-1 Cum. Bull. 14.</w:t>
      </w:r>
      <w:r w:rsidRPr="00576ED7">
        <w:rPr>
          <w:rStyle w:val="FootnoteReference"/>
          <w:szCs w:val="24"/>
        </w:rPr>
        <w:footnoteReference w:id="5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Adding complexity, however, is Mim. 6472, 1950-1 Cum. Bull. 15, issued in 1950.  This mimeograph states in relevant part:</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“The ‘convenience of the employer’ rule is simply an administrative test to be applied only in cases in which the compensatory character of ... be</w:t>
      </w:r>
      <w:r w:rsidRPr="00576ED7">
        <w:rPr>
          <w:szCs w:val="24"/>
        </w:rPr>
        <w:t>n</w:t>
      </w:r>
      <w:r w:rsidRPr="00576ED7">
        <w:rPr>
          <w:szCs w:val="24"/>
        </w:rPr>
        <w:t>efits is not otherwise determinable.  It follows that the rule should not be applied in any case in which it is evident from the other circumstances i</w:t>
      </w:r>
      <w:r w:rsidRPr="00576ED7">
        <w:rPr>
          <w:szCs w:val="24"/>
        </w:rPr>
        <w:t>n</w:t>
      </w:r>
      <w:r w:rsidRPr="00576ED7">
        <w:rPr>
          <w:szCs w:val="24"/>
        </w:rPr>
        <w:t>volved that the receipt of quarters or meals by the employee represents compensation for services rendered.”</w:t>
      </w:r>
      <w:r w:rsidR="00297B43">
        <w:rPr>
          <w:szCs w:val="24"/>
        </w:rPr>
        <w:t xml:space="preserve">  </w:t>
      </w:r>
      <w:r w:rsidRPr="00576ED7">
        <w:rPr>
          <w:i/>
          <w:szCs w:val="24"/>
        </w:rPr>
        <w:t>Ibid.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Mimeograph 6472 expressly modified all previous rulings which had suggested that meals and lodging could be excluded from income upon a simple finding that </w:t>
      </w:r>
      <w:r w:rsidRPr="00576ED7">
        <w:rPr>
          <w:szCs w:val="24"/>
        </w:rPr>
        <w:lastRenderedPageBreak/>
        <w:t>the furnishing of such benefits was necessary to allow an employee to perform his duties properly.  [footnote omitted] However, the ruling apparently did not affect O.D. 514, which, as noted above, creates an exclusion from income based solely on an employer’s characterization of a payment as noncompensatory.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w:t>
      </w:r>
      <w:r w:rsidRPr="00576ED7">
        <w:rPr>
          <w:szCs w:val="24"/>
        </w:rPr>
        <w:t>n</w:t>
      </w:r>
      <w:r w:rsidRPr="00576ED7">
        <w:rPr>
          <w:szCs w:val="24"/>
        </w:rPr>
        <w:t>ferred by his employer.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w:t>
      </w:r>
      <w:r w:rsidRPr="00576ED7">
        <w:rPr>
          <w:szCs w:val="24"/>
        </w:rPr>
        <w:t>m</w:t>
      </w:r>
      <w:r w:rsidRPr="00576ED7">
        <w:rPr>
          <w:szCs w:val="24"/>
        </w:rPr>
        <w:t>pensation received as such” within the meaning of § 213 of the Revenue Act of 1921, 42 Stat. 237, and also on the proposition that “public quarters for the hou</w:t>
      </w:r>
      <w:r w:rsidRPr="00576ED7">
        <w:rPr>
          <w:szCs w:val="24"/>
        </w:rPr>
        <w:t>s</w:t>
      </w:r>
      <w:r w:rsidRPr="00576ED7">
        <w:rPr>
          <w:szCs w:val="24"/>
        </w:rPr>
        <w:t>ing of ... officers is as much a military necessity as the procurement of impl</w:t>
      </w:r>
      <w:r w:rsidRPr="00576ED7">
        <w:rPr>
          <w:szCs w:val="24"/>
        </w:rPr>
        <w:t>e</w:t>
      </w:r>
      <w:r w:rsidRPr="00576ED7">
        <w:rPr>
          <w:szCs w:val="24"/>
        </w:rPr>
        <w:t xml:space="preserve">ments of warfare or the training of troops.”  60 Ct. Cl. at 569; 565-568.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9"/>
      </w:r>
      <w:r w:rsidRPr="00576ED7">
        <w:rPr>
          <w:szCs w:val="24"/>
        </w:rPr>
        <w:t xml:space="preserve">  </w:t>
      </w:r>
      <w:r w:rsidRPr="00576ED7">
        <w:rPr>
          <w:i/>
          <w:szCs w:val="24"/>
        </w:rPr>
        <w:t>Van Rosen</w:t>
      </w:r>
      <w:r w:rsidRPr="00576ED7">
        <w:rPr>
          <w:szCs w:val="24"/>
        </w:rPr>
        <w:t xml:space="preserve">’s unanimous decision is of particular interest in interpreting the legislative </w:t>
      </w:r>
      <w:r w:rsidRPr="00576ED7">
        <w:rPr>
          <w:szCs w:val="24"/>
        </w:rPr>
        <w:lastRenderedPageBreak/>
        <w:t xml:space="preserve">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the subsistence payments involved in the lit</w:t>
      </w:r>
      <w:r w:rsidRPr="00576ED7">
        <w:rPr>
          <w:szCs w:val="24"/>
        </w:rPr>
        <w:t>i</w:t>
      </w:r>
      <w:r w:rsidRPr="00576ED7">
        <w:rPr>
          <w:szCs w:val="24"/>
        </w:rPr>
        <w:t xml:space="preserve">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w:t>
      </w:r>
      <w:r w:rsidRPr="00576ED7">
        <w:rPr>
          <w:szCs w:val="24"/>
        </w:rPr>
        <w:t>r</w:t>
      </w:r>
      <w:r w:rsidRPr="00576ED7">
        <w:rPr>
          <w:szCs w:val="24"/>
        </w:rPr>
        <w:t>ently on the theory that a civilian who receives cash allowances for expenses ot</w:t>
      </w:r>
      <w:r w:rsidRPr="00576ED7">
        <w:rPr>
          <w:szCs w:val="24"/>
        </w:rPr>
        <w:t>h</w:t>
      </w:r>
      <w:r w:rsidRPr="00576ED7">
        <w:rPr>
          <w:szCs w:val="24"/>
        </w:rPr>
        <w:t xml:space="preserve">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w:t>
      </w:r>
      <w:r w:rsidRPr="00576ED7">
        <w:rPr>
          <w:szCs w:val="24"/>
        </w:rPr>
        <w:t>h</w:t>
      </w:r>
      <w:r w:rsidRPr="00576ED7">
        <w:rPr>
          <w:szCs w:val="24"/>
        </w:rPr>
        <w:t>ing of food and lodging.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w:t>
      </w:r>
      <w:r w:rsidRPr="00576ED7">
        <w:rPr>
          <w:i/>
          <w:szCs w:val="24"/>
        </w:rPr>
        <w:t>s</w:t>
      </w:r>
      <w:r w:rsidRPr="00576ED7">
        <w:rPr>
          <w:i/>
          <w:szCs w:val="24"/>
        </w:rPr>
        <w:t>sioner</w:t>
      </w:r>
      <w:r w:rsidRPr="00576ED7">
        <w:rPr>
          <w:szCs w:val="24"/>
        </w:rPr>
        <w:t xml:space="preserve">, 21 T.C. 374 (1953), returned in part to the “employer’s characterization” rationale rejected by </w:t>
      </w:r>
      <w:r w:rsidRPr="00576ED7">
        <w:rPr>
          <w:i/>
          <w:szCs w:val="24"/>
        </w:rPr>
        <w:t>Van Rosen</w:t>
      </w:r>
      <w:r w:rsidRPr="00576ED7">
        <w:rPr>
          <w:szCs w:val="24"/>
        </w:rPr>
        <w:t xml:space="preserve">.  In </w:t>
      </w:r>
      <w:r w:rsidRPr="00576ED7">
        <w:rPr>
          <w:i/>
          <w:szCs w:val="24"/>
        </w:rPr>
        <w:t>Doran</w:t>
      </w:r>
      <w:r w:rsidRPr="00576ED7">
        <w:rPr>
          <w:szCs w:val="24"/>
        </w:rPr>
        <w:t>, the taxpayer was furnished lodging in kind by a state school.  State law required the value of the lodging to be included in the employee’s compensation.  Although the court concluded that the lodging was furnished to allow the taxpayer to be on 24-hour call, a reason normally su</w:t>
      </w:r>
      <w:r w:rsidRPr="00576ED7">
        <w:rPr>
          <w:szCs w:val="24"/>
        </w:rPr>
        <w:t>f</w:t>
      </w:r>
      <w:r w:rsidRPr="00576ED7">
        <w:rPr>
          <w:szCs w:val="24"/>
        </w:rPr>
        <w:t xml:space="preserve">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t>
      </w:r>
      <w:r w:rsidRPr="00576ED7">
        <w:rPr>
          <w:szCs w:val="24"/>
        </w:rPr>
        <w:t>w</w:t>
      </w:r>
      <w:r w:rsidRPr="00576ED7">
        <w:rPr>
          <w:szCs w:val="24"/>
        </w:rPr>
        <w:t xml:space="preserve">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D</w:t>
      </w:r>
    </w:p>
    <w:p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w:t>
      </w:r>
      <w:r w:rsidRPr="00576ED7">
        <w:rPr>
          <w:szCs w:val="24"/>
        </w:rPr>
        <w:t>r</w:t>
      </w:r>
      <w:r w:rsidRPr="00576ED7">
        <w:rPr>
          <w:szCs w:val="24"/>
        </w:rPr>
        <w:t xml:space="preserve">vives the 1954 recodification of the Internal Revenue Code.  [citation omitted].  </w:t>
      </w:r>
      <w:r w:rsidRPr="00576ED7">
        <w:rPr>
          <w:szCs w:val="24"/>
        </w:rPr>
        <w:lastRenderedPageBreak/>
        <w:t>Two provisions of the 1954 Code are relevant to this inquiry: § 119 and § 120 [footnote omitted], now repealed [footnote omitted], which allowed police offi</w:t>
      </w:r>
      <w:r w:rsidRPr="00576ED7">
        <w:rPr>
          <w:szCs w:val="24"/>
        </w:rPr>
        <w:t>c</w:t>
      </w:r>
      <w:r w:rsidRPr="00576ED7">
        <w:rPr>
          <w:szCs w:val="24"/>
        </w:rPr>
        <w:t>ers to exclude from income subsistence allowances of up to $5 per day.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enacting § 119, the Congress was determined to “end the confusion as to the tax status of meals and lodging furnished an employee by his employer.”  H.R. Rep. No. 1337, 83d Cong., 2d Sess., 18 (1954); S. Rep. No. 1622, 83d Cong., 2d Sess., 19 (1954).  However, the House and Senate initially differed on the signif</w:t>
      </w:r>
      <w:r w:rsidRPr="00576ED7">
        <w:rPr>
          <w:szCs w:val="24"/>
        </w:rPr>
        <w:t>i</w:t>
      </w:r>
      <w:r w:rsidRPr="00576ED7">
        <w:rPr>
          <w:szCs w:val="24"/>
        </w:rPr>
        <w:t>cance that should be given the “convenience of the employer” doctrine for the purposes of § 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 119 (1954).  Since no reference whatsoever was made to the concept, the House view apparently was that a statute “designed to end the confusion as to the tax status of meals and lodging furnished an employee by his employer” required complete disregard of the “convenience of the employer” do</w:t>
      </w:r>
      <w:r w:rsidRPr="00576ED7">
        <w:rPr>
          <w:szCs w:val="24"/>
        </w:rPr>
        <w:t>c</w:t>
      </w:r>
      <w:r w:rsidRPr="00576ED7">
        <w:rPr>
          <w:szCs w:val="24"/>
        </w:rPr>
        <w:t>trine.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however, was of the view that the doctrine had at least a limited role to play.  After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rsidR="0049128E" w:rsidRPr="00576ED7" w:rsidRDefault="0049128E" w:rsidP="00A6585D">
      <w:pPr>
        <w:widowControl w:val="0"/>
        <w:jc w:val="both"/>
        <w:rPr>
          <w:szCs w:val="24"/>
        </w:rPr>
      </w:pPr>
    </w:p>
    <w:p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w:t>
      </w:r>
      <w:r w:rsidRPr="00576ED7">
        <w:rPr>
          <w:szCs w:val="24"/>
        </w:rPr>
        <w:t>y</w:t>
      </w:r>
      <w:r w:rsidRPr="00576ED7">
        <w:rPr>
          <w:szCs w:val="24"/>
        </w:rPr>
        <w:t>ment, are excludable from income whether or not furnished as compens</w:t>
      </w:r>
      <w:r w:rsidRPr="00576ED7">
        <w:rPr>
          <w:szCs w:val="24"/>
        </w:rPr>
        <w:t>a</w:t>
      </w:r>
      <w:r w:rsidRPr="00576ED7">
        <w:rPr>
          <w:szCs w:val="24"/>
        </w:rPr>
        <w:t>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w:t>
      </w:r>
      <w:r w:rsidRPr="00576ED7">
        <w:rPr>
          <w:szCs w:val="24"/>
        </w:rPr>
        <w:t>e</w:t>
      </w:r>
      <w:r w:rsidRPr="00576ED7">
        <w:rPr>
          <w:szCs w:val="24"/>
        </w:rPr>
        <w:t>ciding whether they were furnished for the convenience of the employer, the fact that a State statute or an employment contract fixing the terms of the employment indicate the meals or lodging are intended as compens</w:t>
      </w:r>
      <w:r w:rsidRPr="00576ED7">
        <w:rPr>
          <w:szCs w:val="24"/>
        </w:rPr>
        <w:t>a</w:t>
      </w:r>
      <w:r w:rsidRPr="00576ED7">
        <w:rPr>
          <w:szCs w:val="24"/>
        </w:rPr>
        <w:t>tion is not to be determinative.  This means that employees of State instit</w:t>
      </w:r>
      <w:r w:rsidRPr="00576ED7">
        <w:rPr>
          <w:szCs w:val="24"/>
        </w:rPr>
        <w:t>u</w:t>
      </w:r>
      <w:r w:rsidRPr="00576ED7">
        <w:rPr>
          <w:szCs w:val="24"/>
        </w:rPr>
        <w:t>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w:t>
      </w:r>
      <w:r w:rsidRPr="00576ED7">
        <w:rPr>
          <w:szCs w:val="24"/>
        </w:rPr>
        <w:lastRenderedPageBreak/>
        <w:t xml:space="preserve">No. 1622, </w:t>
      </w:r>
      <w:r w:rsidRPr="00576ED7">
        <w:rPr>
          <w:i/>
          <w:szCs w:val="24"/>
        </w:rPr>
        <w:t>supra</w:t>
      </w:r>
      <w:r w:rsidRPr="00576ED7">
        <w:rPr>
          <w:szCs w:val="24"/>
        </w:rPr>
        <w:t>, at 19.</w:t>
      </w:r>
    </w:p>
    <w:p w:rsidR="00297B43" w:rsidRDefault="00297B43" w:rsidP="00A6585D">
      <w:pPr>
        <w:widowControl w:val="0"/>
        <w:jc w:val="both"/>
        <w:rPr>
          <w:szCs w:val="24"/>
        </w:rPr>
      </w:pPr>
    </w:p>
    <w:p w:rsidR="0049128E" w:rsidRPr="00576ED7" w:rsidRDefault="0049128E" w:rsidP="00A6585D">
      <w:pPr>
        <w:widowControl w:val="0"/>
        <w:jc w:val="both"/>
        <w:rPr>
          <w:szCs w:val="24"/>
        </w:rPr>
      </w:pPr>
      <w:r w:rsidRPr="00576ED7">
        <w:rPr>
          <w:szCs w:val="24"/>
        </w:rPr>
        <w:t>In a technical appendix, the Senate Report further elaborated:</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“Section 119 applies only to meals or lodging furnished in kind.  Ther</w:t>
      </w:r>
      <w:r w:rsidRPr="00576ED7">
        <w:rPr>
          <w:szCs w:val="24"/>
        </w:rPr>
        <w:t>e</w:t>
      </w:r>
      <w:r w:rsidRPr="00576ED7">
        <w:rPr>
          <w:szCs w:val="24"/>
        </w:rPr>
        <w:t>fore, any cash allowances for meals or lodging received by an employee will continue to be includible in gross income to the extent that such a</w:t>
      </w:r>
      <w:r w:rsidRPr="00576ED7">
        <w:rPr>
          <w:szCs w:val="24"/>
        </w:rPr>
        <w:t>l</w:t>
      </w:r>
      <w:r w:rsidRPr="00576ED7">
        <w:rPr>
          <w:szCs w:val="24"/>
        </w:rPr>
        <w:t>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conference, the House acquiesced in the Senate’s version of § 119.  Because of this, respondent urges that § 119, as passed, did not discard the “convenience of the employer” doctrine, but indeed endorsed the doctrine shorn of the conf</w:t>
      </w:r>
      <w:r w:rsidRPr="00576ED7">
        <w:rPr>
          <w:szCs w:val="24"/>
        </w:rPr>
        <w:t>u</w:t>
      </w:r>
      <w:r w:rsidRPr="00576ED7">
        <w:rPr>
          <w:szCs w:val="24"/>
        </w:rPr>
        <w:t xml:space="preserve">sion created by Mim. 6472 and cases like </w:t>
      </w:r>
      <w:r w:rsidRPr="00576ED7">
        <w:rPr>
          <w:i/>
          <w:szCs w:val="24"/>
        </w:rPr>
        <w:t>Doran</w:t>
      </w:r>
      <w:r w:rsidRPr="00576ED7">
        <w:rPr>
          <w:szCs w:val="24"/>
        </w:rPr>
        <w:t>.  Respondent further argues that, by negative implication, the technical appendix to the Senate Report creates a class of noncompensatory cash meal payments that are to be excluded from i</w:t>
      </w:r>
      <w:r w:rsidRPr="00576ED7">
        <w:rPr>
          <w:szCs w:val="24"/>
        </w:rPr>
        <w:t>n</w:t>
      </w:r>
      <w:r w:rsidRPr="00576ED7">
        <w:rPr>
          <w:szCs w:val="24"/>
        </w:rPr>
        <w:t>come.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6472.  Equally clearly, the Senate refused completely to abandon the “conve</w:t>
      </w:r>
      <w:r w:rsidRPr="00576ED7">
        <w:rPr>
          <w:szCs w:val="24"/>
        </w:rPr>
        <w:t>n</w:t>
      </w:r>
      <w:r w:rsidRPr="00576ED7">
        <w:rPr>
          <w:szCs w:val="24"/>
        </w:rPr>
        <w:t>ience of the employer” doctrine as the House wished to do.  On the other hand, the Senate did not propose to leave undisturbed the convenience of the employer doctrine as it had evolved prior to the promulgation of Mim. 6472.  The language of § 119</w:t>
      </w:r>
      <w:r w:rsidRPr="00576ED7">
        <w:rPr>
          <w:rStyle w:val="FootnoteReference"/>
          <w:szCs w:val="24"/>
        </w:rPr>
        <w:footnoteReference w:id="60"/>
      </w:r>
      <w:r w:rsidRPr="00576ED7">
        <w:rPr>
          <w:szCs w:val="24"/>
        </w:rPr>
        <w:t xml:space="preserve"> quite plainly rejects the reasoning behind rulings like O.D. 514, </w:t>
      </w:r>
      <w:r w:rsidRPr="00576ED7">
        <w:rPr>
          <w:i/>
          <w:szCs w:val="24"/>
        </w:rPr>
        <w:t>see</w:t>
      </w:r>
      <w:r w:rsidRPr="00576ED7">
        <w:rPr>
          <w:szCs w:val="24"/>
        </w:rPr>
        <w:t xml:space="preserve"> n. 15, </w:t>
      </w:r>
      <w:r w:rsidRPr="00576ED7">
        <w:rPr>
          <w:i/>
          <w:szCs w:val="24"/>
        </w:rPr>
        <w:t>supra</w:t>
      </w:r>
      <w:r w:rsidRPr="00576ED7">
        <w:rPr>
          <w:szCs w:val="24"/>
        </w:rPr>
        <w:t>, which rest on the employer’s characterization of the nature of a pa</w:t>
      </w:r>
      <w:r w:rsidRPr="00576ED7">
        <w:rPr>
          <w:szCs w:val="24"/>
        </w:rPr>
        <w:t>y</w:t>
      </w:r>
      <w:r w:rsidRPr="00576ED7">
        <w:rPr>
          <w:szCs w:val="24"/>
        </w:rPr>
        <w:t xml:space="preserve">ment.  [footnote omitted].  This conclusion is buttressed by the Senate’s choice of a term of art, “convenience of the employer,” in describing one of the conditions for exclusion under § 119.  In so choosing, the Senate obviously intended to adopt the meaning of that term as it had developed over time, except, of course, to the extent § 119 overrules decisions like </w:t>
      </w:r>
      <w:r w:rsidRPr="00576ED7">
        <w:rPr>
          <w:i/>
          <w:szCs w:val="24"/>
        </w:rPr>
        <w:t>Doran</w:t>
      </w:r>
      <w:r w:rsidRPr="00576ED7">
        <w:rPr>
          <w:szCs w:val="24"/>
        </w:rPr>
        <w:t xml:space="preserve">.  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 – and, by implication, the theory of O.D. 514 –  and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prior to Mim. 6472.  </w:t>
      </w:r>
      <w:r w:rsidRPr="00576ED7">
        <w:rPr>
          <w:i/>
          <w:szCs w:val="24"/>
        </w:rPr>
        <w:t>See</w:t>
      </w:r>
      <w:r w:rsidRPr="00576ED7">
        <w:rPr>
          <w:szCs w:val="24"/>
        </w:rPr>
        <w:t xml:space="preserve"> </w:t>
      </w:r>
      <w:r w:rsidRPr="00576ED7">
        <w:rPr>
          <w:i/>
          <w:szCs w:val="24"/>
        </w:rPr>
        <w:t>supra</w:t>
      </w:r>
      <w:r w:rsidRPr="00576ED7">
        <w:rPr>
          <w:szCs w:val="24"/>
        </w:rPr>
        <w:t xml:space="preserve"> at </w:t>
      </w:r>
      <w:r w:rsidRPr="00576ED7">
        <w:rPr>
          <w:szCs w:val="24"/>
        </w:rPr>
        <w:lastRenderedPageBreak/>
        <w:t xml:space="preserve">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w:t>
      </w:r>
      <w:r w:rsidRPr="00576ED7">
        <w:rPr>
          <w:szCs w:val="24"/>
        </w:rPr>
        <w:t>e</w:t>
      </w:r>
      <w:r w:rsidRPr="00576ED7">
        <w:rPr>
          <w:szCs w:val="24"/>
        </w:rPr>
        <w:t>quired that meals subject to exclusion had to be taken on the business premises of the employer.  Thus, § 119 comprehensively modified the prior law, both expan</w:t>
      </w:r>
      <w:r w:rsidRPr="00576ED7">
        <w:rPr>
          <w:szCs w:val="24"/>
        </w:rPr>
        <w:t>d</w:t>
      </w:r>
      <w:r w:rsidRPr="00576ED7">
        <w:rPr>
          <w:szCs w:val="24"/>
        </w:rPr>
        <w:t>ing and contracting the exclusion for meals and lodging previously provided, and it must therefore be construed as its draftsmen obviously intended it to be – as a replacement for the prior law, designed to “end [its] confusion.”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 119 replaces prior law, respondent’s further argument – that the tec</w:t>
      </w:r>
      <w:r w:rsidRPr="00576ED7">
        <w:rPr>
          <w:szCs w:val="24"/>
        </w:rPr>
        <w:t>h</w:t>
      </w:r>
      <w:r w:rsidRPr="00576ED7">
        <w:rPr>
          <w:szCs w:val="24"/>
        </w:rPr>
        <w:t>nical appendix in the Senate Report recognized the existence under § 61 of an e</w:t>
      </w:r>
      <w:r w:rsidRPr="00576ED7">
        <w:rPr>
          <w:szCs w:val="24"/>
        </w:rPr>
        <w:t>x</w:t>
      </w:r>
      <w:r w:rsidRPr="00576ED7">
        <w:rPr>
          <w:szCs w:val="24"/>
        </w:rPr>
        <w:t>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 119 to narrow the circumstances in which meals could be excluded.  Moreover, there is no reason to suppose that Congress would have wanted to re</w:t>
      </w:r>
      <w:r w:rsidRPr="00576ED7">
        <w:rPr>
          <w:szCs w:val="24"/>
        </w:rPr>
        <w:t>c</w:t>
      </w:r>
      <w:r w:rsidRPr="00576ED7">
        <w:rPr>
          <w:szCs w:val="24"/>
        </w:rPr>
        <w:t>ognize a class of excludable cash meal payments.  The two precedents for the e</w:t>
      </w:r>
      <w:r w:rsidRPr="00576ED7">
        <w:rPr>
          <w:szCs w:val="24"/>
        </w:rPr>
        <w:t>x</w:t>
      </w:r>
      <w:r w:rsidRPr="00576ED7">
        <w:rPr>
          <w:szCs w:val="24"/>
        </w:rPr>
        <w:t xml:space="preserve">clusion of cash – O.D. 514 and </w:t>
      </w:r>
      <w:r w:rsidRPr="00576ED7">
        <w:rPr>
          <w:i/>
          <w:szCs w:val="24"/>
        </w:rPr>
        <w:t>Jones v. United States</w:t>
      </w:r>
      <w:r w:rsidRPr="00576ED7">
        <w:rPr>
          <w:szCs w:val="24"/>
        </w:rPr>
        <w:t xml:space="preserve"> – both rest on the propos</w:t>
      </w:r>
      <w:r w:rsidRPr="00576ED7">
        <w:rPr>
          <w:szCs w:val="24"/>
        </w:rPr>
        <w:t>i</w:t>
      </w:r>
      <w:r w:rsidRPr="00576ED7">
        <w:rPr>
          <w:szCs w:val="24"/>
        </w:rPr>
        <w:t>tion that the convenience of the employer can be inferred from the characteriz</w:t>
      </w:r>
      <w:r w:rsidRPr="00576ED7">
        <w:rPr>
          <w:szCs w:val="24"/>
        </w:rPr>
        <w:t>a</w:t>
      </w:r>
      <w:r w:rsidRPr="00576ED7">
        <w:rPr>
          <w:szCs w:val="24"/>
        </w:rPr>
        <w:t>tion given the cash payments by the employer, and the heart of this proposition is undercut by both the language of § 119 and the Senate Report.  Finally, as pet</w:t>
      </w:r>
      <w:r w:rsidRPr="00576ED7">
        <w:rPr>
          <w:szCs w:val="24"/>
        </w:rPr>
        <w:t>i</w:t>
      </w:r>
      <w:r w:rsidRPr="00576ED7">
        <w:rPr>
          <w:szCs w:val="24"/>
        </w:rPr>
        <w:t>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 162(a)(2) of the 1954 Code [footnote omitted] were not affected by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even if we were to assume with respondent that cash meal payments made for the convenience of the employer could qualify for an exclusion notwit</w:t>
      </w:r>
      <w:r w:rsidRPr="00576ED7">
        <w:rPr>
          <w:szCs w:val="24"/>
        </w:rPr>
        <w:t>h</w:t>
      </w:r>
      <w:r w:rsidRPr="00576ED7">
        <w:rPr>
          <w:szCs w:val="24"/>
        </w:rPr>
        <w:t>standing the express limitations upon the doctrine embodied in § 119, there would still be no reason to allow the meal allowance here to be excluded.  Under the pre-1954 “convenience of the employer” doctrine, respondent’s allowance is indisti</w:t>
      </w:r>
      <w:r w:rsidRPr="00576ED7">
        <w:rPr>
          <w:szCs w:val="24"/>
        </w:rPr>
        <w:t>n</w:t>
      </w:r>
      <w:r w:rsidRPr="00576ED7">
        <w:rPr>
          <w:szCs w:val="24"/>
        </w:rPr>
        <w:lastRenderedPageBreak/>
        <w:t xml:space="preserve">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w:t>
      </w:r>
      <w:r w:rsidRPr="00576ED7">
        <w:rPr>
          <w:szCs w:val="24"/>
        </w:rPr>
        <w:t>x</w:t>
      </w:r>
      <w:r w:rsidRPr="00576ED7">
        <w:rPr>
          <w:szCs w:val="24"/>
        </w:rPr>
        <w:t>clusion for cash than kind, the meal allowances here would have to be demo</w:t>
      </w:r>
      <w:r w:rsidRPr="00576ED7">
        <w:rPr>
          <w:szCs w:val="24"/>
        </w:rPr>
        <w:t>n</w:t>
      </w:r>
      <w:r w:rsidRPr="00576ED7">
        <w:rPr>
          <w:szCs w:val="24"/>
        </w:rPr>
        <w:t>strated to be necessary to allow respondent “properly to perform his duties.”  There is not even a suggestion on this record of any such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respondent argues that it is unfair that members of the military may e</w:t>
      </w:r>
      <w:r w:rsidRPr="00576ED7">
        <w:rPr>
          <w:szCs w:val="24"/>
        </w:rPr>
        <w:t>x</w:t>
      </w:r>
      <w:r w:rsidRPr="00576ED7">
        <w:rPr>
          <w:szCs w:val="24"/>
        </w:rPr>
        <w:t>clude their subsistence allowances from income, while respondent cannot.  While this may be so, arguments of equity have little force in construing the boundaries of exclusions and deductions from income many of which, to be administrable, must be arbitrary.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with whom THE CHIEF JUSTICE joins, dissen</w:t>
      </w:r>
      <w:r w:rsidRPr="00576ED7">
        <w:rPr>
          <w:szCs w:val="24"/>
        </w:rPr>
        <w:t>t</w:t>
      </w:r>
      <w:r w:rsidRPr="00576ED7">
        <w:rPr>
          <w:szCs w:val="24"/>
        </w:rPr>
        <w: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the first sentence of its opinion, the Court set forth the issue it undertook resolve.  How did it resolve that 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regard to the second question, let’s review: What facts were particularly bad for Officer Kowalski and why? What strings were a</w:t>
      </w:r>
      <w:r w:rsidRPr="00576ED7">
        <w:rPr>
          <w:szCs w:val="24"/>
        </w:rPr>
        <w:t>t</w:t>
      </w:r>
      <w:r w:rsidRPr="00576ED7">
        <w:rPr>
          <w:szCs w:val="24"/>
        </w:rPr>
        <w:t>tached to the meal money that were different than the strings attached to any worker’s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important should the </w:t>
      </w:r>
      <w:r w:rsidRPr="00576ED7">
        <w:rPr>
          <w:i/>
          <w:szCs w:val="24"/>
        </w:rPr>
        <w:t>employer’s</w:t>
      </w:r>
      <w:r w:rsidRPr="00576ED7">
        <w:rPr>
          <w:szCs w:val="24"/>
        </w:rPr>
        <w:t xml:space="preserve"> treatment of meal money – separate a</w:t>
      </w:r>
      <w:r w:rsidRPr="00576ED7">
        <w:rPr>
          <w:szCs w:val="24"/>
        </w:rPr>
        <w:t>c</w:t>
      </w:r>
      <w:r w:rsidRPr="00576ED7">
        <w:rPr>
          <w:szCs w:val="24"/>
        </w:rPr>
        <w:t xml:space="preserve">counting, no commingling of funds – be in resolution of the question of whether cash-for-meals should be included in an employee’s gross income? Isn’t that a red herring in determining whether taxpayer Kowalski has enjoyed an accession to </w:t>
      </w:r>
      <w:r w:rsidRPr="00576ED7">
        <w:rPr>
          <w:szCs w:val="24"/>
        </w:rPr>
        <w:lastRenderedPageBreak/>
        <w:t>wealth? The Tax Court concluded that the meal money was not intended to be a</w:t>
      </w:r>
      <w:r w:rsidRPr="00576ED7">
        <w:rPr>
          <w:szCs w:val="24"/>
        </w:rPr>
        <w:t>d</w:t>
      </w:r>
      <w:r w:rsidRPr="00576ED7">
        <w:rPr>
          <w:szCs w:val="24"/>
        </w:rPr>
        <w:t>ditional compensation, but was nevertheless includable in taxpayer’s gross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 the second footnote of the case, the Court quoted a case that quoted </w:t>
      </w:r>
      <w:r w:rsidRPr="00576ED7">
        <w:rPr>
          <w:i/>
          <w:szCs w:val="24"/>
        </w:rPr>
        <w:t>Benaglia</w:t>
      </w:r>
      <w:r w:rsidRPr="00576ED7">
        <w:rPr>
          <w:szCs w:val="24"/>
        </w:rPr>
        <w:t>.  Taxpayer Benaglia was given accommodations at the Royal Hawaiian Hotel and ate his meals in the hotel dining room because otherwise he could not perform the services required of him as manager of that hotel and others.  More</w:t>
      </w:r>
      <w:r w:rsidRPr="00576ED7">
        <w:rPr>
          <w:szCs w:val="24"/>
        </w:rPr>
        <w:t>o</w:t>
      </w:r>
      <w:r w:rsidRPr="00576ED7">
        <w:rPr>
          <w:szCs w:val="24"/>
        </w:rPr>
        <w:t>ver, Benaglia was denied the discretion to spend this accession to wealth in any manner that he saw fit.</w:t>
      </w:r>
    </w:p>
    <w:p w:rsidR="0049128E" w:rsidRPr="00576ED7" w:rsidRDefault="0049128E" w:rsidP="00A6585D">
      <w:pPr>
        <w:widowControl w:val="0"/>
        <w:ind w:left="720"/>
        <w:jc w:val="both"/>
        <w:rPr>
          <w:szCs w:val="24"/>
        </w:rPr>
      </w:pPr>
      <w:r w:rsidRPr="00576ED7">
        <w:rPr>
          <w:szCs w:val="24"/>
        </w:rPr>
        <w:t>•Have we seen the “deprivation of discretion” theme before?</w:t>
      </w:r>
    </w:p>
    <w:p w:rsidR="0049128E" w:rsidRPr="00576ED7" w:rsidRDefault="0049128E" w:rsidP="00A6585D">
      <w:pPr>
        <w:widowControl w:val="0"/>
        <w:ind w:left="720"/>
        <w:jc w:val="both"/>
        <w:rPr>
          <w:szCs w:val="24"/>
        </w:rPr>
      </w:pPr>
      <w:r w:rsidRPr="00576ED7">
        <w:rPr>
          <w:szCs w:val="24"/>
        </w:rPr>
        <w:t>•What conclusion did it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Surely even a taxpayer denied a choice in his/her purchase of meals or lodging and whose employment requires that any meal that s/he does eat be taken where and when the employer orders derives </w:t>
      </w:r>
      <w:r w:rsidRPr="00576ED7">
        <w:rPr>
          <w:i/>
          <w:szCs w:val="24"/>
        </w:rPr>
        <w:t>some</w:t>
      </w:r>
      <w:r w:rsidRPr="00576ED7">
        <w:rPr>
          <w:szCs w:val="24"/>
        </w:rPr>
        <w:t xml:space="preserve"> consumption benefit that s/he would have paid </w:t>
      </w:r>
      <w:r w:rsidRPr="00576ED7">
        <w:rPr>
          <w:i/>
          <w:szCs w:val="24"/>
        </w:rPr>
        <w:t>something</w:t>
      </w:r>
      <w:r w:rsidRPr="00576ED7">
        <w:rPr>
          <w:szCs w:val="24"/>
        </w:rPr>
        <w:t xml:space="preserve"> for if the employer had not provided it.  Does it have to be all-or-nothing?</w:t>
      </w:r>
    </w:p>
    <w:p w:rsidR="0049128E" w:rsidRPr="00576ED7" w:rsidRDefault="0049128E" w:rsidP="00A6585D">
      <w:pPr>
        <w:widowControl w:val="0"/>
        <w:ind w:left="720"/>
        <w:jc w:val="both"/>
        <w:rPr>
          <w:szCs w:val="24"/>
        </w:rPr>
      </w:pPr>
      <w:r w:rsidRPr="00576ED7">
        <w:rPr>
          <w:szCs w:val="24"/>
        </w:rPr>
        <w:t>•Section 274(n)(1)(A) limits deductions for food or beverages to 50% of the amount spent.  The other 50% in essence is treated as a personal e</w:t>
      </w:r>
      <w:r w:rsidRPr="00576ED7">
        <w:rPr>
          <w:szCs w:val="24"/>
        </w:rPr>
        <w:t>x</w:t>
      </w:r>
      <w:r w:rsidRPr="00576ED7">
        <w:rPr>
          <w:szCs w:val="24"/>
        </w:rPr>
        <w:t>penditure and so is subject to federal income tax – but it is the one who pays for the meal who must pay the income tax, not the one who co</w:t>
      </w:r>
      <w:r w:rsidRPr="00576ED7">
        <w:rPr>
          <w:szCs w:val="24"/>
        </w:rPr>
        <w:t>n</w:t>
      </w:r>
      <w:r w:rsidRPr="00576ED7">
        <w:rPr>
          <w:szCs w:val="24"/>
        </w:rPr>
        <w:t>sumes it.</w:t>
      </w:r>
    </w:p>
    <w:p w:rsidR="0049128E" w:rsidRPr="00576ED7" w:rsidRDefault="0049128E" w:rsidP="00A6585D">
      <w:pPr>
        <w:widowControl w:val="0"/>
        <w:ind w:left="720"/>
        <w:jc w:val="both"/>
        <w:rPr>
          <w:szCs w:val="24"/>
        </w:rPr>
      </w:pPr>
      <w:r w:rsidRPr="00576ED7">
        <w:rPr>
          <w:szCs w:val="24"/>
        </w:rPr>
        <w:t>•However, § 274(n)(2)(B) excepts from the 50% limitation meals that § 132(e) excludes from an employee’s gross income.  Section 132(e) treats employees as having paid the direct operating costs of their meal if it is excluded from their gross income under § 119.</w:t>
      </w:r>
    </w:p>
    <w:p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w:t>
      </w:r>
      <w:r w:rsidRPr="00576ED7">
        <w:rPr>
          <w:szCs w:val="24"/>
        </w:rPr>
        <w:t>e</w:t>
      </w:r>
      <w:r w:rsidRPr="00576ED7">
        <w:rPr>
          <w:szCs w:val="24"/>
        </w:rPr>
        <w:t>vert to all-or-nothing? Perhaps 50% is simply a “least-bad” figure.</w:t>
      </w:r>
    </w:p>
    <w:p w:rsidR="0049128E" w:rsidRPr="00576ED7" w:rsidRDefault="0049128E" w:rsidP="00A6585D">
      <w:pPr>
        <w:widowControl w:val="0"/>
        <w:jc w:val="both"/>
        <w:rPr>
          <w:szCs w:val="24"/>
        </w:rPr>
      </w:pPr>
    </w:p>
    <w:p w:rsidR="006E49F6" w:rsidRPr="00576ED7" w:rsidRDefault="0049128E" w:rsidP="006E49F6">
      <w:pPr>
        <w:widowControl w:val="0"/>
        <w:jc w:val="both"/>
        <w:rPr>
          <w:szCs w:val="24"/>
        </w:rPr>
      </w:pPr>
      <w:r w:rsidRPr="00576ED7">
        <w:rPr>
          <w:szCs w:val="24"/>
        </w:rPr>
        <w:t>6.  Should “underpayment” of a class of workers provide any support whatsoever for a conclusion that § 119 encompasses the cash payments in this case – as Ju</w:t>
      </w:r>
      <w:r w:rsidRPr="00576ED7">
        <w:rPr>
          <w:szCs w:val="24"/>
        </w:rPr>
        <w:t>s</w:t>
      </w:r>
      <w:r w:rsidRPr="00576ED7">
        <w:rPr>
          <w:szCs w:val="24"/>
        </w:rPr>
        <w:t xml:space="preserve">tice Blackmun suggests? How many people do </w:t>
      </w:r>
      <w:r w:rsidRPr="00576ED7">
        <w:rPr>
          <w:i/>
          <w:szCs w:val="24"/>
        </w:rPr>
        <w:t>not</w:t>
      </w:r>
      <w:r w:rsidRPr="00576ED7">
        <w:rPr>
          <w:szCs w:val="24"/>
        </w:rPr>
        <w:t xml:space="preserve"> feel that they are “underpaid?”</w:t>
      </w:r>
    </w:p>
    <w:p w:rsidR="006E49F6" w:rsidRPr="00576ED7" w:rsidRDefault="006E49F6" w:rsidP="006E49F6">
      <w:pPr>
        <w:widowControl w:val="0"/>
        <w:ind w:left="720"/>
        <w:jc w:val="both"/>
        <w:rPr>
          <w:szCs w:val="24"/>
        </w:rPr>
      </w:pPr>
      <w:r w:rsidRPr="00576ED7">
        <w:rPr>
          <w:szCs w:val="24"/>
        </w:rPr>
        <w:t>•Were the view of Justice Blackmun to have prevailed, the consequences would have been highly unfortunate.  How so and why? What economic distortions would have resulted?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What interest should the State of New Jersey, Officer Kowalski’s employer, </w:t>
      </w:r>
      <w:r w:rsidRPr="00576ED7">
        <w:rPr>
          <w:szCs w:val="24"/>
        </w:rPr>
        <w:lastRenderedPageBreak/>
        <w:t>have in the outcome of this case? If Officer Kowalski must pay income tax on his meal money, the State of New Jersey may find that it must increase the wages of its state troopers.  It is entirely possible that the State of New Jersey captured all of the tax savings that Justice Blackmun feels all state troopers deserve.</w:t>
      </w:r>
    </w:p>
    <w:p w:rsidR="006E49F6" w:rsidRPr="00576ED7" w:rsidRDefault="006E49F6" w:rsidP="006E49F6">
      <w:pPr>
        <w:widowControl w:val="0"/>
        <w:jc w:val="both"/>
        <w:rPr>
          <w:szCs w:val="24"/>
        </w:rPr>
      </w:pPr>
    </w:p>
    <w:p w:rsidR="006E49F6" w:rsidRPr="00576ED7" w:rsidRDefault="006E49F6" w:rsidP="006E49F6">
      <w:pPr>
        <w:widowControl w:val="0"/>
        <w:jc w:val="both"/>
        <w:rPr>
          <w:szCs w:val="24"/>
        </w:rPr>
      </w:pPr>
      <w:r w:rsidRPr="00576ED7">
        <w:rPr>
          <w:szCs w:val="24"/>
        </w:rPr>
        <w:t xml:space="preserve">8.  Using the figures that the Court provided, Officer Kowalski received 13% ($1371 out of $10,437) tax-free.  Naturally, this affects the amount of income tax that others must pay if the Government is to raise a certain amount of revenue.  Moreover, other workers who might pay income tax on $9066 – the amount on which Officer Kowalski </w:t>
      </w:r>
      <w:r w:rsidRPr="00576ED7">
        <w:rPr>
          <w:i/>
          <w:szCs w:val="24"/>
        </w:rPr>
        <w:t>did</w:t>
      </w:r>
      <w:r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w:t>
      </w:r>
      <w:r w:rsidRPr="00576ED7">
        <w:rPr>
          <w:szCs w:val="24"/>
        </w:rPr>
        <w:t>i</w:t>
      </w:r>
      <w:r w:rsidRPr="00576ED7">
        <w:rPr>
          <w:szCs w:val="24"/>
        </w:rPr>
        <w:t>sion is difficult for lay people to understand.</w:t>
      </w:r>
    </w:p>
    <w:p w:rsidR="006E49F6" w:rsidRPr="00576ED7" w:rsidRDefault="006E49F6" w:rsidP="006E49F6">
      <w:pPr>
        <w:widowControl w:val="0"/>
        <w:jc w:val="both"/>
        <w:rPr>
          <w:szCs w:val="24"/>
        </w:rPr>
      </w:pPr>
    </w:p>
    <w:p w:rsidR="0049128E" w:rsidRPr="00576ED7" w:rsidRDefault="006E49F6" w:rsidP="00A6585D">
      <w:pPr>
        <w:widowControl w:val="0"/>
        <w:jc w:val="both"/>
        <w:rPr>
          <w:szCs w:val="24"/>
        </w:rPr>
      </w:pPr>
      <w:r w:rsidRPr="00576ED7">
        <w:rPr>
          <w:szCs w:val="24"/>
        </w:rPr>
        <w:t xml:space="preserve">9.  In a sense, the </w:t>
      </w:r>
      <w:r w:rsidRPr="00576ED7">
        <w:rPr>
          <w:i/>
          <w:szCs w:val="24"/>
        </w:rPr>
        <w:t>Kowalski</w:t>
      </w:r>
      <w:r w:rsidRPr="00576ED7">
        <w:rPr>
          <w:szCs w:val="24"/>
        </w:rPr>
        <w:t xml:space="preserve"> case presents the tip of an iceberg.  Peruse the topics that §§ 105, 106, 107, 125, 127, 129, 132, 137 cover.  All of these code provisions provide for some benefit that an employer can provide employees that are not subject to income tax to either the employer or the employee.  These provisions assure that like taxpayers who work for different employers are </w:t>
      </w:r>
      <w:r w:rsidRPr="00576ED7">
        <w:rPr>
          <w:i/>
          <w:szCs w:val="24"/>
        </w:rPr>
        <w:t>not</w:t>
      </w:r>
      <w:r w:rsidRPr="00576ED7">
        <w:rPr>
          <w:szCs w:val="24"/>
        </w:rPr>
        <w:t xml:space="preserve"> taxed alike.</w:t>
      </w:r>
    </w:p>
    <w:p w:rsidR="006E49F6" w:rsidRPr="00576ED7" w:rsidRDefault="006E49F6"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700224" behindDoc="0" locked="0" layoutInCell="0" allowOverlap="1" wp14:anchorId="44445DE0" wp14:editId="0DD22B73">
                <wp:simplePos x="0" y="0"/>
                <wp:positionH relativeFrom="margin">
                  <wp:posOffset>-58420</wp:posOffset>
                </wp:positionH>
                <wp:positionV relativeFrom="paragraph">
                  <wp:posOffset>5080</wp:posOffset>
                </wp:positionV>
                <wp:extent cx="5244465" cy="6358255"/>
                <wp:effectExtent l="0" t="0" r="13335" b="23495"/>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6358255"/>
                        </a:xfrm>
                        <a:prstGeom prst="rect">
                          <a:avLst/>
                        </a:prstGeom>
                        <a:solidFill>
                          <a:srgbClr val="FFFFFF"/>
                        </a:solidFill>
                        <a:ln w="12192">
                          <a:solidFill>
                            <a:srgbClr val="000000"/>
                          </a:solidFill>
                          <a:miter lim="800000"/>
                          <a:headEnd/>
                          <a:tailEnd/>
                        </a:ln>
                      </wps:spPr>
                      <wps:txbx>
                        <w:txbxContent>
                          <w:p w:rsidR="00FF5E72" w:rsidRDefault="00FF5E72"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FF5E72" w:rsidRDefault="00FF5E72" w:rsidP="006E49F6">
                            <w:pPr>
                              <w:widowControl w:val="0"/>
                              <w:rPr>
                                <w:rFonts w:ascii="Tw Cen MT" w:hAnsi="Tw Cen MT"/>
                              </w:rPr>
                            </w:pPr>
                          </w:p>
                          <w:p w:rsidR="00FF5E72" w:rsidRDefault="00FF5E72"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4.6pt;margin-top:.4pt;width:412.95pt;height:500.65pt;z-index:25170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iGLAIAAFwEAAAOAAAAZHJzL2Uyb0RvYy54bWysVNuO2yAQfa/Uf0C8N05cJ5tacVbbbFNV&#10;2l6k3X4AxjhGBYYCiZ1+/Q44m01vL1X9gBgYzpw5M+PV9aAVOQjnJZiKziZTSoTh0Eizq+jXh+2r&#10;JSU+MNMwBUZU9Cg8vV6/fLHqbSly6EA1whEEMb7sbUW7EGyZZZ53QjM/ASsMXrbgNAtoul3WONYj&#10;ulZZPp0ush5cYx1w4T2e3o6XdJ3w21bw8LltvQhEVRS5hbS6tNZxzdYrVu4cs53kJxrsH1hoJg0G&#10;PUPdssDI3snfoLTkDjy0YcJBZ9C2kouUA2Yzm/6SzX3HrEi5oDjenmXy/w+Wfzp8cUQ2Fb0qKDFM&#10;Y40exBDIWxhIUUR9eutLdLu36BgGPMc6p1y9vQP+zRMDm46ZnbhxDvpOsAb5zeLL7OLpiOMjSN1/&#10;hAbjsH2ABDS0TkfxUA6C6Fin47k2kQvHw3leFMViTgnHu8Xr+TKfz1MMVj49t86H9wI0iZuKOix+&#10;gmeHOx8iHVY+ucRoHpRstlKpZLhdvVGOHBg2yjZ9J/Sf3JQhPSaXz97kowR/xZim708YWgZseSV1&#10;RZdnJ1ZG4d6ZJjVkYFKNe+SszEnJKN4oYxjqIRWtyGOEKHMNzRG1dTC2OI4kbjpwPyjpsb0r6r/v&#10;mROUqA8G63O1wOnBebg03KVRXxrMcISqaKBk3G7COEN76+Suw0hjRxi4wZq2Mqn9zOrEH1s4FeE0&#10;bnFGLu3k9fxTWD8CAAD//wMAUEsDBBQABgAIAAAAIQBWP8oh2gAAAAgBAAAPAAAAZHJzL2Rvd25y&#10;ZXYueG1sTI/BTsMwEETvSPyDtUjcWjs5lBLiVCgS9yaA4OjGSxwRr0PsNuHvWU5wXM3TzNvysPpR&#10;XHCOQyAN2VaBQOqCHajX8PL8tNmDiMmQNWMg1PCNEQ7V9VVpChsWavDSpl5wCcXCaHApTYWUsXPo&#10;TdyGCYmzjzB7k/ice2lns3C5H2Wu1E56MxAvODNh7bD7bM9eQ2ia+jVvv45v9WLrfjmuaXp3Wt/e&#10;rI8PIBKu6Q+GX31Wh4qdTuFMNopRw+Y+Z1ID+3O6z3Z3IE6MKZVnIKtS/n+g+gEAAP//AwBQSwEC&#10;LQAUAAYACAAAACEAtoM4kv4AAADhAQAAEwAAAAAAAAAAAAAAAAAAAAAAW0NvbnRlbnRfVHlwZXNd&#10;LnhtbFBLAQItABQABgAIAAAAIQA4/SH/1gAAAJQBAAALAAAAAAAAAAAAAAAAAC8BAABfcmVscy8u&#10;cmVsc1BLAQItABQABgAIAAAAIQCh9JiGLAIAAFwEAAAOAAAAAAAAAAAAAAAAAC4CAABkcnMvZTJv&#10;RG9jLnhtbFBLAQItABQABgAIAAAAIQBWP8oh2gAAAAgBAAAPAAAAAAAAAAAAAAAAAIYEAABkcnMv&#10;ZG93bnJldi54bWxQSwUGAAAAAAQABADzAAAAjQUAAAAA&#10;" o:allowincell="f" strokeweight=".96pt">
                <v:textbox inset="6pt,6pt,6pt,6pt">
                  <w:txbxContent>
                    <w:p w:rsidR="00FF5E72" w:rsidRDefault="00FF5E72" w:rsidP="006E49F6">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after-tax income.  Do exclusions from gross income cause deadweight loss? Yes.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than the price taxpayer (and ot</w:t>
                      </w:r>
                      <w:r>
                        <w:rPr>
                          <w:rFonts w:ascii="Tw Cen MT" w:hAnsi="Tw Cen MT"/>
                        </w:rPr>
                        <w:t>h</w:t>
                      </w:r>
                      <w:r>
                        <w:rPr>
                          <w:rFonts w:ascii="Tw Cen MT" w:hAnsi="Tw Cen MT"/>
                        </w:rPr>
                        <w:t>ers) are willing to pay.  All producers make a profit, so the markets are “sustain</w:t>
                      </w:r>
                      <w:r>
                        <w:rPr>
                          <w:rFonts w:ascii="Tw Cen MT" w:hAnsi="Tw Cen MT"/>
                        </w:rPr>
                        <w:t>a</w:t>
                      </w:r>
                      <w:r>
                        <w:rPr>
                          <w:rFonts w:ascii="Tw Cen MT" w:hAnsi="Tw Cen MT"/>
                        </w:rPr>
                        <w:t xml:space="preserve">ble.”  Taxpayer does not purchase this benefit, but spends his/her after-tax income in ways that maximize his/her own consumer surplus.  The economy works with </w:t>
                      </w:r>
                      <w:r>
                        <w:rPr>
                          <w:rFonts w:ascii="Tw Cen MT" w:hAnsi="Tw Cen MT"/>
                          <w:i/>
                        </w:rPr>
                        <w:t>a</w:t>
                      </w:r>
                      <w:r>
                        <w:rPr>
                          <w:rFonts w:ascii="Tw Cen MT" w:hAnsi="Tw Cen MT"/>
                          <w:i/>
                        </w:rPr>
                        <w:t>l</w:t>
                      </w:r>
                      <w:r>
                        <w:rPr>
                          <w:rFonts w:ascii="Tw Cen MT" w:hAnsi="Tw Cen MT"/>
                          <w:i/>
                        </w:rPr>
                        <w:t>locative efficiency.</w:t>
                      </w:r>
                      <w:r>
                        <w:rPr>
                          <w:rFonts w:ascii="Tw Cen MT" w:hAnsi="Tw Cen MT"/>
                        </w:rPr>
                        <w:t xml:space="preserve">  </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w:t>
                      </w:r>
                      <w:r>
                        <w:rPr>
                          <w:rFonts w:ascii="Tw Cen MT" w:hAnsi="Tw Cen MT"/>
                        </w:rPr>
                        <w:t>c</w:t>
                      </w:r>
                      <w:r>
                        <w:rPr>
                          <w:rFonts w:ascii="Tw Cen MT" w:hAnsi="Tw Cen MT"/>
                        </w:rPr>
                        <w:t>cept the offer?</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FF5E72" w:rsidRDefault="00FF5E72" w:rsidP="006E49F6">
                      <w:pPr>
                        <w:widowControl w:val="0"/>
                        <w:jc w:val="both"/>
                        <w:rPr>
                          <w:rFonts w:ascii="Tw Cen MT" w:hAnsi="Tw Cen MT"/>
                        </w:rPr>
                      </w:pPr>
                    </w:p>
                    <w:p w:rsidR="00FF5E72" w:rsidRDefault="00FF5E72" w:rsidP="006E49F6">
                      <w:pPr>
                        <w:widowControl w:val="0"/>
                        <w:jc w:val="both"/>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FF5E72" w:rsidRDefault="00FF5E72" w:rsidP="006E49F6">
                      <w:pPr>
                        <w:widowControl w:val="0"/>
                        <w:rPr>
                          <w:rFonts w:ascii="Tw Cen MT" w:hAnsi="Tw Cen MT"/>
                        </w:rPr>
                      </w:pPr>
                    </w:p>
                    <w:p w:rsidR="00FF5E72" w:rsidRDefault="00FF5E72" w:rsidP="006E49F6">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w:t>
                      </w:r>
                      <w:r>
                        <w:rPr>
                          <w:rFonts w:ascii="Tw Cen MT" w:hAnsi="Tw Cen MT"/>
                        </w:rPr>
                        <w:t>a</w:t>
                      </w:r>
                      <w:r>
                        <w:rPr>
                          <w:rFonts w:ascii="Tw Cen MT" w:hAnsi="Tw Cen MT"/>
                        </w:rPr>
                        <w:t>tion should incur such deadweight losses?</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10.  Presumably, the accessions to wealth that employers offer employees that </w:t>
      </w:r>
      <w:r w:rsidRPr="00576ED7">
        <w:rPr>
          <w:szCs w:val="24"/>
        </w:rPr>
        <w:lastRenderedPageBreak/>
        <w:t>employees may in turn exclude from their gross income empower employers to customize the type of workforce they want.  Maybe that is good.  Airlines can pay less-than-market wages to persons who like to travel.  Retailers can give emplo</w:t>
      </w:r>
      <w:r w:rsidRPr="00576ED7">
        <w:rPr>
          <w:szCs w:val="24"/>
        </w:rPr>
        <w:t>y</w:t>
      </w:r>
      <w:r w:rsidRPr="00576ED7">
        <w:rPr>
          <w:szCs w:val="24"/>
        </w:rPr>
        <w:t>ee discounts to persons who would (enthusiastically) shop at their establishments anyway.  And so on.</w:t>
      </w:r>
    </w:p>
    <w:p w:rsidR="0049128E" w:rsidRPr="00576ED7" w:rsidRDefault="0049128E" w:rsidP="00A6585D">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a</w:t>
      </w:r>
      <w:r w:rsidRPr="00576ED7">
        <w:rPr>
          <w:szCs w:val="24"/>
        </w:rPr>
        <w:t>s</w:t>
      </w:r>
      <w:r w:rsidRPr="00576ED7">
        <w:rPr>
          <w:szCs w:val="24"/>
        </w:rPr>
        <w:t xml:space="preserve">pire to horizontal </w:t>
      </w:r>
      <w:r w:rsidRPr="00576ED7">
        <w:rPr>
          <w:i/>
          <w:szCs w:val="24"/>
        </w:rPr>
        <w:t>equity</w:t>
      </w:r>
      <w:r w:rsidRPr="00576ED7">
        <w:rPr>
          <w:szCs w:val="24"/>
        </w:rPr>
        <w:t xml:space="preserve"> by permitting a fixed ceiling on the value of e</w:t>
      </w:r>
      <w:r w:rsidRPr="00576ED7">
        <w:rPr>
          <w:szCs w:val="24"/>
        </w:rPr>
        <w:t>x</w:t>
      </w:r>
      <w:r w:rsidRPr="00576ED7">
        <w:rPr>
          <w:szCs w:val="24"/>
        </w:rPr>
        <w:t xml:space="preserve">cludable benefits that employers may provide employees.  </w:t>
      </w:r>
      <w:r w:rsidRPr="00576ED7">
        <w:rPr>
          <w:i/>
          <w:szCs w:val="24"/>
        </w:rPr>
        <w:t>See</w:t>
      </w:r>
      <w:r w:rsidRPr="00576ED7">
        <w:rPr>
          <w:szCs w:val="24"/>
        </w:rPr>
        <w:t xml:space="preserve"> William P. Kratzke, </w:t>
      </w:r>
      <w:r w:rsidRPr="00576ED7">
        <w:rPr>
          <w:i/>
          <w:szCs w:val="24"/>
        </w:rPr>
        <w:t>The (Im)Balance of Externalities in Employment-Based Excl</w:t>
      </w:r>
      <w:r w:rsidRPr="00576ED7">
        <w:rPr>
          <w:i/>
          <w:szCs w:val="24"/>
        </w:rPr>
        <w:t>u</w:t>
      </w:r>
      <w:r w:rsidRPr="00576ED7">
        <w:rPr>
          <w:i/>
          <w:szCs w:val="24"/>
        </w:rPr>
        <w:t>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w:t>
      </w:r>
      <w:r w:rsidR="00954483" w:rsidRPr="00576ED7">
        <w:rPr>
          <w:szCs w:val="24"/>
        </w:rPr>
        <w:t>.</w:t>
      </w:r>
      <w:r w:rsidRPr="00576ED7">
        <w:rPr>
          <w:szCs w:val="24"/>
        </w:rPr>
        <w:t xml:space="preserve">  Read Reg. § 1.119-1(a)(2)(ii)(d).</w:t>
      </w:r>
    </w:p>
    <w:p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12a.  Fishing Expeditions, Inc. provides flight services, accommodations, and guides to remote places for fishing aficionados to fish in very remote places.  Its employees are small airplane pilots, guides, and cooks.  The company flies fishing parties to remote cabins that it owns in Alaska.  Obviously while servicing a fis</w:t>
      </w:r>
      <w:r w:rsidRPr="00576ED7">
        <w:rPr>
          <w:szCs w:val="24"/>
        </w:rPr>
        <w:t>h</w:t>
      </w:r>
      <w:r w:rsidRPr="00576ED7">
        <w:rPr>
          <w:szCs w:val="24"/>
        </w:rPr>
        <w:t>ing party, the employees must reside at a remote cabin and take meals there also.  The employees must pay Fishing Expeditions, Inc. $200 per week, which Fishing Expeditions deducts from their paychecks.  The employees must include the $200 in their gross income.</w:t>
      </w:r>
    </w:p>
    <w:p w:rsidR="0049128E" w:rsidRPr="00576ED7" w:rsidRDefault="0049128E" w:rsidP="00A6585D">
      <w:pPr>
        <w:widowControl w:val="0"/>
        <w:ind w:left="720"/>
        <w:jc w:val="both"/>
        <w:rPr>
          <w:szCs w:val="24"/>
        </w:rPr>
      </w:pPr>
      <w:r w:rsidRPr="00576ED7">
        <w:rPr>
          <w:szCs w:val="24"/>
        </w:rPr>
        <w:t>•True or false.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12b.  Cicely is an employee of the Hanford Nuclear Works.  The HNR is located 60 miles from the nearest structure and 70 miles from the nearest town.  HNR maintains some barracks-style housing for free onsite that it provides various workers, who are typically in their 20s and single.  The value of this housing is $500 per month.  To be fair to the other workers, HNR pays a housing stipend of $500 per month to employees who elect to live in the nearest town and commute to the jobsite.</w:t>
      </w:r>
    </w:p>
    <w:p w:rsidR="0049128E" w:rsidRPr="00576ED7" w:rsidRDefault="0049128E" w:rsidP="00A6585D">
      <w:pPr>
        <w:widowControl w:val="0"/>
        <w:ind w:left="720"/>
        <w:jc w:val="both"/>
        <w:rPr>
          <w:szCs w:val="24"/>
        </w:rPr>
      </w:pPr>
      <w:r w:rsidRPr="00576ED7">
        <w:rPr>
          <w:szCs w:val="24"/>
        </w:rPr>
        <w:t>•Tax consequences to the workers who live onsite?</w:t>
      </w:r>
    </w:p>
    <w:p w:rsidR="0049128E" w:rsidRPr="00576ED7" w:rsidRDefault="0049128E" w:rsidP="00A6585D">
      <w:pPr>
        <w:widowControl w:val="0"/>
        <w:ind w:left="720"/>
        <w:jc w:val="both"/>
        <w:rPr>
          <w:szCs w:val="24"/>
        </w:rPr>
      </w:pPr>
      <w:r w:rsidRPr="00576ED7">
        <w:rPr>
          <w:szCs w:val="24"/>
        </w:rPr>
        <w:t>•Tax consequences to the workers who live in town?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F.  Employee Fringe Benefits: § 132</w:t>
      </w:r>
      <w:r w:rsidRPr="00576ED7">
        <w:rPr>
          <w:szCs w:val="24"/>
        </w:rPr>
        <w:fldChar w:fldCharType="begin"/>
      </w:r>
      <w:r w:rsidRPr="00576ED7">
        <w:rPr>
          <w:i/>
          <w:szCs w:val="24"/>
        </w:rPr>
        <w:instrText xml:space="preserve"> TC \l2 "F.  Employee Fringe Benefits: § 132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were not subject to income tax.  This cost the Treasury revenue and resulted in horizo</w:t>
      </w:r>
      <w:r w:rsidRPr="00576ED7">
        <w:rPr>
          <w:szCs w:val="24"/>
        </w:rPr>
        <w:t>n</w:t>
      </w:r>
      <w:r w:rsidRPr="00576ED7">
        <w:rPr>
          <w:szCs w:val="24"/>
        </w:rPr>
        <w:t>tal inequities.  Congress addressed the problem, and in 1984, “drew a line in the sand.”  The following is an explanation of what Congress did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the committee is aware that in many industries, employees may receive, e</w:t>
      </w:r>
      <w:r w:rsidRPr="00576ED7">
        <w:rPr>
          <w:szCs w:val="24"/>
        </w:rPr>
        <w:t>i</w:t>
      </w:r>
      <w:r w:rsidRPr="00576ED7">
        <w:rPr>
          <w:szCs w:val="24"/>
        </w:rPr>
        <w:t>ther free or at a discount, goods and services which the employer sells to the ge</w:t>
      </w:r>
      <w:r w:rsidRPr="00576ED7">
        <w:rPr>
          <w:szCs w:val="24"/>
        </w:rPr>
        <w:t>n</w:t>
      </w:r>
      <w:r w:rsidRPr="00576ED7">
        <w:rPr>
          <w:szCs w:val="24"/>
        </w:rPr>
        <w:t>eral public.  In many cases, these practices are long established, and have been treated by employers, employees, and the IRS as not giving rise to taxable i</w:t>
      </w:r>
      <w:r w:rsidRPr="00576ED7">
        <w:rPr>
          <w:szCs w:val="24"/>
        </w:rPr>
        <w:t>n</w:t>
      </w:r>
      <w:r w:rsidRPr="00576ED7">
        <w:rPr>
          <w:szCs w:val="24"/>
        </w:rPr>
        <w:t>come.  Although employees may receive an economic benefit from the availabi</w:t>
      </w:r>
      <w:r w:rsidRPr="00576ED7">
        <w:rPr>
          <w:szCs w:val="24"/>
        </w:rPr>
        <w:t>l</w:t>
      </w:r>
      <w:r w:rsidRPr="00576ED7">
        <w:rPr>
          <w:szCs w:val="24"/>
        </w:rPr>
        <w:t>ity of these free or discounted goods or services, employers often have valid bus</w:t>
      </w:r>
      <w:r w:rsidRPr="00576ED7">
        <w:rPr>
          <w:szCs w:val="24"/>
        </w:rPr>
        <w:t>i</w:t>
      </w:r>
      <w:r w:rsidRPr="00576ED7">
        <w:rPr>
          <w:szCs w:val="24"/>
        </w:rPr>
        <w:t>ness reasons, other than simply providing compensation, for encouraging emplo</w:t>
      </w:r>
      <w:r w:rsidRPr="00576ED7">
        <w:rPr>
          <w:szCs w:val="24"/>
        </w:rPr>
        <w:t>y</w:t>
      </w:r>
      <w:r w:rsidRPr="00576ED7">
        <w:rPr>
          <w:szCs w:val="24"/>
        </w:rPr>
        <w:t>ees to avail themselves of the products which they sell to the public.  For exa</w:t>
      </w:r>
      <w:r w:rsidRPr="00576ED7">
        <w:rPr>
          <w:szCs w:val="24"/>
        </w:rPr>
        <w:t>m</w:t>
      </w:r>
      <w:r w:rsidRPr="00576ED7">
        <w:rPr>
          <w:szCs w:val="24"/>
        </w:rPr>
        <w:t>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w:t>
      </w:r>
      <w:r w:rsidRPr="00576ED7">
        <w:rPr>
          <w:szCs w:val="24"/>
        </w:rPr>
        <w:t>d</w:t>
      </w:r>
      <w:r w:rsidRPr="00576ED7">
        <w:rPr>
          <w:szCs w:val="24"/>
        </w:rPr>
        <w:t>ucts and services which the employer sells or provides to the public do not serve merely to replace cash compensation.  These reasons support the committee’s d</w:t>
      </w:r>
      <w:r w:rsidRPr="00576ED7">
        <w:rPr>
          <w:szCs w:val="24"/>
        </w:rPr>
        <w:t>e</w:t>
      </w:r>
      <w:r w:rsidRPr="00576ED7">
        <w:rPr>
          <w:szCs w:val="24"/>
        </w:rPr>
        <w:t>cision to codify the ability of employers to continue these practices without imp</w:t>
      </w:r>
      <w:r w:rsidRPr="00576ED7">
        <w:rPr>
          <w:szCs w:val="24"/>
        </w:rPr>
        <w:t>o</w:t>
      </w:r>
      <w:r w:rsidRPr="00576ED7">
        <w:rPr>
          <w:szCs w:val="24"/>
        </w:rPr>
        <w:t>sition of income or payroll taxes.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w:t>
      </w:r>
      <w:r w:rsidRPr="00576ED7">
        <w:rPr>
          <w:szCs w:val="24"/>
        </w:rPr>
        <w:t>i</w:t>
      </w:r>
      <w:r w:rsidRPr="00576ED7">
        <w:rPr>
          <w:szCs w:val="24"/>
        </w:rPr>
        <w:t>um other than cash, new practices will emerge that could shrink the income tax base significantly, and further shift a disproportionate tax burden to those indivi</w:t>
      </w:r>
      <w:r w:rsidRPr="00576ED7">
        <w:rPr>
          <w:szCs w:val="24"/>
        </w:rPr>
        <w:t>d</w:t>
      </w:r>
      <w:r w:rsidRPr="00576ED7">
        <w:rPr>
          <w:szCs w:val="24"/>
        </w:rPr>
        <w:t>uals whose compensation is in the form of cash.  A shrinkage of the base of the social security payroll tax could also pose a threat to the viability of the social s</w:t>
      </w:r>
      <w:r w:rsidRPr="00576ED7">
        <w:rPr>
          <w:szCs w:val="24"/>
        </w:rPr>
        <w:t>e</w:t>
      </w:r>
      <w:r w:rsidRPr="00576ED7">
        <w:rPr>
          <w:szCs w:val="24"/>
        </w:rPr>
        <w:t>curity system above and beyond the adverse projections which the congress r</w:t>
      </w:r>
      <w:r w:rsidRPr="00576ED7">
        <w:rPr>
          <w:szCs w:val="24"/>
        </w:rPr>
        <w:t>e</w:t>
      </w:r>
      <w:r w:rsidRPr="00576ED7">
        <w:rPr>
          <w:szCs w:val="24"/>
        </w:rPr>
        <w:t>cently addressed in the social security amendments of 1983.  Finally, an unr</w:t>
      </w:r>
      <w:r w:rsidRPr="00576ED7">
        <w:rPr>
          <w:szCs w:val="24"/>
        </w:rPr>
        <w:t>e</w:t>
      </w:r>
      <w:r w:rsidRPr="00576ED7">
        <w:rPr>
          <w:szCs w:val="24"/>
        </w:rPr>
        <w:t>strained expansion of noncash compensation would increase inequities among employees in different types of businesses, and among employers as well.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w:t>
      </w:r>
      <w:r w:rsidRPr="00576ED7">
        <w:rPr>
          <w:szCs w:val="24"/>
        </w:rPr>
        <w:t>f</w:t>
      </w:r>
      <w:r w:rsidRPr="00576ED7">
        <w:rPr>
          <w:szCs w:val="24"/>
        </w:rPr>
        <w:t>ficers, owners, or highly compensated employees only if the benefits are also pr</w:t>
      </w:r>
      <w:r w:rsidRPr="00576ED7">
        <w:rPr>
          <w:szCs w:val="24"/>
        </w:rPr>
        <w:t>o</w:t>
      </w:r>
      <w:r w:rsidRPr="00576ED7">
        <w:rPr>
          <w:szCs w:val="24"/>
        </w:rPr>
        <w:t>vided on substantially equal terms to other employees.  The committee believes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  Also, if highly paid executives could receive free from taxation economic benefits that are denied to lower-paid employees, while the la</w:t>
      </w:r>
      <w:r w:rsidRPr="00576ED7">
        <w:rPr>
          <w:szCs w:val="24"/>
        </w:rPr>
        <w:t>t</w:t>
      </w:r>
      <w:r w:rsidRPr="00576ED7">
        <w:rPr>
          <w:szCs w:val="24"/>
        </w:rPr>
        <w: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w:t>
      </w:r>
      <w:r w:rsidRPr="00576ED7">
        <w:rPr>
          <w:szCs w:val="24"/>
        </w:rPr>
        <w:t>t</w:t>
      </w:r>
      <w:r w:rsidRPr="00576ED7">
        <w:rPr>
          <w:szCs w:val="24"/>
        </w:rPr>
        <w:t>ing of types of cash income which are clearly taxable under present-law rules, such as interest and dividends.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summary, the committee believes that by providing rules which essentially codify many present practices under which employers provide their own products and services tax-free to a broad group of employees ... the bill substantially i</w:t>
      </w:r>
      <w:r w:rsidRPr="00576ED7">
        <w:rPr>
          <w:szCs w:val="24"/>
        </w:rPr>
        <w:t>m</w:t>
      </w:r>
      <w:r w:rsidRPr="00576ED7">
        <w:rPr>
          <w:szCs w:val="24"/>
        </w:rPr>
        <w:t>proves the equity and administration of the tax system.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  Explanation of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Overview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 61 and 83, and is includible in wages for e</w:t>
      </w:r>
      <w:r w:rsidRPr="00576ED7">
        <w:rPr>
          <w:szCs w:val="24"/>
        </w:rPr>
        <w:t>m</w:t>
      </w:r>
      <w:r w:rsidRPr="00576ED7">
        <w:rPr>
          <w:szCs w:val="24"/>
        </w:rPr>
        <w:t>ployment tax purposes, at the excess of its fair market value over any amount paid by the employee for the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As the Report implies, the notion that fringe benefits were nontaxable had go</w:t>
      </w:r>
      <w:r w:rsidRPr="00576ED7">
        <w:rPr>
          <w:szCs w:val="24"/>
        </w:rPr>
        <w:t>t</w:t>
      </w:r>
      <w:r w:rsidRPr="00576ED7">
        <w:rPr>
          <w:szCs w:val="24"/>
        </w:rPr>
        <w:t>ten out of hand.  The approach of Congress was to define fringe benefits that are excludible from gross income and to draw a line in the sand: “this far and no fa</w:t>
      </w:r>
      <w:r w:rsidRPr="00576ED7">
        <w:rPr>
          <w:szCs w:val="24"/>
        </w:rPr>
        <w:t>r</w:t>
      </w:r>
      <w:r w:rsidRPr="00576ED7">
        <w:rPr>
          <w:szCs w:val="24"/>
        </w:rPr>
        <w:t>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 132.  Consider these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Phillip works for Sports World, a mega-sporting goods store.  Phillip enjoys being outdoors and so would probably spend a lot of time shopping at Sports World, even if he didn’t work there.  Last year, Sports World sold $10M worth of sporting goods.  The cost of its merchandise was $7M, but its overhead was $2M.  Sports World offers its employees a 25% employee discount on items that e</w:t>
      </w:r>
      <w:r w:rsidRPr="00576ED7">
        <w:rPr>
          <w:szCs w:val="24"/>
        </w:rPr>
        <w:t>m</w:t>
      </w:r>
      <w:r w:rsidRPr="00576ED7">
        <w:rPr>
          <w:szCs w:val="24"/>
        </w:rPr>
        <w:t>ployees purchase.  Phillip purchased a fishing boat that retails for $1000.  Phillip paid $750.</w:t>
      </w:r>
    </w:p>
    <w:p w:rsidR="0049128E" w:rsidRPr="00576ED7" w:rsidRDefault="0049128E" w:rsidP="00A6585D">
      <w:pPr>
        <w:widowControl w:val="0"/>
        <w:ind w:left="720"/>
        <w:jc w:val="both"/>
        <w:rPr>
          <w:szCs w:val="24"/>
        </w:rPr>
      </w:pPr>
      <w:r w:rsidRPr="00576ED7">
        <w:rPr>
          <w:szCs w:val="24"/>
        </w:rPr>
        <w:lastRenderedPageBreak/>
        <w:t>•Tax consequences to Phillip?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One week later, Phillip sold the fishing boat to his brother for $1050.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132(a)(2) and § 132(c).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1b.  Sports World is located in a large building whose tenants once included a professional basketball team and a perennial NCAA basketball power.  The od</w:t>
      </w:r>
      <w:r w:rsidRPr="00576ED7">
        <w:rPr>
          <w:szCs w:val="24"/>
        </w:rPr>
        <w:t>d</w:t>
      </w:r>
      <w:r w:rsidRPr="00576ED7">
        <w:rPr>
          <w:szCs w:val="24"/>
        </w:rPr>
        <w:t>ly-shaped building stood empty for several years.  Service merchants in the area (restaurants, dry cleaners, dentists, optometrists, etc.) were anxious that Sports World would occupy the building and readily entered into reciprocal arrang</w:t>
      </w:r>
      <w:r w:rsidRPr="00576ED7">
        <w:rPr>
          <w:szCs w:val="24"/>
        </w:rPr>
        <w:t>e</w:t>
      </w:r>
      <w:r w:rsidRPr="00576ED7">
        <w:rPr>
          <w:szCs w:val="24"/>
        </w:rPr>
        <w:t>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w:t>
      </w:r>
      <w:r w:rsidRPr="00576ED7">
        <w:rPr>
          <w:szCs w:val="24"/>
        </w:rPr>
        <w:t>r</w:t>
      </w:r>
      <w:r w:rsidRPr="00576ED7">
        <w:rPr>
          <w:szCs w:val="24"/>
        </w:rPr>
        <w:t>chased a tent from Sports World that normally retails for $100 for only $90.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•Tax consequences to the optometrist?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Mesquite Airlines is a commercial airline.  It offers its employees free standby air travel.  Moreover, Mesquite Airlines has entered into a reciprocal agreement with several other airlines whereby employees of Mesquite may fly standby for free on other airlines, and employees of the other airlines may fly free on Me</w:t>
      </w:r>
      <w:r w:rsidRPr="00576ED7">
        <w:rPr>
          <w:szCs w:val="24"/>
        </w:rPr>
        <w:t>s</w:t>
      </w:r>
      <w:r w:rsidRPr="00576ED7">
        <w:rPr>
          <w:szCs w:val="24"/>
        </w:rPr>
        <w:t>quite Airlines.  Megan is a retired airline pilot who flew airplanes for Mesquite Airlines for 35 years.  Megan flew standby on a Mesquite Airlines flight; the normal fare was $400.</w:t>
      </w:r>
    </w:p>
    <w:p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 132(h).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2a.  Megan flew standby on another airline.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University of Memphis recently moved into a new building in downtown Memphis.  The faculty members chose their offices pursuant to a system that i</w:t>
      </w:r>
      <w:r w:rsidRPr="00576ED7">
        <w:rPr>
          <w:szCs w:val="24"/>
        </w:rPr>
        <w:t>n</w:t>
      </w:r>
      <w:r w:rsidRPr="00576ED7">
        <w:rPr>
          <w:szCs w:val="24"/>
        </w:rPr>
        <w:t xml:space="preserve">corporated consideration of rank and seniority.  Staff offices have a rental value of </w:t>
      </w:r>
      <w:r w:rsidRPr="00576ED7">
        <w:rPr>
          <w:szCs w:val="24"/>
        </w:rPr>
        <w:lastRenderedPageBreak/>
        <w:t>$3600 per year.  Professor K now has a corner office with a nice view of the Mi</w:t>
      </w:r>
      <w:r w:rsidRPr="00576ED7">
        <w:rPr>
          <w:szCs w:val="24"/>
        </w:rPr>
        <w:t>s</w:t>
      </w:r>
      <w:r w:rsidRPr="00576ED7">
        <w:rPr>
          <w:szCs w:val="24"/>
        </w:rPr>
        <w:t>sissippi River.  The rental value of the “worst” faculty office is $4800 per year.  The rental value of Professor K’s office is $14,400 per year.</w:t>
      </w:r>
    </w:p>
    <w:p w:rsidR="0049128E" w:rsidRPr="00576ED7" w:rsidRDefault="0021528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61312" behindDoc="0" locked="0" layoutInCell="0" allowOverlap="1" wp14:anchorId="52D9A2C8" wp14:editId="0246C1DB">
                <wp:simplePos x="0" y="0"/>
                <wp:positionH relativeFrom="margin">
                  <wp:posOffset>2054225</wp:posOffset>
                </wp:positionH>
                <wp:positionV relativeFrom="paragraph">
                  <wp:posOffset>235585</wp:posOffset>
                </wp:positionV>
                <wp:extent cx="3037205" cy="2196465"/>
                <wp:effectExtent l="0" t="0" r="10795" b="13335"/>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196465"/>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161.75pt;margin-top:18.55pt;width:239.15pt;height:172.9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KbLAIAAFwEAAAOAAAAZHJzL2Uyb0RvYy54bWysVNtu2zAMfR+wfxD0vti5NO2MOEWXLsOA&#10;7gK0+wBZlm1hkqhJSuzs60vJSRZ028swPwiiRB2S55Be3Q5akb1wXoIp6XSSUyIMh1qatqTfnrZv&#10;bijxgZmaKTCipAfh6e369atVbwsxgw5ULRxBEOOL3pa0C8EWWeZ5JzTzE7DC4GUDTrOApmuz2rEe&#10;0bXKZnm+zHpwtXXAhfd4ej9e0nXCbxrBw5em8SIQVVLMLaTVpbWKa7ZesaJ1zHaSH9Ng/5CFZtJg&#10;0DPUPQuM7Jz8DUpL7sBDEyYcdAZNI7lINWA10/xFNY8dsyLVguR4e6bJ/z9Y/nn/1RFZl/R6Tolh&#10;GjV6EkMg72Agi6vIT299gW6PFh3DgOeoc6rV2wfg3z0xsOmYacWdc9B3gtWY3zS+zC6ejjg+glT9&#10;J6gxDtsFSEBD43QkD+kgiI46Hc7axFw4Hs7z+fUsv6KE491s+na5WKbsMlacnlvnwwcBmsRNSR2K&#10;n+DZ/sGHmA4rTi4xmgcl661UKhmurTbKkT3DRtmmL1Xwwk0Z0mNxGH82UvBXjDx9f8LQMmDLK6lL&#10;enN2YkUk7r2pU0MGJtW4x5yVOTIZyRtpDEM1JNEW85NCFdQH5NbB2OI4krjpwP2kpMf2Lqn/sWNO&#10;UKI+GtTneonTg/NwabhLo7o0mOEIVdJAybjdhHGGdtbJtsNIY0cYuENNG5nYjuKPWR3zxxZOIhzH&#10;Lc7IpZ28fv0U1s8AAAD//wMAUEsDBBQABgAIAAAAIQCMcKbs3AAAAAoBAAAPAAAAZHJzL2Rvd25y&#10;ZXYueG1sTI9BT4QwEIXvJv6HZky8uS0QlSBlY0i8L6jRY5eOQKRTpN0F/73jSW8z817efK/cb24S&#10;Z1zC6ElDslMgkDpvR+o1vDw/3eQgQjRkzeQJNXxjgH11eVGawvqVGjy3sRccQqEwGoYY50LK0A3o&#10;TNj5GYm1D784E3ldemkXs3K4m2Sq1J10ZiT+MJgZ6wG7z/bkNPimqV/T9uvwVq+27tfDFuf3Qevr&#10;q+3xAUTELf6Z4Ref0aFipqM/kQ1i0pCl2S1bebhPQLAhVwl3OfIhzxTIqpT/K1Q/AAAA//8DAFBL&#10;AQItABQABgAIAAAAIQC2gziS/gAAAOEBAAATAAAAAAAAAAAAAAAAAAAAAABbQ29udGVudF9UeXBl&#10;c10ueG1sUEsBAi0AFAAGAAgAAAAhADj9If/WAAAAlAEAAAsAAAAAAAAAAAAAAAAALwEAAF9yZWxz&#10;Ly5yZWxzUEsBAi0AFAAGAAgAAAAhAKpIEpssAgAAXAQAAA4AAAAAAAAAAAAAAAAALgIAAGRycy9l&#10;Mm9Eb2MueG1sUEsBAi0AFAAGAAgAAAAhAIxwpuzcAAAACgEAAA8AAAAAAAAAAAAAAAAAhgQAAGRy&#10;cy9kb3ducmV2LnhtbFBLBQYAAAAABAAEAPMAAACPBQAAAAA=&#10;" o:allowincell="f" strokeweight=".96pt">
                <v:textbox inset="6pt,6pt,6pt,6pt">
                  <w:txbxContent>
                    <w:p w:rsidR="00FF5E72" w:rsidRDefault="00FF5E72">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w:t>
                      </w:r>
                      <w:r>
                        <w:rPr>
                          <w:rFonts w:ascii="Tw Cen MT" w:hAnsi="Tw Cen MT"/>
                        </w:rPr>
                        <w:t>o</w:t>
                      </w:r>
                      <w:r>
                        <w:rPr>
                          <w:rFonts w:ascii="Tw Cen MT" w:hAnsi="Tw Cen MT"/>
                        </w:rPr>
                        <w:t>visions of the Code and the Regulations.  Wit</w:t>
                      </w:r>
                      <w:r>
                        <w:rPr>
                          <w:rFonts w:ascii="Tw Cen MT" w:hAnsi="Tw Cen MT"/>
                        </w:rPr>
                        <w:t>h</w:t>
                      </w:r>
                      <w:r>
                        <w:rPr>
                          <w:rFonts w:ascii="Tw Cen MT" w:hAnsi="Tw Cen MT"/>
                        </w:rPr>
                        <w:t>in that context, this reminder might be appr</w:t>
                      </w:r>
                      <w:r>
                        <w:rPr>
                          <w:rFonts w:ascii="Tw Cen MT" w:hAnsi="Tw Cen MT"/>
                        </w:rPr>
                        <w:t>o</w:t>
                      </w:r>
                      <w:r>
                        <w:rPr>
                          <w:rFonts w:ascii="Tw Cen MT" w:hAnsi="Tw Cen MT"/>
                        </w:rPr>
                        <w:t>priate.  The Code is the text that Congress e</w:t>
                      </w:r>
                      <w:r>
                        <w:rPr>
                          <w:rFonts w:ascii="Tw Cen MT" w:hAnsi="Tw Cen MT"/>
                        </w:rPr>
                        <w:t>n</w:t>
                      </w:r>
                      <w:r>
                        <w:rPr>
                          <w:rFonts w:ascii="Tw Cen MT" w:hAnsi="Tw Cen MT"/>
                        </w:rPr>
                        <w:t>acted.  It is law so long as it is consistent with the Constitution.  The Regulations are text that the Treasury Department adopted to construe the Code.  It also is law, so long as it is co</w:t>
                      </w:r>
                      <w:r>
                        <w:rPr>
                          <w:rFonts w:ascii="Tw Cen MT" w:hAnsi="Tw Cen MT"/>
                        </w:rPr>
                        <w:t>n</w:t>
                      </w:r>
                      <w:r>
                        <w:rPr>
                          <w:rFonts w:ascii="Tw Cen MT" w:hAnsi="Tw Cen MT"/>
                        </w:rPr>
                        <w:t>sistent with the Code and the Constitution.  You have already seen implementation of this hie</w:t>
                      </w:r>
                      <w:r>
                        <w:rPr>
                          <w:rFonts w:ascii="Tw Cen MT" w:hAnsi="Tw Cen MT"/>
                        </w:rPr>
                        <w:t>r</w:t>
                      </w:r>
                      <w:r>
                        <w:rPr>
                          <w:rFonts w:ascii="Tw Cen MT" w:hAnsi="Tw Cen MT"/>
                        </w:rPr>
                        <w:t>archy in cases that you have read.</w:t>
                      </w:r>
                    </w:p>
                  </w:txbxContent>
                </v:textbox>
                <w10:wrap type="square" side="largest" anchorx="margin"/>
              </v:shape>
            </w:pict>
          </mc:Fallback>
        </mc:AlternateContent>
      </w:r>
      <w:r w:rsidR="0049128E" w:rsidRPr="00576ED7">
        <w:rPr>
          <w:szCs w:val="24"/>
        </w:rPr>
        <w:t xml:space="preserve">•Tax consequences to Professor K? </w:t>
      </w:r>
      <w:r w:rsidR="0049128E" w:rsidRPr="00576ED7">
        <w:rPr>
          <w:i/>
          <w:szCs w:val="24"/>
        </w:rPr>
        <w:t>See</w:t>
      </w:r>
      <w:r w:rsidR="0049128E" w:rsidRPr="00576ED7">
        <w:rPr>
          <w:szCs w:val="24"/>
        </w:rPr>
        <w:t xml:space="preserve"> § 132(a)(3) and § 132(d).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3a.  Same facts.  The Law School purchased for Profe</w:t>
      </w:r>
      <w:r w:rsidRPr="00576ED7">
        <w:rPr>
          <w:szCs w:val="24"/>
        </w:rPr>
        <w:t>s</w:t>
      </w:r>
      <w:r w:rsidRPr="00576ED7">
        <w:rPr>
          <w:szCs w:val="24"/>
        </w:rPr>
        <w:t>sor K and one other professor (but no</w:t>
      </w:r>
      <w:r w:rsidR="00954483" w:rsidRPr="00576ED7">
        <w:rPr>
          <w:szCs w:val="24"/>
        </w:rPr>
        <w:t xml:space="preserve"> </w:t>
      </w:r>
      <w:r w:rsidRPr="00576ED7">
        <w:rPr>
          <w:szCs w:val="24"/>
        </w:rPr>
        <w:t>one else) online access to the CCH Federal Tax R</w:t>
      </w:r>
      <w:r w:rsidRPr="00576ED7">
        <w:rPr>
          <w:szCs w:val="24"/>
        </w:rPr>
        <w:t>e</w:t>
      </w:r>
      <w:r w:rsidRPr="00576ED7">
        <w:rPr>
          <w:szCs w:val="24"/>
        </w:rPr>
        <w:t>porter.  The retail cost of this access is $2500 per year.</w:t>
      </w:r>
    </w:p>
    <w:p w:rsidR="0049128E" w:rsidRPr="00576ED7" w:rsidRDefault="0049128E" w:rsidP="00A6585D">
      <w:pPr>
        <w:widowControl w:val="0"/>
        <w:ind w:left="720"/>
        <w:jc w:val="both"/>
        <w:rPr>
          <w:szCs w:val="24"/>
        </w:rPr>
      </w:pPr>
      <w:r w:rsidRPr="00576ED7">
        <w:rPr>
          <w:szCs w:val="24"/>
        </w:rPr>
        <w:t>•Tax consequences to Professor K?</w:t>
      </w:r>
    </w:p>
    <w:p w:rsidR="0049128E" w:rsidRPr="00576ED7" w:rsidRDefault="0049128E" w:rsidP="00A6585D">
      <w:pPr>
        <w:widowControl w:val="0"/>
        <w:ind w:left="1440"/>
        <w:jc w:val="both"/>
        <w:rPr>
          <w:szCs w:val="24"/>
        </w:rPr>
      </w:pPr>
      <w:r w:rsidRPr="00576ED7">
        <w:rPr>
          <w:szCs w:val="24"/>
        </w:rPr>
        <w:t>•Is there any other info</w:t>
      </w:r>
      <w:r w:rsidRPr="00576ED7">
        <w:rPr>
          <w:szCs w:val="24"/>
        </w:rPr>
        <w:t>r</w:t>
      </w:r>
      <w:r w:rsidRPr="00576ED7">
        <w:rPr>
          <w:szCs w:val="24"/>
        </w:rPr>
        <w:t>mation you need to answer this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employees.  An employee purchased plumbing services that normally cost $200 for $150.  One of Joe the Plumber’s highly-compensated employees purchased the same services for $120.</w:t>
      </w:r>
    </w:p>
    <w:p w:rsidR="0049128E" w:rsidRPr="00576ED7" w:rsidRDefault="0049128E" w:rsidP="00A6585D">
      <w:pPr>
        <w:widowControl w:val="0"/>
        <w:ind w:left="720"/>
        <w:jc w:val="both"/>
        <w:rPr>
          <w:szCs w:val="24"/>
        </w:rPr>
      </w:pPr>
      <w:r w:rsidRPr="00576ED7">
        <w:rPr>
          <w:szCs w:val="24"/>
        </w:rPr>
        <w:t>•Tax consequences to the employee?</w:t>
      </w:r>
    </w:p>
    <w:p w:rsidR="0049128E" w:rsidRPr="00576ED7" w:rsidRDefault="0049128E" w:rsidP="00A6585D">
      <w:pPr>
        <w:widowControl w:val="0"/>
        <w:ind w:left="720"/>
        <w:jc w:val="both"/>
        <w:rPr>
          <w:szCs w:val="24"/>
        </w:rPr>
      </w:pPr>
      <w:r w:rsidRPr="00576ED7">
        <w:rPr>
          <w:szCs w:val="24"/>
        </w:rPr>
        <w:t>•Tax consequences to the highly-compensated employee?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132(j)(1).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addition to their normal wages.  This was because of the gratitude Lotsa Refunds felt for its employees having worked long hours against tight deadlines.  Lotsa Refunds’ highly-compensated employees did not receive such a card.</w:t>
      </w:r>
    </w:p>
    <w:p w:rsidR="0049128E" w:rsidRPr="00576ED7" w:rsidRDefault="0049128E" w:rsidP="00A6585D">
      <w:pPr>
        <w:widowControl w:val="0"/>
        <w:ind w:left="720"/>
        <w:jc w:val="both"/>
        <w:rPr>
          <w:szCs w:val="24"/>
        </w:rPr>
      </w:pPr>
      <w:r w:rsidRPr="00576ED7">
        <w:rPr>
          <w:szCs w:val="24"/>
        </w:rPr>
        <w:t>•Tax consequences to the employees?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5a.  The employees of Lotsa Refunds, Inc. worked from 7 a.m. until 12 midnight every night between April 1 and April 15.  Because of the fact that criminal a</w:t>
      </w:r>
      <w:r w:rsidRPr="00576ED7">
        <w:rPr>
          <w:szCs w:val="24"/>
        </w:rPr>
        <w:t>c</w:t>
      </w:r>
      <w:r w:rsidRPr="00576ED7">
        <w:rPr>
          <w:szCs w:val="24"/>
        </w:rPr>
        <w:t>tivity increases after midnight, Lotsa Refunds paid cab-fare to all of its employees on those days – both from and to work in the morning.  Assume that a typical cab fare is $15.</w:t>
      </w:r>
    </w:p>
    <w:p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 1.132-6(d)(2)(iii)(A, B, and C).</w:t>
      </w:r>
    </w:p>
    <w:p w:rsidR="0049128E" w:rsidRPr="00576ED7" w:rsidRDefault="0049128E" w:rsidP="00A6585D">
      <w:pPr>
        <w:widowControl w:val="0"/>
        <w:ind w:left="1440"/>
        <w:jc w:val="both"/>
        <w:rPr>
          <w:szCs w:val="24"/>
        </w:rPr>
      </w:pPr>
      <w:r w:rsidRPr="00576ED7">
        <w:rPr>
          <w:szCs w:val="24"/>
        </w:rPr>
        <w:t>•Are there any more facts you might wish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Springfield Memorial Hospital operates a cafeteria for its workers.  Its prices for each food item cover the direct operating costs of selling that item.  This price is less than the fmv of the item if it were sold in a for-profit cafeteria.  Some of its workers are on call for emergencies at all times, even during their mealtimes.  The mealtimes of these workers is 30 minutes.  These employees have special passes in the cafeteria which permit them to take food equal to $7 “worth” of food.  Ot</w:t>
      </w:r>
      <w:r w:rsidRPr="00576ED7">
        <w:rPr>
          <w:szCs w:val="24"/>
        </w:rPr>
        <w:t>h</w:t>
      </w:r>
      <w:r w:rsidRPr="00576ED7">
        <w:rPr>
          <w:szCs w:val="24"/>
        </w:rPr>
        <w:t>er personnel may eat in the cafeteria, but must pay the charge listed for each food item; these persons are not on call, and many of them do not eat in the cafeteria.  Overall, the cafeteria loses money because most employees in the first group do eat in the cafeteria.</w:t>
      </w:r>
    </w:p>
    <w:p w:rsidR="0049128E" w:rsidRPr="00576ED7" w:rsidRDefault="0049128E" w:rsidP="00A6585D">
      <w:pPr>
        <w:widowControl w:val="0"/>
        <w:ind w:left="720"/>
        <w:jc w:val="both"/>
        <w:rPr>
          <w:szCs w:val="24"/>
        </w:rPr>
      </w:pPr>
      <w:r w:rsidRPr="00576ED7">
        <w:rPr>
          <w:szCs w:val="24"/>
        </w:rPr>
        <w:t>•Tax consequences to the first group of employees?</w:t>
      </w:r>
    </w:p>
    <w:p w:rsidR="0049128E" w:rsidRPr="00576ED7" w:rsidRDefault="0049128E" w:rsidP="00A6585D">
      <w:pPr>
        <w:widowControl w:val="0"/>
        <w:ind w:left="720"/>
        <w:jc w:val="both"/>
        <w:rPr>
          <w:szCs w:val="24"/>
        </w:rPr>
      </w:pPr>
      <w:r w:rsidRPr="00576ED7">
        <w:rPr>
          <w:szCs w:val="24"/>
        </w:rPr>
        <w:t>•Tax consequences to the second group of employees?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 132(e)(2), including carryout paragraph.</w:t>
      </w:r>
    </w:p>
    <w:p w:rsidR="0049128E" w:rsidRDefault="0049128E" w:rsidP="00A6585D">
      <w:pPr>
        <w:widowControl w:val="0"/>
        <w:jc w:val="both"/>
        <w:rPr>
          <w:szCs w:val="24"/>
        </w:rPr>
      </w:pPr>
    </w:p>
    <w:p w:rsidR="0016734C" w:rsidRDefault="0016734C" w:rsidP="00A6585D">
      <w:pPr>
        <w:widowControl w:val="0"/>
        <w:jc w:val="both"/>
      </w:pPr>
      <w:r>
        <w:rPr>
          <w:szCs w:val="24"/>
        </w:rPr>
        <w:t xml:space="preserve">7.  </w:t>
      </w:r>
      <w:r w:rsidR="00FF2F37">
        <w:t>Taxpayer Wheeler lives five miles from his place of employment.  Every day, he rides his Pistoldale Black Shadow bicycle that he bought several years ago and has used ever since for exercise and enjoyment.  He also uses his bicycle every summer for a bicycle tour, and these tours are usually between 1000 and 1500 miles in length.  He usually rides about sixty miles per weekend with a bicycle club.  During the calendar year, Wheeler purchased new pedals for his bicycle to replace the ones he had that were ten years old (price: $120), a new chain which must be replaced every year (price: $10), tire tubes (4 @ $6/tube, total $24), and a new headlight because he did not have one (price: $30).  Wheeler did not receive from his employer transportation in a commuter highway vehicle, a transit pass, or a parking place near his employer’s office.  At the end of the year, Wheeler presented his receipts for the above items to his employer who reimbursed him $174 in cash.  How much of this reimbursement must Wheeler include in his gross income?</w:t>
      </w:r>
    </w:p>
    <w:p w:rsidR="00131D2D" w:rsidRDefault="00131D2D" w:rsidP="00A6585D">
      <w:pPr>
        <w:widowControl w:val="0"/>
        <w:jc w:val="both"/>
      </w:pPr>
    </w:p>
    <w:p w:rsidR="00131D2D" w:rsidRPr="00576ED7" w:rsidRDefault="00131D2D" w:rsidP="00131D2D">
      <w:pPr>
        <w:widowControl w:val="0"/>
        <w:jc w:val="both"/>
        <w:rPr>
          <w:szCs w:val="24"/>
        </w:rPr>
      </w:pPr>
      <w:r>
        <w:t xml:space="preserve">8.  </w:t>
      </w:r>
      <w:r w:rsidRPr="00576ED7">
        <w:rPr>
          <w:szCs w:val="24"/>
        </w:rPr>
        <w:t xml:space="preserve">Read §§ 82, 132(a)(6), 132(g), 217. </w:t>
      </w:r>
      <w:r>
        <w:rPr>
          <w:szCs w:val="24"/>
        </w:rPr>
        <w:t xml:space="preserve">  Moving expenses are excluded from </w:t>
      </w:r>
      <w:r>
        <w:rPr>
          <w:szCs w:val="24"/>
        </w:rPr>
        <w:lastRenderedPageBreak/>
        <w:t>gross income only in certain circumstances.  What are they? How does the Code provide for horizontal equity among taxpayers, some of whose employers pay their moving expenses and some of whose employers do not pay such expenses.  We take up the Code provisions governing moving expenses in more detail in chapter 7-III-A.</w:t>
      </w:r>
    </w:p>
    <w:p w:rsidR="00131D2D" w:rsidRPr="00576ED7" w:rsidRDefault="00131D2D" w:rsidP="00131D2D">
      <w:pPr>
        <w:widowControl w:val="0"/>
        <w:jc w:val="both"/>
        <w:rPr>
          <w:szCs w:val="24"/>
        </w:rPr>
      </w:pPr>
    </w:p>
    <w:p w:rsidR="0016734C" w:rsidRPr="00576ED7" w:rsidRDefault="0016734C"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F8790F3" wp14:editId="3ED0A26E">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(again)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G.  Cafeteria Plans, § 125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Normally, a taxpayer may not avoid realizing gross income by turning his/her back on cash.  Hence, if an employer were to give all employees a choice b</w:t>
      </w:r>
      <w:r w:rsidRPr="00576ED7">
        <w:rPr>
          <w:szCs w:val="24"/>
        </w:rPr>
        <w:t>e</w:t>
      </w:r>
      <w:r w:rsidRPr="00576ED7">
        <w:rPr>
          <w:szCs w:val="24"/>
        </w:rPr>
        <w:t>tween, say, $5000 cash or $5000 of dependent care assistance, taxpayer would have to realize gross income no matter which choice s/he made.  Either the e</w:t>
      </w:r>
      <w:r w:rsidRPr="00576ED7">
        <w:rPr>
          <w:szCs w:val="24"/>
        </w:rPr>
        <w:t>m</w:t>
      </w:r>
      <w:r w:rsidRPr="00576ED7">
        <w:rPr>
          <w:szCs w:val="24"/>
        </w:rPr>
        <w:t xml:space="preserve">ployee accepted the cash (taxable) or </w:t>
      </w:r>
      <w:r w:rsidRPr="00576ED7">
        <w:rPr>
          <w:i/>
          <w:szCs w:val="24"/>
        </w:rPr>
        <w:t>could have</w:t>
      </w:r>
      <w:r w:rsidRPr="00576ED7">
        <w:rPr>
          <w:szCs w:val="24"/>
        </w:rPr>
        <w:t xml:space="preserve"> accepted the cash (also taxable).</w:t>
      </w:r>
    </w:p>
    <w:p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are in need of, say, after-school care.  In order to avoid application of this “co</w:t>
      </w:r>
      <w:r w:rsidRPr="00576ED7">
        <w:rPr>
          <w:szCs w:val="24"/>
        </w:rPr>
        <w:t>n</w:t>
      </w:r>
      <w:r w:rsidRPr="00576ED7">
        <w:rPr>
          <w:szCs w:val="24"/>
        </w:rPr>
        <w:t xml:space="preserve">structive receipt” doctrine, the employer would have to offer a dependent care assistance program to </w:t>
      </w:r>
      <w:r w:rsidRPr="00576ED7">
        <w:rPr>
          <w:i/>
          <w:szCs w:val="24"/>
        </w:rPr>
        <w:t>all</w:t>
      </w:r>
      <w:r w:rsidRPr="00576ED7">
        <w:rPr>
          <w:szCs w:val="24"/>
        </w:rPr>
        <w:t xml:space="preserve"> employees.</w:t>
      </w:r>
    </w:p>
    <w:p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rsidR="0049128E" w:rsidRPr="00576ED7" w:rsidRDefault="0049128E" w:rsidP="00A6585D">
      <w:pPr>
        <w:widowControl w:val="0"/>
        <w:ind w:left="1440"/>
        <w:jc w:val="both"/>
        <w:rPr>
          <w:szCs w:val="24"/>
        </w:rPr>
      </w:pPr>
      <w:r w:rsidRPr="00576ED7">
        <w:rPr>
          <w:szCs w:val="24"/>
        </w:rPr>
        <w:t>•If the employer did not offer such a program, the parents could not avail themselves of the § 129 exclusion.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125 mitigates these effects substantially, and gives employers and e</w:t>
      </w:r>
      <w:r w:rsidRPr="00576ED7">
        <w:rPr>
          <w:szCs w:val="24"/>
        </w:rPr>
        <w:t>m</w:t>
      </w:r>
      <w:r w:rsidRPr="00576ED7">
        <w:rPr>
          <w:szCs w:val="24"/>
        </w:rPr>
        <w:t>ployees the power to customize a benefits package to a point – or to accept cash.  A participant in a “cafeteria plan” does not realize gross income simply because s/he may choose to receive cash or among qualified benefits of the plan that the employer offers.</w:t>
      </w:r>
    </w:p>
    <w:p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 106(b) (Archer MSAs), § 117 (scholarships, qualified tuition reduction), § 127 (employer educational assistance programs), and § 132 (fringe benefits).</w:t>
      </w:r>
    </w:p>
    <w:p w:rsidR="0049128E" w:rsidRPr="00576ED7" w:rsidRDefault="0049128E" w:rsidP="00A6585D">
      <w:pPr>
        <w:widowControl w:val="0"/>
        <w:ind w:left="1440"/>
        <w:jc w:val="both"/>
        <w:rPr>
          <w:szCs w:val="24"/>
        </w:rPr>
      </w:pPr>
      <w:r w:rsidRPr="00576ED7">
        <w:rPr>
          <w:szCs w:val="24"/>
        </w:rPr>
        <w:t xml:space="preserve">•However, qualified transportation fringes are treated in the same </w:t>
      </w:r>
      <w:r w:rsidRPr="00576ED7">
        <w:rPr>
          <w:szCs w:val="24"/>
        </w:rPr>
        <w:lastRenderedPageBreak/>
        <w:t>manner as other qualified benefits of a cafeteria plan, § 132(f)(4).</w:t>
      </w:r>
    </w:p>
    <w:p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rsidR="0049128E" w:rsidRPr="00576ED7" w:rsidRDefault="0049128E" w:rsidP="00A6585D">
      <w:pPr>
        <w:widowControl w:val="0"/>
        <w:ind w:left="720"/>
        <w:jc w:val="both"/>
        <w:rPr>
          <w:szCs w:val="24"/>
        </w:rPr>
      </w:pPr>
      <w:r w:rsidRPr="00576ED7">
        <w:rPr>
          <w:szCs w:val="24"/>
        </w:rPr>
        <w:t>•Reg. § 1.125-1(a)(3) lists qualified benefits that an employer may offer in a cafeteria plan.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125(j) establishes “simple cafeteria plans for small businesses.”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Proposed Reg. § 1.125-5(a)(1) authorizes flexible spending arrangements wher</w:t>
      </w:r>
      <w:r w:rsidRPr="00576ED7">
        <w:rPr>
          <w:szCs w:val="24"/>
        </w:rPr>
        <w:t>e</w:t>
      </w:r>
      <w:r w:rsidRPr="00576ED7">
        <w:rPr>
          <w:szCs w:val="24"/>
        </w:rPr>
        <w:t>by employees agree to a reduction in their salary to be spent on a use-it-or-lose it basis on qualified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Why should an employer offer a cafeteria plan?</w:t>
      </w:r>
    </w:p>
    <w:p w:rsidR="0049128E" w:rsidRPr="00576ED7" w:rsidRDefault="0049128E" w:rsidP="00A6585D">
      <w:pPr>
        <w:widowControl w:val="0"/>
        <w:jc w:val="both"/>
        <w:rPr>
          <w:szCs w:val="24"/>
        </w:rPr>
      </w:pPr>
    </w:p>
    <w:p w:rsidR="0049128E" w:rsidRPr="00576ED7" w:rsidRDefault="0049128E" w:rsidP="00910345">
      <w:pPr>
        <w:pStyle w:val="Heading3"/>
      </w:pPr>
      <w:bookmarkStart w:id="42" w:name="_Toc375132929"/>
      <w:r w:rsidRPr="00576ED7">
        <w:t>Wrap-up Questions for Chapter 3</w:t>
      </w:r>
      <w:r w:rsidRPr="00576ED7">
        <w:fldChar w:fldCharType="begin"/>
      </w:r>
      <w:r w:rsidRPr="00576ED7">
        <w:instrText xml:space="preserve"> TC \l1 "Wrap-up Questions for Chapter 3</w:instrText>
      </w:r>
      <w:r w:rsidRPr="00576ED7">
        <w:fldChar w:fldCharType="end"/>
      </w:r>
      <w:r w:rsidRPr="00576ED7">
        <w:t>:</w:t>
      </w:r>
      <w:bookmarkEnd w:id="42"/>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what ways – good or bad – do you think exclusions from gross income a</w:t>
      </w:r>
      <w:r w:rsidRPr="00576ED7">
        <w:rPr>
          <w:szCs w:val="24"/>
        </w:rPr>
        <w:t>f</w:t>
      </w:r>
      <w:r w:rsidRPr="00576ED7">
        <w:rPr>
          <w:szCs w:val="24"/>
        </w:rPr>
        <w:t>fect markets? It may help to consider one example, e.g., the market for health care.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than the taxpayer Congress intended to benefit? Consider the exclusion from gross i</w:t>
      </w:r>
      <w:r w:rsidRPr="00576ED7">
        <w:rPr>
          <w:szCs w:val="24"/>
        </w:rPr>
        <w:t>n</w:t>
      </w:r>
      <w:r w:rsidRPr="00576ED7">
        <w:rPr>
          <w:szCs w:val="24"/>
        </w:rPr>
        <w:t>come of scholarships or the rental value of parsonages.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w:t>
      </w:r>
      <w:r w:rsidRPr="00576ED7">
        <w:rPr>
          <w:szCs w:val="24"/>
        </w:rPr>
        <w:t>m</w:t>
      </w:r>
      <w:r w:rsidRPr="00576ED7">
        <w:rPr>
          <w:szCs w:val="24"/>
        </w:rPr>
        <w:t>ployee be treated as having received cash for purposes of the income tax? Are there additional facts you might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Are there any statutory exclusions from gross income that you would like to see repealed? Which ones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is deadweight loss? Which exclusions do you think cause the most deadweight loss?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B61A1">
      <w:pPr>
        <w:pStyle w:val="Heading2"/>
      </w:pPr>
      <w:bookmarkStart w:id="43" w:name="_Toc375132930"/>
      <w:r w:rsidRPr="00576ED7">
        <w:lastRenderedPageBreak/>
        <w:t>Chapter 4: Loans and Cancellation of Indebte</w:t>
      </w:r>
      <w:r w:rsidRPr="00576ED7">
        <w:t>d</w:t>
      </w:r>
      <w:r w:rsidRPr="00576ED7">
        <w:t>ness</w:t>
      </w:r>
      <w:bookmarkEnd w:id="43"/>
      <w:r w:rsidRPr="00576ED7">
        <w:fldChar w:fldCharType="begin"/>
      </w:r>
      <w:r w:rsidRPr="00576ED7">
        <w:instrText xml:space="preserve"> TC \l1 "Chapter 4: Loans and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C007EA" w:rsidP="00910345">
      <w:pPr>
        <w:pStyle w:val="Heading3"/>
      </w:pPr>
      <w:bookmarkStart w:id="44" w:name="_Toc375132931"/>
      <w:r w:rsidRPr="00576ED7">
        <w:rPr>
          <w:noProof/>
        </w:rPr>
        <mc:AlternateContent>
          <mc:Choice Requires="wps">
            <w:drawing>
              <wp:anchor distT="152400" distB="152400" distL="152400" distR="152400" simplePos="0" relativeHeight="251662336" behindDoc="0" locked="0" layoutInCell="0" allowOverlap="1" wp14:anchorId="169A28D7" wp14:editId="331D7F59">
                <wp:simplePos x="0" y="0"/>
                <wp:positionH relativeFrom="margin">
                  <wp:posOffset>95250</wp:posOffset>
                </wp:positionH>
                <wp:positionV relativeFrom="paragraph">
                  <wp:posOffset>145415</wp:posOffset>
                </wp:positionV>
                <wp:extent cx="2517775" cy="2383155"/>
                <wp:effectExtent l="0" t="0" r="0" b="0"/>
                <wp:wrapSquare wrapText="larges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315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 xml:space="preserve">➔   (gross income) </w:t>
                            </w:r>
                          </w:p>
                          <w:p w:rsidR="00FF5E72" w:rsidRDefault="00FF5E72" w:rsidP="0021528C">
                            <w:pPr>
                              <w:widowControl w:val="0"/>
                              <w:jc w:val="both"/>
                              <w:rPr>
                                <w:rFonts w:ascii="Tw Cen MT" w:hAnsi="Tw Cen MT"/>
                              </w:rPr>
                            </w:pPr>
                            <w:r>
                              <w:rPr>
                                <w:rFonts w:ascii="Tw Cen MT" w:hAnsi="Tw Cen MT"/>
                                <w:u w:val="single"/>
                              </w:rPr>
                              <w:t>MINUS deductions named in § 62</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7.5pt;margin-top:11.45pt;width:198.25pt;height:187.65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71LAIAAFwEAAAOAAAAZHJzL2Uyb0RvYy54bWysVNuO2yAQfa/Uf0C8N068udWKs9pmm6rS&#10;9iLt9gMwxjYqMBRI7O3Xd8DZbHp7qeoHxMBw5syZGW+uB63IUTgvwZR0NplSIgyHWpq2pF8e9q/W&#10;lPjATM0UGFHSR+Hp9fbli01vC5FDB6oWjiCI8UVvS9qFYIss87wTmvkJWGHwsgGnWUDTtVntWI/o&#10;WmX5dLrMenC1dcCF93h6O17SbcJvGsHDp6bxIhBVUuQW0urSWsU1225Y0TpmO8lPNNg/sNBMGgx6&#10;hrplgZGDk79BackdeGjChIPOoGkkFykHzGY2/SWb+45ZkXJBcbw9y+T/Hyz/ePzsiKxLusopMUxj&#10;jR7EEMgbGMh8GfXprS/Q7d6iYxjwHOuccvX2DvhXTwzsOmZaceMc9J1gNfKbxZfZxdMRx0eQqv8A&#10;NcZhhwAJaGicjuKhHATRsU6P59pELhwP88VstVotKOF4l1+tr2aLRYrBiqfn1vnwToAmcVNSh8VP&#10;8Ox450Okw4onlxjNg5L1XiqVDNdWO+XIkWGj7NN3Qv/JTRnSY3L57HU+SvBXjGn6/oShZcCWV1KX&#10;dH12YkUU7q2pU0MGJtW4R87KnJSM4o0yhqEaUtHm8xghylxB/YjaOhhbHEcSNx2475T02N4l9d8O&#10;zAlK1HuD9VktcXpwHi4Nd2lUlwYzHKFKGigZt7swztDBOtl2GGnsCAM3WNNGJrWfWZ34YwunIpzG&#10;Lc7IpZ28nn8K2x8AAAD//wMAUEsDBBQABgAIAAAAIQDLxyth3AAAAAkBAAAPAAAAZHJzL2Rvd25y&#10;ZXYueG1sTI/BTsMwEETvSPyDtUjcqJNAUZvGqVAk7k0AwdGNlzhqvA6x24S/ZznBcTSjmTfFfnGD&#10;uOAUek8K0lUCAqn1pqdOwevL890GRIiajB48oYJvDLAvr68KnRs/U42XJnaCSyjkWoGNccylDK1F&#10;p8PKj0jsffrJ6chy6qSZ9MzlbpBZkjxKp3viBatHrCy2p+bsFPi6rt6y5uvwXs2m6ubDEscPq9Tt&#10;zfK0AxFxiX9h+MVndCiZ6ejPZIIYWK/5SlSQZVsQ7D+k6RrEUcH9dpOBLAv5/0H5AwAA//8DAFBL&#10;AQItABQABgAIAAAAIQC2gziS/gAAAOEBAAATAAAAAAAAAAAAAAAAAAAAAABbQ29udGVudF9UeXBl&#10;c10ueG1sUEsBAi0AFAAGAAgAAAAhADj9If/WAAAAlAEAAAsAAAAAAAAAAAAAAAAALwEAAF9yZWxz&#10;Ly5yZWxzUEsBAi0AFAAGAAgAAAAhAKdAjvUsAgAAXAQAAA4AAAAAAAAAAAAAAAAALgIAAGRycy9l&#10;Mm9Eb2MueG1sUEsBAi0AFAAGAAgAAAAhAMvHK2HcAAAACQEAAA8AAAAAAAAAAAAAAAAAhg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 xml:space="preserve">➔   (gross income) </w:t>
                      </w:r>
                    </w:p>
                    <w:p w:rsidR="00FF5E72" w:rsidRDefault="00FF5E72" w:rsidP="0021528C">
                      <w:pPr>
                        <w:widowControl w:val="0"/>
                        <w:jc w:val="both"/>
                        <w:rPr>
                          <w:rFonts w:ascii="Tw Cen MT" w:hAnsi="Tw Cen MT"/>
                        </w:rPr>
                      </w:pPr>
                      <w:r>
                        <w:rPr>
                          <w:rFonts w:ascii="Tw Cen MT" w:hAnsi="Tw Cen MT"/>
                          <w:u w:val="single"/>
                        </w:rPr>
                        <w:t>MINUS deductions named in § 62</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Tax Consequences of Bo</w:t>
      </w:r>
      <w:r w:rsidR="0049128E" w:rsidRPr="00576ED7">
        <w:t>r</w:t>
      </w:r>
      <w:r w:rsidR="0049128E" w:rsidRPr="00576ED7">
        <w:t>rowing Money</w:t>
      </w:r>
      <w:bookmarkEnd w:id="44"/>
      <w:r w:rsidR="0049128E" w:rsidRPr="00576ED7">
        <w:fldChar w:fldCharType="begin"/>
      </w:r>
      <w:r w:rsidR="0049128E" w:rsidRPr="00576ED7">
        <w:instrText xml:space="preserve"> TC \l1 "I.  Tax Consequences of Borrowing Money</w:instrText>
      </w:r>
      <w:r w:rsidR="0049128E" w:rsidRPr="00576ED7">
        <w:fldChar w:fldCharType="end"/>
      </w:r>
    </w:p>
    <w:p w:rsidR="0049128E" w:rsidRPr="00576ED7" w:rsidRDefault="0049128E" w:rsidP="00A6585D">
      <w:pPr>
        <w:widowControl w:val="0"/>
        <w:jc w:val="both"/>
        <w:rPr>
          <w:szCs w:val="24"/>
        </w:rPr>
      </w:pPr>
    </w:p>
    <w:p w:rsidR="0049128E" w:rsidRPr="00576ED7" w:rsidRDefault="002F35E7" w:rsidP="00A6585D">
      <w:pPr>
        <w:widowControl w:val="0"/>
        <w:jc w:val="both"/>
        <w:rPr>
          <w:szCs w:val="24"/>
        </w:rPr>
      </w:pPr>
      <w:r w:rsidRPr="00576ED7">
        <w:rPr>
          <w:noProof/>
          <w:szCs w:val="24"/>
        </w:rPr>
        <mc:AlternateContent>
          <mc:Choice Requires="wps">
            <w:drawing>
              <wp:anchor distT="152400" distB="152400" distL="152400" distR="152400" simplePos="0" relativeHeight="251663360" behindDoc="0" locked="0" layoutInCell="0" allowOverlap="1" wp14:anchorId="0DAB3880" wp14:editId="7CA33EB1">
                <wp:simplePos x="0" y="0"/>
                <wp:positionH relativeFrom="margin">
                  <wp:posOffset>2131695</wp:posOffset>
                </wp:positionH>
                <wp:positionV relativeFrom="paragraph">
                  <wp:posOffset>2294890</wp:posOffset>
                </wp:positionV>
                <wp:extent cx="2858770" cy="2373630"/>
                <wp:effectExtent l="0" t="0" r="17780" b="2667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37363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167.85pt;margin-top:180.7pt;width:225.1pt;height:186.9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nFLQIAAFwEAAAOAAAAZHJzL2Uyb0RvYy54bWysVNtu2zAMfR+wfxD0vjhx2iQz4hRdugwD&#10;ugvQ7gNkWbaFSaImKbG7ry8lJ1nQbS/D/CCIEnVInkN6fTNoRQ7CeQmmpLPJlBJhONTStCX99rh7&#10;s6LEB2ZqpsCIkj4JT282r1+te1uIHDpQtXAEQYwvelvSLgRbZJnnndDMT8AKg5cNOM0Cmq7Nasd6&#10;RNcqy6fTRdaDq60DLrzH07vxkm4SftMIHr40jReBqJJibiGtLq1VXLPNmhWtY7aT/JgG+4csNJMG&#10;g56h7lhgZO/kb1BacgcemjDhoDNoGslFqgGrmU1fVPPQMStSLUiOt2ea/P+D5Z8PXx2RdUmXM0oM&#10;06jRoxgCeQcDuVpGfnrrC3R7sOgYBjxHnVOt3t4D/+6JgW3HTCtunYO+E6zG/GbxZXbxdMTxEaTq&#10;P0GNcdg+QAIaGqcjeUgHQXTU6emsTcyF42G+ul4tl3jF8S6fL+eLeVIvY8XpuXU+fBCgSdyU1KH4&#10;CZ4d7n2I6bDi5BKjeVCy3kmlkuHaaqscOTBslF36UgUv3JQhPRaXz97mIwV/xZim708YWgZseSV1&#10;SVdnJ1ZE4t6bOjVkYFKNe8xZmSOTkbyRxjBUQxLt6vqkUAX1E3LrYGxxHEncdOB+UtJje5fU/9gz&#10;JyhRHw3qs1zg9OA8XBru0qguDWY4QpU0UDJut2Gcob11su0w0tgRBm5R00YmtqP4Y1bH/LGFkwjH&#10;cYszcmknr18/hc0zAAAA//8DAFBLAwQUAAYACAAAACEAQ8B3W94AAAALAQAADwAAAGRycy9kb3du&#10;cmV2LnhtbEyPwU6DQBCG7ya+w2ZMvNmlIG1FlsaQeC9Uo8ctOwKRnUV2W/DtHU96+yfz5Z9v8v1i&#10;B3HByfeOFKxXEQikxpmeWgUvx+e7HQgfNBk9OEIF3+hhX1xf5TozbqYKL3VoBZeQz7SCLoQxk9I3&#10;HVrtV25E4t2Hm6wOPE6tNJOeudwOMo6ijbS6J77Q6RHLDpvP+mwVuKoqX+P66/BWzqZs58MSxvdO&#10;qdub5ekRRMAl/MHwq8/qULDTyZ3JeDEoSJJ0yyiHzfoeBBPbXfoA4sQhSWOQRS7//1D8AAAA//8D&#10;AFBLAQItABQABgAIAAAAIQC2gziS/gAAAOEBAAATAAAAAAAAAAAAAAAAAAAAAABbQ29udGVudF9U&#10;eXBlc10ueG1sUEsBAi0AFAAGAAgAAAAhADj9If/WAAAAlAEAAAsAAAAAAAAAAAAAAAAALwEAAF9y&#10;ZWxzLy5yZWxzUEsBAi0AFAAGAAgAAAAhAD3YKcUtAgAAXAQAAA4AAAAAAAAAAAAAAAAALgIAAGRy&#10;cy9lMm9Eb2MueG1sUEsBAi0AFAAGAAgAAAAhAEPAd1veAAAACwEAAA8AAAAAAAAAAAAAAAAAhwQA&#10;AGRycy9kb3ducmV2LnhtbFBLBQYAAAAABAAEAPMAAACS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Code and Economic Growth</w:t>
                      </w:r>
                      <w:r>
                        <w:rPr>
                          <w:rFonts w:ascii="Tw Cen MT" w:hAnsi="Tw Cen MT"/>
                        </w:rPr>
                        <w:t>:  A ta</w:t>
                      </w:r>
                      <w:r>
                        <w:rPr>
                          <w:rFonts w:ascii="Tw Cen MT" w:hAnsi="Tw Cen MT"/>
                        </w:rPr>
                        <w:t>x</w:t>
                      </w:r>
                      <w:r>
                        <w:rPr>
                          <w:rFonts w:ascii="Tw Cen MT" w:hAnsi="Tw Cen MT"/>
                        </w:rPr>
                        <w:t>payer’s opportunity to invest borrowed funds prior to the time that he/she/it has paid income tax on the income necessary to invest an equivalent amount has tremendous growth implications for the nation’s econ</w:t>
                      </w:r>
                      <w:r>
                        <w:rPr>
                          <w:rFonts w:ascii="Tw Cen MT" w:hAnsi="Tw Cen MT"/>
                        </w:rPr>
                        <w:t>o</w:t>
                      </w:r>
                      <w:r>
                        <w:rPr>
                          <w:rFonts w:ascii="Tw Cen MT" w:hAnsi="Tw Cen MT"/>
                        </w:rPr>
                        <w:t>my.  Imagine how much more slowly the economy would grow if borrowed funds were subject to income tax immediately u</w:t>
                      </w:r>
                      <w:r>
                        <w:rPr>
                          <w:rFonts w:ascii="Tw Cen MT" w:hAnsi="Tw Cen MT"/>
                        </w:rPr>
                        <w:t>p</w:t>
                      </w:r>
                      <w:r>
                        <w:rPr>
                          <w:rFonts w:ascii="Tw Cen MT" w:hAnsi="Tw Cen MT"/>
                        </w:rPr>
                        <w:t>on receipt.  No doubt,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In this chapter, we take up various tax consequences of borrowing money.  The fact that a taxpayer has borrowed money means that he/she/it has more money to spend.  However, it also means that he/she/it has incurred an obligation to repay.  One precisely offsets the other. Hence, there are no tax consequen</w:t>
      </w:r>
      <w:r w:rsidR="0049128E" w:rsidRPr="00576ED7">
        <w:rPr>
          <w:szCs w:val="24"/>
        </w:rPr>
        <w:t>c</w:t>
      </w:r>
      <w:r w:rsidR="0049128E" w:rsidRPr="00576ED7">
        <w:rPr>
          <w:szCs w:val="24"/>
        </w:rPr>
        <w:t>es to taking out a loan.  Furthermore, taxpayer is entitled to spend this a</w:t>
      </w:r>
      <w:r w:rsidR="0049128E" w:rsidRPr="00576ED7">
        <w:rPr>
          <w:szCs w:val="24"/>
        </w:rPr>
        <w:t>d</w:t>
      </w:r>
      <w:r w:rsidR="0049128E" w:rsidRPr="00576ED7">
        <w:rPr>
          <w:szCs w:val="24"/>
        </w:rPr>
        <w:t>dition to his/her/its “store of property rights” on investment or consumption – and we treat such a taxpayer the same as we would if he/she/it had made such a pu</w:t>
      </w:r>
      <w:r w:rsidR="0049128E" w:rsidRPr="00576ED7">
        <w:rPr>
          <w:szCs w:val="24"/>
        </w:rPr>
        <w:t>r</w:t>
      </w:r>
      <w:r w:rsidR="0049128E" w:rsidRPr="00576ED7">
        <w:rPr>
          <w:szCs w:val="24"/>
        </w:rPr>
        <w:t>chase or investment with after-tax i</w:t>
      </w:r>
      <w:r w:rsidR="0049128E" w:rsidRPr="00576ED7">
        <w:rPr>
          <w:szCs w:val="24"/>
        </w:rPr>
        <w:t>n</w:t>
      </w:r>
      <w:r w:rsidR="0049128E" w:rsidRPr="00576ED7">
        <w:rPr>
          <w:szCs w:val="24"/>
        </w:rPr>
        <w:t>come.  There is no income tax upon taking funds from the ta</w:t>
      </w:r>
      <w:r w:rsidR="0049128E" w:rsidRPr="00576ED7">
        <w:rPr>
          <w:szCs w:val="24"/>
        </w:rPr>
        <w:t>x</w:t>
      </w:r>
      <w:r w:rsidR="0049128E" w:rsidRPr="00576ED7">
        <w:rPr>
          <w:szCs w:val="24"/>
        </w:rPr>
        <w:t>payer’s “store of property rights” (minus) and spending them (plus), as such removal and spending precisely offset.  Moreover, taxpayer’s expend</w:t>
      </w:r>
      <w:r w:rsidR="0049128E" w:rsidRPr="00576ED7">
        <w:rPr>
          <w:szCs w:val="24"/>
        </w:rPr>
        <w:t>i</w:t>
      </w:r>
      <w:r w:rsidR="0049128E" w:rsidRPr="00576ED7">
        <w:rPr>
          <w:szCs w:val="24"/>
        </w:rPr>
        <w:t>ture entitles him/her/it to basis in whatever asset he/she/it may have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does not mean that taxpa</w:t>
      </w:r>
      <w:r w:rsidRPr="00576ED7">
        <w:rPr>
          <w:szCs w:val="24"/>
        </w:rPr>
        <w:t>y</w:t>
      </w:r>
      <w:r w:rsidRPr="00576ED7">
        <w:rPr>
          <w:szCs w:val="24"/>
        </w:rPr>
        <w:t xml:space="preserve">er is entitled to income that is not subject to income tax.  Consider how taxpayer </w:t>
      </w:r>
      <w:r w:rsidRPr="00576ED7">
        <w:rPr>
          <w:szCs w:val="24"/>
        </w:rPr>
        <w:lastRenderedPageBreak/>
        <w:t>will meet his/her/its obligation to repay the loan.  Taxpayer will have to earn i</w:t>
      </w:r>
      <w:r w:rsidRPr="00576ED7">
        <w:rPr>
          <w:szCs w:val="24"/>
        </w:rPr>
        <w:t>n</w:t>
      </w:r>
      <w:r w:rsidRPr="00576ED7">
        <w:rPr>
          <w:szCs w:val="24"/>
        </w:rPr>
        <w:t xml:space="preserve">come that </w:t>
      </w:r>
      <w:r w:rsidRPr="00576ED7">
        <w:rPr>
          <w:i/>
          <w:szCs w:val="24"/>
        </w:rPr>
        <w:t>is</w:t>
      </w:r>
      <w:r w:rsidRPr="00576ED7">
        <w:rPr>
          <w:szCs w:val="24"/>
        </w:rPr>
        <w:t xml:space="preserve"> subject to income tax to repay the loan – perhaps by working at a job, paying income tax on wages, and using what remains after payment of taxes to pay down the loan.  By taking out a loan, taxpayer has in fact exercised certain future consumption choices: he/she/it has committed future taxable consumption  choices to the repayment of that loan.  Consistent with the principle that borro</w:t>
      </w:r>
      <w:r w:rsidRPr="00576ED7">
        <w:rPr>
          <w:szCs w:val="24"/>
        </w:rPr>
        <w:t>w</w:t>
      </w:r>
      <w:r w:rsidRPr="00576ED7">
        <w:rPr>
          <w:szCs w:val="24"/>
        </w:rPr>
        <w:t>ing money is not income to the taxpayer is the rule that repayment of loan princ</w:t>
      </w:r>
      <w:r w:rsidRPr="00576ED7">
        <w:rPr>
          <w:szCs w:val="24"/>
        </w:rPr>
        <w:t>i</w:t>
      </w:r>
      <w:r w:rsidRPr="00576ED7">
        <w:rPr>
          <w:szCs w:val="24"/>
        </w:rPr>
        <w:t>pal is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5" w:name="_Toc375132932"/>
      <w:r w:rsidRPr="00576ED7">
        <w:t>II.  Cancellation of Indebtedness</w:t>
      </w:r>
      <w:bookmarkEnd w:id="45"/>
      <w:r w:rsidRPr="00576ED7">
        <w:fldChar w:fldCharType="begin"/>
      </w:r>
      <w:r w:rsidRPr="00576ED7">
        <w:instrText xml:space="preserve"> TC \l1 "II.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rsidR="0049128E" w:rsidRPr="00576ED7" w:rsidRDefault="0049128E" w:rsidP="00A6585D">
      <w:pPr>
        <w:widowControl w:val="0"/>
        <w:ind w:left="720"/>
        <w:jc w:val="both"/>
        <w:rPr>
          <w:szCs w:val="24"/>
        </w:rPr>
      </w:pPr>
      <w:r w:rsidRPr="00576ED7">
        <w:rPr>
          <w:szCs w:val="24"/>
        </w:rPr>
        <w:t>•Taxpayer has enjoyed the benefits of an expenditure on consumption without an offsetting (net) reduction to his/her/its store of property rights.</w:t>
      </w:r>
    </w:p>
    <w:p w:rsidR="0049128E" w:rsidRPr="00576ED7" w:rsidRDefault="0049128E" w:rsidP="00A6585D">
      <w:pPr>
        <w:widowControl w:val="0"/>
        <w:ind w:left="720"/>
        <w:jc w:val="both"/>
        <w:rPr>
          <w:szCs w:val="24"/>
        </w:rPr>
      </w:pPr>
      <w:r w:rsidRPr="00576ED7">
        <w:rPr>
          <w:szCs w:val="24"/>
        </w:rPr>
        <w:t>•Taxpayer no longer commits his/her/its future consumption choices to the repayment of the loan.</w:t>
      </w:r>
    </w:p>
    <w:p w:rsidR="0049128E" w:rsidRPr="00576ED7" w:rsidRDefault="0049128E" w:rsidP="00A6585D">
      <w:pPr>
        <w:widowControl w:val="0"/>
        <w:ind w:left="720"/>
        <w:jc w:val="both"/>
        <w:rPr>
          <w:szCs w:val="24"/>
        </w:rPr>
      </w:pPr>
      <w:r w:rsidRPr="00576ED7">
        <w:rPr>
          <w:szCs w:val="24"/>
        </w:rPr>
        <w:t>•Should we regard this as an accession to wealth and treat it as gross i</w:t>
      </w:r>
      <w:r w:rsidRPr="00576ED7">
        <w:rPr>
          <w:szCs w:val="24"/>
        </w:rPr>
        <w:t>n</w:t>
      </w:r>
      <w:r w:rsidRPr="00576ED7">
        <w:rPr>
          <w:szCs w:val="24"/>
        </w:rPr>
        <w:t xml:space="preserve">come? </w:t>
      </w:r>
      <w:r w:rsidRPr="00576ED7">
        <w:rPr>
          <w:i/>
          <w:szCs w:val="24"/>
        </w:rPr>
        <w:t>See</w:t>
      </w:r>
      <w:r w:rsidRPr="00576ED7">
        <w:rPr>
          <w:szCs w:val="24"/>
        </w:rPr>
        <w:t xml:space="preserve"> § 61(a)(12).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the assets that taxpayer purchased with the borrowed funds and upon which taxpayer relies to repay the loan shrink in value so that taxpayer is no lon</w:t>
      </w:r>
      <w:r w:rsidRPr="00576ED7">
        <w:rPr>
          <w:szCs w:val="24"/>
        </w:rPr>
        <w:t>g</w:t>
      </w:r>
      <w:r w:rsidRPr="00576ED7">
        <w:rPr>
          <w:szCs w:val="24"/>
        </w:rPr>
        <w:t>er able to repay the loan.</w:t>
      </w:r>
    </w:p>
    <w:p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rsidR="0049128E" w:rsidRPr="00576ED7" w:rsidRDefault="0049128E" w:rsidP="00A6585D">
      <w:pPr>
        <w:widowControl w:val="0"/>
        <w:ind w:left="720"/>
        <w:jc w:val="both"/>
        <w:rPr>
          <w:szCs w:val="24"/>
        </w:rPr>
      </w:pPr>
      <w:r w:rsidRPr="00576ED7">
        <w:rPr>
          <w:szCs w:val="24"/>
        </w:rPr>
        <w:t>•If we deem such a shrinkage not to be an “accession to wealth,” we effe</w:t>
      </w:r>
      <w:r w:rsidRPr="00576ED7">
        <w:rPr>
          <w:szCs w:val="24"/>
        </w:rPr>
        <w:t>c</w:t>
      </w:r>
      <w:r w:rsidRPr="00576ED7">
        <w:rPr>
          <w:szCs w:val="24"/>
        </w:rPr>
        <w:t>tively merge the borrowing transaction and the spending or investing of the loan proceeds into one transaction.  Is this appropriate? Or should we account separately for –</w:t>
      </w:r>
    </w:p>
    <w:p w:rsidR="0049128E" w:rsidRPr="00576ED7" w:rsidRDefault="0049128E" w:rsidP="00A6585D">
      <w:pPr>
        <w:widowControl w:val="0"/>
        <w:ind w:left="1440"/>
        <w:jc w:val="both"/>
        <w:rPr>
          <w:szCs w:val="24"/>
        </w:rPr>
      </w:pPr>
      <w:r w:rsidRPr="00576ED7">
        <w:rPr>
          <w:szCs w:val="24"/>
        </w:rPr>
        <w:t>•the borrowing and repayment, and</w:t>
      </w:r>
    </w:p>
    <w:p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Or: Perhaps taxpayer is able to take advantage of market conditions to satisfy his/her/its obligation by paying less than the amount that he/she/it borrowed.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What answers to these questions does this leading case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July, 1923, the plaintiff, the Kirby Lumber Company, issued its own bonds for $12,126,800 for which it received their par value.  Later in the same year, it pu</w:t>
      </w:r>
      <w:r w:rsidRPr="00576ED7">
        <w:rPr>
          <w:szCs w:val="24"/>
        </w:rPr>
        <w:t>r</w:t>
      </w:r>
      <w:r w:rsidRPr="00576ED7">
        <w:rPr>
          <w:szCs w:val="24"/>
        </w:rPr>
        <w:t>chased in the open market some of the same bonds at less than par, the difference of price being $137,521.30.  The question is whether this difference is a taxable gain or income of the plaintiff for the year 1923.  By the Revenue Act of (N</w:t>
      </w:r>
      <w:r w:rsidRPr="00576ED7">
        <w:rPr>
          <w:szCs w:val="24"/>
        </w:rPr>
        <w:t>o</w:t>
      </w:r>
      <w:r w:rsidRPr="00576ED7">
        <w:rPr>
          <w:szCs w:val="24"/>
        </w:rPr>
        <w:t>vember 23) 1921, c. 136, § 213(a), gross income includes “gains or profits and income derived from any source whatever,” and, by the Treasury Regulations a</w:t>
      </w:r>
      <w:r w:rsidRPr="00576ED7">
        <w:rPr>
          <w:szCs w:val="24"/>
        </w:rPr>
        <w:t>u</w:t>
      </w:r>
      <w:r w:rsidRPr="00576ED7">
        <w:rPr>
          <w:szCs w:val="24"/>
        </w:rPr>
        <w:t>thorized by § 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756757">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271 U.S. 170,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its dealings, it made available $137,521.30 assets previously offset by the obl</w:t>
      </w:r>
      <w:r w:rsidRPr="00576ED7">
        <w:rPr>
          <w:szCs w:val="24"/>
        </w:rPr>
        <w:t>i</w:t>
      </w:r>
      <w:r w:rsidRPr="00576ED7">
        <w:rPr>
          <w:szCs w:val="24"/>
        </w:rPr>
        <w:t>gation of bonds now extinct.  We see nothing to be gained by the discussion of judicial definitions.  The defendant in error has realized within the year an acce</w:t>
      </w:r>
      <w:r w:rsidRPr="00576ED7">
        <w:rPr>
          <w:szCs w:val="24"/>
        </w:rPr>
        <w:t>s</w:t>
      </w:r>
      <w:r w:rsidRPr="00576ED7">
        <w:rPr>
          <w:szCs w:val="24"/>
        </w:rPr>
        <w:t xml:space="preserve">sion to income, if we take words in their plain popular meaning, as they should be taken here.  </w:t>
      </w:r>
      <w:r w:rsidRPr="00576ED7">
        <w:rPr>
          <w:i/>
          <w:szCs w:val="24"/>
        </w:rPr>
        <w:t>Burnet v. Sanford &amp; Brooks Co.</w:t>
      </w:r>
      <w:r w:rsidRPr="00576ED7">
        <w:rPr>
          <w:szCs w:val="24"/>
        </w:rPr>
        <w:t>, 282 U.S. 359, 364.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How does it happen that Kirby Lumber Company could buy back bonds in the open market for less than it obtained when it issued the bond?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should we make of the “made available” language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is hopelessly insolvent.  Let’s say that taxpayer has assets with a fmv of $152,000, but has liabilities of $379,000.  Liabilities exceed assets by $227,000.  One creditor settles a $110,000 debt for property worth $18,000.  Now the taxpayer has assets with a fmv of $134,000 and liabilities of $269,000.  Liabilities now exceed assets by $135,000, i.e., $92,000 less than before this se</w:t>
      </w:r>
      <w:r w:rsidRPr="00576ED7">
        <w:rPr>
          <w:szCs w:val="24"/>
        </w:rPr>
        <w:t>t</w:t>
      </w:r>
      <w:r w:rsidRPr="00576ED7">
        <w:rPr>
          <w:szCs w:val="24"/>
        </w:rPr>
        <w:t>tlement.  Has this transaction really “made available” $92,000 to taxpayer?</w:t>
      </w:r>
    </w:p>
    <w:p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There is a reduction or extinguishment of liabilities without any i</w:t>
      </w:r>
      <w:r w:rsidRPr="00576ED7">
        <w:rPr>
          <w:szCs w:val="24"/>
        </w:rPr>
        <w:t>n</w:t>
      </w:r>
      <w:r w:rsidRPr="00576ED7">
        <w:rPr>
          <w:szCs w:val="24"/>
        </w:rPr>
        <w:t>crease of assets.  There is an absence of such a gain or profit as is required to come within the accepted definition of income. ... [T]he cancellation of the respondent’s past due debt ... did not have the effect of making the respondent’s assets greater than they were b</w:t>
      </w:r>
      <w:r w:rsidRPr="00576ED7">
        <w:rPr>
          <w:szCs w:val="24"/>
        </w:rPr>
        <w:t>e</w:t>
      </w:r>
      <w:r w:rsidRPr="00576ED7">
        <w:rPr>
          <w:szCs w:val="24"/>
        </w:rPr>
        <w:t>fore that transaction occurred.  Taxable income is not acquired by a transaction which does not result in the taxpayer getting or having anything he did not have before.  Gain or profit is essential to the existence of taxable income.  A transaction whereby nothing of e</w:t>
      </w:r>
      <w:r w:rsidRPr="00576ED7">
        <w:rPr>
          <w:szCs w:val="24"/>
        </w:rPr>
        <w:t>x</w:t>
      </w:r>
      <w:r w:rsidRPr="00576ED7">
        <w:rPr>
          <w:szCs w:val="24"/>
        </w:rPr>
        <w:t>changeable value comes to or is received by a taxpayer does not give rise to or create taxable income.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 gross income.  What if the redu</w:t>
      </w:r>
      <w:r w:rsidRPr="00576ED7">
        <w:rPr>
          <w:szCs w:val="24"/>
        </w:rPr>
        <w:t>c</w:t>
      </w:r>
      <w:r w:rsidRPr="00576ED7">
        <w:rPr>
          <w:szCs w:val="24"/>
        </w:rPr>
        <w:t>tion had been from $227,000 to $100.  Where is the line?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36 B.T.A. 289, 291-92 (1937), taxpayer was insolvent and had filed a petition for voluntary ban</w:t>
      </w:r>
      <w:r w:rsidRPr="00576ED7">
        <w:rPr>
          <w:szCs w:val="24"/>
        </w:rPr>
        <w:t>k</w:t>
      </w:r>
      <w:r w:rsidRPr="00576ED7">
        <w:rPr>
          <w:szCs w:val="24"/>
        </w:rPr>
        <w:t>ruptcy.  Taxpayer’s creditors wrote off $104,000 of debt in exchange for pa</w:t>
      </w:r>
      <w:r w:rsidRPr="00576ED7">
        <w:rPr>
          <w:szCs w:val="24"/>
        </w:rPr>
        <w:t>y</w:t>
      </w:r>
      <w:r w:rsidRPr="00576ED7">
        <w:rPr>
          <w:szCs w:val="24"/>
        </w:rPr>
        <w:t xml:space="preserve">ments totaling $15,000 in order to keep taxpayer from further pursuing relief </w:t>
      </w:r>
      <w:r w:rsidRPr="00576ED7">
        <w:rPr>
          <w:szCs w:val="24"/>
        </w:rPr>
        <w:lastRenderedPageBreak/>
        <w:t>through a bankruptcy proceeding.  After this exchange, the value of taxpayer’s assets exceeded its liabilities by $40,000.  Taxpayer’s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net assets were increased from zero to $39,596.93 as a result of the cance</w:t>
      </w:r>
      <w:r w:rsidRPr="00576ED7">
        <w:rPr>
          <w:szCs w:val="24"/>
        </w:rPr>
        <w:t>l</w:t>
      </w:r>
      <w:r w:rsidRPr="00576ED7">
        <w:rPr>
          <w:szCs w:val="24"/>
        </w:rPr>
        <w:t>lation of indebtedness by its creditors, and to that extent it had assets which ceased to be offset by any liability. ... [T]he cancellation of [taxpa</w:t>
      </w:r>
      <w:r w:rsidRPr="00576ED7">
        <w:rPr>
          <w:szCs w:val="24"/>
        </w:rPr>
        <w:t>y</w:t>
      </w:r>
      <w:r w:rsidRPr="00576ED7">
        <w:rPr>
          <w:szCs w:val="24"/>
        </w:rPr>
        <w:t>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w:t>
      </w:r>
      <w:r w:rsidRPr="00576ED7">
        <w:rPr>
          <w:szCs w:val="24"/>
        </w:rPr>
        <w:t>l</w:t>
      </w:r>
      <w:r w:rsidRPr="00576ED7">
        <w:rPr>
          <w:szCs w:val="24"/>
        </w:rPr>
        <w:t>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only to the extent that</w:t>
      </w:r>
      <w:r w:rsidRPr="00576ED7">
        <w:rPr>
          <w:szCs w:val="24"/>
        </w:rPr>
        <w:t xml:space="preserve"> such cancellation made the debtor solvent.  In fact, some courts held that the cancellation of debt of an insolvent debtor was not “income” under the Sixteenth Amendment.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 12 (debt forgiveness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w:t>
      </w:r>
      <w:r w:rsidRPr="00576ED7">
        <w:rPr>
          <w:szCs w:val="24"/>
        </w:rPr>
        <w:t>t</w:t>
      </w:r>
      <w:r w:rsidRPr="00576ED7">
        <w:rPr>
          <w:szCs w:val="24"/>
        </w:rPr>
        <w:t>ment of proceeds are two different transactions that taxpayer should have to a</w:t>
      </w:r>
      <w:r w:rsidRPr="00576ED7">
        <w:rPr>
          <w:szCs w:val="24"/>
        </w:rPr>
        <w:t>c</w:t>
      </w:r>
      <w:r w:rsidRPr="00576ED7">
        <w:rPr>
          <w:szCs w:val="24"/>
        </w:rPr>
        <w:t>count for separately.  In the absence of any statutory provision governing excl</w:t>
      </w:r>
      <w:r w:rsidRPr="00576ED7">
        <w:rPr>
          <w:szCs w:val="24"/>
        </w:rPr>
        <w:t>u</w:t>
      </w:r>
      <w:r w:rsidRPr="00576ED7">
        <w:rPr>
          <w:szCs w:val="24"/>
        </w:rPr>
        <w:t xml:space="preserve">sion of cancellation of indebtedness income, the Code essentially required the Commissioner prior to 1954 to kick a taxpayer when he/she/it was down.  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  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cancellation of indebtedness in his/her/its gross income.</w:t>
      </w:r>
    </w:p>
    <w:p w:rsidR="0049128E" w:rsidRPr="00576ED7" w:rsidRDefault="0049128E" w:rsidP="00A6585D">
      <w:pPr>
        <w:widowControl w:val="0"/>
        <w:ind w:left="720"/>
        <w:jc w:val="both"/>
        <w:rPr>
          <w:szCs w:val="24"/>
        </w:rPr>
      </w:pPr>
      <w:r w:rsidRPr="00576ED7">
        <w:rPr>
          <w:szCs w:val="24"/>
        </w:rPr>
        <w:t xml:space="preserve">•Section 108 changes this, but § 108 does </w:t>
      </w:r>
      <w:r w:rsidRPr="00576ED7">
        <w:rPr>
          <w:i/>
          <w:szCs w:val="24"/>
        </w:rPr>
        <w:t>not</w:t>
      </w:r>
      <w:r w:rsidRPr="00576ED7">
        <w:rPr>
          <w:szCs w:val="24"/>
        </w:rPr>
        <w:t xml:space="preserve"> convert business losses into excludable cancellation of indebtedness income.</w:t>
      </w:r>
    </w:p>
    <w:p w:rsidR="0049128E" w:rsidRPr="00576ED7" w:rsidRDefault="0049128E" w:rsidP="00A6585D">
      <w:pPr>
        <w:widowControl w:val="0"/>
        <w:ind w:left="720"/>
        <w:jc w:val="both"/>
        <w:rPr>
          <w:szCs w:val="24"/>
        </w:rPr>
      </w:pPr>
      <w:r w:rsidRPr="00576ED7">
        <w:rPr>
          <w:szCs w:val="24"/>
        </w:rPr>
        <w:t xml:space="preserve">•Review the holding and rationale of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xml:space="preserve">, 516 U.S. 899 (1995), in chapter 3 of the text,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In 1954, Congress added §§ 61(a)(12), 108, and 1017 to the Code.</w:t>
      </w:r>
      <w:r w:rsidRPr="00576ED7">
        <w:rPr>
          <w:rStyle w:val="FootnoteReference"/>
          <w:szCs w:val="24"/>
        </w:rPr>
        <w:footnoteReference w:id="61"/>
      </w:r>
      <w:r w:rsidRPr="00576ED7">
        <w:rPr>
          <w:szCs w:val="24"/>
        </w:rPr>
        <w:t xml:space="preserve">  Read §§ 61(a)(12), 108(a)(1)(A and B), 108(d)(1 through 3).  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 1.61-12(b)(1) (adopted in 1957).</w:t>
      </w:r>
    </w:p>
    <w:p w:rsidR="0049128E" w:rsidRPr="00576ED7" w:rsidRDefault="0049128E" w:rsidP="00A6585D">
      <w:pPr>
        <w:widowControl w:val="0"/>
        <w:ind w:left="720"/>
        <w:jc w:val="both"/>
        <w:rPr>
          <w:szCs w:val="24"/>
        </w:rPr>
      </w:pPr>
      <w:r w:rsidRPr="00576ED7">
        <w:rPr>
          <w:szCs w:val="24"/>
        </w:rPr>
        <w:t>•Section 108(e)(1) provides that there is no insolvency exception from the general rule that gross income includes income from discharge of indeb</w:t>
      </w:r>
      <w:r w:rsidRPr="00576ED7">
        <w:rPr>
          <w:szCs w:val="24"/>
        </w:rPr>
        <w:t>t</w:t>
      </w:r>
      <w:r w:rsidRPr="00576ED7">
        <w:rPr>
          <w:szCs w:val="24"/>
        </w:rPr>
        <w:t>edness other than what § 108 provides.</w:t>
      </w:r>
    </w:p>
    <w:p w:rsidR="0049128E" w:rsidRPr="00576ED7" w:rsidRDefault="0049128E" w:rsidP="00A6585D">
      <w:pPr>
        <w:widowControl w:val="0"/>
        <w:ind w:left="720"/>
        <w:jc w:val="both"/>
        <w:rPr>
          <w:szCs w:val="24"/>
        </w:rPr>
      </w:pPr>
      <w:r w:rsidRPr="00576ED7">
        <w:rPr>
          <w:szCs w:val="24"/>
        </w:rPr>
        <w:t xml:space="preserve">•When the other provisions of § 108 apply, § 108 appears to “preempt the field” – much as §§ 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Read § 108(b).  What is a “tax attribute?”</w:t>
      </w:r>
    </w:p>
    <w:p w:rsidR="0049128E" w:rsidRPr="00576ED7" w:rsidRDefault="0049128E" w:rsidP="00A6585D">
      <w:pPr>
        <w:widowControl w:val="0"/>
        <w:ind w:left="720"/>
        <w:jc w:val="both"/>
        <w:rPr>
          <w:szCs w:val="24"/>
        </w:rPr>
      </w:pPr>
      <w:r w:rsidRPr="00576ED7">
        <w:rPr>
          <w:szCs w:val="24"/>
        </w:rPr>
        <w:t>•The Code does not define the phrase.  We surmise its meaning by reading § 108(b).</w:t>
      </w:r>
    </w:p>
    <w:p w:rsidR="0049128E" w:rsidRPr="00576ED7" w:rsidRDefault="0049128E" w:rsidP="00A6585D">
      <w:pPr>
        <w:widowControl w:val="0"/>
        <w:ind w:left="720"/>
        <w:jc w:val="both"/>
        <w:rPr>
          <w:szCs w:val="24"/>
        </w:rPr>
      </w:pPr>
      <w:r w:rsidRPr="00576ED7">
        <w:rPr>
          <w:szCs w:val="24"/>
        </w:rPr>
        <w:t xml:space="preserve">•Section 108(b) lists tax consequences of various transactions that might reduce taxpayer’s tax liability </w:t>
      </w:r>
      <w:r w:rsidRPr="00576ED7">
        <w:rPr>
          <w:i/>
          <w:szCs w:val="24"/>
        </w:rPr>
        <w:t>in the future</w:t>
      </w:r>
      <w:r w:rsidRPr="00576ED7">
        <w:rPr>
          <w:szCs w:val="24"/>
        </w:rPr>
        <w:t>.  The list includes:  net opera</w:t>
      </w:r>
      <w:r w:rsidRPr="00576ED7">
        <w:rPr>
          <w:szCs w:val="24"/>
        </w:rPr>
        <w:t>t</w:t>
      </w:r>
      <w:r w:rsidRPr="00576ED7">
        <w:rPr>
          <w:szCs w:val="24"/>
        </w:rPr>
        <w:t>ing loss, general business credit, minimum tax credit, capital loss carry</w:t>
      </w:r>
      <w:r w:rsidRPr="00576ED7">
        <w:rPr>
          <w:szCs w:val="24"/>
        </w:rPr>
        <w:t>o</w:t>
      </w:r>
      <w:r w:rsidRPr="00576ED7">
        <w:rPr>
          <w:szCs w:val="24"/>
        </w:rPr>
        <w:t>ver, basis reduction, passive activity loss and credit carryovers, and fo</w:t>
      </w:r>
      <w:r w:rsidRPr="00576ED7">
        <w:rPr>
          <w:szCs w:val="24"/>
        </w:rPr>
        <w:t>r</w:t>
      </w:r>
      <w:r w:rsidRPr="00576ED7">
        <w:rPr>
          <w:szCs w:val="24"/>
        </w:rPr>
        <w:t>eign tax credit carryovers.</w:t>
      </w:r>
    </w:p>
    <w:p w:rsidR="0049128E" w:rsidRPr="00576ED7" w:rsidRDefault="0049128E" w:rsidP="00A6585D">
      <w:pPr>
        <w:widowControl w:val="0"/>
        <w:ind w:left="720"/>
        <w:jc w:val="both"/>
        <w:rPr>
          <w:szCs w:val="24"/>
        </w:rPr>
      </w:pPr>
      <w:r w:rsidRPr="00576ED7">
        <w:rPr>
          <w:szCs w:val="24"/>
        </w:rPr>
        <w:t xml:space="preserve">•What is the effect of § 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Define the “e</w:t>
      </w:r>
      <w:r w:rsidRPr="00576ED7">
        <w:rPr>
          <w:szCs w:val="24"/>
        </w:rPr>
        <w:t>x</w:t>
      </w:r>
      <w:r w:rsidRPr="00576ED7">
        <w:rPr>
          <w:szCs w:val="24"/>
        </w:rPr>
        <w:t>clusion” from gross income that § 108 provides a taxpayer who is in ban</w:t>
      </w:r>
      <w:r w:rsidRPr="00576ED7">
        <w:rPr>
          <w:szCs w:val="24"/>
        </w:rPr>
        <w:t>k</w:t>
      </w:r>
      <w:r w:rsidRPr="00576ED7">
        <w:rPr>
          <w:szCs w:val="24"/>
        </w:rPr>
        <w:t>ruptcy or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Reduction of tax attributes and reductions of basis</w:t>
      </w:r>
      <w:r w:rsidRPr="00576ED7">
        <w:rPr>
          <w:szCs w:val="24"/>
        </w:rPr>
        <w:t>: Section 1017 and Reg. § 1.1017-1 provide some rather technical rules governing reductions in tax attri</w:t>
      </w:r>
      <w:r w:rsidRPr="00576ED7">
        <w:rPr>
          <w:szCs w:val="24"/>
        </w:rPr>
        <w:t>b</w:t>
      </w:r>
      <w:r w:rsidRPr="00576ED7">
        <w:rPr>
          <w:szCs w:val="24"/>
        </w:rPr>
        <w:t>utes and bases.  Tax attributes reduce a taxpayer’s tax liability at some future time.  Does it matter how far into the future the reduction occurs?</w:t>
      </w:r>
    </w:p>
    <w:p w:rsidR="0049128E" w:rsidRPr="00576ED7" w:rsidRDefault="0049128E" w:rsidP="00A6585D">
      <w:pPr>
        <w:widowControl w:val="0"/>
        <w:ind w:left="720"/>
        <w:jc w:val="both"/>
        <w:rPr>
          <w:szCs w:val="24"/>
        </w:rPr>
      </w:pPr>
      <w:r w:rsidRPr="00576ED7">
        <w:rPr>
          <w:szCs w:val="24"/>
        </w:rPr>
        <w:t>•The consequence of reducing a tax attribute is that taxpayer’s future tax liability will not decrease.</w:t>
      </w:r>
    </w:p>
    <w:p w:rsidR="0049128E" w:rsidRPr="00576ED7" w:rsidRDefault="0049128E" w:rsidP="00A6585D">
      <w:pPr>
        <w:widowControl w:val="0"/>
        <w:ind w:left="720"/>
        <w:jc w:val="both"/>
        <w:rPr>
          <w:szCs w:val="24"/>
        </w:rPr>
      </w:pPr>
      <w:r w:rsidRPr="00576ED7">
        <w:rPr>
          <w:szCs w:val="24"/>
        </w:rPr>
        <w:t>•To the extent that a taxpayer has tax attributes, § 108 does not in fact e</w:t>
      </w:r>
      <w:r w:rsidRPr="00576ED7">
        <w:rPr>
          <w:szCs w:val="24"/>
        </w:rPr>
        <w:t>x</w:t>
      </w:r>
      <w:r w:rsidRPr="00576ED7">
        <w:rPr>
          <w:szCs w:val="24"/>
        </w:rPr>
        <w:t>clude doi income from taxpayer’s gross income, but instead defers the e</w:t>
      </w:r>
      <w:r w:rsidRPr="00576ED7">
        <w:rPr>
          <w:szCs w:val="24"/>
        </w:rPr>
        <w:t>f</w:t>
      </w:r>
      <w:r w:rsidRPr="00576ED7">
        <w:rPr>
          <w:szCs w:val="24"/>
        </w:rPr>
        <w:lastRenderedPageBreak/>
        <w:t>fect of its recognition to the day that a tax attribute would have reduced taxpayer’s tax liability.</w:t>
      </w:r>
    </w:p>
    <w:p w:rsidR="0049128E" w:rsidRPr="00576ED7" w:rsidRDefault="0049128E" w:rsidP="00A6585D">
      <w:pPr>
        <w:widowControl w:val="0"/>
        <w:ind w:left="720"/>
        <w:jc w:val="both"/>
        <w:rPr>
          <w:szCs w:val="24"/>
        </w:rPr>
      </w:pPr>
      <w:r w:rsidRPr="00576ED7">
        <w:rPr>
          <w:szCs w:val="24"/>
        </w:rPr>
        <w:t>•The temporal sequence in which reductions of tax attributes occur might be the same as the temporal sequence in which a typical taxpayer would derive a tax benefit from the particular tax attribute.  If that is true, then the Code minimizes the length of time taxpayer benefits from not immed</w:t>
      </w:r>
      <w:r w:rsidRPr="00576ED7">
        <w:rPr>
          <w:szCs w:val="24"/>
        </w:rPr>
        <w:t>i</w:t>
      </w:r>
      <w:r w:rsidRPr="00576ED7">
        <w:rPr>
          <w:szCs w:val="24"/>
        </w:rPr>
        <w:t>ately recognizing doi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Basis represents investment that is not subject to income tax.  We have encou</w:t>
      </w:r>
      <w:r w:rsidRPr="00576ED7">
        <w:rPr>
          <w:szCs w:val="24"/>
        </w:rPr>
        <w:t>n</w:t>
      </w:r>
      <w:r w:rsidRPr="00576ED7">
        <w:rPr>
          <w:szCs w:val="24"/>
        </w:rPr>
        <w:t>tered in passing the concept of depreciation.  Consider it to be a deduction that reflects the partial consumption of a productive asset that taxpayer uses to gene</w:t>
      </w:r>
      <w:r w:rsidRPr="00576ED7">
        <w:rPr>
          <w:szCs w:val="24"/>
        </w:rPr>
        <w:t>r</w:t>
      </w:r>
      <w:r w:rsidRPr="00576ED7">
        <w:rPr>
          <w:szCs w:val="24"/>
        </w:rPr>
        <w:t xml:space="preserve">ate gross income.  Because there is partial consumption of the productive asset, depreciation allowances </w:t>
      </w:r>
      <w:r w:rsidRPr="00576ED7">
        <w:rPr>
          <w:i/>
          <w:szCs w:val="24"/>
        </w:rPr>
        <w:t>must</w:t>
      </w:r>
      <w:r w:rsidRPr="00576ED7">
        <w:rPr>
          <w:szCs w:val="24"/>
        </w:rPr>
        <w:t xml:space="preserve"> reduce taxpayer’s basis in the asset.  A depreciation allowance represents the taxpayer’s “de-investment” in the asset.  Some produ</w:t>
      </w:r>
      <w:r w:rsidRPr="00576ED7">
        <w:rPr>
          <w:szCs w:val="24"/>
        </w:rPr>
        <w:t>c</w:t>
      </w:r>
      <w:r w:rsidRPr="00576ED7">
        <w:rPr>
          <w:szCs w:val="24"/>
        </w:rPr>
        <w:t>tive assets are not subject to depreciation because taxpayer does not actually co</w:t>
      </w:r>
      <w:r w:rsidRPr="00576ED7">
        <w:rPr>
          <w:szCs w:val="24"/>
        </w:rPr>
        <w:t>n</w:t>
      </w:r>
      <w:r w:rsidRPr="00576ED7">
        <w:rPr>
          <w:szCs w:val="24"/>
        </w:rPr>
        <w:t>sume them in generating gross income.  Land is an obvious example.  A reduction in the basis of property can affect taxpayer’s tax liability on two occasions: (1) a lower basis shortens the period over which taxpayer may claim depreciation d</w:t>
      </w:r>
      <w:r w:rsidRPr="00576ED7">
        <w:rPr>
          <w:szCs w:val="24"/>
        </w:rPr>
        <w:t>e</w:t>
      </w:r>
      <w:r w:rsidRPr="00576ED7">
        <w:rPr>
          <w:szCs w:val="24"/>
        </w:rPr>
        <w:t>ductions; (2) a lower basis increases the gain taxpayer realizes upon sale of the asset.  Consider the likely timing effect(s) of reducing the basis of particular pie</w:t>
      </w:r>
      <w:r w:rsidRPr="00576ED7">
        <w:rPr>
          <w:szCs w:val="24"/>
        </w:rPr>
        <w:t>c</w:t>
      </w:r>
      <w:r w:rsidRPr="00576ED7">
        <w:rPr>
          <w:szCs w:val="24"/>
        </w:rPr>
        <w:t>es of a taxpayer’s productive assets.</w:t>
      </w:r>
    </w:p>
    <w:p w:rsidR="0049128E" w:rsidRPr="00576ED7" w:rsidRDefault="0049128E" w:rsidP="00A6585D">
      <w:pPr>
        <w:widowControl w:val="0"/>
        <w:ind w:left="720"/>
        <w:jc w:val="both"/>
        <w:rPr>
          <w:szCs w:val="24"/>
        </w:rPr>
      </w:pPr>
      <w:r w:rsidRPr="00576ED7">
        <w:rPr>
          <w:szCs w:val="24"/>
        </w:rPr>
        <w:t>•What policies do you see implicit in § 1017(b)(4)</w:t>
      </w:r>
      <w:r w:rsidR="00756757">
        <w:rPr>
          <w:szCs w:val="24"/>
        </w:rPr>
        <w:t>(A)</w:t>
      </w:r>
      <w:r w:rsidRPr="00576ED7">
        <w:rPr>
          <w:szCs w:val="24"/>
        </w:rPr>
        <w:t>?</w:t>
      </w:r>
    </w:p>
    <w:p w:rsidR="0049128E" w:rsidRPr="00576ED7" w:rsidRDefault="0049128E" w:rsidP="00A6585D">
      <w:pPr>
        <w:widowControl w:val="0"/>
        <w:ind w:left="720"/>
        <w:jc w:val="both"/>
        <w:rPr>
          <w:szCs w:val="24"/>
        </w:rPr>
      </w:pPr>
      <w:r w:rsidRPr="00576ED7">
        <w:rPr>
          <w:szCs w:val="24"/>
        </w:rPr>
        <w:t>•What policies do you see implicit in § 108(b)(5)/Reg. § 1.1017-1(c and e)?</w:t>
      </w:r>
    </w:p>
    <w:p w:rsidR="0049128E" w:rsidRPr="00576ED7" w:rsidRDefault="0049128E" w:rsidP="00A6585D">
      <w:pPr>
        <w:widowControl w:val="0"/>
        <w:ind w:left="720"/>
        <w:jc w:val="both"/>
        <w:rPr>
          <w:szCs w:val="24"/>
        </w:rPr>
      </w:pPr>
      <w:r w:rsidRPr="00576ED7">
        <w:rPr>
          <w:szCs w:val="24"/>
        </w:rPr>
        <w:t>•What policies do you see implicit in Reg. § 1.1017-1(a)?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owns real property, fmv = $100,000, ab = $135,000.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•10b.  Taxpayer owns real property, fmv = $135,000, ab = $100,000.  This is all of taxpayer’s property.  Taxpayer also has no other assets, not even cash. Taxpayer has liabilities of $120,000.  Is taxpayer insolvent for pu</w:t>
      </w:r>
      <w:r w:rsidRPr="00576ED7">
        <w:rPr>
          <w:szCs w:val="24"/>
        </w:rPr>
        <w:t>r</w:t>
      </w:r>
      <w:r w:rsidRPr="00576ED7">
        <w:rPr>
          <w:szCs w:val="24"/>
        </w:rPr>
        <w:t>poses of § 108? By how much?</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•10c.  Taxpayer owns real property, ab = $80,000, fmv = $125,000.  This is all of taxpayer’s property, except that taxpayer also has $5000 of cash.  </w:t>
      </w:r>
      <w:r w:rsidRPr="00576ED7">
        <w:rPr>
          <w:szCs w:val="24"/>
        </w:rPr>
        <w:lastRenderedPageBreak/>
        <w:t>Taxpayer’s real property is subject to a debt of $110,000 that he owes to creditor.  Taxpayer did not purchase the property from creditor.  Taxpayer was having difficulty making payments, so creditor agreed to reduce ta</w:t>
      </w:r>
      <w:r w:rsidRPr="00576ED7">
        <w:rPr>
          <w:szCs w:val="24"/>
        </w:rPr>
        <w:t>x</w:t>
      </w:r>
      <w:r w:rsidRPr="00576ED7">
        <w:rPr>
          <w:szCs w:val="24"/>
        </w:rPr>
        <w:t>payer’s debt to $95,000.  How much doi income must taxpayer include in his gross income under §§ 61(a)(12)/108?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owns real property, ab = $80,000, fmv = $125,000.  This is all of Taxpayer’s property, except that Taxpayer has $20,000 of cash.  Taxpayer’s real property is subject to a debt of $150,000 that she owes to creditor.  Taxpayer did not purchase the property from creditor.  Taxpayer was having difficulty making payments.  Creditor agreed to reduce ta</w:t>
      </w:r>
      <w:r w:rsidRPr="00576ED7">
        <w:rPr>
          <w:szCs w:val="24"/>
        </w:rPr>
        <w:t>x</w:t>
      </w:r>
      <w:r w:rsidRPr="00576ED7">
        <w:rPr>
          <w:szCs w:val="24"/>
        </w:rPr>
        <w:t>payer’s debt from $150,000 to $130,000 in exchange for an immediate cash payment of $10,000.  Taxpayer agreed and made the payment.  How much doi income must taxpayer include in her gross income under §§ 61/108?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Same facts as 10d, except that taxpayer has filed for bankruptcy.  The creditor makes the same arrangement with taxpayer.  How much doi income must taxpayer include in her gross income under §§ 61/108? [Di</w:t>
      </w:r>
      <w:r w:rsidRPr="00576ED7">
        <w:rPr>
          <w:szCs w:val="24"/>
        </w:rPr>
        <w:t>s</w:t>
      </w:r>
      <w:r w:rsidRPr="00576ED7">
        <w:rPr>
          <w:szCs w:val="24"/>
        </w:rPr>
        <w:t>regard the effect of such a payment on the bankruptcy proceeding.]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  The reduction is made to the basis of any property held by the taxpayer at the beginning of the tax year following the tax year in which the debt discharge o</w:t>
      </w:r>
      <w:r w:rsidRPr="00576ED7">
        <w:rPr>
          <w:szCs w:val="24"/>
        </w:rPr>
        <w:t>c</w:t>
      </w:r>
      <w:r w:rsidRPr="00576ED7">
        <w:rPr>
          <w:szCs w:val="24"/>
        </w:rPr>
        <w:t>curs (§ 1017(a)).</w:t>
      </w:r>
    </w:p>
    <w:p w:rsidR="0049128E" w:rsidRPr="00576ED7" w:rsidRDefault="0049128E" w:rsidP="00A6585D">
      <w:pPr>
        <w:widowControl w:val="0"/>
        <w:ind w:left="720"/>
        <w:jc w:val="both"/>
        <w:rPr>
          <w:szCs w:val="24"/>
        </w:rPr>
      </w:pPr>
      <w:r w:rsidRPr="00576ED7">
        <w:rPr>
          <w:szCs w:val="24"/>
        </w:rPr>
        <w:t>•Taxpayer need not reduce (“spend”) her/his/its tax attributes on the di</w:t>
      </w:r>
      <w:r w:rsidRPr="00576ED7">
        <w:rPr>
          <w:szCs w:val="24"/>
        </w:rPr>
        <w:t>s</w:t>
      </w:r>
      <w:r w:rsidRPr="00576ED7">
        <w:rPr>
          <w:szCs w:val="24"/>
        </w:rPr>
        <w:t>charge of indebtedness but rather may use them to reduce tax liability for the year.</w:t>
      </w:r>
    </w:p>
    <w:p w:rsidR="0049128E" w:rsidRPr="00576ED7" w:rsidRDefault="0049128E" w:rsidP="00A6585D">
      <w:pPr>
        <w:widowControl w:val="0"/>
        <w:ind w:left="720"/>
        <w:jc w:val="both"/>
        <w:rPr>
          <w:szCs w:val="24"/>
        </w:rPr>
      </w:pPr>
      <w:r w:rsidRPr="00576ED7">
        <w:rPr>
          <w:szCs w:val="24"/>
        </w:rPr>
        <w:t>•</w:t>
      </w:r>
      <w:r w:rsidRPr="00576ED7">
        <w:rPr>
          <w:i/>
          <w:szCs w:val="24"/>
        </w:rPr>
        <w:t>Then</w:t>
      </w:r>
      <w:r w:rsidRPr="00576ED7">
        <w:rPr>
          <w:szCs w:val="24"/>
        </w:rPr>
        <w:t xml:space="preserve"> taxpayer may also reduce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6" w:name="_Toc375132933"/>
      <w:r w:rsidRPr="00576ED7">
        <w:t>III.  Is It a Loan? Is There an Accession to Wealth?</w:t>
      </w:r>
      <w:bookmarkEnd w:id="46"/>
      <w:r w:rsidRPr="00576ED7">
        <w:fldChar w:fldCharType="begin"/>
      </w:r>
      <w:r w:rsidRPr="00576ED7">
        <w:instrText xml:space="preserve"> TC \l1 "III.  Is It a Loan? Is There an Accession to Wealth?</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consider a case (and its appeal) in which the very characterization of the facts generated considerable disagreement.  Included here are </w:t>
      </w:r>
      <w:r w:rsidR="00001F55">
        <w:rPr>
          <w:szCs w:val="24"/>
        </w:rPr>
        <w:t xml:space="preserve">three </w:t>
      </w:r>
      <w:r w:rsidRPr="00576ED7">
        <w:rPr>
          <w:szCs w:val="24"/>
        </w:rPr>
        <w:t>opinions from the Tax Court and one from the Third Circuit Court of Appeals.  Ultimately, of course, it is the opinion of the Third Circuit that prevails.  Be ready to articulate the positions of the different judges as to just exactly what happened.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xml:space="preserve">, 92 T.C. 1084 (1989), </w:t>
      </w:r>
      <w:r w:rsidRPr="00576ED7">
        <w:rPr>
          <w:i/>
          <w:szCs w:val="24"/>
        </w:rPr>
        <w:t>rev’d</w:t>
      </w:r>
      <w:r w:rsidRPr="00576ED7">
        <w:rPr>
          <w:szCs w:val="24"/>
        </w:rPr>
        <w:t>, 916 F.2d 110 (</w:t>
      </w:r>
      <w:r w:rsidR="00F41FA2" w:rsidRPr="00576ED7">
        <w:rPr>
          <w:szCs w:val="24"/>
        </w:rPr>
        <w:t>3</w:t>
      </w:r>
      <w:r w:rsidR="00F41FA2" w:rsidRPr="00576ED7">
        <w:rPr>
          <w:szCs w:val="24"/>
          <w:vertAlign w:val="superscript"/>
        </w:rPr>
        <w:t>rd</w:t>
      </w:r>
      <w:r w:rsidR="00F41FA2"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92 T.C. 1084 (1989), </w:instrText>
      </w:r>
      <w:r w:rsidRPr="00576ED7">
        <w:rPr>
          <w:i/>
          <w:szCs w:val="24"/>
        </w:rPr>
        <w:instrText>rev’d</w:instrText>
      </w:r>
      <w:r w:rsidRPr="00576ED7">
        <w:rPr>
          <w:szCs w:val="24"/>
        </w:rPr>
        <w:instrText>, 916 F.2d 110 (CA3 1990).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Cohen,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deficiencies of $2,466,622 and $58,688 in petitioners’ Federal income taxes for 1980 and 1981, respectively.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notice of deficiency, respondent ... asserted that petitioners realized ... tax</w:t>
      </w:r>
      <w:r w:rsidRPr="00576ED7">
        <w:rPr>
          <w:szCs w:val="24"/>
        </w:rPr>
        <w:t>a</w:t>
      </w:r>
      <w:r w:rsidRPr="00576ED7">
        <w:rPr>
          <w:szCs w:val="24"/>
        </w:rPr>
        <w:t>ble income of $2,935,000 in 1981 through cancellation of indebtedness.  The sole issue for decision is whether petitioners had income from discharge of gambling indebtedness during 1981.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(petitioner) was a professional engineer involved in the development, construction, and management of multi-family housing and nursing home facil</w:t>
      </w:r>
      <w:r w:rsidRPr="00576ED7">
        <w:rPr>
          <w:szCs w:val="24"/>
        </w:rPr>
        <w:t>i</w:t>
      </w:r>
      <w:r w:rsidRPr="00576ED7">
        <w:rPr>
          <w:szCs w:val="24"/>
        </w:rPr>
        <w:t>ties.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occasionally stayed at Resorts International Hotel, Inc. (Resorts), in A</w:t>
      </w:r>
      <w:r w:rsidRPr="00576ED7">
        <w:rPr>
          <w:szCs w:val="24"/>
        </w:rPr>
        <w:t>t</w:t>
      </w:r>
      <w:r w:rsidRPr="00576ED7">
        <w:rPr>
          <w:szCs w:val="24"/>
        </w:rPr>
        <w:t>lantic City in connection with his construction activities. ... In June 1978, pet</w:t>
      </w:r>
      <w:r w:rsidRPr="00576ED7">
        <w:rPr>
          <w:szCs w:val="24"/>
        </w:rPr>
        <w:t>i</w:t>
      </w:r>
      <w:r w:rsidRPr="00576ED7">
        <w:rPr>
          <w:szCs w:val="24"/>
        </w:rPr>
        <w:t>tioner applied to Resorts for a $10,000 line of credit to be used for gambling.  A</w:t>
      </w:r>
      <w:r w:rsidRPr="00576ED7">
        <w:rPr>
          <w:szCs w:val="24"/>
        </w:rPr>
        <w:t>f</w:t>
      </w:r>
      <w:r w:rsidRPr="00576ED7">
        <w:rPr>
          <w:szCs w:val="24"/>
        </w:rPr>
        <w:t>ter a credit check, which included inquiries with petitioner’s banks and “Credit Central,” an organization that maintains records of individuals who gamble in c</w:t>
      </w:r>
      <w:r w:rsidRPr="00576ED7">
        <w:rPr>
          <w:szCs w:val="24"/>
        </w:rPr>
        <w:t>a</w:t>
      </w:r>
      <w:r w:rsidRPr="00576ED7">
        <w:rPr>
          <w:szCs w:val="24"/>
        </w:rPr>
        <w:t>sinos, the requested line of credit was granted, despite derogatory information r</w:t>
      </w:r>
      <w:r w:rsidRPr="00576ED7">
        <w:rPr>
          <w:szCs w:val="24"/>
        </w:rPr>
        <w:t>e</w:t>
      </w:r>
      <w:r w:rsidRPr="00576ED7">
        <w:rPr>
          <w:szCs w:val="24"/>
        </w:rPr>
        <w:t>ceived from Credit Central.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to his table by the large amounts he would wager.  Gamblers would w</w:t>
      </w:r>
      <w:r w:rsidRPr="00576ED7">
        <w:rPr>
          <w:szCs w:val="24"/>
        </w:rPr>
        <w:t>a</w:t>
      </w:r>
      <w:r w:rsidRPr="00576ED7">
        <w:rPr>
          <w:szCs w:val="24"/>
        </w:rPr>
        <w:t>ger more than they might otherwise because of the excitement caused by the crowds and the amounts that petitioner was wagering.  Petitioner was referred to as a “valued gaming patron” by executives at Resorts.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November 1979, petitioner’s permanent line of credit had been increased to </w:t>
      </w:r>
      <w:r w:rsidRPr="00576ED7">
        <w:rPr>
          <w:szCs w:val="24"/>
        </w:rPr>
        <w:lastRenderedPageBreak/>
        <w:t>$200,000.  Despite this increase, at no time after the initial credit check did R</w:t>
      </w:r>
      <w:r w:rsidRPr="00576ED7">
        <w:rPr>
          <w:szCs w:val="24"/>
        </w:rPr>
        <w:t>e</w:t>
      </w:r>
      <w:r w:rsidRPr="00576ED7">
        <w:rPr>
          <w:szCs w:val="24"/>
        </w:rPr>
        <w:t>sorts perform any further analysis of petitioner’s creditworthiness.  Many casinos extend complimentary services and privileges (“comps”) to retain the patronage of their best customers.  Beginning in the late summer of 1978, petitioner was e</w:t>
      </w:r>
      <w:r w:rsidRPr="00576ED7">
        <w:rPr>
          <w:szCs w:val="24"/>
        </w:rPr>
        <w:t>x</w:t>
      </w:r>
      <w:r w:rsidRPr="00576ED7">
        <w:rPr>
          <w:szCs w:val="24"/>
        </w:rPr>
        <w:t>tended the complimentary use of a luxury three-room suite at Resorts.  Resorts progressively increased the complimentary services to include free meals, ente</w:t>
      </w:r>
      <w:r w:rsidRPr="00576ED7">
        <w:rPr>
          <w:szCs w:val="24"/>
        </w:rPr>
        <w:t>r</w:t>
      </w:r>
      <w:r w:rsidRPr="00576ED7">
        <w:rPr>
          <w:szCs w:val="24"/>
        </w:rPr>
        <w:t>tainment, and 24-hour access to a limousine.  By late 1979, Resorts was extending such comps to petitioner’s guests as well.  By this practice, Resorts sought to pr</w:t>
      </w:r>
      <w:r w:rsidRPr="00576ED7">
        <w:rPr>
          <w:szCs w:val="24"/>
        </w:rPr>
        <w:t>e</w:t>
      </w:r>
      <w:r w:rsidRPr="00576ED7">
        <w:rPr>
          <w:szCs w:val="24"/>
        </w:rPr>
        <w:t>serve not only petitioner’s patronage but also the attractive power his gambling had on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Once the line of credit was established, petitioner was able to receive chips at the gambling table.  Patrons of New Jersey casinos may not gamble with currency, but must use chips provided by the casino.  Chips may not be used outside the c</w:t>
      </w:r>
      <w:r w:rsidRPr="00576ED7">
        <w:rPr>
          <w:szCs w:val="24"/>
        </w:rPr>
        <w:t>a</w:t>
      </w:r>
      <w:r w:rsidRPr="00576ED7">
        <w:rPr>
          <w:szCs w:val="24"/>
        </w:rPr>
        <w:t>sino where they were issued for any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received chips in exchange for signing counter checks, commonly known as “markers.”  The markers were negotiable drafts payable to Resorts drawn on petitioner’s bank.  The markers made no reference to chips, but stated that cash had been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had an understanding with Gary Grant, the credit manager at Resorts, whereby the markers would be held for the maximum period allowable under New Jersey law, which at that time was 90 days, whereupon petitioner would r</w:t>
      </w:r>
      <w:r w:rsidRPr="00576ED7">
        <w:rPr>
          <w:szCs w:val="24"/>
        </w:rPr>
        <w:t>e</w:t>
      </w:r>
      <w:r w:rsidRPr="00576ED7">
        <w:rPr>
          <w:szCs w:val="24"/>
        </w:rPr>
        <w:t>deem them with a personal check.  At all times pertinent hereto, petitioner inten</w:t>
      </w:r>
      <w:r w:rsidRPr="00576ED7">
        <w:rPr>
          <w:szCs w:val="24"/>
        </w:rPr>
        <w:t>d</w:t>
      </w:r>
      <w:r w:rsidRPr="00576ED7">
        <w:rPr>
          <w:szCs w:val="24"/>
        </w:rPr>
        <w:t>ed to repay any credit amount properly extended to him by Resorts and to pay R</w:t>
      </w:r>
      <w:r w:rsidRPr="00576ED7">
        <w:rPr>
          <w:szCs w:val="24"/>
        </w:rPr>
        <w:t>e</w:t>
      </w:r>
      <w:r w:rsidRPr="00576ED7">
        <w:rPr>
          <w:szCs w:val="24"/>
        </w:rPr>
        <w:t>sorts in full the amount of any personal check given by him to pay for chips or to reduce his gambling debt.  Between June 1978 and December 1979, petitioner incurred gambling debts of approximately $2.5 million.  Petitioner paid these debts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October 3, 1979, the New Jersey Division of Gaming Enforcement filed with the New Jersey Casino Control Commission a complaint against Resorts and se</w:t>
      </w:r>
      <w:r w:rsidRPr="00576ED7">
        <w:rPr>
          <w:szCs w:val="24"/>
        </w:rPr>
        <w:t>v</w:t>
      </w:r>
      <w:r w:rsidRPr="00576ED7">
        <w:rPr>
          <w:szCs w:val="24"/>
        </w:rPr>
        <w:t>eral individuals, which alleged 809 violations pertaining to Resorts’ casino ga</w:t>
      </w:r>
      <w:r w:rsidRPr="00576ED7">
        <w:rPr>
          <w:szCs w:val="24"/>
        </w:rPr>
        <w:t>m</w:t>
      </w:r>
      <w:r w:rsidRPr="00576ED7">
        <w:rPr>
          <w:szCs w:val="24"/>
        </w:rPr>
        <w:t>ing credit system, its internal procedures, and its administrative and accounting controls.  Of those 809 violations, 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Effective immediately, Resorts shall not issue credit to any patron whose patron credit reference card indicates that the credit now outstan</w:t>
      </w:r>
      <w:r w:rsidRPr="00576ED7">
        <w:rPr>
          <w:szCs w:val="24"/>
        </w:rPr>
        <w:t>d</w:t>
      </w:r>
      <w:r w:rsidRPr="00576ED7">
        <w:rPr>
          <w:szCs w:val="24"/>
        </w:rPr>
        <w:t>ing exceeds the properly approved credit limit.  In determining whether a credit limit has been exceeded, all yet undeposited checks received in payment of a counter check or checks shall be included as credits.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the Emergency Order was issued, Resorts began a policy of treating pet</w:t>
      </w:r>
      <w:r w:rsidRPr="00576ED7">
        <w:rPr>
          <w:szCs w:val="24"/>
        </w:rPr>
        <w:t>i</w:t>
      </w:r>
      <w:r w:rsidRPr="00576ED7">
        <w:rPr>
          <w:szCs w:val="24"/>
        </w:rPr>
        <w:t>tioner’s personal checks as “considered cleared.”  Thus, when petitioner wrote a personal check it was treated as a cash transaction, and the amount of the check was not included in determining whether he had reached his permanent credit li</w:t>
      </w:r>
      <w:r w:rsidRPr="00576ED7">
        <w:rPr>
          <w:szCs w:val="24"/>
        </w:rPr>
        <w:t>m</w:t>
      </w:r>
      <w:r w:rsidRPr="00576ED7">
        <w:rPr>
          <w:szCs w:val="24"/>
        </w:rPr>
        <w:t>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January 1980, petitioner was gambling compulsively at Resorts.  Petitioner was gambling 12-16 hours per day, 7 days per week in the casino, and he was be</w:t>
      </w:r>
      <w:r w:rsidRPr="00576ED7">
        <w:rPr>
          <w:szCs w:val="24"/>
        </w:rPr>
        <w:t>t</w:t>
      </w:r>
      <w:r w:rsidRPr="00576ED7">
        <w:rPr>
          <w:szCs w:val="24"/>
        </w:rPr>
        <w:t>ting up to $15,000 on each roll of the dice.  Petitioner was not aware of the amount of his gambling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April 12, 1980, Resorts increased petitioner’s permanent credit line to $215,000, without any additional credit investigation.  During April 1980, pet</w:t>
      </w:r>
      <w:r w:rsidRPr="00576ED7">
        <w:rPr>
          <w:szCs w:val="24"/>
        </w:rPr>
        <w:t>i</w:t>
      </w:r>
      <w:r w:rsidRPr="00576ED7">
        <w:rPr>
          <w:szCs w:val="24"/>
        </w:rPr>
        <w:t>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November 18, 1980, Resorts filed a complaint in New Jersey state court see</w:t>
      </w:r>
      <w:r w:rsidRPr="00576ED7">
        <w:rPr>
          <w:szCs w:val="24"/>
        </w:rPr>
        <w:t>k</w:t>
      </w:r>
      <w:r w:rsidRPr="00576ED7">
        <w:rPr>
          <w:szCs w:val="24"/>
        </w:rPr>
        <w:t>ing collection of $3,435,000 from petitioner based on the unpaid personal checks and markers.  On March 4, 1981, petitioner filed an answer, denying the alleg</w:t>
      </w:r>
      <w:r w:rsidRPr="00576ED7">
        <w:rPr>
          <w:szCs w:val="24"/>
        </w:rPr>
        <w:t>a</w:t>
      </w:r>
      <w:r w:rsidRPr="00576ED7">
        <w:rPr>
          <w:szCs w:val="24"/>
        </w:rPr>
        <w:t>tions and asserting a variety of affirmative defenses.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September 28, 1981, petitioner settled the Resorts suit by agreeing to make a </w:t>
      </w:r>
      <w:r w:rsidRPr="00576ED7">
        <w:rPr>
          <w:szCs w:val="24"/>
        </w:rPr>
        <w:lastRenderedPageBreak/>
        <w:t>series of payments totaling $500,000.  Petitioner paid the $500,000 settlement amount to Resorts in accordance with the terms of the agreement.  The difference between petitioner’s gambling obligations of $3,435,000 and the settlement pa</w:t>
      </w:r>
      <w:r w:rsidRPr="00576ED7">
        <w:rPr>
          <w:szCs w:val="24"/>
        </w:rPr>
        <w:t>y</w:t>
      </w:r>
      <w:r w:rsidRPr="00576ED7">
        <w:rPr>
          <w:szCs w:val="24"/>
        </w:rPr>
        <w:t>ments of $500,000 is the amount that respondent alleges to be income from fo</w:t>
      </w:r>
      <w:r w:rsidRPr="00576ED7">
        <w:rPr>
          <w:szCs w:val="24"/>
        </w:rPr>
        <w:t>r</w:t>
      </w:r>
      <w:r w:rsidRPr="00576ED7">
        <w:rPr>
          <w:szCs w:val="24"/>
        </w:rPr>
        <w:t>giveness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July 8, 1983, Resorts was fined $130,000 for violating the Emergency Order on at least 13 different occasions, 9 of which pertained directly to credit transa</w:t>
      </w:r>
      <w:r w:rsidRPr="00576ED7">
        <w:rPr>
          <w:szCs w:val="24"/>
        </w:rPr>
        <w:t>c</w:t>
      </w:r>
      <w:r w:rsidRPr="00576ED7">
        <w:rPr>
          <w:szCs w:val="24"/>
        </w:rPr>
        <w:t>tions between Resorts and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general, gross income includes all income from whatever source derived, i</w:t>
      </w:r>
      <w:r w:rsidRPr="00576ED7">
        <w:rPr>
          <w:szCs w:val="24"/>
        </w:rPr>
        <w:t>n</w:t>
      </w:r>
      <w:r w:rsidRPr="00576ED7">
        <w:rPr>
          <w:szCs w:val="24"/>
        </w:rPr>
        <w:t>cluding income from the discharge of indebtedness.  § 61(a)(12).  Not all di</w:t>
      </w:r>
      <w:r w:rsidRPr="00576ED7">
        <w:rPr>
          <w:szCs w:val="24"/>
        </w:rPr>
        <w:t>s</w:t>
      </w:r>
      <w:r w:rsidRPr="00576ED7">
        <w:rPr>
          <w:szCs w:val="24"/>
        </w:rPr>
        <w:t xml:space="preserve">charges of indebtedness, however, result in income.  [citation omitted].  The gain to the debtor from such discharge is the resultant freeing up of his assets that he would otherwise have been required to use to pay the debt.  </w:t>
      </w:r>
      <w:r w:rsidRPr="00576ED7">
        <w:rPr>
          <w:i/>
          <w:szCs w:val="24"/>
        </w:rPr>
        <w:t>See</w:t>
      </w:r>
      <w:r w:rsidRPr="00576ED7">
        <w:rPr>
          <w:szCs w:val="24"/>
        </w:rPr>
        <w:t xml:space="preserve"> </w:t>
      </w:r>
      <w:r w:rsidRPr="00576ED7">
        <w:rPr>
          <w:i/>
          <w:szCs w:val="24"/>
        </w:rPr>
        <w:t>United States v. Kirby Lumber Co.</w:t>
      </w:r>
      <w:r w:rsidRPr="00576ED7">
        <w:rPr>
          <w:szCs w:val="24"/>
        </w:rPr>
        <w:t>, 284 U.S. 1 (1931).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gambling and debts incurred to acquire gambling opportun</w:t>
      </w:r>
      <w:r w:rsidRPr="00576ED7">
        <w:rPr>
          <w:szCs w:val="24"/>
        </w:rPr>
        <w:t>i</w:t>
      </w:r>
      <w:r w:rsidRPr="00576ED7">
        <w:rPr>
          <w:szCs w:val="24"/>
        </w:rPr>
        <w:t>ty have always received special treatment at common law and in the Internal Re</w:t>
      </w:r>
      <w:r w:rsidRPr="00576ED7">
        <w:rPr>
          <w:szCs w:val="24"/>
        </w:rPr>
        <w:t>v</w:t>
      </w:r>
      <w:r w:rsidRPr="00576ED7">
        <w:rPr>
          <w:szCs w:val="24"/>
        </w:rPr>
        <w:t xml:space="preserve">enue Code and that agreeing with respondent in this case would result in taxing petitioner on his losses.  Petitioner relies on </w:t>
      </w:r>
      <w:r w:rsidRPr="00576ED7">
        <w:rPr>
          <w:i/>
          <w:szCs w:val="24"/>
        </w:rPr>
        <w:t>United States v. Hall</w:t>
      </w:r>
      <w:r w:rsidRPr="00576ED7">
        <w:rPr>
          <w:szCs w:val="24"/>
        </w:rPr>
        <w:t>, 307 F.2d 238 (10th Cir. 1962), as establishing a rule that the cancellation of indebtedness do</w:t>
      </w:r>
      <w:r w:rsidRPr="00576ED7">
        <w:rPr>
          <w:szCs w:val="24"/>
        </w:rPr>
        <w:t>c</w:t>
      </w:r>
      <w:r w:rsidRPr="00576ED7">
        <w:rPr>
          <w:szCs w:val="24"/>
        </w:rPr>
        <w:t>trine is not applicable to the settlement of a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parties have primarily focused their arguments on whether the debt instr</w:t>
      </w:r>
      <w:r w:rsidRPr="00576ED7">
        <w:rPr>
          <w:szCs w:val="24"/>
        </w:rPr>
        <w:t>u</w:t>
      </w:r>
      <w:r w:rsidRPr="00576ED7">
        <w:rPr>
          <w:szCs w:val="24"/>
        </w:rPr>
        <w:t>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w:t>
      </w:r>
      <w:r w:rsidRPr="00576ED7">
        <w:rPr>
          <w:szCs w:val="24"/>
        </w:rPr>
        <w:t>e</w:t>
      </w:r>
      <w:r w:rsidRPr="00576ED7">
        <w:rPr>
          <w:szCs w:val="24"/>
        </w:rPr>
        <w:lastRenderedPageBreak/>
        <w:t xml:space="preserve">cause his assets were never encumbered.  Petitioner relies on </w:t>
      </w:r>
      <w:r w:rsidRPr="00576ED7">
        <w:rPr>
          <w:smallCaps/>
          <w:szCs w:val="24"/>
        </w:rPr>
        <w:t>N.J. Stat. Ann</w:t>
      </w:r>
      <w:r w:rsidRPr="00576ED7">
        <w:rPr>
          <w:szCs w:val="24"/>
        </w:rPr>
        <w:t xml:space="preserve">. § 5:12-101(f) (West 1988), and </w:t>
      </w:r>
      <w:r w:rsidRPr="00576ED7">
        <w:rPr>
          <w:i/>
          <w:szCs w:val="24"/>
        </w:rPr>
        <w:t>Resorts International Hotel, Inc. v. Salomone</w:t>
      </w:r>
      <w:r w:rsidRPr="00576ED7">
        <w:rPr>
          <w:szCs w:val="24"/>
        </w:rPr>
        <w:t>, 178 N.J. Super. 598, 429 A.2d 1078 (App. Div. 1981), in arguing that the gambling debts were unenforceable.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We must decide, therefore, whether legal enforceability is a prerequisite to recognition of income in this case.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Enforceability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Hall</w:t>
      </w:r>
      <w:r w:rsidRPr="00576ED7">
        <w:rPr>
          <w:szCs w:val="24"/>
        </w:rPr>
        <w:t xml:space="preserve">, </w:t>
      </w:r>
      <w:r w:rsidRPr="00576ED7">
        <w:rPr>
          <w:i/>
          <w:szCs w:val="24"/>
        </w:rPr>
        <w:t>supra</w:t>
      </w:r>
      <w:r w:rsidRPr="00576ED7">
        <w:rPr>
          <w:szCs w:val="24"/>
        </w:rPr>
        <w:t>, the taxpayer transferred appreciated property in satisfaction of a gambling debt of an undetermined amount incurred in Las Vegas, Nevada.  The Commissioner sought to tax as gain the difference between the amount of the discharged debt and the basis of the appreciated property.  Al</w:t>
      </w:r>
      <w:r w:rsidRPr="00576ED7">
        <w:rPr>
          <w:szCs w:val="24"/>
        </w:rPr>
        <w:t>t</w:t>
      </w:r>
      <w:r w:rsidRPr="00576ED7">
        <w:rPr>
          <w:szCs w:val="24"/>
        </w:rPr>
        <w: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307 F.2d at 241.  The Court of Appeals relied on the so-called “diminution of loss theory” deve</w:t>
      </w:r>
      <w:r w:rsidRPr="00576ED7">
        <w:rPr>
          <w:szCs w:val="24"/>
        </w:rPr>
        <w:t>l</w:t>
      </w:r>
      <w:r w:rsidRPr="00576ED7">
        <w:rPr>
          <w:szCs w:val="24"/>
        </w:rPr>
        <w:t xml:space="preserve">oped by the Supreme Court in </w:t>
      </w:r>
      <w:r w:rsidRPr="00576ED7">
        <w:rPr>
          <w:i/>
          <w:szCs w:val="24"/>
        </w:rPr>
        <w:t>Bowers v. Kerbaugh-Empire Co.</w:t>
      </w:r>
      <w:r w:rsidRPr="00576ED7">
        <w:rPr>
          <w:szCs w:val="24"/>
        </w:rPr>
        <w:t>, 271 U.S. 170 (1926).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F41FA2" w:rsidRPr="00576ED7" w:rsidRDefault="00F41FA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for the Tenth Circuit in </w:t>
      </w:r>
      <w:r w:rsidRPr="00576ED7">
        <w:rPr>
          <w:i/>
          <w:szCs w:val="24"/>
        </w:rPr>
        <w:t>Hall</w:t>
      </w:r>
      <w:r w:rsidRPr="00576ED7">
        <w:rPr>
          <w:szCs w:val="24"/>
        </w:rPr>
        <w:t xml:space="preserve"> quoted at length from </w:t>
      </w:r>
      <w:r w:rsidRPr="00576ED7">
        <w:rPr>
          <w:i/>
          <w:szCs w:val="24"/>
        </w:rPr>
        <w:t>Bra</w:t>
      </w:r>
      <w:r w:rsidRPr="00576ED7">
        <w:rPr>
          <w:i/>
          <w:szCs w:val="24"/>
        </w:rPr>
        <w:t>d</w:t>
      </w:r>
      <w:r w:rsidRPr="00576ED7">
        <w:rPr>
          <w:i/>
          <w:szCs w:val="24"/>
        </w:rPr>
        <w:t>ford v. Commissioner</w:t>
      </w:r>
      <w:r w:rsidRPr="00576ED7">
        <w:rPr>
          <w:szCs w:val="24"/>
        </w:rPr>
        <w:t xml:space="preserve">, 233 F.2d 935 (6th Cir. 1956), which noted that the </w:t>
      </w:r>
      <w:r w:rsidRPr="00576ED7">
        <w:rPr>
          <w:i/>
          <w:szCs w:val="24"/>
        </w:rPr>
        <w:t>Ke</w:t>
      </w:r>
      <w:r w:rsidRPr="00576ED7">
        <w:rPr>
          <w:i/>
          <w:szCs w:val="24"/>
        </w:rPr>
        <w:t>r</w:t>
      </w:r>
      <w:r w:rsidRPr="00576ED7">
        <w:rPr>
          <w:i/>
          <w:szCs w:val="24"/>
        </w:rPr>
        <w:t>baugh-Empire</w:t>
      </w:r>
      <w:r w:rsidRPr="00576ED7">
        <w:rPr>
          <w:szCs w:val="24"/>
        </w:rPr>
        <w:t xml:space="preserve"> case was decided before </w:t>
      </w:r>
      <w:r w:rsidRPr="00576ED7">
        <w:rPr>
          <w:i/>
          <w:szCs w:val="24"/>
        </w:rPr>
        <w:t>United States v. Kirby Lumber Co.</w:t>
      </w:r>
      <w:r w:rsidRPr="00576ED7">
        <w:rPr>
          <w:szCs w:val="24"/>
        </w:rPr>
        <w:t xml:space="preserve">, 284 U.S. 1 (1931), and </w:t>
      </w:r>
      <w:r w:rsidRPr="00576ED7">
        <w:rPr>
          <w:i/>
          <w:szCs w:val="24"/>
        </w:rPr>
        <w:t>Burnet v. Sanford &amp; Brooks Co.</w:t>
      </w:r>
      <w:r w:rsidRPr="00576ED7">
        <w:rPr>
          <w:szCs w:val="24"/>
        </w:rPr>
        <w:t xml:space="preserve">, 282 U.S. 359 (1931), and had been “frequently criticized and not easily understood.”  Subsequent developments further suggest that </w:t>
      </w:r>
      <w:r w:rsidRPr="00576ED7">
        <w:rPr>
          <w:i/>
          <w:szCs w:val="24"/>
        </w:rPr>
        <w:t>Kerbaugh-Empire</w:t>
      </w:r>
      <w:r w:rsidRPr="00576ED7">
        <w:rPr>
          <w:szCs w:val="24"/>
        </w:rPr>
        <w:t xml:space="preserve"> has lost its vitality.  </w:t>
      </w:r>
      <w:r w:rsidRPr="00576ED7">
        <w:rPr>
          <w:i/>
          <w:szCs w:val="24"/>
        </w:rPr>
        <w:t>See</w:t>
      </w:r>
      <w:r w:rsidRPr="00576ED7">
        <w:rPr>
          <w:szCs w:val="24"/>
        </w:rPr>
        <w:t xml:space="preserve"> </w:t>
      </w:r>
      <w:r w:rsidRPr="00576ED7">
        <w:rPr>
          <w:i/>
          <w:szCs w:val="24"/>
        </w:rPr>
        <w:t>Vukasovich, Inc. v. Commissioner</w:t>
      </w:r>
      <w:r w:rsidRPr="00576ED7">
        <w:rPr>
          <w:szCs w:val="24"/>
        </w:rPr>
        <w:t>, 790 F.2d 1409 (9th Cir. 1986)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instant case, symmetry from year to year is not accomplished unless we treat petitioner’s receipt of the loan from Resorts (i.e., the markers converted to chips) and the subsequent discharge of his obligation to repay that loan in a co</w:t>
      </w:r>
      <w:r w:rsidRPr="00576ED7">
        <w:rPr>
          <w:szCs w:val="24"/>
        </w:rPr>
        <w:t>n</w:t>
      </w:r>
      <w:r w:rsidRPr="00576ED7">
        <w:rPr>
          <w:szCs w:val="24"/>
        </w:rPr>
        <w:lastRenderedPageBreak/>
        <w:t xml:space="preserve">sistent manner.  Petitioner received credit of $3,435,000 from Resorts.  He treated these amounts as a loan, not reporting any income on his 1980 tax return.  </w:t>
      </w:r>
      <w:r w:rsidRPr="00576ED7">
        <w:rPr>
          <w:i/>
          <w:szCs w:val="24"/>
        </w:rPr>
        <w:t>Co</w:t>
      </w:r>
      <w:r w:rsidRPr="00576ED7">
        <w:rPr>
          <w:i/>
          <w:szCs w:val="24"/>
        </w:rPr>
        <w:t>m</w:t>
      </w:r>
      <w:r w:rsidRPr="00576ED7">
        <w:rPr>
          <w:i/>
          <w:szCs w:val="24"/>
        </w:rPr>
        <w:t>pare</w:t>
      </w:r>
      <w:r w:rsidRPr="00576ED7">
        <w:rPr>
          <w:szCs w:val="24"/>
        </w:rPr>
        <w:t xml:space="preserve"> </w:t>
      </w:r>
      <w:r w:rsidRPr="00576ED7">
        <w:rPr>
          <w:i/>
          <w:szCs w:val="24"/>
        </w:rPr>
        <w:t>United States v. Rosenthal</w:t>
      </w:r>
      <w:r w:rsidRPr="00576ED7">
        <w:rPr>
          <w:szCs w:val="24"/>
        </w:rPr>
        <w:t xml:space="preserve">, 470 F.2d 837 (2d Cir. 1972), and </w:t>
      </w:r>
      <w:r w:rsidRPr="00576ED7">
        <w:rPr>
          <w:i/>
          <w:szCs w:val="24"/>
        </w:rPr>
        <w:t>United States v. Rochelle</w:t>
      </w:r>
      <w:r w:rsidRPr="00576ED7">
        <w:rPr>
          <w:szCs w:val="24"/>
        </w:rPr>
        <w:t>, 384 F.2d 748 (5th Cir. 1967).  The parties have stipulated that he i</w:t>
      </w:r>
      <w:r w:rsidRPr="00576ED7">
        <w:rPr>
          <w:szCs w:val="24"/>
        </w:rPr>
        <w:t>n</w:t>
      </w:r>
      <w:r w:rsidRPr="00576ED7">
        <w:rPr>
          <w:szCs w:val="24"/>
        </w:rPr>
        <w:t>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576ED7">
        <w:rPr>
          <w:i/>
          <w:szCs w:val="24"/>
        </w:rPr>
        <w:t>Hall</w:t>
      </w:r>
      <w:r w:rsidRPr="00576ED7">
        <w:rPr>
          <w:szCs w:val="24"/>
        </w:rPr>
        <w:t>, that the settlement merely reduced the amount of his loss and did not result in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no doubt that an increase in wealth from the cancellation of indebtedness is taxable where the taxpayer received something of value in exchange for the i</w:t>
      </w:r>
      <w:r w:rsidRPr="00576ED7">
        <w:rPr>
          <w:szCs w:val="24"/>
        </w:rPr>
        <w:t>n</w:t>
      </w:r>
      <w:r w:rsidRPr="00576ED7">
        <w:rPr>
          <w:szCs w:val="24"/>
        </w:rPr>
        <w:t>debtedness.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w:t>
      </w:r>
      <w:r w:rsidRPr="00576ED7">
        <w:rPr>
          <w:szCs w:val="24"/>
        </w:rPr>
        <w:t>n</w:t>
      </w:r>
      <w:r w:rsidRPr="00576ED7">
        <w:rPr>
          <w:szCs w:val="24"/>
        </w:rPr>
        <w:t>come results from forgiveness of indebtedness, § 61(a)(12), should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Legal enforceability of an obligation to repay is not generally determinative of whether the receipt of money or property is taxable.  </w:t>
      </w:r>
      <w:r w:rsidRPr="00576ED7">
        <w:rPr>
          <w:i/>
          <w:szCs w:val="24"/>
        </w:rPr>
        <w:t>James v. United States</w:t>
      </w:r>
      <w:r w:rsidRPr="00576ED7">
        <w:rPr>
          <w:szCs w:val="24"/>
        </w:rPr>
        <w:t>, 366 U.S. 213, 219 (1961).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sidRPr="00576ED7">
        <w:rPr>
          <w:i/>
          <w:szCs w:val="24"/>
        </w:rPr>
        <w:t>United States v. Hall</w:t>
      </w:r>
      <w:r w:rsidRPr="00576ED7">
        <w:rPr>
          <w:szCs w:val="24"/>
        </w:rPr>
        <w:t xml:space="preserve"> stated, “The elimination of a gambling debt is * * * a transaction that may have tax consequences indepen</w:t>
      </w:r>
      <w:r w:rsidRPr="00576ED7">
        <w:rPr>
          <w:szCs w:val="24"/>
        </w:rPr>
        <w:t>d</w:t>
      </w:r>
      <w:r w:rsidRPr="00576ED7">
        <w:rPr>
          <w:szCs w:val="24"/>
        </w:rPr>
        <w:lastRenderedPageBreak/>
        <w:t>ent of the amount of the debt and certainly cannot be used as a tool to avoid a tax incident which is shielded only by the screen of its unenforceable origin.”  307 F.2d at 242.</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Disputed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also relies on the principle that settlement of disputed debts does not give rise to income.  </w:t>
      </w:r>
      <w:r w:rsidRPr="00576ED7">
        <w:rPr>
          <w:i/>
          <w:szCs w:val="24"/>
        </w:rPr>
        <w:t>N. Sobel, Inc. v. Commissioner</w:t>
      </w:r>
      <w:r w:rsidRPr="00576ED7">
        <w:rPr>
          <w:szCs w:val="24"/>
        </w:rPr>
        <w:t xml:space="preserve">, 40 B.T.A. 1263 (1939), cited with approval in </w:t>
      </w:r>
      <w:r w:rsidRPr="00576ED7">
        <w:rPr>
          <w:i/>
          <w:szCs w:val="24"/>
        </w:rPr>
        <w:t>Colonial Savings Assn. v. Commissioner</w:t>
      </w:r>
      <w:r w:rsidRPr="00576ED7">
        <w:rPr>
          <w:szCs w:val="24"/>
        </w:rPr>
        <w:t xml:space="preserve">, 85 T.C. 855, 862-863 (1985), </w:t>
      </w:r>
      <w:r w:rsidRPr="00576ED7">
        <w:rPr>
          <w:i/>
          <w:szCs w:val="24"/>
        </w:rPr>
        <w:t>aff’d</w:t>
      </w:r>
      <w:r w:rsidRPr="00576ED7">
        <w:rPr>
          <w:szCs w:val="24"/>
        </w:rPr>
        <w:t>, 854 F.2d 1001 (7th Cir. 1988).  Prior to the settlement, the amount of petitioner’s gambling debt to Resorts was a liquidated amount, unlike the ta</w:t>
      </w:r>
      <w:r w:rsidRPr="00576ED7">
        <w:rPr>
          <w:szCs w:val="24"/>
        </w:rPr>
        <w:t>x</w:t>
      </w:r>
      <w:r w:rsidRPr="00576ED7">
        <w:rPr>
          <w:szCs w:val="24"/>
        </w:rPr>
        <w:t xml:space="preserve">payer’s debt in </w:t>
      </w:r>
      <w:r w:rsidRPr="00576ED7">
        <w:rPr>
          <w:i/>
          <w:szCs w:val="24"/>
        </w:rPr>
        <w:t>Hall</w:t>
      </w:r>
      <w:r w:rsidRPr="00576ED7">
        <w:rPr>
          <w:szCs w:val="24"/>
        </w:rPr>
        <w:t>.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w:t>
      </w:r>
      <w:r w:rsidRPr="00576ED7">
        <w:rPr>
          <w:szCs w:val="24"/>
        </w:rPr>
        <w:t>e</w:t>
      </w:r>
      <w:r w:rsidRPr="00576ED7">
        <w:rPr>
          <w:szCs w:val="24"/>
        </w:rPr>
        <w:t>fore making payment of any amount on the debt. ... In our view, petitioner’s a</w:t>
      </w:r>
      <w:r w:rsidRPr="00576ED7">
        <w:rPr>
          <w:szCs w:val="24"/>
        </w:rPr>
        <w:t>r</w:t>
      </w:r>
      <w:r w:rsidRPr="00576ED7">
        <w:rPr>
          <w:szCs w:val="24"/>
        </w:rPr>
        <w:t>guments concerning his defenses to Resorts’ claim, which apparently led to R</w:t>
      </w:r>
      <w:r w:rsidRPr="00576ED7">
        <w:rPr>
          <w:szCs w:val="24"/>
        </w:rPr>
        <w:t>e</w:t>
      </w:r>
      <w:r w:rsidRPr="00576ED7">
        <w:rPr>
          <w:szCs w:val="24"/>
        </w:rPr>
        <w:t>sorts’ agreement to discount the debt, are overcome by (1) the stipulation of the parties that, at the time the debt was created, petitioner agreed to and intended to repay the full amount, and (2) our conclusion that he received full value for what he agreed to pay, i.e., over $3 million worth of chips and the benefits received by petitioner as a “valued gambling patron” of Resorts.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Deductibility of Gambling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Purchase Money Debt Reduction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the settlement with Resorts should be treated as a purchase price adjustment that does not give rise to income from the discharge of indebte</w:t>
      </w:r>
      <w:r w:rsidRPr="00576ED7">
        <w:rPr>
          <w:szCs w:val="24"/>
        </w:rPr>
        <w:t>d</w:t>
      </w:r>
      <w:r w:rsidRPr="00576ED7">
        <w:rPr>
          <w:szCs w:val="24"/>
        </w:rPr>
        <w:t>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w:t>
      </w:r>
      <w:r w:rsidRPr="00576ED7">
        <w:rPr>
          <w:szCs w:val="24"/>
        </w:rPr>
        <w:t>e</w:t>
      </w:r>
      <w:r w:rsidRPr="00576ED7">
        <w:rPr>
          <w:szCs w:val="24"/>
        </w:rPr>
        <w:t>ceived “cash” in return for his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added to the Internal Revenue Code by the Bankruptcy Tax </w:t>
      </w:r>
      <w:r w:rsidRPr="00576ED7">
        <w:rPr>
          <w:szCs w:val="24"/>
        </w:rPr>
        <w:lastRenderedPageBreak/>
        <w:t>Act of 1980, Pub. L. 96-589, 94 Stat. 3389, 3393, and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Purchase-money debt reduction for solvent debtor treated as price r</w:t>
      </w:r>
      <w:r w:rsidRPr="00576ED7">
        <w:rPr>
          <w:szCs w:val="24"/>
        </w:rPr>
        <w:t>e</w:t>
      </w:r>
      <w:r w:rsidRPr="00576ED7">
        <w:rPr>
          <w:szCs w:val="24"/>
        </w:rPr>
        <w:t>duction. – If –</w:t>
      </w:r>
    </w:p>
    <w:p w:rsidR="0049128E" w:rsidRPr="00576ED7" w:rsidRDefault="0049128E" w:rsidP="00A6585D">
      <w:pPr>
        <w:widowControl w:val="0"/>
        <w:ind w:left="1440"/>
        <w:jc w:val="both"/>
        <w:rPr>
          <w:szCs w:val="24"/>
        </w:rPr>
      </w:pPr>
      <w:r w:rsidRPr="00576ED7">
        <w:rPr>
          <w:szCs w:val="24"/>
        </w:rPr>
        <w:t>(A) the debt of a purchaser of property to the seller of such prope</w:t>
      </w:r>
      <w:r w:rsidRPr="00576ED7">
        <w:rPr>
          <w:szCs w:val="24"/>
        </w:rPr>
        <w:t>r</w:t>
      </w:r>
      <w:r w:rsidRPr="00576ED7">
        <w:rPr>
          <w:szCs w:val="24"/>
        </w:rPr>
        <w:t>ty which arose out of the purchase of such property is reduced,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such reduction does not occur –</w:t>
      </w:r>
    </w:p>
    <w:p w:rsidR="0049128E" w:rsidRPr="00576ED7" w:rsidRDefault="0049128E" w:rsidP="00A6585D">
      <w:pPr>
        <w:widowControl w:val="0"/>
        <w:ind w:left="2160"/>
        <w:jc w:val="both"/>
        <w:rPr>
          <w:szCs w:val="24"/>
        </w:rPr>
      </w:pPr>
      <w:r w:rsidRPr="00576ED7">
        <w:rPr>
          <w:szCs w:val="24"/>
        </w:rPr>
        <w:t>(i) in a title 11 case,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when the purchaser is insolvent, and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(C) but for this paragraph, such reduction would be treated as i</w:t>
      </w:r>
      <w:r w:rsidRPr="00576ED7">
        <w:rPr>
          <w:szCs w:val="24"/>
        </w:rPr>
        <w:t>n</w:t>
      </w:r>
      <w:r w:rsidRPr="00576ED7">
        <w:rPr>
          <w:szCs w:val="24"/>
        </w:rPr>
        <w:t>come to the purchaser from the discharge of indebtedness,</w:t>
      </w:r>
    </w:p>
    <w:p w:rsidR="0049128E" w:rsidRPr="00576ED7" w:rsidRDefault="0049128E" w:rsidP="00A6585D">
      <w:pPr>
        <w:widowControl w:val="0"/>
        <w:ind w:left="720"/>
        <w:jc w:val="both"/>
        <w:rPr>
          <w:szCs w:val="24"/>
        </w:rPr>
      </w:pPr>
      <w:r w:rsidRPr="00576ED7">
        <w:rPr>
          <w:szCs w:val="24"/>
        </w:rPr>
        <w:t>then such reduction shall be treated as a purchase price adjustment.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Section 108(e)(5) applies to transactions occurring after December 31, 1980. </w:t>
      </w:r>
      <w:r w:rsidRPr="00576ED7">
        <w:rPr>
          <w:smallCaps/>
          <w:szCs w:val="24"/>
        </w:rPr>
        <w:t>S. Rept. No.</w:t>
      </w:r>
      <w:r w:rsidRPr="00576ED7">
        <w:rPr>
          <w:szCs w:val="24"/>
        </w:rPr>
        <w:t xml:space="preserve"> 96-1035, </w:t>
      </w:r>
      <w:r w:rsidRPr="00576ED7">
        <w:rPr>
          <w:i/>
          <w:szCs w:val="24"/>
        </w:rPr>
        <w:t>supra</w:t>
      </w:r>
      <w:r w:rsidRPr="00576ED7">
        <w:rPr>
          <w:szCs w:val="24"/>
        </w:rPr>
        <w:t>.  The provisions of this section are not elective.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seems to us that the value received by petitioner in exchange for the credit e</w:t>
      </w:r>
      <w:r w:rsidRPr="00576ED7">
        <w:rPr>
          <w:szCs w:val="24"/>
        </w:rPr>
        <w:t>x</w:t>
      </w:r>
      <w:r w:rsidRPr="00576ED7">
        <w:rPr>
          <w:szCs w:val="24"/>
        </w:rPr>
        <w:t>tended by Resorts does not constitute the type of property to which § 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indicated above, we are persuaded ... that petitioner received full value for his debt.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purchased the opportunity to gamble as he received chips in exchange for his markers. ... Upon receipt of the chips, Petitioner immediately proceeded to gamble with these chips.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disagreeing with petitioner’s assertion as to the value of what he received, 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w:t>
      </w:r>
      <w:r w:rsidRPr="00576ED7">
        <w:rPr>
          <w:szCs w:val="24"/>
        </w:rPr>
        <w:t>u</w:t>
      </w:r>
      <w:r w:rsidRPr="00576ED7">
        <w:rPr>
          <w:szCs w:val="24"/>
        </w:rPr>
        <w:t>rately described in his other arguments here quoted.  The “property” argument simply overemphasizes the significance of the chips.  As a matter of substance, chips in isolation are not what petitioner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“opportunity to gamble” would not in the usual sense of the words be “pro</w:t>
      </w:r>
      <w:r w:rsidRPr="00576ED7">
        <w:rPr>
          <w:szCs w:val="24"/>
        </w:rPr>
        <w:t>p</w:t>
      </w:r>
      <w:r w:rsidRPr="00576ED7">
        <w:rPr>
          <w:szCs w:val="24"/>
        </w:rPr>
        <w:t>erty” transferred from a seller to a purchaser.  The terminology used in § 108(e)(5) is readily understood with respect to tangible property and may apply to some types of intangibles.  Abstract concepts of property are not useful, however, in deciding whether what petitioner received is within the contemplation of the section.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Obviously the chips in this case were a medium of exchange within the Resorts casino, and in that sense they were a substitute for cash, just as Federal Reserve Notes, checks, or other convenient means of representing credit balances const</w:t>
      </w:r>
      <w:r w:rsidRPr="00576ED7">
        <w:rPr>
          <w:szCs w:val="24"/>
        </w:rPr>
        <w:t>i</w:t>
      </w:r>
      <w:r w:rsidRPr="00576ED7">
        <w:rPr>
          <w:szCs w:val="24"/>
        </w:rPr>
        <w:t>tute or substitute for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petitioner’s settlement with Resorts cannot be construed as a “purchase-money debt reduction” arising from the purchase of property within the meaning of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under Rule 155.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Nims, Parker, Körner, Shields, Hamblen, Clapp, Gerber, Wright, Parr, and Co</w:t>
      </w:r>
      <w:r w:rsidRPr="00576ED7">
        <w:rPr>
          <w:szCs w:val="24"/>
        </w:rPr>
        <w:t>l</w:t>
      </w:r>
      <w:r w:rsidRPr="00576ED7">
        <w:rPr>
          <w:szCs w:val="24"/>
        </w:rPr>
        <w:t>vin, JJ., agree with the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foundation of the majority’s reasoning is that Mr. Zarin realized income in an amount equal to the amount of the credit extended to him because he was afforded the “opportunity to gamble.”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it highly significant that in all the decided cases involving the cancellation of indebtedness, the taxpayer had, in a prior year when the indebtedness was cr</w:t>
      </w:r>
      <w:r w:rsidRPr="00576ED7">
        <w:rPr>
          <w:szCs w:val="24"/>
        </w:rPr>
        <w:t>e</w:t>
      </w:r>
      <w:r w:rsidRPr="00576ED7">
        <w:rPr>
          <w:szCs w:val="24"/>
        </w:rPr>
        <w:t>ated, received a nontaxable benefit clearly measurable in monetary terms which would remain untaxed if the subsequent cancellation of the indebtedness were held to be tax free.  Such is simply not the case herein.  The concept that petitio</w:t>
      </w:r>
      <w:r w:rsidRPr="00576ED7">
        <w:rPr>
          <w:szCs w:val="24"/>
        </w:rPr>
        <w:t>n</w:t>
      </w:r>
      <w:r w:rsidRPr="00576ED7">
        <w:rPr>
          <w:szCs w:val="24"/>
        </w:rPr>
        <w:t>er received his money’s worth from the enjoyment of using the chips (thus equa</w:t>
      </w:r>
      <w:r w:rsidRPr="00576ED7">
        <w:rPr>
          <w:szCs w:val="24"/>
        </w:rPr>
        <w:t>t</w:t>
      </w:r>
      <w:r w:rsidRPr="00576ED7">
        <w:rPr>
          <w:szCs w:val="24"/>
        </w:rPr>
        <w:t>ing the pleasure of gambling with increase in wealth) produces the incongruous result that the more a gambler loses, the greater his pleasure and the larger the i</w:t>
      </w:r>
      <w:r w:rsidRPr="00576ED7">
        <w:rPr>
          <w:szCs w:val="24"/>
        </w:rPr>
        <w:t>n</w:t>
      </w:r>
      <w:r w:rsidRPr="00576ED7">
        <w:rPr>
          <w:szCs w:val="24"/>
        </w:rPr>
        <w:t>crease in his wealth.  [footnote omitted].  Under the circumstances, I think the i</w:t>
      </w:r>
      <w:r w:rsidRPr="00576ED7">
        <w:rPr>
          <w:szCs w:val="24"/>
        </w:rPr>
        <w:t>s</w:t>
      </w:r>
      <w:r w:rsidRPr="00576ED7">
        <w:rPr>
          <w:szCs w:val="24"/>
        </w:rPr>
        <w:t>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clear that respondent has not shown that the checks Mr. Zarin gave Resorts were enforceable under New Jersey law.  New Jersey law provides that checks issued to pay for gambling are enforceable provided that a set of requirements r</w:t>
      </w:r>
      <w:r w:rsidRPr="00576ED7">
        <w:rPr>
          <w:szCs w:val="24"/>
        </w:rPr>
        <w:t>e</w:t>
      </w:r>
      <w:r w:rsidRPr="00576ED7">
        <w:rPr>
          <w:szCs w:val="24"/>
        </w:rPr>
        <w:t xml:space="preserve">lating to, among other things, proper payees, dating and holding periods, is met.  </w:t>
      </w:r>
      <w:r w:rsidRPr="00576ED7">
        <w:rPr>
          <w:i/>
          <w:szCs w:val="24"/>
        </w:rPr>
        <w:t>See</w:t>
      </w:r>
      <w:r w:rsidRPr="00576ED7">
        <w:rPr>
          <w:szCs w:val="24"/>
        </w:rPr>
        <w:t xml:space="preserve"> </w:t>
      </w:r>
      <w:r w:rsidRPr="00576ED7">
        <w:rPr>
          <w:smallCaps/>
          <w:szCs w:val="24"/>
        </w:rPr>
        <w:t>N.J. Stat. Ann</w:t>
      </w:r>
      <w:r w:rsidRPr="00576ED7">
        <w:rPr>
          <w:szCs w:val="24"/>
        </w:rPr>
        <w:t xml:space="preserve">. § 5:12-101 (West 1988).”  Any check cashed, transferred, conveyed or given in violation of * * * [those requirements] shall be invalid and unenforceable for the purposes of collection * * *.”  </w:t>
      </w:r>
      <w:r w:rsidRPr="00576ED7">
        <w:rPr>
          <w:smallCaps/>
          <w:szCs w:val="24"/>
        </w:rPr>
        <w:t>N.J. Stat. Ann</w:t>
      </w:r>
      <w:r w:rsidRPr="00576ED7">
        <w:rPr>
          <w:szCs w:val="24"/>
        </w:rPr>
        <w:t>. § 5:12-101(f) (West 1988).  Furthermore, strict compliance with those requirements is mandatory for a check to be enforceable.  [citations omitted].  Respondent simply has not shown that the markers given Resorts by Mr. Zarin were drawn and ha</w:t>
      </w:r>
      <w:r w:rsidRPr="00576ED7">
        <w:rPr>
          <w:szCs w:val="24"/>
        </w:rPr>
        <w:t>n</w:t>
      </w:r>
      <w:r w:rsidRPr="00576ED7">
        <w:rPr>
          <w:szCs w:val="24"/>
        </w:rPr>
        <w:t xml:space="preserve">dled in strict compliance with the statute.  In fact, the number of violations of the </w:t>
      </w:r>
      <w:r w:rsidRPr="00576ED7">
        <w:rPr>
          <w:szCs w:val="24"/>
        </w:rPr>
        <w:lastRenderedPageBreak/>
        <w:t>Emergency Order asserted against Resorts by the New Jersey gambling commi</w:t>
      </w:r>
      <w:r w:rsidRPr="00576ED7">
        <w:rPr>
          <w:szCs w:val="24"/>
        </w:rPr>
        <w:t>s</w:t>
      </w:r>
      <w:r w:rsidRPr="00576ED7">
        <w:rPr>
          <w:szCs w:val="24"/>
        </w:rPr>
        <w:t>sion, including some betting transactions with petitioner, casts substantial doubt on whether the checks [footnote omitted] were in fact so handled.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I think it significant that because the debts involved herein were unenforceable from the moment that they were created, there was no freeing up of petitioners’ assets when they were discharged,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i/>
          <w:szCs w:val="24"/>
        </w:rPr>
        <w:t>supra</w:t>
      </w:r>
      <w:r w:rsidRPr="00576ED7">
        <w:rPr>
          <w:szCs w:val="24"/>
        </w:rPr>
        <w:t>, and therefore there was no increase in petitioners’ wealth that could constitute i</w:t>
      </w:r>
      <w:r w:rsidRPr="00576ED7">
        <w:rPr>
          <w:szCs w:val="24"/>
        </w:rPr>
        <w:t>n</w:t>
      </w:r>
      <w:r w:rsidRPr="00576ED7">
        <w:rPr>
          <w:szCs w:val="24"/>
        </w:rPr>
        <w:t xml:space="preserve">come.  </w:t>
      </w:r>
      <w:r w:rsidRPr="00576ED7">
        <w:rPr>
          <w:i/>
          <w:szCs w:val="24"/>
        </w:rPr>
        <w:t>Cf</w:t>
      </w:r>
      <w:r w:rsidRPr="00576ED7">
        <w:rPr>
          <w:szCs w:val="24"/>
        </w:rPr>
        <w:t xml:space="preserve">. </w:t>
      </w:r>
      <w:r w:rsidRPr="00576ED7">
        <w:rPr>
          <w:i/>
          <w:szCs w:val="24"/>
        </w:rPr>
        <w:t>Commissioner v. Glenshaw Glass Co.</w:t>
      </w:r>
      <w:r w:rsidRPr="00576ED7">
        <w:rPr>
          <w:szCs w:val="24"/>
        </w:rPr>
        <w:t xml:space="preserve">, </w:t>
      </w:r>
      <w:r w:rsidRPr="00576ED7">
        <w:rPr>
          <w:i/>
          <w:szCs w:val="24"/>
        </w:rPr>
        <w:t>supra</w:t>
      </w:r>
      <w:r w:rsidRPr="00576ED7">
        <w:rPr>
          <w:szCs w:val="24"/>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sidRPr="00576ED7">
        <w:rPr>
          <w:i/>
          <w:szCs w:val="24"/>
        </w:rPr>
        <w:t>Cf.</w:t>
      </w:r>
      <w:r w:rsidRPr="00576ED7">
        <w:rPr>
          <w:szCs w:val="24"/>
        </w:rPr>
        <w:t xml:space="preserve"> </w:t>
      </w:r>
      <w:r w:rsidRPr="00576ED7">
        <w:rPr>
          <w:i/>
          <w:szCs w:val="24"/>
        </w:rPr>
        <w:t>Rail Joint Co. v. Commissioner</w:t>
      </w:r>
      <w:r w:rsidRPr="00576ED7">
        <w:rPr>
          <w:szCs w:val="24"/>
        </w:rPr>
        <w:t xml:space="preserve">, 22 B.T.A. 1277 (1931), </w:t>
      </w:r>
      <w:r w:rsidRPr="00576ED7">
        <w:rPr>
          <w:i/>
          <w:szCs w:val="24"/>
        </w:rPr>
        <w:t>aff’d</w:t>
      </w:r>
      <w:r w:rsidRPr="00576ED7">
        <w:rPr>
          <w:szCs w:val="24"/>
        </w:rPr>
        <w:t xml:space="preserve">, 61 F.2d 751 (2d Cir. 1932) (cited in </w:t>
      </w:r>
      <w:r w:rsidRPr="00576ED7">
        <w:rPr>
          <w:i/>
          <w:szCs w:val="24"/>
        </w:rPr>
        <w:t>Commissioner v. Tufts</w:t>
      </w:r>
      <w:r w:rsidRPr="00576ED7">
        <w:rPr>
          <w:szCs w:val="24"/>
        </w:rPr>
        <w:t>, 461 U.S. at 209 n.6),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w:t>
      </w:r>
      <w:r w:rsidRPr="00576ED7">
        <w:rPr>
          <w:szCs w:val="24"/>
        </w:rPr>
        <w:t>l</w:t>
      </w:r>
      <w:r w:rsidRPr="00576ED7">
        <w:rPr>
          <w:szCs w:val="24"/>
        </w:rPr>
        <w:t xml:space="preserve">ity was reduced; </w:t>
      </w:r>
      <w:r w:rsidRPr="00576ED7">
        <w:rPr>
          <w:i/>
          <w:szCs w:val="24"/>
        </w:rPr>
        <w:t>Fashion Park, Inc. v. Commissioner</w:t>
      </w:r>
      <w:r w:rsidRPr="00576ED7">
        <w:rPr>
          <w:szCs w:val="24"/>
        </w:rPr>
        <w:t>, 21 T.C. 600 (1954) (same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am reinforced in my conclusion by the outcome in </w:t>
      </w:r>
      <w:r w:rsidRPr="00576ED7">
        <w:rPr>
          <w:i/>
          <w:szCs w:val="24"/>
        </w:rPr>
        <w:t>United States v. Hall</w:t>
      </w:r>
      <w:r w:rsidRPr="00576ED7">
        <w:rPr>
          <w:szCs w:val="24"/>
        </w:rPr>
        <w:t>, 307 F.2d 238 (10th Cir. 1962).  In that case, the court held that there was no income from the discharge of gambling indebtedness because the debt was not enforce</w:t>
      </w:r>
      <w:r w:rsidRPr="00576ED7">
        <w:rPr>
          <w:szCs w:val="24"/>
        </w:rPr>
        <w:t>a</w:t>
      </w:r>
      <w:r w:rsidRPr="00576ED7">
        <w:rPr>
          <w:szCs w:val="24"/>
        </w:rPr>
        <w:t>ble under Nevada law, and observed that such a debt “has but slight potential and does not meet the requirements of debt necessary to justify the mechanical oper</w:t>
      </w:r>
      <w:r w:rsidRPr="00576ED7">
        <w:rPr>
          <w:szCs w:val="24"/>
        </w:rPr>
        <w:t>a</w:t>
      </w:r>
      <w:r w:rsidRPr="00576ED7">
        <w:rPr>
          <w:szCs w:val="24"/>
        </w:rPr>
        <w:t>tion of general rules of tax law relating to cancellation of debt.”  307 F.2d at 241.  While a gambling debt is not unenforceable under all circumstances in New Je</w:t>
      </w:r>
      <w:r w:rsidRPr="00576ED7">
        <w:rPr>
          <w:szCs w:val="24"/>
        </w:rPr>
        <w:t>r</w:t>
      </w:r>
      <w:r w:rsidRPr="00576ED7">
        <w:rPr>
          <w:szCs w:val="24"/>
        </w:rPr>
        <w:t xml:space="preserve">sey, the indebtedness involved herein was unenforceable, and I agree with the court in </w:t>
      </w:r>
      <w:r w:rsidRPr="00576ED7">
        <w:rPr>
          <w:i/>
          <w:szCs w:val="24"/>
        </w:rPr>
        <w:t>Hall</w:t>
      </w:r>
      <w:r w:rsidRPr="00576ED7">
        <w:rPr>
          <w:szCs w:val="24"/>
        </w:rPr>
        <w:t xml:space="preserve"> that an unenforceable “gambling debt * * * has no significance for tax purposes,” 307 F.2d at 242, at least where such unenforceability exists from the moment the debt is created.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find further support for my conclusion from the application of the principle that if there is a genuine dispute as to liability on the underlying obligation, settlement of that obligation will not give rise to income from discharge of indebtedness.  </w:t>
      </w:r>
      <w:r w:rsidRPr="00576ED7">
        <w:rPr>
          <w:i/>
          <w:szCs w:val="24"/>
        </w:rPr>
        <w:t>N. Sobel, Inc. v. Commissioner</w:t>
      </w:r>
      <w:r w:rsidRPr="00576ED7">
        <w:rPr>
          <w:szCs w:val="24"/>
        </w:rPr>
        <w:t xml:space="preserve">, 40 B.T.A. 1263 (1939), cited with approval in </w:t>
      </w:r>
      <w:r w:rsidRPr="00576ED7">
        <w:rPr>
          <w:i/>
          <w:szCs w:val="24"/>
        </w:rPr>
        <w:t>Col</w:t>
      </w:r>
      <w:r w:rsidRPr="00576ED7">
        <w:rPr>
          <w:i/>
          <w:szCs w:val="24"/>
        </w:rPr>
        <w:t>o</w:t>
      </w:r>
      <w:r w:rsidRPr="00576ED7">
        <w:rPr>
          <w:i/>
          <w:szCs w:val="24"/>
        </w:rPr>
        <w:lastRenderedPageBreak/>
        <w:t>nial Savings Association v. Commissioner</w:t>
      </w:r>
      <w:r w:rsidRPr="00576ED7">
        <w:rPr>
          <w:szCs w:val="24"/>
        </w:rPr>
        <w:t xml:space="preserve">, 85 T.C. 855, 862-863 (1985), </w:t>
      </w:r>
      <w:r w:rsidRPr="00576ED7">
        <w:rPr>
          <w:i/>
          <w:szCs w:val="24"/>
        </w:rPr>
        <w:t>aff’d</w:t>
      </w:r>
      <w:r w:rsidRPr="00576ED7">
        <w:rPr>
          <w:szCs w:val="24"/>
        </w:rPr>
        <w:t xml:space="preserve">, 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576ED7">
        <w:rPr>
          <w:i/>
          <w:szCs w:val="24"/>
        </w:rPr>
        <w:t>Sobel</w:t>
      </w:r>
      <w:r w:rsidRPr="00576ED7">
        <w:rPr>
          <w:szCs w:val="24"/>
        </w:rPr>
        <w:t xml:space="preserve"> and </w:t>
      </w:r>
      <w:r w:rsidRPr="00576ED7">
        <w:rPr>
          <w:i/>
          <w:szCs w:val="24"/>
        </w:rPr>
        <w:t>Colonial Savings</w:t>
      </w:r>
      <w:r w:rsidRPr="00576ED7">
        <w:rPr>
          <w:szCs w:val="24"/>
        </w:rPr>
        <w:t xml:space="preserve"> indicating that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applies when there is a liquidated amount of indebtedness, I do not read that language as requiring that </w:t>
      </w:r>
      <w:r w:rsidRPr="00576ED7">
        <w:rPr>
          <w:i/>
          <w:szCs w:val="24"/>
        </w:rPr>
        <w:t>Kirby Lumber</w:t>
      </w:r>
      <w:r w:rsidRPr="00576ED7">
        <w:rPr>
          <w:szCs w:val="24"/>
        </w:rPr>
        <w:t xml:space="preserve"> must apply unless the amount is unliquidated, where there is a genuine dispute as to the underlying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hold for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Wells, J., agrees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Jacobs,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Ruwe,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much of the majority’s reasoning in this case, I dissent from that portion of the opinion which holds that § 108(e)(5) is inapplicable to the transaction at issue.  I find no support in the language of the statute or the acco</w:t>
      </w:r>
      <w:r w:rsidRPr="00576ED7">
        <w:rPr>
          <w:szCs w:val="24"/>
        </w:rPr>
        <w:t>m</w:t>
      </w:r>
      <w:r w:rsidRPr="00576ED7">
        <w:rPr>
          <w:szCs w:val="24"/>
        </w:rPr>
        <w:t>panying legislative history for the majority’s determination that the gambling chips purchased by petitioner do not constitute “property” for purposes of § 108(e)(5).  Because I believe that petitioner acquired “property” from the casino on credit and subsequently negotiated a reduction of his debt to the casino, I would apply § 108(e)(5)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agrees that the chips had value.  It correctly finds that petitioner paid for the chips by giving markers to the casino, that the markers constituted pet</w:t>
      </w:r>
      <w:r w:rsidRPr="00576ED7">
        <w:rPr>
          <w:szCs w:val="24"/>
        </w:rPr>
        <w:t>i</w:t>
      </w:r>
      <w:r w:rsidRPr="00576ED7">
        <w:rPr>
          <w:szCs w:val="24"/>
        </w:rPr>
        <w:t xml:space="preserve">tioner’s promise to pay money to the casino, and that the chips had a value of over $3 million.   The parties stipulated that the chips were “property.”  It is beyond question that gambling chips constitute what is commonly referred to as property.  </w:t>
      </w:r>
      <w:r w:rsidRPr="00576ED7">
        <w:rPr>
          <w:i/>
          <w:szCs w:val="24"/>
        </w:rPr>
        <w:t>See</w:t>
      </w:r>
      <w:r w:rsidRPr="00576ED7">
        <w:rPr>
          <w:szCs w:val="24"/>
        </w:rPr>
        <w:t xml:space="preserve"> </w:t>
      </w:r>
      <w:r w:rsidRPr="00576ED7">
        <w:rPr>
          <w:smallCaps/>
          <w:szCs w:val="24"/>
        </w:rPr>
        <w:t>Black’s Law Dictionary</w:t>
      </w:r>
      <w:r w:rsidRPr="00576ED7">
        <w:rPr>
          <w:szCs w:val="24"/>
        </w:rPr>
        <w:t>, pp. 1095-1096 (5th ed. 1979).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Having concluded that petitioner received chips having a value equivalent to his markers, it is impossible to describe the gambling chips as anything other than “property.”  Apparently, cognizant of this dilemma, the majority finally settles on the conclusion that the gambling chips purchased by petitioner were “something other than normal commercial property.”  I take this to be a finding of fact since the term “normal commercial property” does not appear in the relevant statutes, regulations, or legislative history.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majority’s legal conclusion seems to be that gambling chips, being other than “normal commercial property,” do not constitute “property” within the meaning of § 108(e)(5).  In deciding this legal issue of first impression, the majority fails to define either the term “property” as used in § 108(e)(5) or the term “normal co</w:t>
      </w:r>
      <w:r w:rsidRPr="00576ED7">
        <w:rPr>
          <w:szCs w:val="24"/>
        </w:rPr>
        <w:t>m</w:t>
      </w:r>
      <w:r w:rsidRPr="00576ED7">
        <w:rPr>
          <w:szCs w:val="24"/>
        </w:rPr>
        <w:t>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term “normal commercial property” has a meaning, there is no reason why gambling chips should not be included.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Chips are certainly “normal commercial property” in a casino’s commercial ga</w:t>
      </w:r>
      <w:r w:rsidRPr="00576ED7">
        <w:rPr>
          <w:szCs w:val="24"/>
        </w:rPr>
        <w:t>m</w:t>
      </w:r>
      <w:r w:rsidRPr="00576ED7">
        <w:rPr>
          <w:szCs w:val="24"/>
        </w:rPr>
        <w:t>bling business. ... In any event, neither the statute nor its legislative history r</w:t>
      </w:r>
      <w:r w:rsidRPr="00576ED7">
        <w:rPr>
          <w:szCs w:val="24"/>
        </w:rPr>
        <w:t>e</w:t>
      </w:r>
      <w:r w:rsidRPr="00576ED7">
        <w:rPr>
          <w:szCs w:val="24"/>
        </w:rPr>
        <w:t>stricts its application to “normal commercial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concludes that petitioner “received full value for what he agreed to pay, i.e., over $3 million worth of chips.”  [footnote omitted].  However, the m</w:t>
      </w:r>
      <w:r w:rsidRPr="00576ED7">
        <w:rPr>
          <w:szCs w:val="24"/>
        </w:rPr>
        <w:t>a</w:t>
      </w:r>
      <w:r w:rsidRPr="00576ED7">
        <w:rPr>
          <w:szCs w:val="24"/>
        </w:rPr>
        <w:t>jority concludes that “chips in isolation are not what petitioner purchased.”  The majority reasons that the value of the chips is really derived from the fact that they give the holder of the chips the opportunity to gamble.  This seems akin to saying that a taxpayer who purchases a 99-year leasehold to a vacant lot in mi</w:t>
      </w:r>
      <w:r w:rsidRPr="00576ED7">
        <w:rPr>
          <w:szCs w:val="24"/>
        </w:rPr>
        <w:t>d</w:t>
      </w:r>
      <w:r w:rsidRPr="00576ED7">
        <w:rPr>
          <w:szCs w:val="24"/>
        </w:rPr>
        <w:t xml:space="preserve">town Manhattan has not acquired “property” because the value of the leasehold interest is derived from the lessee’s “opportunity” to build a large office building.  That the chips derive value from the opportunity they afford is no reason why they are not property.  A person who purchases chips receives, among other things, the casino’s promise to provide a gambling opportunity.  In that sense, the opportunity is no different than any other valuable and assignable contract right which we would surely recognize as property.  A license is nothing more than a grant of an opportunity to the licensee to do something which he would otherwise be prohibited from doing.  Nevertheless, a license is considered property.  </w:t>
      </w:r>
      <w:r w:rsidRPr="00576ED7">
        <w:rPr>
          <w:i/>
          <w:szCs w:val="24"/>
        </w:rPr>
        <w:t>Barry v. Barchi</w:t>
      </w:r>
      <w:r w:rsidRPr="00576ED7">
        <w:rPr>
          <w:szCs w:val="24"/>
        </w:rPr>
        <w:t xml:space="preserve">, 443 U.S. 55, 64 (1979) (state racing and wagering license); </w:t>
      </w:r>
      <w:r w:rsidRPr="00576ED7">
        <w:rPr>
          <w:i/>
          <w:szCs w:val="24"/>
        </w:rPr>
        <w:t>Wolfe v. United States</w:t>
      </w:r>
      <w:r w:rsidRPr="00576ED7">
        <w:rPr>
          <w:szCs w:val="24"/>
        </w:rPr>
        <w:t xml:space="preserve">, 798 F.2d 1241, 1245 (9th Cir. 1986) (ICC license); </w:t>
      </w:r>
      <w:r w:rsidRPr="00576ED7">
        <w:rPr>
          <w:i/>
          <w:szCs w:val="24"/>
        </w:rPr>
        <w:t>Agua Bar &amp; Lounge, Inc. v. United States</w:t>
      </w:r>
      <w:r w:rsidRPr="00576ED7">
        <w:rPr>
          <w:szCs w:val="24"/>
        </w:rPr>
        <w:t>, 539 F.2d 935, 937-938 (3d Cir. 1976) (liquor l</w:t>
      </w:r>
      <w:r w:rsidRPr="00576ED7">
        <w:rPr>
          <w:szCs w:val="24"/>
        </w:rPr>
        <w:t>i</w:t>
      </w:r>
      <w:r w:rsidRPr="00576ED7">
        <w:rPr>
          <w:szCs w:val="24"/>
        </w:rPr>
        <w:lastRenderedPageBreak/>
        <w:t>cense). ...</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540D2C" w:rsidRPr="00576ED7" w:rsidRDefault="00540D2C" w:rsidP="00A6585D">
      <w:pPr>
        <w:widowControl w:val="0"/>
        <w:jc w:val="both"/>
        <w:rPr>
          <w:szCs w:val="24"/>
        </w:rPr>
      </w:pPr>
    </w:p>
    <w:p w:rsidR="0049128E" w:rsidRPr="00576ED7" w:rsidRDefault="0049128E" w:rsidP="00A6585D">
      <w:pPr>
        <w:widowControl w:val="0"/>
        <w:jc w:val="both"/>
        <w:rPr>
          <w:szCs w:val="24"/>
        </w:rPr>
      </w:pPr>
      <w:r w:rsidRPr="00576ED7">
        <w:rPr>
          <w:szCs w:val="24"/>
        </w:rPr>
        <w:t>The term “property” as used in § 108(e)(5) is not specifically defined.  However, the term “property” is generally understood to be a broad concept.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108(e)(5) and the background giving rise to its enactment support its a</w:t>
      </w:r>
      <w:r w:rsidRPr="00576ED7">
        <w:rPr>
          <w:szCs w:val="24"/>
        </w:rPr>
        <w:t>p</w:t>
      </w:r>
      <w:r w:rsidRPr="00576ED7">
        <w:rPr>
          <w:szCs w:val="24"/>
        </w:rPr>
        <w:t>plication to the facts in this case.  Prior to enactment of § 108(e)(5), case law di</w:t>
      </w:r>
      <w:r w:rsidRPr="00576ED7">
        <w:rPr>
          <w:szCs w:val="24"/>
        </w:rPr>
        <w:t>s</w:t>
      </w:r>
      <w:r w:rsidRPr="00576ED7">
        <w:rPr>
          <w:szCs w:val="24"/>
        </w:rPr>
        <w:t>tinguished between true discharge of indebtedness situations which required recognition of income and purchase price adjustments.  A purchase price adjus</w:t>
      </w:r>
      <w:r w:rsidRPr="00576ED7">
        <w:rPr>
          <w:szCs w:val="24"/>
        </w:rPr>
        <w:t>t</w:t>
      </w:r>
      <w:r w:rsidRPr="00576ED7">
        <w:rPr>
          <w:szCs w:val="24"/>
        </w:rPr>
        <w:t xml:space="preserve">ment occurred when a purchaser of property agreed to incur a debt to the seller but the debt was subsequently reduced because the value of the property was less than the agreed upon consideration.  A mere purchase price adjustment does not result in discharge of indebtedness income.  </w:t>
      </w:r>
      <w:r w:rsidRPr="00576ED7">
        <w:rPr>
          <w:i/>
          <w:szCs w:val="24"/>
        </w:rPr>
        <w:t>See</w:t>
      </w:r>
      <w:r w:rsidRPr="00576ED7">
        <w:rPr>
          <w:szCs w:val="24"/>
        </w:rPr>
        <w:t xml:space="preserve"> </w:t>
      </w:r>
      <w:r w:rsidRPr="00576ED7">
        <w:rPr>
          <w:i/>
          <w:szCs w:val="24"/>
        </w:rPr>
        <w:t>N. Sobel, Inc. v. Commissioner</w:t>
      </w:r>
      <w:r w:rsidRPr="00576ED7">
        <w:rPr>
          <w:szCs w:val="24"/>
        </w:rPr>
        <w:t xml:space="preserve">, 40 B.T.A. 1263 (1939); </w:t>
      </w:r>
      <w:r w:rsidRPr="00576ED7">
        <w:rPr>
          <w:smallCaps/>
          <w:szCs w:val="24"/>
        </w:rPr>
        <w:t>B. Bittker &amp; L. Lokken</w:t>
      </w:r>
      <w:r w:rsidRPr="00576ED7">
        <w:rPr>
          <w:szCs w:val="24"/>
        </w:rPr>
        <w:t xml:space="preserve">, </w:t>
      </w:r>
      <w:r w:rsidRPr="00576ED7">
        <w:rPr>
          <w:smallCaps/>
          <w:szCs w:val="24"/>
        </w:rPr>
        <w:t>Federal Taxation of Income, Estates and Gifts</w:t>
      </w:r>
      <w:r w:rsidRPr="00576ED7">
        <w:rPr>
          <w:szCs w:val="24"/>
        </w:rPr>
        <w:t>, ¶¶ 6-39 – 6-40 (2d ed. 1989).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 Its provisions are not elective. ... [O]ne of petitioner’s arguments is that the value of what he received was less than the amount of debt incurred.  Respondent argues, and the majority finds, that the chips petitioner received were worth the full value of the debt.  Thus, this case presents the very controversy that the above-quoted legislative hi</w:t>
      </w:r>
      <w:r w:rsidRPr="00576ED7">
        <w:rPr>
          <w:szCs w:val="24"/>
        </w:rPr>
        <w:t>s</w:t>
      </w:r>
      <w:r w:rsidRPr="00576ED7">
        <w:rPr>
          <w:szCs w:val="24"/>
        </w:rPr>
        <w:t>tory says Congress tried to eliminate by enacting § 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reduction in the amount of a debt to be treated as a purchase price adjus</w:t>
      </w:r>
      <w:r w:rsidRPr="00576ED7">
        <w:rPr>
          <w:szCs w:val="24"/>
        </w:rPr>
        <w:t>t</w:t>
      </w:r>
      <w:r w:rsidRPr="00576ED7">
        <w:rPr>
          <w:szCs w:val="24"/>
        </w:rPr>
        <w:t xml:space="preserve">ment under § 108(e)(5), the following conditions must be met: (1) The debt must be that of a purchaser of property to the seller which arose out of the purchase of such property; (2) the taxpayer must be solvent and not in bankruptcy when the debt reduction occurs; and (3) except for § 108(e)(5), the debt reduction would otherwise have resulted in discharge of indebtedness income.  § 108(e)(5);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 </w:t>
      </w:r>
      <w:r w:rsidRPr="00576ED7">
        <w:rPr>
          <w:i/>
          <w:szCs w:val="24"/>
        </w:rPr>
        <w:t>see also</w:t>
      </w:r>
      <w:r w:rsidRPr="00576ED7">
        <w:rPr>
          <w:szCs w:val="24"/>
        </w:rPr>
        <w:t xml:space="preserve"> </w:t>
      </w:r>
      <w:r w:rsidRPr="00576ED7">
        <w:rPr>
          <w:i/>
          <w:szCs w:val="24"/>
        </w:rPr>
        <w:t>Sutphin v. United States</w:t>
      </w:r>
      <w:r w:rsidRPr="00576ED7">
        <w:rPr>
          <w:szCs w:val="24"/>
        </w:rPr>
        <w:t xml:space="preserve">, 14 Cl. Ct. 545, 549 (1988); </w:t>
      </w:r>
      <w:r w:rsidRPr="00576ED7">
        <w:rPr>
          <w:i/>
          <w:szCs w:val="24"/>
        </w:rPr>
        <w:t>Juister v. Commissioner</w:t>
      </w:r>
      <w:r w:rsidRPr="00576ED7">
        <w:rPr>
          <w:szCs w:val="24"/>
        </w:rPr>
        <w:t xml:space="preserve">, T.C. Memo. 1987-292; </w:t>
      </w:r>
      <w:r w:rsidRPr="00576ED7">
        <w:rPr>
          <w:i/>
          <w:szCs w:val="24"/>
        </w:rPr>
        <w:t>D</w:t>
      </w:r>
      <w:r w:rsidRPr="00576ED7">
        <w:rPr>
          <w:i/>
          <w:szCs w:val="24"/>
        </w:rPr>
        <w:t>i</w:t>
      </w:r>
      <w:r w:rsidRPr="00576ED7">
        <w:rPr>
          <w:i/>
          <w:szCs w:val="24"/>
        </w:rPr>
        <w:t>Laura v. Commissioner</w:t>
      </w:r>
      <w:r w:rsidRPr="00576ED7">
        <w:rPr>
          <w:szCs w:val="24"/>
        </w:rPr>
        <w:t xml:space="preserve">, T.C. Memo. 1987-291. [These conditions are met in this </w:t>
      </w:r>
      <w:r w:rsidRPr="00576ED7">
        <w:rPr>
          <w:szCs w:val="24"/>
        </w:rPr>
        <w:lastRenderedPageBreak/>
        <w:t>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addition to the literal statutory requirements, the legislative history indicates that § 108(e)(5) was intended to apply only if the following requirements are also met: (a) The price reduction must result from an agreement between the purchaser and the seller and not, for example, from a discharge as a result of the running of the statute of limitations on enforcement of the obligation; (b) there has been no transfer of the debt by the seller to a third party; and (c) there has been no transfer of the purchased property from the purchaser to a third party.  </w:t>
      </w:r>
      <w:r w:rsidRPr="00576ED7">
        <w:rPr>
          <w:smallCaps/>
          <w:szCs w:val="24"/>
        </w:rPr>
        <w:t xml:space="preserve">S. Rept. No. </w:t>
      </w:r>
      <w:r w:rsidRPr="00576ED7">
        <w:rPr>
          <w:szCs w:val="24"/>
        </w:rPr>
        <w:t xml:space="preserve">1035, </w:t>
      </w:r>
      <w:r w:rsidRPr="00576ED7">
        <w:rPr>
          <w:i/>
          <w:szCs w:val="24"/>
        </w:rPr>
        <w:t>supra</w:t>
      </w:r>
      <w:r w:rsidRPr="00576ED7">
        <w:rPr>
          <w:szCs w:val="24"/>
        </w:rPr>
        <w:t xml:space="preserve">; </w:t>
      </w:r>
      <w:r w:rsidRPr="00576ED7">
        <w:rPr>
          <w:smallCaps/>
          <w:szCs w:val="24"/>
        </w:rPr>
        <w:t>B. Bittker &amp; L. Lokken</w:t>
      </w:r>
      <w:r w:rsidRPr="00576ED7">
        <w:rPr>
          <w:szCs w:val="24"/>
        </w:rPr>
        <w:t xml:space="preserve">, </w:t>
      </w:r>
      <w:r w:rsidRPr="00576ED7">
        <w:rPr>
          <w:i/>
          <w:szCs w:val="24"/>
        </w:rPr>
        <w:t>supra</w:t>
      </w:r>
      <w:r w:rsidRPr="00576ED7">
        <w:rPr>
          <w:szCs w:val="24"/>
        </w:rPr>
        <w:t xml:space="preserve"> at ¶¶ 6-40 – 6-41.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requirements have also been met.  The settlement agreement indicates that petitioner and Resorts mutually agreed to reduce the amount of indebtedness in order to amicably resolve their differences and terminate their litigation.  In that litigation, Resorts alleged a number of counts and petitioner raised a variety of affirmative defenses.  The settlement agreement was the result of direct negoti</w:t>
      </w:r>
      <w:r w:rsidRPr="00576ED7">
        <w:rPr>
          <w:szCs w:val="24"/>
        </w:rPr>
        <w:t>a</w:t>
      </w:r>
      <w:r w:rsidRPr="00576ED7">
        <w:rPr>
          <w:szCs w:val="24"/>
        </w:rPr>
        <w:t>tions between petitioner and Resorts.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second requirement set forth in the legislative history has been met.  Resorts did not transfer petitioner’s debt to a third party.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third requirement has also been met.  Petitioner did not transfer the property to a third party.  Both parties in their briefs acknowledge that petitioner did tran</w:t>
      </w:r>
      <w:r w:rsidRPr="00576ED7">
        <w:rPr>
          <w:szCs w:val="24"/>
        </w:rPr>
        <w:t>s</w:t>
      </w:r>
      <w:r w:rsidRPr="00576ED7">
        <w:rPr>
          <w:szCs w:val="24"/>
        </w:rPr>
        <w:t>fer the property to Resorts in that the chips were lost to Resorts at the gambling tables.  The legislative history, however, indicates that application of § 108(e)(5) is precluded only if the purchaser/taxpayer transfers the property to a “third pa</w:t>
      </w:r>
      <w:r w:rsidRPr="00576ED7">
        <w:rPr>
          <w:szCs w:val="24"/>
        </w:rPr>
        <w:t>r</w:t>
      </w:r>
      <w:r w:rsidRPr="00576ED7">
        <w:rPr>
          <w:szCs w:val="24"/>
        </w:rPr>
        <w:t>ty.”  Resorts was not a third party; Resorts was the seller/creditor.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argues that] ... [a] purchase price adjustment occurs when the dispute involves contract liability for the purchase of an asset.”  I am unable to discern any basis or rationale for this argument.  Respondent stipulated to, and his brief requests, a finding of fact that property in the form of chips was received in e</w:t>
      </w:r>
      <w:r w:rsidRPr="00576ED7">
        <w:rPr>
          <w:szCs w:val="24"/>
        </w:rPr>
        <w:t>x</w:t>
      </w:r>
      <w:r w:rsidRPr="00576ED7">
        <w:rPr>
          <w:szCs w:val="24"/>
        </w:rPr>
        <w:lastRenderedPageBreak/>
        <w:t>change for petitioner’s markers.</w:t>
      </w:r>
      <w:r w:rsidRPr="00576ED7">
        <w:rPr>
          <w:rStyle w:val="FootnoteReference"/>
          <w:szCs w:val="24"/>
        </w:rPr>
        <w:footnoteReference w:id="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dispose of this case by assuming that there was discharge of indebtedness income.  I would then apply § 108(e)(5) to treat the discharge as a purchase price adjustment.  This would result in no taxable income.  I respectfully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Swift, Williams, and Whalen,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form did Zarin’s consumption take?</w:t>
      </w:r>
    </w:p>
    <w:p w:rsidR="0049128E" w:rsidRPr="00576ED7" w:rsidRDefault="0049128E" w:rsidP="00A6585D">
      <w:pPr>
        <w:widowControl w:val="0"/>
        <w:ind w:left="720"/>
        <w:jc w:val="both"/>
        <w:rPr>
          <w:szCs w:val="24"/>
        </w:rPr>
      </w:pPr>
      <w:r w:rsidRPr="00576ED7">
        <w:rPr>
          <w:szCs w:val="24"/>
        </w:rPr>
        <w:t>•gambling?</w:t>
      </w:r>
    </w:p>
    <w:p w:rsidR="0049128E" w:rsidRPr="00576ED7" w:rsidRDefault="0049128E" w:rsidP="00A6585D">
      <w:pPr>
        <w:widowControl w:val="0"/>
        <w:ind w:left="720"/>
        <w:jc w:val="both"/>
        <w:rPr>
          <w:szCs w:val="24"/>
        </w:rPr>
      </w:pPr>
      <w:r w:rsidRPr="00576ED7">
        <w:rPr>
          <w:szCs w:val="24"/>
        </w:rPr>
        <w:t>•losing at gambling?</w:t>
      </w:r>
    </w:p>
    <w:p w:rsidR="0049128E" w:rsidRPr="00576ED7" w:rsidRDefault="0049128E" w:rsidP="00A6585D">
      <w:pPr>
        <w:widowControl w:val="0"/>
        <w:ind w:left="720"/>
        <w:jc w:val="both"/>
        <w:rPr>
          <w:szCs w:val="24"/>
        </w:rPr>
      </w:pPr>
      <w:r w:rsidRPr="00576ED7">
        <w:rPr>
          <w:szCs w:val="24"/>
        </w:rPr>
        <w:t>•Should it make a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Cohen and Ruwe disagreed over whether the essence of gambling chips is property or a service.  The majority treated it as the sale of a service.  Ruwe trea</w:t>
      </w:r>
      <w:r w:rsidRPr="00576ED7">
        <w:rPr>
          <w:szCs w:val="24"/>
        </w:rPr>
        <w:t>t</w:t>
      </w:r>
      <w:r w:rsidRPr="00576ED7">
        <w:rPr>
          <w:szCs w:val="24"/>
        </w:rPr>
        <w:t>ed the chips as property.</w:t>
      </w:r>
    </w:p>
    <w:p w:rsidR="0049128E" w:rsidRPr="00576ED7" w:rsidRDefault="0049128E" w:rsidP="00A6585D">
      <w:pPr>
        <w:widowControl w:val="0"/>
        <w:ind w:left="720"/>
        <w:jc w:val="both"/>
        <w:rPr>
          <w:szCs w:val="24"/>
        </w:rPr>
      </w:pPr>
      <w:r w:rsidRPr="00576ED7">
        <w:rPr>
          <w:szCs w:val="24"/>
        </w:rPr>
        <w:t>•Is Ruwe’s analogy to a 99-year leasehold in midtown Manhattan  sound? Were the chips income-producing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Articulate the different characterizations of the transactions occurring between Zarin and Resorts International of each of the opinion-writers.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What was the holding of </w:t>
      </w:r>
      <w:r w:rsidRPr="00576ED7">
        <w:rPr>
          <w:i/>
          <w:szCs w:val="24"/>
        </w:rPr>
        <w:t>Hall</w:t>
      </w:r>
      <w:r w:rsidRPr="00576ED7">
        <w:rPr>
          <w:szCs w:val="24"/>
        </w:rPr>
        <w:t xml:space="preserve"> as the majority articulated it? What is wrong with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Notice that the rule that a settlement does not create doi income is that there must be a genuine dispute as to the liability.  In this case, the burden of showing that there was </w:t>
      </w:r>
      <w:r w:rsidRPr="00576ED7">
        <w:rPr>
          <w:i/>
          <w:szCs w:val="24"/>
        </w:rPr>
        <w:t>not</w:t>
      </w:r>
      <w:r w:rsidRPr="00576ED7">
        <w:rPr>
          <w:szCs w:val="24"/>
        </w:rPr>
        <w:t xml:space="preserve"> a genuine dispute was on the Commissioner because of the pr</w:t>
      </w:r>
      <w:r w:rsidRPr="00576ED7">
        <w:rPr>
          <w:szCs w:val="24"/>
        </w:rPr>
        <w:t>o</w:t>
      </w:r>
      <w:r w:rsidRPr="00576ED7">
        <w:rPr>
          <w:szCs w:val="24"/>
        </w:rPr>
        <w:lastRenderedPageBreak/>
        <w:t>cedural posture (i.e., stipulated facts) of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916 F.2d 110 (</w:t>
      </w:r>
      <w:r w:rsidR="00A856D0" w:rsidRPr="00576ED7">
        <w:rPr>
          <w:szCs w:val="24"/>
        </w:rPr>
        <w:t>3</w:t>
      </w:r>
      <w:r w:rsidR="00A856D0" w:rsidRPr="00576ED7">
        <w:rPr>
          <w:szCs w:val="24"/>
          <w:vertAlign w:val="superscript"/>
        </w:rPr>
        <w:t>rd</w:t>
      </w:r>
      <w:r w:rsidR="00A856D0"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916 F.2d 110 (CA3 1990).</w:instrText>
      </w:r>
      <w:r w:rsidRPr="00576ED7">
        <w:rPr>
          <w:szCs w:val="24"/>
        </w:rPr>
        <w:fldChar w:fldCharType="end"/>
      </w:r>
    </w:p>
    <w:p w:rsidR="0049128E" w:rsidRPr="00576ED7" w:rsidRDefault="0049128E" w:rsidP="00A6585D">
      <w:pPr>
        <w:widowControl w:val="0"/>
        <w:jc w:val="both"/>
        <w:rPr>
          <w:szCs w:val="24"/>
        </w:rPr>
      </w:pPr>
      <w:r w:rsidRPr="00576ED7">
        <w:rPr>
          <w:szCs w:val="24"/>
        </w:rPr>
        <w:t>COWEN,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court recounts the facts.]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sole issue before this Court is whether the Tax Court correctly held that Zarin had income from discharge of indebtedness.  [footnote omitted].  Section 108 and § 61(a)(12) of the Code set forth “the general rule that gross income includes i</w:t>
      </w:r>
      <w:r w:rsidRPr="00576ED7">
        <w:rPr>
          <w:szCs w:val="24"/>
        </w:rPr>
        <w:t>n</w:t>
      </w:r>
      <w:r w:rsidRPr="00576ED7">
        <w:rPr>
          <w:szCs w:val="24"/>
        </w:rPr>
        <w:t>come from the discharge of indebtedness.”  I.R.C. § 108(e)(1). The Commissioner argues, and the Tax Court agreed, that pursuant to the Code, Zarin did indeed re</w:t>
      </w:r>
      <w:r w:rsidRPr="00576ED7">
        <w:rPr>
          <w:szCs w:val="24"/>
        </w:rPr>
        <w:t>c</w:t>
      </w:r>
      <w:r w:rsidRPr="00576ED7">
        <w:rPr>
          <w:szCs w:val="24"/>
        </w:rPr>
        <w:t>ognize income from discharge of gambling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Commissioner’s logic, Resorts advanced Zarin $3,435,000 worth of chips, chips being the functional equivalent of cash.  At that time, the chips were not treated as income, since Zarin recognized an obligation of repayment.  In ot</w:t>
      </w:r>
      <w:r w:rsidRPr="00576ED7">
        <w:rPr>
          <w:szCs w:val="24"/>
        </w:rPr>
        <w:t>h</w:t>
      </w:r>
      <w:r w:rsidRPr="00576ED7">
        <w:rPr>
          <w:szCs w:val="24"/>
        </w:rPr>
        <w:t>er words, Resorts made Zarin a tax-free loan.  However, a taxpayer does reco</w:t>
      </w:r>
      <w:r w:rsidRPr="00576ED7">
        <w:rPr>
          <w:szCs w:val="24"/>
        </w:rPr>
        <w:t>g</w:t>
      </w:r>
      <w:r w:rsidRPr="00576ED7">
        <w:rPr>
          <w:szCs w:val="24"/>
        </w:rPr>
        <w:t>nize income if a loan owed to another party is cancelled, in whole or in part.  I.R.C. §§ 61(a)(12), 108(e).  The settlement between Zarin and Resorts, claims the Commissioner, fits neatly into the cancellation of indebtedness provisions in the Code.  Zarin owed $3,435,000, paid $500,000, with the difference constituting income.  Although initially persuasive, the Commissioner’s position is noneth</w:t>
      </w:r>
      <w:r w:rsidRPr="00576ED7">
        <w:rPr>
          <w:szCs w:val="24"/>
        </w:rPr>
        <w:t>e</w:t>
      </w:r>
      <w:r w:rsidRPr="00576ED7">
        <w:rPr>
          <w:szCs w:val="24"/>
        </w:rPr>
        <w:t>less flawed for two reasons.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Initially, we find that §§ 108 and 61(a)(12) are inapplicable to the Zarin/Resorts transaction.  Section 61 does not define indebtedness.  On the other hand, § 108(d)(1), which repeats and further elaborates on the rule in § 61(a)(12), defines the term as any indebtedness “(A) for which the taxpayer is liable, or (B) subject to which the taxpayer holds property.”  I.R.C. § 108(d)(1).  In order to bring the </w:t>
      </w:r>
      <w:r w:rsidRPr="00576ED7">
        <w:rPr>
          <w:szCs w:val="24"/>
        </w:rPr>
        <w:lastRenderedPageBreak/>
        <w:t>taxpayer within the sweep of the discharge of indebtedness rules, then, the IRS must show that one of the two prongs in the § 108(d)(1) test is satisfied.  It has not been demonstrated that Zarin satisfies either.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debt Zarin owed to Resorts was unenforceable as a matter of New Jersey state law [footnote omitted], it is clearly not a debt “for which the taxpayer is liable.”  I.R.C. § 108(d)(1)(A).  Liability implies a legally enforceable oblig</w:t>
      </w:r>
      <w:r w:rsidRPr="00576ED7">
        <w:rPr>
          <w:szCs w:val="24"/>
        </w:rPr>
        <w:t>a</w:t>
      </w:r>
      <w:r w:rsidRPr="00576ED7">
        <w:rPr>
          <w:szCs w:val="24"/>
        </w:rPr>
        <w:t>tion to repay, and under New Jersey law, Zarin would have no such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Zarin did not have a debt subject to which he held property as required by § 108(d)(1)(B).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New Jersey state law, gambling chips were Resorts’ property until transferred to Zarin in exchange for the markers, at which point the chips became “evidence” of indebtedness (and not the property of Zarin).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Tax Court found that theoretically, Zarin could have redeemed the chips he received on credit for cash and walked out of the casino, the reality of the situation was quite different.  Realistically, before cashing in his chips, Zarin would have been required to pay his outstanding IOUs.  New Jersey state law r</w:t>
      </w:r>
      <w:r w:rsidRPr="00576ED7">
        <w:rPr>
          <w:szCs w:val="24"/>
        </w:rPr>
        <w:t>e</w:t>
      </w:r>
      <w:r w:rsidRPr="00576ED7">
        <w:rPr>
          <w:szCs w:val="24"/>
        </w:rPr>
        <w:t>quires casinos to “request patrons to apply any chips or plaques in their posse</w:t>
      </w:r>
      <w:r w:rsidRPr="00576ED7">
        <w:rPr>
          <w:szCs w:val="24"/>
        </w:rPr>
        <w:t>s</w:t>
      </w:r>
      <w:r w:rsidRPr="00576ED7">
        <w:rPr>
          <w:szCs w:val="24"/>
        </w:rPr>
        <w:t xml:space="preserve">sion in reduction of personal checks or Counter Checks exchanged for purposes of gaming prior to exchanging such chips or plaques for cash or prior to departing from the casino area.”  </w:t>
      </w:r>
      <w:r w:rsidRPr="00576ED7">
        <w:rPr>
          <w:smallCaps/>
          <w:szCs w:val="24"/>
        </w:rPr>
        <w:t>N.J. Admin. Code</w:t>
      </w:r>
      <w:r w:rsidRPr="00576ED7">
        <w:rPr>
          <w:szCs w:val="24"/>
        </w:rPr>
        <w:t xml:space="preserve"> tit. 19k, § 19:45–1.24(s) (1979) (cu</w:t>
      </w:r>
      <w:r w:rsidRPr="00576ED7">
        <w:rPr>
          <w:szCs w:val="24"/>
        </w:rPr>
        <w:t>r</w:t>
      </w:r>
      <w:r w:rsidRPr="00576ED7">
        <w:rPr>
          <w:szCs w:val="24"/>
        </w:rPr>
        <w:t xml:space="preserve">rently </w:t>
      </w:r>
      <w:r w:rsidRPr="00576ED7">
        <w:rPr>
          <w:smallCaps/>
          <w:szCs w:val="24"/>
        </w:rPr>
        <w:t>N.J. Admin. Code</w:t>
      </w:r>
      <w:r w:rsidRPr="00576ED7">
        <w:rPr>
          <w:szCs w:val="24"/>
        </w:rPr>
        <w:t xml:space="preserve"> tit. 19k, § 19:45–1.25(</w:t>
      </w:r>
      <w:r w:rsidRPr="00576ED7">
        <w:rPr>
          <w:i/>
          <w:szCs w:val="24"/>
        </w:rPr>
        <w:t>o</w:t>
      </w:r>
      <w:r w:rsidRPr="00576ED7">
        <w:rPr>
          <w:szCs w:val="24"/>
        </w:rPr>
        <w:t>) (1990) (as amended)).  Since his debt at all times equalled or exceeded the number of chips he possessed, r</w:t>
      </w:r>
      <w:r w:rsidRPr="00576ED7">
        <w:rPr>
          <w:szCs w:val="24"/>
        </w:rPr>
        <w:t>e</w:t>
      </w:r>
      <w:r w:rsidRPr="00576ED7">
        <w:rPr>
          <w:szCs w:val="24"/>
        </w:rPr>
        <w:t>demption would have left Zarin with no chips, no cash, and certainly nothing which could have been characterized as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w:t>
      </w:r>
      <w:r w:rsidRPr="00576ED7">
        <w:rPr>
          <w:szCs w:val="24"/>
        </w:rPr>
        <w:t>a</w:t>
      </w:r>
      <w:r w:rsidRPr="00576ED7">
        <w:rPr>
          <w:szCs w:val="24"/>
        </w:rPr>
        <w:t>nism, or evidence of a debt, designed to facilitate gambling in casinos where the use of actual money was forbidden. [footnote omitted].  Thus, the chips which Zarin held were not property within the meaning of I.R.C. § 108(d)(1)(B).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short, because Zarin was not liable on the debt he allegedly owed Resorts, and because Zarin did not hold “property” subject to that debt, the cancellation of i</w:t>
      </w:r>
      <w:r w:rsidRPr="00576ED7">
        <w:rPr>
          <w:szCs w:val="24"/>
        </w:rPr>
        <w:t>n</w:t>
      </w:r>
      <w:r w:rsidRPr="00576ED7">
        <w:rPr>
          <w:szCs w:val="24"/>
        </w:rPr>
        <w:t>debtedness provisions of the Code do not apply to the settlement between Resorts and Zarin.  As such, Zarin cannot have income from the discharge of his debt.</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loss and debt accounting pu</w:t>
      </w:r>
      <w:r w:rsidRPr="00576ED7">
        <w:rPr>
          <w:szCs w:val="24"/>
        </w:rPr>
        <w:t>r</w:t>
      </w:r>
      <w:r w:rsidRPr="00576ED7">
        <w:rPr>
          <w:szCs w:val="24"/>
        </w:rPr>
        <w:t>poses.  Thus, if a taxpayer took out a loan for $10,000, refused in good faith to pay the full $10,000 back, and then reached an agreement with the lender that he would pay back only $7000 in full satisfaction of the debt, the transaction would be treated as if the initial loan was $7000.  When the taxpayer tenders the $7000 payment, he will have been deemed to have paid the full amount of the initially disputed debt.  Accordingly, there is no tax consequence to the taxpayer upon payment.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seminal “contested liability” case is </w:t>
      </w:r>
      <w:r w:rsidRPr="00576ED7">
        <w:rPr>
          <w:i/>
          <w:szCs w:val="24"/>
        </w:rPr>
        <w:t>N. Sobel, Inc. v. Commissioner</w:t>
      </w:r>
      <w:r w:rsidRPr="00576ED7">
        <w:rPr>
          <w:szCs w:val="24"/>
        </w:rPr>
        <w:t xml:space="preserve">, 40 B.T.A. 1263 (1939). In </w:t>
      </w:r>
      <w:r w:rsidRPr="00576ED7">
        <w:rPr>
          <w:i/>
          <w:szCs w:val="24"/>
        </w:rPr>
        <w:t>Sobel</w:t>
      </w:r>
      <w:r w:rsidRPr="00576ED7">
        <w:rPr>
          <w:szCs w:val="24"/>
        </w:rPr>
        <w:t>, the taxpayer exchanged a $21,700 note for 100 shares of stock from a bank.  In the following year, the taxpayer sued the bank for recision [sic], arguing that the bank loan was violative of state law, and moreover, that the bank had failed to perform certain promises.  The parties eventually se</w:t>
      </w:r>
      <w:r w:rsidRPr="00576ED7">
        <w:rPr>
          <w:szCs w:val="24"/>
        </w:rPr>
        <w:t>t</w:t>
      </w:r>
      <w:r w:rsidRPr="00576ED7">
        <w:rPr>
          <w:szCs w:val="24"/>
        </w:rPr>
        <w:t xml:space="preserve">tled the case in 1935, with the taxpayer agreeing to pay half of the face amount of </w:t>
      </w:r>
      <w:r w:rsidRPr="00576ED7">
        <w:rPr>
          <w:szCs w:val="24"/>
        </w:rPr>
        <w:lastRenderedPageBreak/>
        <w:t>the note.  In the year of the settlement, the taxpayer claimed the amount paid as a loss.  The Commissioner denied the loss because it had been sustained five years earlier, and further asserted that the taxpayer recognized income from the di</w:t>
      </w:r>
      <w:r w:rsidRPr="00576ED7">
        <w:rPr>
          <w:szCs w:val="24"/>
        </w:rPr>
        <w:t>s</w:t>
      </w:r>
      <w:r w:rsidRPr="00576ED7">
        <w:rPr>
          <w:szCs w:val="24"/>
        </w:rPr>
        <w:t>charge of half of his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Board of Tax Appeals held that since the loss was not fixed until the dispute was settled, the loss was recognized in 1935, the year of the settlement, and the deduction was appropriately taken in that year.  Additionally, the Board held that the portion of the note forgiven by the bank “was not the occasion for a freeing of assets and that there was no gain ...”  </w:t>
      </w:r>
      <w:r w:rsidRPr="00576ED7">
        <w:rPr>
          <w:i/>
          <w:szCs w:val="24"/>
        </w:rPr>
        <w:t>Id</w:t>
      </w:r>
      <w:r w:rsidRPr="00576ED7">
        <w:rPr>
          <w:szCs w:val="24"/>
        </w:rPr>
        <w:t>. at 1265.  Therefore, the taxpayer did not have any income from cancellation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little difference between the present case and </w:t>
      </w:r>
      <w:r w:rsidRPr="00576ED7">
        <w:rPr>
          <w:i/>
          <w:szCs w:val="24"/>
        </w:rPr>
        <w:t>Sobel</w:t>
      </w:r>
      <w:r w:rsidRPr="00576ED7">
        <w:rPr>
          <w:szCs w:val="24"/>
        </w:rPr>
        <w:t xml:space="preserve">.  Zarin incurred a $3,435,000 debt while gambling at Resorts, but in court, disputed liability on the basis of unenforceability.  A settlement of $500,000 was eventually agreed upon.  It follows from </w:t>
      </w:r>
      <w:r w:rsidRPr="00576ED7">
        <w:rPr>
          <w:i/>
          <w:szCs w:val="24"/>
        </w:rPr>
        <w:t>Sobel</w:t>
      </w:r>
      <w:r w:rsidRPr="00576ED7">
        <w:rPr>
          <w:szCs w:val="24"/>
        </w:rPr>
        <w:t xml:space="preserve"> that the settlement served only to fix the amount of debt.  No income was realized or recognized.  When Zarin paid the $500,000, any tax consequence dissolved.</w:t>
      </w:r>
      <w:r w:rsidRPr="00576ED7">
        <w:rPr>
          <w:rStyle w:val="FootnoteReference"/>
          <w:szCs w:val="24"/>
        </w:rPr>
        <w:footnoteReference w:id="6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Only one other court has addressed a case factually similar to the one before us.  In </w:t>
      </w:r>
      <w:r w:rsidRPr="00576ED7">
        <w:rPr>
          <w:i/>
          <w:szCs w:val="24"/>
        </w:rPr>
        <w:t>United States v. Hall</w:t>
      </w:r>
      <w:r w:rsidRPr="00576ED7">
        <w:rPr>
          <w:szCs w:val="24"/>
        </w:rPr>
        <w:t>, 307 F.2d 238 (10th Cir.</w:t>
      </w:r>
      <w:r w:rsidR="00B851CD" w:rsidRPr="00576ED7">
        <w:rPr>
          <w:szCs w:val="24"/>
        </w:rPr>
        <w:t xml:space="preserve"> </w:t>
      </w:r>
      <w:r w:rsidRPr="00576ED7">
        <w:rPr>
          <w:szCs w:val="24"/>
        </w:rPr>
        <w:t>1962), the taxpayer owed an u</w:t>
      </w:r>
      <w:r w:rsidRPr="00576ED7">
        <w:rPr>
          <w:szCs w:val="24"/>
        </w:rPr>
        <w:t>n</w:t>
      </w:r>
      <w:r w:rsidRPr="00576ED7">
        <w:rPr>
          <w:szCs w:val="24"/>
        </w:rPr>
        <w:t>enforceable gambling debt alleged to be $225,000.  Subsequently, the taxpayer and the creditor settled for $150,000.  The taxpayer then transferred cattle valued at $148,110 to his creditor in satisfaction of the settlement agreement.  A jury held that the parties fixed the debt at $150,000, and that the taxpayer recognized i</w:t>
      </w:r>
      <w:r w:rsidRPr="00576ED7">
        <w:rPr>
          <w:szCs w:val="24"/>
        </w:rPr>
        <w:t>n</w:t>
      </w:r>
      <w:r w:rsidRPr="00576ED7">
        <w:rPr>
          <w:szCs w:val="24"/>
        </w:rPr>
        <w:t>come from cancellation of indebtedness equal to the difference between the $150,000 and the $148,110 value affixed to the cattle.  Arguing that the taxpayer recognized income equal to the difference between $225,000 and $148,000, the Commissioner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Tenth Circuit rejected the idea that the taxpayer had any income from cance</w:t>
      </w:r>
      <w:r w:rsidRPr="00576ED7">
        <w:rPr>
          <w:szCs w:val="24"/>
        </w:rPr>
        <w:t>l</w:t>
      </w:r>
      <w:r w:rsidRPr="00576ED7">
        <w:rPr>
          <w:szCs w:val="24"/>
        </w:rPr>
        <w:t xml:space="preserve">lation of indebtedness.  Noting that the gambling debt was unenforceable, the Tenth Circuit said, “The cold fact is that taxpayer suffered a substantial loss from gambling, the amount of which was determined by the transfer.”  </w:t>
      </w:r>
      <w:r w:rsidRPr="00576ED7">
        <w:rPr>
          <w:i/>
          <w:szCs w:val="24"/>
        </w:rPr>
        <w:t>Id</w:t>
      </w:r>
      <w:r w:rsidRPr="00576ED7">
        <w:rPr>
          <w:szCs w:val="24"/>
        </w:rPr>
        <w:t xml:space="preserve">. at 241.  In effect, the Court held that because the debt was unenforceable, the amount of the </w:t>
      </w:r>
      <w:r w:rsidRPr="00576ED7">
        <w:rPr>
          <w:szCs w:val="24"/>
        </w:rPr>
        <w:lastRenderedPageBreak/>
        <w:t>loss and resulting debt cognizable for tax purposes were fixed by the settlement at $148,110.  Thus, the Tenth Circuit lent its endorsement to the contested liability doctrine in a factual situation strikingly similar to the one at issue.</w:t>
      </w:r>
      <w:r w:rsidRPr="00576ED7">
        <w:rPr>
          <w:rStyle w:val="FootnoteReference"/>
          <w:szCs w:val="24"/>
        </w:rPr>
        <w:footnoteReference w:id="6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argues that </w:t>
      </w:r>
      <w:r w:rsidRPr="00576ED7">
        <w:rPr>
          <w:i/>
          <w:szCs w:val="24"/>
        </w:rPr>
        <w:t>Sobel</w:t>
      </w:r>
      <w:r w:rsidRPr="00576ED7">
        <w:rPr>
          <w:szCs w:val="24"/>
        </w:rPr>
        <w:t xml:space="preserve"> and the contested liability doctrine only a</w:t>
      </w:r>
      <w:r w:rsidRPr="00576ED7">
        <w:rPr>
          <w:szCs w:val="24"/>
        </w:rPr>
        <w:t>p</w:t>
      </w:r>
      <w:r w:rsidRPr="00576ED7">
        <w:rPr>
          <w:szCs w:val="24"/>
        </w:rPr>
        <w:t xml:space="preserve">ply when there is an unliquidated debt; that is, a debt for which the amount cannot be determined.  </w:t>
      </w:r>
      <w:r w:rsidRPr="00576ED7">
        <w:rPr>
          <w:i/>
          <w:szCs w:val="24"/>
        </w:rPr>
        <w:t>See</w:t>
      </w:r>
      <w:r w:rsidRPr="00576ED7">
        <w:rPr>
          <w:szCs w:val="24"/>
        </w:rPr>
        <w:t xml:space="preserve"> </w:t>
      </w:r>
      <w:r w:rsidRPr="00576ED7">
        <w:rPr>
          <w:i/>
          <w:szCs w:val="24"/>
        </w:rPr>
        <w:t>Colonial Sav. Ass’n v. Commissioner</w:t>
      </w:r>
      <w:r w:rsidRPr="00576ED7">
        <w:rPr>
          <w:szCs w:val="24"/>
        </w:rPr>
        <w:t>, 85 T.C. 855, 862–863 (1985) (</w:t>
      </w:r>
      <w:r w:rsidRPr="00576ED7">
        <w:rPr>
          <w:i/>
          <w:szCs w:val="24"/>
        </w:rPr>
        <w:t>Sobel</w:t>
      </w:r>
      <w:r w:rsidRPr="00576ED7">
        <w:rPr>
          <w:szCs w:val="24"/>
        </w:rPr>
        <w:t xml:space="preserve"> stands for the proposition that “there must be a liquidated debt”), </w:t>
      </w:r>
      <w:r w:rsidRPr="00576ED7">
        <w:rPr>
          <w:i/>
          <w:szCs w:val="24"/>
        </w:rPr>
        <w:t>aff’d</w:t>
      </w:r>
      <w:r w:rsidRPr="00576ED7">
        <w:rPr>
          <w:szCs w:val="24"/>
        </w:rPr>
        <w:t xml:space="preserve">, 854 F.2d 1001 (7th Cir.1988).  </w:t>
      </w:r>
      <w:r w:rsidRPr="00576ED7">
        <w:rPr>
          <w:i/>
          <w:szCs w:val="24"/>
        </w:rPr>
        <w:t>See also</w:t>
      </w:r>
      <w:r w:rsidRPr="00576ED7">
        <w:rPr>
          <w:szCs w:val="24"/>
        </w:rPr>
        <w:t xml:space="preserve"> </w:t>
      </w:r>
      <w:r w:rsidRPr="00576ED7">
        <w:rPr>
          <w:i/>
          <w:szCs w:val="24"/>
        </w:rPr>
        <w:t>N. Sobel, Inc. v. Commissioner</w:t>
      </w:r>
      <w:r w:rsidRPr="00576ED7">
        <w:rPr>
          <w:szCs w:val="24"/>
        </w:rPr>
        <w:t>, 40 B.T.A. at 1265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w:t>
      </w:r>
      <w:r w:rsidRPr="00576ED7">
        <w:rPr>
          <w:szCs w:val="24"/>
        </w:rPr>
        <w:t>t</w:t>
      </w:r>
      <w:r w:rsidRPr="00576ED7">
        <w:rPr>
          <w:szCs w:val="24"/>
        </w:rPr>
        <w:t xml:space="preserve">ed, therefore barring the application of </w:t>
      </w:r>
      <w:r w:rsidRPr="00540D2C">
        <w:rPr>
          <w:i/>
          <w:szCs w:val="24"/>
        </w:rPr>
        <w:t>Sobe</w:t>
      </w:r>
      <w:r w:rsidR="00540D2C">
        <w:rPr>
          <w:i/>
          <w:szCs w:val="24"/>
        </w:rPr>
        <w:t>l</w:t>
      </w:r>
      <w:r w:rsidR="00540D2C">
        <w:rPr>
          <w:szCs w:val="24"/>
        </w:rPr>
        <w:t xml:space="preserve"> </w:t>
      </w:r>
      <w:r w:rsidRPr="00576ED7">
        <w:rPr>
          <w:szCs w:val="24"/>
        </w:rPr>
        <w:t xml:space="preserve">and the contested liability doctrine.  </w:t>
      </w:r>
      <w:r w:rsidRPr="00576ED7">
        <w:rPr>
          <w:i/>
          <w:szCs w:val="24"/>
        </w:rPr>
        <w:t>Zarin</w:t>
      </w:r>
      <w:r w:rsidRPr="00576ED7">
        <w:rPr>
          <w:szCs w:val="24"/>
        </w:rPr>
        <w:t>, 92 T.C. at 1095 (Zarin’s debt “was a liquidated amount” and “[t]here is no dispute about the amount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“but slight potential ...”  </w:t>
      </w:r>
      <w:r w:rsidRPr="00576ED7">
        <w:rPr>
          <w:i/>
          <w:szCs w:val="24"/>
        </w:rPr>
        <w:t>United States v. Hall</w:t>
      </w:r>
      <w:r w:rsidRPr="00576ED7">
        <w:rPr>
          <w:szCs w:val="24"/>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w:t>
      </w:r>
      <w:r w:rsidRPr="00576ED7">
        <w:rPr>
          <w:szCs w:val="24"/>
        </w:rPr>
        <w:t>c</w:t>
      </w:r>
      <w:r w:rsidRPr="00576ED7">
        <w:rPr>
          <w:szCs w:val="24"/>
        </w:rPr>
        <w:t>ing Zarin’s debt.  If indeed the only issue was the enforceabilty of the entire debt, there would have been no settlement.  Zarin would have owed all or nothing.  I</w:t>
      </w:r>
      <w:r w:rsidRPr="00576ED7">
        <w:rPr>
          <w:szCs w:val="24"/>
        </w:rPr>
        <w:t>n</w:t>
      </w:r>
      <w:r w:rsidRPr="00576ED7">
        <w:rPr>
          <w:szCs w:val="24"/>
        </w:rPr>
        <w:t>stead, the parties attached a value to the debt considerably lower than its face va</w:t>
      </w:r>
      <w:r w:rsidRPr="00576ED7">
        <w:rPr>
          <w:szCs w:val="24"/>
        </w:rPr>
        <w:t>l</w:t>
      </w:r>
      <w:r w:rsidRPr="00576ED7">
        <w:rPr>
          <w:szCs w:val="24"/>
        </w:rPr>
        <w:t>ue.  In other words, the parties agreed that given the circumstances surrounding Zarin’s gambling spree, the chips he acquired might not have been worth $3.4 million dollars, but were worth something.  Such a debt cannot be called liquida</w:t>
      </w:r>
      <w:r w:rsidRPr="00576ED7">
        <w:rPr>
          <w:szCs w:val="24"/>
        </w:rPr>
        <w:t>t</w:t>
      </w:r>
      <w:r w:rsidRPr="00576ED7">
        <w:rPr>
          <w:szCs w:val="24"/>
        </w:rPr>
        <w:t>ed, since its exact amount was not fixed until settlement.</w:t>
      </w:r>
    </w:p>
    <w:p w:rsidR="00B70018" w:rsidRPr="00576ED7" w:rsidRDefault="00B70018" w:rsidP="00A6585D">
      <w:pPr>
        <w:widowControl w:val="0"/>
        <w:jc w:val="both"/>
        <w:rPr>
          <w:szCs w:val="24"/>
        </w:rPr>
      </w:pPr>
    </w:p>
    <w:p w:rsidR="0049128E" w:rsidRPr="00576ED7" w:rsidRDefault="0049128E" w:rsidP="00A6585D">
      <w:pPr>
        <w:widowControl w:val="0"/>
        <w:jc w:val="both"/>
        <w:rPr>
          <w:szCs w:val="24"/>
        </w:rPr>
      </w:pPr>
      <w:r w:rsidRPr="00576ED7">
        <w:rPr>
          <w:szCs w:val="24"/>
        </w:rPr>
        <w:t>To summarize, the transaction between Zarin and Resorts can best be characte</w:t>
      </w:r>
      <w:r w:rsidRPr="00576ED7">
        <w:rPr>
          <w:szCs w:val="24"/>
        </w:rPr>
        <w:t>r</w:t>
      </w:r>
      <w:r w:rsidRPr="00576ED7">
        <w:rPr>
          <w:szCs w:val="24"/>
        </w:rPr>
        <w:t>ized as a disputed debt, or contested liability.  Zarin owed an unenforceable debt of $3,435,000 to Resorts.  After Zarin in good faith disputed his obligation to r</w:t>
      </w:r>
      <w:r w:rsidRPr="00576ED7">
        <w:rPr>
          <w:szCs w:val="24"/>
        </w:rPr>
        <w:t>e</w:t>
      </w:r>
      <w:r w:rsidRPr="00576ED7">
        <w:rPr>
          <w:szCs w:val="24"/>
        </w:rPr>
        <w:t>pay the debt, the parties settled for $500,000, which Zarin paid.  That $500,000 settlement fixed the amount of loss and the amount of debt cognizable for tax purposes.  Since Zarin was deemed to have owed $500,000, and since he paid R</w:t>
      </w:r>
      <w:r w:rsidRPr="00576ED7">
        <w:rPr>
          <w:szCs w:val="24"/>
        </w:rPr>
        <w:t>e</w:t>
      </w:r>
      <w:r w:rsidRPr="00576ED7">
        <w:rPr>
          <w:szCs w:val="24"/>
        </w:rPr>
        <w:t>sorts $500,000, no adverse tax consequences attached to Zarin as a result.  [foo</w:t>
      </w:r>
      <w:r w:rsidRPr="00576ED7">
        <w:rPr>
          <w:szCs w:val="24"/>
        </w:rPr>
        <w:t>t</w:t>
      </w:r>
      <w:r w:rsidRPr="00576ED7">
        <w:rPr>
          <w:szCs w:val="24"/>
        </w:rPr>
        <w:t>note omitted].</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V.</w:t>
      </w:r>
    </w:p>
    <w:p w:rsidR="0049128E" w:rsidRPr="00576ED7" w:rsidRDefault="0049128E" w:rsidP="00A6585D">
      <w:pPr>
        <w:widowControl w:val="0"/>
        <w:jc w:val="both"/>
        <w:rPr>
          <w:szCs w:val="24"/>
        </w:rPr>
      </w:pPr>
      <w:r w:rsidRPr="00576ED7">
        <w:rPr>
          <w:szCs w:val="24"/>
        </w:rPr>
        <w:t>In conclusion, we hold that Zarin did not have any income from cancellation of indebtedness for two reasons.  First, the Code provisions covering discharge of debt are inapplicable since the definitional requirement in I.R.C. § 108(d)(1) was not met.  Second, the settlement of Zarin’s gambling debts was a contested liabi</w:t>
      </w:r>
      <w:r w:rsidRPr="00576ED7">
        <w:rPr>
          <w:szCs w:val="24"/>
        </w:rPr>
        <w:t>l</w:t>
      </w:r>
      <w:r w:rsidRPr="00576ED7">
        <w:rPr>
          <w:szCs w:val="24"/>
        </w:rPr>
        <w:t>ity.  We reverse the decision of the Tax Court and remand with instructions to e</w:t>
      </w:r>
      <w:r w:rsidRPr="00576ED7">
        <w:rPr>
          <w:szCs w:val="24"/>
        </w:rPr>
        <w:t>n</w:t>
      </w:r>
      <w:r w:rsidRPr="00576ED7">
        <w:rPr>
          <w:szCs w:val="24"/>
        </w:rPr>
        <w:t>ter judgment that Zarin realized no income by reason of his settlement with R</w:t>
      </w:r>
      <w:r w:rsidRPr="00576ED7">
        <w:rPr>
          <w:szCs w:val="24"/>
        </w:rPr>
        <w:t>e</w:t>
      </w:r>
      <w:r w:rsidRPr="00576ED7">
        <w:rPr>
          <w:szCs w:val="24"/>
        </w:rPr>
        <w:t>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STAPLETON,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[C.J. Stapleton wrote an opinion agreeing with the Tax Court’s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Any</w:t>
      </w:r>
      <w:r w:rsidRPr="00576ED7">
        <w:rPr>
          <w:szCs w:val="24"/>
        </w:rPr>
        <w:t xml:space="preserve"> other person would have had to pay $3.4M for 3.4M chips.  How can the majority conclude that their value is in dispute?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Zarin’s gambling attracted crowds, which was good for the business of Resorts International.  Could the chips be regarded as compensation?</w:t>
      </w:r>
    </w:p>
    <w:p w:rsidR="0049128E" w:rsidRPr="00576ED7" w:rsidRDefault="0049128E" w:rsidP="00A6585D">
      <w:pPr>
        <w:widowControl w:val="0"/>
        <w:ind w:left="720"/>
        <w:jc w:val="both"/>
        <w:rPr>
          <w:szCs w:val="24"/>
        </w:rPr>
      </w:pPr>
      <w:r w:rsidRPr="00576ED7">
        <w:rPr>
          <w:szCs w:val="24"/>
        </w:rPr>
        <w:t>•</w:t>
      </w:r>
      <w:r w:rsidR="00540D2C">
        <w:rPr>
          <w:szCs w:val="24"/>
        </w:rPr>
        <w:t>Or does i</w:t>
      </w:r>
      <w:r w:rsidRPr="00576ED7">
        <w:rPr>
          <w:szCs w:val="24"/>
        </w:rPr>
        <w:t>t go too far to argue that the “dominant purpose” of Resorts I</w:t>
      </w:r>
      <w:r w:rsidRPr="00576ED7">
        <w:rPr>
          <w:szCs w:val="24"/>
        </w:rPr>
        <w:t>n</w:t>
      </w:r>
      <w:r w:rsidRPr="00576ED7">
        <w:rPr>
          <w:szCs w:val="24"/>
        </w:rPr>
        <w:t xml:space="preserve">ternational in giving chips to Zarin was to benefit itself by attracting such crowds.  </w:t>
      </w:r>
      <w:r w:rsidRPr="00576ED7">
        <w:rPr>
          <w:i/>
          <w:szCs w:val="24"/>
        </w:rPr>
        <w:t>Cf.</w:t>
      </w:r>
      <w:r w:rsidRPr="00576ED7">
        <w:rPr>
          <w:szCs w:val="24"/>
        </w:rPr>
        <w:t xml:space="preserve"> </w:t>
      </w:r>
      <w:r w:rsidRPr="00576ED7">
        <w:rPr>
          <w:i/>
          <w:szCs w:val="24"/>
        </w:rPr>
        <w:t>Gotcher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a compulsive gambler such as Mr. Zarin realize an accession to wealth or “value” by gambling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argued that “discharge of his gambling debt was income from ga</w:t>
      </w:r>
      <w:r w:rsidRPr="00576ED7">
        <w:rPr>
          <w:szCs w:val="24"/>
        </w:rPr>
        <w:t>m</w:t>
      </w:r>
      <w:r w:rsidRPr="00576ED7">
        <w:rPr>
          <w:szCs w:val="24"/>
        </w:rPr>
        <w:t>bling against which he may offset his losses.”</w:t>
      </w:r>
    </w:p>
    <w:p w:rsidR="0049128E" w:rsidRPr="00576ED7" w:rsidRDefault="0049128E" w:rsidP="00A6585D">
      <w:pPr>
        <w:widowControl w:val="0"/>
        <w:ind w:left="720"/>
        <w:jc w:val="both"/>
        <w:rPr>
          <w:szCs w:val="24"/>
        </w:rPr>
      </w:pPr>
      <w:r w:rsidRPr="00576ED7">
        <w:rPr>
          <w:szCs w:val="24"/>
        </w:rPr>
        <w:t>•This does not treat the loan and use of the chips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borrowing from a casino to purchase the casino’s chips be different than borrowing from a furniture store to buy the store’s furniture or from a car dealership to buy one of the dealership’s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Articulate the policies behind state laws that make debts unenforceable? Do any of these policies suggest anything about whether there was an accession to wealth?</w:t>
      </w:r>
    </w:p>
    <w:p w:rsidR="0049128E" w:rsidRPr="00576ED7" w:rsidRDefault="0049128E" w:rsidP="00A6585D">
      <w:pPr>
        <w:widowControl w:val="0"/>
        <w:ind w:left="720"/>
        <w:jc w:val="both"/>
        <w:rPr>
          <w:szCs w:val="24"/>
        </w:rPr>
      </w:pPr>
      <w:r w:rsidRPr="00576ED7">
        <w:rPr>
          <w:szCs w:val="24"/>
        </w:rPr>
        <w:t>•unconscionable contracts are not enforceable because of unequal bargai</w:t>
      </w:r>
      <w:r w:rsidRPr="00576ED7">
        <w:rPr>
          <w:szCs w:val="24"/>
        </w:rPr>
        <w:t>n</w:t>
      </w:r>
      <w:r w:rsidRPr="00576ED7">
        <w:rPr>
          <w:szCs w:val="24"/>
        </w:rPr>
        <w:t>ing power;</w:t>
      </w:r>
    </w:p>
    <w:p w:rsidR="0049128E" w:rsidRPr="00576ED7" w:rsidRDefault="0049128E" w:rsidP="00A6585D">
      <w:pPr>
        <w:widowControl w:val="0"/>
        <w:ind w:left="720"/>
        <w:jc w:val="both"/>
        <w:rPr>
          <w:szCs w:val="24"/>
        </w:rPr>
      </w:pPr>
      <w:r w:rsidRPr="00576ED7">
        <w:rPr>
          <w:szCs w:val="24"/>
        </w:rPr>
        <w:t>•illegal contracts are not enforceable because the state will not lend its a</w:t>
      </w:r>
      <w:r w:rsidRPr="00576ED7">
        <w:rPr>
          <w:szCs w:val="24"/>
        </w:rPr>
        <w:t>s</w:t>
      </w:r>
      <w:r w:rsidRPr="00576ED7">
        <w:rPr>
          <w:szCs w:val="24"/>
        </w:rPr>
        <w:t>sistance to enforce an illegal bargain;</w:t>
      </w:r>
    </w:p>
    <w:p w:rsidR="0049128E" w:rsidRPr="00576ED7" w:rsidRDefault="0049128E" w:rsidP="00A6585D">
      <w:pPr>
        <w:widowControl w:val="0"/>
        <w:ind w:left="720"/>
        <w:jc w:val="both"/>
        <w:rPr>
          <w:szCs w:val="24"/>
        </w:rPr>
      </w:pPr>
      <w:r w:rsidRPr="00576ED7">
        <w:rPr>
          <w:szCs w:val="24"/>
        </w:rPr>
        <w:t>•some contracts are unenforceable because the state deems normal pr</w:t>
      </w:r>
      <w:r w:rsidRPr="00576ED7">
        <w:rPr>
          <w:szCs w:val="24"/>
        </w:rPr>
        <w:t>e</w:t>
      </w:r>
      <w:r w:rsidRPr="00576ED7">
        <w:rPr>
          <w:szCs w:val="24"/>
        </w:rPr>
        <w:t>sumptions about rationality and the ability to know what is beneficial to oneself inapplicable in certain circumstances, e.g., contract with a minor or incompetent.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The majority relies heavily on § 108(d)(1). Why? Is this provision applicable to the case at all?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What is left of the liquidated debt doctrine?</w:t>
      </w:r>
    </w:p>
    <w:p w:rsidR="0049128E" w:rsidRPr="00576ED7" w:rsidRDefault="0049128E" w:rsidP="00A6585D">
      <w:pPr>
        <w:widowControl w:val="0"/>
        <w:ind w:left="720"/>
        <w:jc w:val="both"/>
        <w:rPr>
          <w:szCs w:val="24"/>
        </w:rPr>
      </w:pPr>
      <w:r w:rsidRPr="00576ED7">
        <w:rPr>
          <w:szCs w:val="24"/>
        </w:rPr>
        <w:t>•What if the debtor reaches a compromise with the creditor, but never a</w:t>
      </w:r>
      <w:r w:rsidRPr="00576ED7">
        <w:rPr>
          <w:szCs w:val="24"/>
        </w:rPr>
        <w:t>c</w:t>
      </w:r>
      <w:r w:rsidRPr="00576ED7">
        <w:rPr>
          <w:szCs w:val="24"/>
        </w:rPr>
        <w:t xml:space="preserve">tually disputed that s/he/it owed the creditor a sum certain? </w:t>
      </w:r>
      <w:r w:rsidRPr="00576ED7">
        <w:rPr>
          <w:i/>
          <w:szCs w:val="24"/>
        </w:rPr>
        <w:t>See</w:t>
      </w:r>
      <w:r w:rsidRPr="00576ED7">
        <w:rPr>
          <w:szCs w:val="24"/>
        </w:rPr>
        <w:t xml:space="preserve"> </w:t>
      </w:r>
      <w:r w:rsidRPr="00576ED7">
        <w:rPr>
          <w:i/>
          <w:szCs w:val="24"/>
        </w:rPr>
        <w:t>Melvin v. Commissioner</w:t>
      </w:r>
      <w:r w:rsidRPr="00576ED7">
        <w:rPr>
          <w:szCs w:val="24"/>
        </w:rPr>
        <w:t xml:space="preserve">, T.C. Memo 2009-199, 2009 WL 2869816 (2009); </w:t>
      </w:r>
      <w:r w:rsidRPr="00576ED7">
        <w:rPr>
          <w:i/>
          <w:szCs w:val="24"/>
        </w:rPr>
        <w:t>Rood v. Commissioner</w:t>
      </w:r>
      <w:r w:rsidRPr="00576ED7">
        <w:rPr>
          <w:szCs w:val="24"/>
        </w:rPr>
        <w:t>, TC Memo 1996-248, 1996 WL 280899 (1996)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9.  You should be aware of the rule of § 108(e)(5) for purchase price reductions.  How does that rule apply when the seller of a service lends money to a customer to purchase the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Consider:</w:t>
      </w:r>
    </w:p>
    <w:p w:rsidR="0049128E" w:rsidRPr="00576ED7" w:rsidRDefault="0049128E" w:rsidP="00A6585D">
      <w:pPr>
        <w:widowControl w:val="0"/>
        <w:ind w:left="720"/>
        <w:jc w:val="both"/>
        <w:rPr>
          <w:szCs w:val="24"/>
        </w:rPr>
      </w:pPr>
      <w:r w:rsidRPr="00576ED7">
        <w:rPr>
          <w:szCs w:val="24"/>
        </w:rPr>
        <w:t>•10a.  Taxpayer engaged the services of Attorney and incurred a bill of $1000.  The fmv of taxpayer’s assets is $10,000, and taxpayer has $5000 of cash.  Taxpayer has liabilities of $25,000.  Taxpayer was most interes</w:t>
      </w:r>
      <w:r w:rsidRPr="00576ED7">
        <w:rPr>
          <w:szCs w:val="24"/>
        </w:rPr>
        <w:t>t</w:t>
      </w:r>
      <w:r w:rsidRPr="00576ED7">
        <w:rPr>
          <w:szCs w:val="24"/>
        </w:rPr>
        <w:t>ed in not parting with any cash and so entered an agreement to do 80 hours of filing and word processing for Attorney.  After taxpayer performed these services, Attorney told taxpayer that “you owe me nothing.”  Now taxpayer’s liabilities are $24,000, and she has assets with fmv = $10,000 plus $5000 cash.  How much doi income must Taxpayer report?</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•10b.  Taxpayer borrowed $25,000 from her uncle to pay for her third year of law school at one of America’s “Best Value Law Schools” (according to </w:t>
      </w:r>
      <w:r w:rsidRPr="00540D2C">
        <w:rPr>
          <w:i/>
          <w:szCs w:val="24"/>
        </w:rPr>
        <w:t>preLaw Magazine</w:t>
      </w:r>
      <w:r w:rsidRPr="00576ED7">
        <w:rPr>
          <w:szCs w:val="24"/>
        </w:rPr>
        <w:t>).  Taxpayer and her uncle formalized the arrang</w:t>
      </w:r>
      <w:r w:rsidRPr="00576ED7">
        <w:rPr>
          <w:szCs w:val="24"/>
        </w:rPr>
        <w:t>e</w:t>
      </w:r>
      <w:r w:rsidRPr="00576ED7">
        <w:rPr>
          <w:szCs w:val="24"/>
        </w:rPr>
        <w:t xml:space="preserve">ment in writing, taxpayer to pay 6% interest on her declining balance once she began making payments to her uncle after law school.  At Taxpayer’s commencement day party, her uncle announced to her that “I forgive the loan I made to you.  You are free and clear as far as I’m concerned.”  At the time, Taxpayer’s liabilities (including the $25,000 owed to her uncle) did </w:t>
      </w:r>
      <w:r w:rsidRPr="00576ED7">
        <w:rPr>
          <w:i/>
          <w:szCs w:val="24"/>
        </w:rPr>
        <w:t>not</w:t>
      </w:r>
      <w:r w:rsidRPr="00576ED7">
        <w:rPr>
          <w:szCs w:val="24"/>
        </w:rPr>
        <w:t xml:space="preserve"> exceed the fmv of her assets.  How much doi income must taxpa</w:t>
      </w:r>
      <w:r w:rsidRPr="00576ED7">
        <w:rPr>
          <w:szCs w:val="24"/>
        </w:rPr>
        <w:t>y</w:t>
      </w:r>
      <w:r w:rsidRPr="00576ED7">
        <w:rPr>
          <w:szCs w:val="24"/>
        </w:rPr>
        <w:t>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•10c.  Taxpayer, a highly skilled craftsman, entered into a contract to pr</w:t>
      </w:r>
      <w:r w:rsidRPr="00576ED7">
        <w:rPr>
          <w:szCs w:val="24"/>
        </w:rPr>
        <w:t>o</w:t>
      </w:r>
      <w:r w:rsidRPr="00576ED7">
        <w:rPr>
          <w:szCs w:val="24"/>
        </w:rPr>
        <w:t xml:space="preserve">duce a custom-made table for Customer’s dining room.  Customer paid Taxpayer $2000 on the day they entered the agreement with a promise to pay $2000 more on delivery.  Taxpayer was to deliver the table six months after signing.  Taxpayer never got around to producing the table.  At first, Customer patiently waited past the contractual deadline for the table, but finally sued for a refund of the $2000.  Customer had waited more than 6 years to bring the suit, so it was dismissed as not having been brought within the limitation period.  </w:t>
      </w:r>
    </w:p>
    <w:p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rsidR="0049128E" w:rsidRPr="00576ED7" w:rsidRDefault="0049128E" w:rsidP="00A6585D">
      <w:pPr>
        <w:widowControl w:val="0"/>
        <w:ind w:left="1440"/>
        <w:jc w:val="both"/>
        <w:rPr>
          <w:szCs w:val="24"/>
        </w:rPr>
      </w:pPr>
      <w:r w:rsidRPr="00576ED7">
        <w:rPr>
          <w:szCs w:val="24"/>
        </w:rPr>
        <w:lastRenderedPageBreak/>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•10d.  Taxpayer took his automobile to Repair Shop to have some routine maintenance work done.  Repair Shop promised to do the work for $300.  When Taxpayer returned to pick up his automobile, he told Repair Shop that he only had $250 in cash, but would get the rest by tomorrow.  Repair Shop manager responded by saying, “Gimme the $250 and forget the rest.”  Taxpayer is solvent throughout.  How much doi income must Ta</w:t>
      </w:r>
      <w:r w:rsidRPr="00576ED7">
        <w:rPr>
          <w:szCs w:val="24"/>
        </w:rPr>
        <w:t>x</w:t>
      </w:r>
      <w:r w:rsidRPr="00576ED7">
        <w:rPr>
          <w:szCs w:val="24"/>
        </w:rPr>
        <w:t>payer report?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•10e.  Bank is a debtor to its depositors.  The agreement between Bank and depositors provides for a penalty on early withdrawals of certificates of deposit by depositors.  The penalty is assessed at the time of withdrawal by simply reducing the interest rate that the Bank had previously promised to pay depositor from 3% to 1.75%.  Hence Bank pays depositor less than it had promised to pay depositor at the time the certificate of deposit was purchased.  May Bank report the early withdrawal penalties that it “co</w:t>
      </w:r>
      <w:r w:rsidRPr="00576ED7">
        <w:rPr>
          <w:szCs w:val="24"/>
        </w:rPr>
        <w:t>l</w:t>
      </w:r>
      <w:r w:rsidRPr="00576ED7">
        <w:rPr>
          <w:szCs w:val="24"/>
        </w:rPr>
        <w:t>lects” as doi income?</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United States v. Centennial Savings Bank FSB</w:t>
      </w:r>
      <w:r w:rsidRPr="00576ED7">
        <w:rPr>
          <w:szCs w:val="24"/>
        </w:rPr>
        <w:t>, 499 U.S. 573 (1991).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7" w:name="_Toc375132934"/>
      <w:r w:rsidRPr="00576ED7">
        <w:t>IV.  Section 108(a)'s Other Provisions</w:t>
      </w:r>
      <w:bookmarkEnd w:id="47"/>
      <w:r w:rsidRPr="00576ED7">
        <w:fldChar w:fldCharType="begin"/>
      </w:r>
      <w:r w:rsidRPr="00576ED7">
        <w:instrText xml:space="preserve"> TC \l1 "IV.  Section 108(a)'s Other Provisions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 codifies and limits court-developed rules that govern the discharge of indebtedness of debtors who are in bankruptcy or insolvent.  Section 108 also provides rules governing discharge of indebtedness of a (1) taxpayer’s qualified farm indebtedness (§ 108(a)(1)(C)), (2) a non-subchapter C taxpayer’s qualified real property business indebtedness (§ 108(a)(1)(D)), and (3) a taxpayer’s qual</w:t>
      </w:r>
      <w:r w:rsidRPr="00576ED7">
        <w:rPr>
          <w:szCs w:val="24"/>
        </w:rPr>
        <w:t>i</w:t>
      </w:r>
      <w:r w:rsidRPr="00576ED7">
        <w:rPr>
          <w:szCs w:val="24"/>
        </w:rPr>
        <w:t>fied principal residence indebtedness discharged before January 1, 201</w:t>
      </w:r>
      <w:r w:rsidR="00540D2C">
        <w:rPr>
          <w:szCs w:val="24"/>
        </w:rPr>
        <w:t>4</w:t>
      </w:r>
      <w:r w:rsidRPr="00576ED7">
        <w:rPr>
          <w:szCs w:val="24"/>
        </w:rPr>
        <w:t xml:space="preserve"> (§ 108(a)(1)(D)).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•”Qualified farm indebtedness” is debt (but not purchase money debt) that a taxpayer incurred “in connection with” taxpayer’s operation of a farming trade or business, § 108(g)(1).  The lender – and so the party discharging the debt – must be a government agency or an unrelated person engaged in the business of lending, § 108(g)(1)(B) (referencing § 49(a)(1)(D)(iv)).  </w:t>
      </w:r>
      <w:r w:rsidRPr="00576ED7">
        <w:rPr>
          <w:szCs w:val="24"/>
        </w:rPr>
        <w:lastRenderedPageBreak/>
        <w:t>After making adjustments to tax attributes under the insolvency provisions of § 108, § 108(g)(3)(D), a solvent taxpayer may exclude debt that the lender discharges up to the sum of taxpayer’s adjusted tax attributes plus the aggregate adjusted bases of trade or business property or property held for the production of income.  §§ 108(g)(3)(A), 108(g)(3)(C).  Taxpayer then reduces tax attributes as per § 108(b) and § 108(g)(3)(B).  Section 1017(b)(4) governs the bases reduction(s).  The “qualified farm indebte</w:t>
      </w:r>
      <w:r w:rsidRPr="00576ED7">
        <w:rPr>
          <w:szCs w:val="24"/>
        </w:rPr>
        <w:t>d</w:t>
      </w:r>
      <w:r w:rsidRPr="00576ED7">
        <w:rPr>
          <w:szCs w:val="24"/>
        </w:rPr>
        <w:t>ness” rules give solvent farmers many of the benefits that § 108 gives to insolvent debtors.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•”Qualified real property business indebtedness” is debt (other than “qual</w:t>
      </w:r>
      <w:r w:rsidRPr="00576ED7">
        <w:rPr>
          <w:szCs w:val="24"/>
        </w:rPr>
        <w:t>i</w:t>
      </w:r>
      <w:r w:rsidRPr="00576ED7">
        <w:rPr>
          <w:szCs w:val="24"/>
        </w:rPr>
        <w:t xml:space="preserve">fied farm indebtedness”) that taxpayer incurs or assumes “in connection with” real property that secures the debt that taxpayer uses in a trade or business.  § 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of such property (less the principal amount of any other loans that the same property secures).  § 108(c)(2)(A).  Section 1017(b)(3)(F) governs the bases reduction(s).  The amount of such basis reduction(s) cannot in the aggregate exceed the a</w:t>
      </w:r>
      <w:r w:rsidRPr="00576ED7">
        <w:rPr>
          <w:szCs w:val="24"/>
        </w:rPr>
        <w:t>d</w:t>
      </w:r>
      <w:r w:rsidRPr="00576ED7">
        <w:rPr>
          <w:szCs w:val="24"/>
        </w:rPr>
        <w:t>justed bases of all of taxpayer’s depreciable real property determined after reduction of tax attributes because of insolvency or bankruptcy or for r</w:t>
      </w:r>
      <w:r w:rsidRPr="00576ED7">
        <w:rPr>
          <w:szCs w:val="24"/>
        </w:rPr>
        <w:t>e</w:t>
      </w:r>
      <w:r w:rsidRPr="00576ED7">
        <w:rPr>
          <w:szCs w:val="24"/>
        </w:rPr>
        <w:t>duction of qualified farm indebtedness.  § 108(c)(2)(B).   This provision should reduce the incentive of a taxpayer to walk away from encumbered property that is (or was) “under water,” despite the fact that a lender has been willing to discharge some of the debt.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•”Qualified principal residence indebtedness” is up to $2M of debt that taxpayer incurred to acquire, construct, or substantially improve taxpa</w:t>
      </w:r>
      <w:r w:rsidRPr="00576ED7">
        <w:rPr>
          <w:szCs w:val="24"/>
        </w:rPr>
        <w:t>y</w:t>
      </w:r>
      <w:r w:rsidRPr="00576ED7">
        <w:rPr>
          <w:szCs w:val="24"/>
        </w:rPr>
        <w:t>er’s principal residence, which secures the loan.  § 108(h)(2), § 108(h)(5).  The amount discharged reduces taxpayer’s basis in the home, but not b</w:t>
      </w:r>
      <w:r w:rsidRPr="00576ED7">
        <w:rPr>
          <w:szCs w:val="24"/>
        </w:rPr>
        <w:t>e</w:t>
      </w:r>
      <w:r w:rsidRPr="00576ED7">
        <w:rPr>
          <w:szCs w:val="24"/>
        </w:rPr>
        <w:t xml:space="preserve">low $0.  § 108(h)(1).  Congress enacted § 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  This provision will not apply to discharges of “qualified principal residence indebtedness” that occur </w:t>
      </w:r>
      <w:r w:rsidR="00540D2C">
        <w:rPr>
          <w:szCs w:val="24"/>
        </w:rPr>
        <w:t>before January 1, 2014.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 xml:space="preserve">•Another measure that Congress adopted in response to the financial crisis is § 108(i).  During the ongoing financial crisis, corporations may engage in </w:t>
      </w:r>
      <w:r w:rsidRPr="00576ED7">
        <w:rPr>
          <w:i/>
          <w:szCs w:val="24"/>
        </w:rPr>
        <w:t>Kirby Lumber</w:t>
      </w:r>
      <w:r w:rsidRPr="00576ED7">
        <w:rPr>
          <w:szCs w:val="24"/>
        </w:rPr>
        <w:t>-type transactions, i.e., they may purchase their own debt for less than the amount that they borrowed.  Corporations and other ta</w:t>
      </w:r>
      <w:r w:rsidRPr="00576ED7">
        <w:rPr>
          <w:szCs w:val="24"/>
        </w:rPr>
        <w:t>x</w:t>
      </w:r>
      <w:r w:rsidRPr="00576ED7">
        <w:rPr>
          <w:szCs w:val="24"/>
        </w:rPr>
        <w:t>payers engaged in a trade or business may restructure their debts by a</w:t>
      </w:r>
      <w:r w:rsidRPr="00576ED7">
        <w:rPr>
          <w:szCs w:val="24"/>
        </w:rPr>
        <w:t>c</w:t>
      </w:r>
      <w:r w:rsidRPr="00576ED7">
        <w:rPr>
          <w:szCs w:val="24"/>
        </w:rPr>
        <w:t>quiring them for cash, for another (modified) debt instrument, or for an equity interest.  A business with serious cash flow problems – which gave rise to the restructuring in the first place – may not be in a position to pay income tax on resulting doi income because doi income is not income that a taxpayer realizes in cash.  Section 108(i) permits taxpayers with doi i</w:t>
      </w:r>
      <w:r w:rsidRPr="00576ED7">
        <w:rPr>
          <w:szCs w:val="24"/>
        </w:rPr>
        <w:t>n</w:t>
      </w:r>
      <w:r w:rsidRPr="00576ED7">
        <w:rPr>
          <w:szCs w:val="24"/>
        </w:rPr>
        <w:t>come resulting from the reacquisition of debt during 2009 and 2010 to d</w:t>
      </w:r>
      <w:r w:rsidRPr="00576ED7">
        <w:rPr>
          <w:szCs w:val="24"/>
        </w:rPr>
        <w:t>e</w:t>
      </w:r>
      <w:r w:rsidRPr="00576ED7">
        <w:rPr>
          <w:szCs w:val="24"/>
        </w:rPr>
        <w:t xml:space="preserve">fer recognition until 2014 </w:t>
      </w:r>
      <w:r w:rsidRPr="00576ED7">
        <w:rPr>
          <w:i/>
          <w:szCs w:val="24"/>
        </w:rPr>
        <w:t>and then</w:t>
      </w:r>
      <w:r w:rsidRPr="00576ED7">
        <w:rPr>
          <w:szCs w:val="24"/>
        </w:rPr>
        <w:t xml:space="preserve"> to recognize a ratable portion of that debt over a five-year period.  § 108(a)(1).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8" w:name="_Toc375132935"/>
      <w:r w:rsidRPr="00576ED7">
        <w:t>V.  Transactions Involving Property Subject to a Loan</w:t>
      </w:r>
      <w:bookmarkEnd w:id="48"/>
      <w:r w:rsidRPr="00576ED7">
        <w:fldChar w:fldCharType="begin"/>
      </w:r>
      <w:r w:rsidRPr="00576ED7">
        <w:instrText xml:space="preserve"> TC \l1 "V.  Transactions Involving Property Subject to a Loan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use the proceeds of a loan – perhaps from the seller of property or from a third-party lender – to purchase property and to give the property so pu</w:t>
      </w:r>
      <w:r w:rsidRPr="00576ED7">
        <w:rPr>
          <w:szCs w:val="24"/>
        </w:rPr>
        <w:t>r</w:t>
      </w:r>
      <w:r w:rsidRPr="00576ED7">
        <w:rPr>
          <w:szCs w:val="24"/>
        </w:rPr>
        <w:t>chased as security or collateral for the loan.  Such property is “encumbered by” or “subject to” the outstanding principal amount of the loan.  Can borrower count the money that she/he/it borrowed as part of her/his/its basis when in fact taxpayer did not purchase the property with after-tax money?</w:t>
      </w:r>
    </w:p>
    <w:p w:rsidR="0049128E" w:rsidRPr="00576ED7" w:rsidRDefault="0049128E" w:rsidP="00A6585D">
      <w:pPr>
        <w:widowControl w:val="0"/>
        <w:ind w:left="720"/>
        <w:jc w:val="both"/>
        <w:rPr>
          <w:szCs w:val="24"/>
        </w:rPr>
      </w:pPr>
      <w:r w:rsidRPr="00576ED7">
        <w:rPr>
          <w:szCs w:val="24"/>
        </w:rPr>
        <w:t>•Yes.  Borrower has an obligation to repay the loan and will repay it with money that has been subject to income tax.  It does not matter whether borrower borrowed the money from the seller or a third party.</w:t>
      </w:r>
    </w:p>
    <w:p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w:t>
      </w:r>
      <w:r w:rsidRPr="00576ED7">
        <w:rPr>
          <w:szCs w:val="24"/>
        </w:rPr>
        <w:t>l</w:t>
      </w:r>
      <w:r w:rsidRPr="00576ED7">
        <w:rPr>
          <w:szCs w:val="24"/>
        </w:rPr>
        <w:t>ance.  Thus, the seller must include the loan balance in her/his/its “amount realized” under § 1001(a).</w:t>
      </w:r>
    </w:p>
    <w:p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rsidR="0049128E" w:rsidRPr="00576ED7" w:rsidRDefault="0049128E" w:rsidP="00A6585D">
      <w:pPr>
        <w:widowControl w:val="0"/>
        <w:ind w:left="720"/>
        <w:jc w:val="both"/>
        <w:rPr>
          <w:szCs w:val="24"/>
        </w:rPr>
      </w:pPr>
      <w:r w:rsidRPr="00576ED7">
        <w:rPr>
          <w:szCs w:val="24"/>
        </w:rPr>
        <w:t>•We assume that the borrower will honor his/her/its obligation to repay the loan.</w:t>
      </w:r>
    </w:p>
    <w:p w:rsidR="0049128E" w:rsidRPr="00576ED7" w:rsidRDefault="0049128E" w:rsidP="00A6585D">
      <w:pPr>
        <w:widowControl w:val="0"/>
        <w:ind w:left="720"/>
        <w:jc w:val="both"/>
        <w:rPr>
          <w:szCs w:val="24"/>
        </w:rPr>
      </w:pPr>
      <w:r w:rsidRPr="00576ED7">
        <w:rPr>
          <w:szCs w:val="24"/>
        </w:rPr>
        <w:t>•Consider:</w:t>
      </w:r>
    </w:p>
    <w:p w:rsidR="0049128E" w:rsidRPr="00576ED7" w:rsidRDefault="0049128E" w:rsidP="00A6585D">
      <w:pPr>
        <w:widowControl w:val="0"/>
        <w:ind w:left="1440"/>
        <w:jc w:val="both"/>
        <w:rPr>
          <w:szCs w:val="24"/>
        </w:rPr>
      </w:pPr>
      <w:r w:rsidRPr="00576ED7">
        <w:rPr>
          <w:szCs w:val="24"/>
        </w:rPr>
        <w:t>•Taxpayer owns Blackacre.  She bought it for $10,000, and its ab = $10,000.  At a time when the fmv of Blackacre was $50,000, Ta</w:t>
      </w:r>
      <w:r w:rsidRPr="00576ED7">
        <w:rPr>
          <w:szCs w:val="24"/>
        </w:rPr>
        <w:t>x</w:t>
      </w:r>
      <w:r w:rsidRPr="00576ED7">
        <w:rPr>
          <w:szCs w:val="24"/>
        </w:rPr>
        <w:lastRenderedPageBreak/>
        <w:t>payer borrowed $30,000 and put up Blackacre as collateral.  Ta</w:t>
      </w:r>
      <w:r w:rsidRPr="00576ED7">
        <w:rPr>
          <w:szCs w:val="24"/>
        </w:rPr>
        <w:t>x</w:t>
      </w:r>
      <w:r w:rsidRPr="00576ED7">
        <w:rPr>
          <w:szCs w:val="24"/>
        </w:rPr>
        <w:t>payer sold Blackacre to Buyer who paid her $20,000 cash and a</w:t>
      </w:r>
      <w:r w:rsidRPr="00576ED7">
        <w:rPr>
          <w:szCs w:val="24"/>
        </w:rPr>
        <w:t>s</w:t>
      </w:r>
      <w:r w:rsidRPr="00576ED7">
        <w:rPr>
          <w:szCs w:val="24"/>
        </w:rPr>
        <w:t>sumed the $30,000 loan secured by Blackacre.  What is Taxpayer’s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•Taxpayer borrows $30,000 from Bank.  Taxpayer uses the bo</w:t>
      </w:r>
      <w:r w:rsidRPr="00576ED7">
        <w:rPr>
          <w:szCs w:val="24"/>
        </w:rPr>
        <w:t>r</w:t>
      </w:r>
      <w:r w:rsidRPr="00576ED7">
        <w:rPr>
          <w:szCs w:val="24"/>
        </w:rPr>
        <w:t>rowed money to purchase Whiteacre for $30,000; taxpayer also gives a mortgage to Bank.  Taxpayer sold Whiteacre to Buyer for $20,000 cash plus assumption of the $30,000 loan.  What is ta</w:t>
      </w:r>
      <w:r w:rsidRPr="00576ED7">
        <w:rPr>
          <w:szCs w:val="24"/>
        </w:rPr>
        <w:t>x</w:t>
      </w:r>
      <w:r w:rsidRPr="00576ED7">
        <w:rPr>
          <w:szCs w:val="24"/>
        </w:rPr>
        <w:t>payer’s taxable gain?</w:t>
      </w:r>
    </w:p>
    <w:p w:rsidR="0049128E" w:rsidRPr="00576ED7" w:rsidRDefault="0049128E" w:rsidP="00A6585D">
      <w:pPr>
        <w:widowControl w:val="0"/>
        <w:ind w:left="2160"/>
        <w:jc w:val="both"/>
        <w:rPr>
          <w:szCs w:val="24"/>
        </w:rPr>
      </w:pPr>
      <w:r w:rsidRPr="00576ED7">
        <w:rPr>
          <w:szCs w:val="24"/>
        </w:rPr>
        <w:t>•May taxpayer treat the amount borrowed as part of his/her/its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 xml:space="preserve">? Keep track of the amount of gross income on which taxpayer </w:t>
      </w:r>
      <w:r w:rsidRPr="00576ED7">
        <w:rPr>
          <w:i/>
          <w:szCs w:val="24"/>
        </w:rPr>
        <w:t>should</w:t>
      </w:r>
      <w:r w:rsidRPr="00576ED7">
        <w:rPr>
          <w:szCs w:val="24"/>
        </w:rPr>
        <w:t xml:space="preserve"> have paid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following two arrangements by which lender and borrower might structure a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w:t>
      </w:r>
      <w:r w:rsidRPr="00576ED7">
        <w:rPr>
          <w:i/>
          <w:szCs w:val="24"/>
        </w:rPr>
        <w:t>r</w:t>
      </w:r>
      <w:r w:rsidRPr="00576ED7">
        <w:rPr>
          <w:i/>
          <w:szCs w:val="24"/>
        </w:rPr>
        <w:t>sonally liable</w:t>
      </w:r>
      <w:r w:rsidRPr="00576ED7">
        <w:rPr>
          <w:szCs w:val="24"/>
        </w:rPr>
        <w:t>.  In the event that the borrower defaults and the collateral that the borrower put up to obtain the loan is insufficient to satisfy the borrower’s oblig</w:t>
      </w:r>
      <w:r w:rsidRPr="00576ED7">
        <w:rPr>
          <w:szCs w:val="24"/>
        </w:rPr>
        <w:t>a</w:t>
      </w:r>
      <w:r w:rsidRPr="00576ED7">
        <w:rPr>
          <w:szCs w:val="24"/>
        </w:rPr>
        <w:t>tion, the lender may pursue other assets of the borrower in order to satisfy the debt.  The risk that a loss may occur because the fmv of the property decreases prior to default thus falls on the borrower.</w:t>
      </w:r>
    </w:p>
    <w:p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  Otherwise, the borrower may lose other assets that he/she/it owns.</w:t>
      </w:r>
    </w:p>
    <w:p w:rsidR="0049128E" w:rsidRPr="00576ED7" w:rsidRDefault="0049128E" w:rsidP="00A6585D">
      <w:pPr>
        <w:widowControl w:val="0"/>
        <w:ind w:left="720"/>
        <w:jc w:val="both"/>
        <w:rPr>
          <w:szCs w:val="24"/>
        </w:rPr>
      </w:pPr>
      <w:r w:rsidRPr="00576ED7">
        <w:rPr>
          <w:szCs w:val="24"/>
        </w:rPr>
        <w:t>•If the creditor accepts the collateral as full payment, taxpayer must re</w:t>
      </w:r>
      <w:r w:rsidRPr="00576ED7">
        <w:rPr>
          <w:szCs w:val="24"/>
        </w:rPr>
        <w:t>c</w:t>
      </w:r>
      <w:r w:rsidRPr="00576ED7">
        <w:rPr>
          <w:szCs w:val="24"/>
        </w:rPr>
        <w:t>ognize gain on the disposition of the collateral as if he/she/it had sold it for its fmv.</w:t>
      </w:r>
    </w:p>
    <w:p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  </w:t>
      </w:r>
      <w:r w:rsidRPr="00576ED7">
        <w:rPr>
          <w:i/>
          <w:szCs w:val="24"/>
        </w:rPr>
        <w:t>Gehl</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Nonrecourse obligation</w:t>
      </w:r>
      <w:r w:rsidRPr="00576ED7">
        <w:rPr>
          <w:szCs w:val="24"/>
        </w:rPr>
        <w:t xml:space="preserve">: A nonrecourse obligation is one for which the borrower is </w:t>
      </w:r>
      <w:r w:rsidRPr="00576ED7">
        <w:rPr>
          <w:i/>
          <w:szCs w:val="24"/>
        </w:rPr>
        <w:t>not personally liable</w:t>
      </w:r>
      <w:r w:rsidRPr="00576ED7">
        <w:rPr>
          <w:szCs w:val="24"/>
        </w:rPr>
        <w:t>.  Thus, in the event of the borrower’s default, the lender may pursue only the property offered as collateral for the loan.   The risk that a loss may occur because the fmv of the property decreases prior to default thus falls entirely on the lender.</w:t>
      </w:r>
    </w:p>
    <w:p w:rsidR="0049128E" w:rsidRPr="00576ED7" w:rsidRDefault="0049128E" w:rsidP="00A6585D">
      <w:pPr>
        <w:widowControl w:val="0"/>
        <w:ind w:left="720"/>
        <w:jc w:val="both"/>
        <w:rPr>
          <w:szCs w:val="24"/>
        </w:rPr>
      </w:pPr>
      <w:r w:rsidRPr="00576ED7">
        <w:rPr>
          <w:szCs w:val="24"/>
        </w:rPr>
        <w:t>•When the fmv of the property is greater than the loan amount, the bo</w:t>
      </w:r>
      <w:r w:rsidRPr="00576ED7">
        <w:rPr>
          <w:szCs w:val="24"/>
        </w:rPr>
        <w:t>r</w:t>
      </w:r>
      <w:r w:rsidRPr="00576ED7">
        <w:rPr>
          <w:szCs w:val="24"/>
        </w:rPr>
        <w:t>rower has an economic incentive to continue making payments on the loan.  A borrower should willingly repay a nonrecourse loan of $80 in o</w:t>
      </w:r>
      <w:r w:rsidRPr="00576ED7">
        <w:rPr>
          <w:szCs w:val="24"/>
        </w:rPr>
        <w:t>r</w:t>
      </w:r>
      <w:r w:rsidRPr="00576ED7">
        <w:rPr>
          <w:szCs w:val="24"/>
        </w:rPr>
        <w:t>der to obtain property whose fmv is $100.</w:t>
      </w:r>
    </w:p>
    <w:p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in order to obtain a piece of property whose fmv is $80?</w:t>
      </w:r>
    </w:p>
    <w:p w:rsidR="0049128E" w:rsidRPr="00576ED7" w:rsidRDefault="0049128E" w:rsidP="00A6585D">
      <w:pPr>
        <w:widowControl w:val="0"/>
        <w:ind w:left="1440"/>
        <w:jc w:val="both"/>
        <w:rPr>
          <w:szCs w:val="24"/>
        </w:rPr>
      </w:pPr>
      <w:r w:rsidRPr="00576ED7">
        <w:rPr>
          <w:szCs w:val="24"/>
        </w:rPr>
        <w:t xml:space="preserve">•This point provides encouragement for lenders to reduce the amount of nonrecourse debt that borrowers owe them when the value of the underlying collateral decreases.  </w:t>
      </w:r>
      <w:r w:rsidRPr="00576ED7">
        <w:rPr>
          <w:i/>
          <w:szCs w:val="24"/>
        </w:rPr>
        <w:t>Cf.</w:t>
      </w:r>
      <w:r w:rsidRPr="00576ED7">
        <w:rPr>
          <w:szCs w:val="24"/>
        </w:rPr>
        <w:t xml:space="preserve"> § 108(a)(1)(C, D, 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•If a nonrecourse borrower defaults on a loan and surrenders the property he/she/it put up as collateral whose fmv is less than the loan principal, e</w:t>
      </w:r>
      <w:r w:rsidRPr="00576ED7">
        <w:rPr>
          <w:szCs w:val="24"/>
        </w:rPr>
        <w:t>x</w:t>
      </w:r>
      <w:r w:rsidRPr="00576ED7">
        <w:rPr>
          <w:szCs w:val="24"/>
        </w:rPr>
        <w:t xml:space="preserve">actly how much doi results from a </w:t>
      </w:r>
      <w:r w:rsidRPr="00576ED7">
        <w:rPr>
          <w:i/>
          <w:szCs w:val="24"/>
        </w:rPr>
        <w:t>freeing of assets</w:t>
      </w:r>
      <w:r w:rsidRPr="00576ED7">
        <w:rPr>
          <w:szCs w:val="24"/>
        </w:rPr>
        <w:t>?</w:t>
      </w:r>
    </w:p>
    <w:p w:rsidR="0049128E" w:rsidRPr="00576ED7" w:rsidRDefault="0049128E" w:rsidP="00A6585D">
      <w:pPr>
        <w:widowControl w:val="0"/>
        <w:ind w:left="1440"/>
        <w:jc w:val="both"/>
        <w:rPr>
          <w:szCs w:val="24"/>
        </w:rPr>
      </w:pPr>
      <w:r w:rsidRPr="00576ED7">
        <w:rPr>
          <w:szCs w:val="24"/>
        </w:rPr>
        <w:t>•This question may arise when a borrower sells or surrenders pro</w:t>
      </w:r>
      <w:r w:rsidRPr="00576ED7">
        <w:rPr>
          <w:szCs w:val="24"/>
        </w:rPr>
        <w:t>p</w:t>
      </w:r>
      <w:r w:rsidRPr="00576ED7">
        <w:rPr>
          <w:szCs w:val="24"/>
        </w:rPr>
        <w:t>erty subject to a nonrecourse obligation at a time when the fmv of the underlying property is less than the principal of the nonr</w:t>
      </w:r>
      <w:r w:rsidRPr="00576ED7">
        <w:rPr>
          <w:szCs w:val="24"/>
        </w:rPr>
        <w:t>e</w:t>
      </w:r>
      <w:r w:rsidRPr="00576ED7">
        <w:rPr>
          <w:szCs w:val="24"/>
        </w:rPr>
        <w:t>course obligation.</w:t>
      </w:r>
    </w:p>
    <w:p w:rsidR="0049128E" w:rsidRPr="00576ED7" w:rsidRDefault="0049128E" w:rsidP="00A6585D">
      <w:pPr>
        <w:widowControl w:val="0"/>
        <w:ind w:left="2160"/>
        <w:jc w:val="both"/>
        <w:rPr>
          <w:szCs w:val="24"/>
        </w:rPr>
      </w:pPr>
      <w:r w:rsidRPr="00576ED7">
        <w:rPr>
          <w:szCs w:val="24"/>
        </w:rPr>
        <w:t>•What would be the rule if the obligation were a recourse obligation?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 165 permits.  The loss on the sale or surrender of property subject to a non-recourse obligation would be the adjusted basis in the property minus its fmv.  Prior to </w:t>
      </w:r>
      <w:r w:rsidRPr="00576ED7">
        <w:rPr>
          <w:i/>
          <w:szCs w:val="24"/>
        </w:rPr>
        <w:t>Tufts</w:t>
      </w:r>
      <w:r w:rsidRPr="00576ED7">
        <w:rPr>
          <w:szCs w:val="24"/>
        </w:rPr>
        <w:t>, this was the position many taxpayers took upon sale or surrender of property subject to a nonrecourse obligation because</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 xml:space="preserve">[t]he return of a note which represents no personal liability of a taxpayer does not free any assets except those from which the note might otherwise have been paid. Since the </w:t>
      </w:r>
      <w:r w:rsidRPr="00576ED7">
        <w:rPr>
          <w:szCs w:val="24"/>
        </w:rPr>
        <w:lastRenderedPageBreak/>
        <w:t>underlying theory of income from cancellation of indebte</w:t>
      </w:r>
      <w:r w:rsidRPr="00576ED7">
        <w:rPr>
          <w:szCs w:val="24"/>
        </w:rPr>
        <w:t>d</w:t>
      </w:r>
      <w:r w:rsidRPr="00576ED7">
        <w:rPr>
          <w:szCs w:val="24"/>
        </w:rPr>
        <w:t>ness is the freeing of the debtor's assets from liability for the debt, any such income is limited to the amount of assets freed by the cancellation.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•How does the treatment that taxpayers routinely accorded loss property subject to a nonrecourse obligation violate the first gui</w:t>
      </w:r>
      <w:r w:rsidRPr="00576ED7">
        <w:rPr>
          <w:szCs w:val="24"/>
        </w:rPr>
        <w:t>d</w:t>
      </w:r>
      <w:r w:rsidRPr="00576ED7">
        <w:rPr>
          <w:szCs w:val="24"/>
        </w:rPr>
        <w:t xml:space="preserve">ing principle of the income tax noted in chapter 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•Notice the contention of the taxpayer in the following important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On August 1, 1970, respondent Clark Pelt, a builder, and his wholly owned corp</w:t>
      </w:r>
      <w:r w:rsidRPr="00576ED7">
        <w:rPr>
          <w:szCs w:val="24"/>
        </w:rPr>
        <w:t>o</w:t>
      </w:r>
      <w:r w:rsidRPr="00576ED7">
        <w:rPr>
          <w:szCs w:val="24"/>
        </w:rPr>
        <w:t>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w:t>
      </w:r>
      <w:r w:rsidRPr="00576ED7">
        <w:rPr>
          <w:szCs w:val="24"/>
        </w:rPr>
        <w:t>e</w:t>
      </w:r>
      <w:r w:rsidRPr="00576ED7">
        <w:rPr>
          <w:szCs w:val="24"/>
        </w:rPr>
        <w:t>ment with the Farm &amp; Home Savings Association (F&amp;H).  Under the agreement, F&amp;H was committed for a $1,851,500 loan for the complex.  In return, the par</w:t>
      </w:r>
      <w:r w:rsidRPr="00576ED7">
        <w:rPr>
          <w:szCs w:val="24"/>
        </w:rPr>
        <w:t>t</w:t>
      </w:r>
      <w:r w:rsidRPr="00576ED7">
        <w:rPr>
          <w:szCs w:val="24"/>
        </w:rPr>
        <w:t>nership executed a note and a deed of trust in favor of F&amp;H.  The partnership o</w:t>
      </w:r>
      <w:r w:rsidRPr="00576ED7">
        <w:rPr>
          <w:szCs w:val="24"/>
        </w:rPr>
        <w:t>b</w:t>
      </w:r>
      <w:r w:rsidRPr="00576ED7">
        <w:rPr>
          <w:szCs w:val="24"/>
        </w:rPr>
        <w:t>tained the loan on a nonrecourse basis: neither the partnership nor its partners a</w:t>
      </w:r>
      <w:r w:rsidRPr="00576ED7">
        <w:rPr>
          <w:szCs w:val="24"/>
        </w:rPr>
        <w:t>s</w:t>
      </w:r>
      <w:r w:rsidRPr="00576ED7">
        <w:rPr>
          <w:szCs w:val="24"/>
        </w:rPr>
        <w:t>sumed any personal liability for repayment of the loan.  Pelt later admitted four friends and relatives, respondents Tufts, Steger, Stephens, and Austin, as general partners.  None of them contributed capital upon entering the partnership.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w:t>
      </w:r>
      <w:r w:rsidRPr="00576ED7">
        <w:rPr>
          <w:szCs w:val="24"/>
        </w:rPr>
        <w:t>v</w:t>
      </w:r>
      <w:r w:rsidRPr="00576ED7">
        <w:rPr>
          <w:szCs w:val="24"/>
        </w:rPr>
        <w:t>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w:t>
      </w:r>
      <w:r w:rsidRPr="00576ED7">
        <w:rPr>
          <w:szCs w:val="24"/>
        </w:rPr>
        <w:t>e</w:t>
      </w:r>
      <w:r w:rsidRPr="00576ED7">
        <w:rPr>
          <w:szCs w:val="24"/>
        </w:rPr>
        <w:t>ductions, the partnership’s adjusted basis in the property in August, 1972, was $1,455,740.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w:t>
      </w:r>
      <w:r w:rsidRPr="00576ED7">
        <w:rPr>
          <w:szCs w:val="24"/>
        </w:rPr>
        <w:t>r</w:t>
      </w:r>
      <w:r w:rsidRPr="00576ED7">
        <w:rPr>
          <w:szCs w:val="24"/>
        </w:rPr>
        <w:t>ty, Fred Bayles.  As consideration, Bayles agreed to reimburse each partner’s sale expenses up to $250; he also assumed the nonrecourse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date of transfer, the fair market value of the property did not exceed $1,400,000.  Each partner reported the sale on his federal income tax return and indicated that a partnership loss of $55,740 had been sustained.</w:t>
      </w:r>
      <w:r w:rsidRPr="00576ED7">
        <w:rPr>
          <w:rStyle w:val="FootnoteReference"/>
          <w:szCs w:val="24"/>
        </w:rPr>
        <w:footnoteReference w:id="65"/>
      </w:r>
      <w:r w:rsidRPr="00576ED7">
        <w:rPr>
          <w:szCs w:val="24"/>
        </w:rPr>
        <w:t xml:space="preserve">  The Commi</w:t>
      </w:r>
      <w:r w:rsidRPr="00576ED7">
        <w:rPr>
          <w:szCs w:val="24"/>
        </w:rPr>
        <w:t>s</w:t>
      </w:r>
      <w:r w:rsidRPr="00576ED7">
        <w:rPr>
          <w:szCs w:val="24"/>
        </w:rPr>
        <w:t>sioner of Internal Revenue, on audit, determined that the sale resulted in a par</w:t>
      </w:r>
      <w:r w:rsidRPr="00576ED7">
        <w:rPr>
          <w:szCs w:val="24"/>
        </w:rPr>
        <w:t>t</w:t>
      </w:r>
      <w:r w:rsidRPr="00576ED7">
        <w:rPr>
          <w:szCs w:val="24"/>
        </w:rPr>
        <w:t>nership capital gain of approximately $400,000.  His theory was that the partne</w:t>
      </w:r>
      <w:r w:rsidRPr="00576ED7">
        <w:rPr>
          <w:szCs w:val="24"/>
        </w:rPr>
        <w:t>r</w:t>
      </w:r>
      <w:r w:rsidRPr="00576ED7">
        <w:rPr>
          <w:szCs w:val="24"/>
        </w:rPr>
        <w:t>ship had realized the full amount of the nonrecourse obligation.</w:t>
      </w:r>
      <w:r w:rsidRPr="00576ED7">
        <w:rPr>
          <w:rStyle w:val="FootnoteReference"/>
          <w:szCs w:val="24"/>
        </w:rPr>
        <w:footnoteReference w:id="6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xml:space="preserve">, 439 U.S. 1046 (1978), the United States Tax Court, in an unreviewed decision, upheld the asserted deficiencies.  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lastRenderedPageBreak/>
        <w:t>Crane v. Commissioner</w:t>
      </w:r>
      <w:r w:rsidRPr="00576ED7">
        <w:rPr>
          <w:szCs w:val="24"/>
        </w:rPr>
        <w:t xml:space="preserve">, </w:t>
      </w:r>
      <w:r w:rsidRPr="00576ED7">
        <w:rPr>
          <w:i/>
          <w:szCs w:val="24"/>
        </w:rPr>
        <w:t>supra</w:t>
      </w:r>
      <w:r w:rsidRPr="00576ED7">
        <w:rPr>
          <w:szCs w:val="24"/>
        </w:rPr>
        <w:t>, to its facts, questioned the theoretical underpi</w:t>
      </w:r>
      <w:r w:rsidRPr="00576ED7">
        <w:rPr>
          <w:szCs w:val="24"/>
        </w:rPr>
        <w:t>n</w:t>
      </w:r>
      <w:r w:rsidRPr="00576ED7">
        <w:rPr>
          <w:szCs w:val="24"/>
        </w:rPr>
        <w:t xml:space="preserve">nings of the </w:t>
      </w:r>
      <w:r w:rsidRPr="00576ED7">
        <w:rPr>
          <w:i/>
          <w:szCs w:val="24"/>
        </w:rPr>
        <w:t>Crane</w:t>
      </w:r>
      <w:r w:rsidRPr="00576ED7">
        <w:rPr>
          <w:szCs w:val="24"/>
        </w:rPr>
        <w:t xml:space="preserve"> decision.  We granted certiorari to resolve the conflict.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Section 1001 governs the determination of gains and losses on the disposition of property.  Under § 1001(a), the gain or loss from a sale or other disposition of property is defined as the difference between “the amount realized” on the disp</w:t>
      </w:r>
      <w:r w:rsidRPr="00576ED7">
        <w:rPr>
          <w:szCs w:val="24"/>
        </w:rPr>
        <w:t>o</w:t>
      </w:r>
      <w:r w:rsidRPr="00576ED7">
        <w:rPr>
          <w:szCs w:val="24"/>
        </w:rPr>
        <w:t>sition and the property’s adjusted basis.  Subsection (b) of § 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321DB3">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w:t>
      </w:r>
      <w:r w:rsidRPr="00576ED7">
        <w:rPr>
          <w:szCs w:val="24"/>
        </w:rPr>
        <w:t>n</w:t>
      </w:r>
      <w:r w:rsidRPr="00576ED7">
        <w:rPr>
          <w:szCs w:val="24"/>
        </w:rPr>
        <w:t>der the will of her deceased husband.  At his death in January, 1932, he owned an apartment building that was then mortgaged for an amount which proved to be equal to its fair market value, as determined for federal estate tax purposes.  The widow, of course, was not personally liable on the mortgage.  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full amount of the mortgage debt.  In November, 1938, with her hopes unfu</w:t>
      </w:r>
      <w:r w:rsidRPr="00576ED7">
        <w:rPr>
          <w:szCs w:val="24"/>
        </w:rPr>
        <w:t>l</w:t>
      </w:r>
      <w:r w:rsidRPr="00576ED7">
        <w:rPr>
          <w:szCs w:val="24"/>
        </w:rPr>
        <w:t>filled and the mortgagee threatening foreclosure, Mrs. Crane sold the building.  The purchaser took the property subject to the mortgage and paid Crane $3,000; of that amount, $500 went for the expenses of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w:t>
      </w:r>
      <w:r w:rsidRPr="00576ED7">
        <w:rPr>
          <w:szCs w:val="24"/>
        </w:rPr>
        <w:t>n</w:t>
      </w:r>
      <w:r w:rsidRPr="00576ED7">
        <w:rPr>
          <w:szCs w:val="24"/>
        </w:rPr>
        <w:t>cluding the amount of the mortgage) and that the amount she realized from the sale was simply the cash she received.  The Commissioner disputed this claim.  He asserted that Crane’s basis in the property, under [what is now § 1014] was the property’s fair market value at the time of her husband’s death, adjusted for d</w:t>
      </w:r>
      <w:r w:rsidRPr="00576ED7">
        <w:rPr>
          <w:szCs w:val="24"/>
        </w:rPr>
        <w:t>e</w:t>
      </w:r>
      <w:r w:rsidRPr="00576ED7">
        <w:rPr>
          <w:szCs w:val="24"/>
        </w:rPr>
        <w:t>preciation in the interim, and that the amount realized was the net cash received plus the amount of the outstanding mortgage assumed by the purchaser.</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64384" behindDoc="0" locked="0" layoutInCell="0" allowOverlap="1" wp14:anchorId="1DA91559" wp14:editId="7AA4B359">
                <wp:simplePos x="0" y="0"/>
                <wp:positionH relativeFrom="margin">
                  <wp:posOffset>2058670</wp:posOffset>
                </wp:positionH>
                <wp:positionV relativeFrom="paragraph">
                  <wp:posOffset>635</wp:posOffset>
                </wp:positionV>
                <wp:extent cx="2971800" cy="1310005"/>
                <wp:effectExtent l="0" t="0" r="0" b="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000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162.1pt;margin-top:.05pt;width:234pt;height:103.1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0WLAIAAFwEAAAOAAAAZHJzL2Uyb0RvYy54bWysVNtu2zAMfR+wfxD0vtjOujQ14hRdugwD&#10;ugvQ7gNkWY6FSaImKbGzry8lu2l2exnmB0GUqMPDQ9Kr60ErchDOSzAVLWY5JcJwaKTZVfTrw/bV&#10;khIfmGmYAiMqehSeXq9fvlj1thRz6EA1whEEMb7sbUW7EGyZZZ53QjM/AysMXrbgNAtoul3WONYj&#10;ulbZPM8XWQ+usQ648B5Pb8dLuk74bSt4+Ny2XgSiKorcQlpdWuu4ZusVK3eO2U7yiQb7BxaaSYNB&#10;T1C3LDCyd/I3KC25Aw9tmHHQGbSt5CLlgNkU+S/Z3HfMipQLiuPtSSb//2D5p8MXR2RT0UuUxzCN&#10;NXoQQyBvYSAXy6hPb32JbvcWHcOA51jnlKu3d8C/eWJg0zGzEzfOQd8J1iC/Ir7Mzp6OOD6C1P1H&#10;aDAO2wdIQEPrdBQP5SCIjkSOp9pELhwP51eXxTLHK453xesiz/M3KQYrn55b58N7AZrETUUdFj/B&#10;s8OdD5EOK59cYjQPSjZbqVQy3K7eKEcODBtlm74J/Sc3ZUiP4efF1XyU4K8YyA+/P2FoGbDlldQV&#10;xYQmJ1ZG4d6ZJjVkYFKNe+SszKRkFG+UMQz1kIp2sYgRosw1NEfU1sHY4jiSuOnA/aCkx/auqP++&#10;Z05Qoj4YrM/lAqcH5+HccOdGfW4wwxGqooGScbsJ4wztrZO7DiONHWHgBmvayqT2M6uJP7ZwKsI0&#10;bnFGzu3k9fxTWD8CAAD//wMAUEsDBBQABgAIAAAAIQB4rjIm2gAAAAgBAAAPAAAAZHJzL2Rvd25y&#10;ZXYueG1sTI/BTsMwEETvSPyDtUjcqIOpCoQ4FYrEvQlFcHTjJY6I1yF2m/D3bE9wHL3R7Ntiu/hB&#10;nHCKfSANt6sMBFIbbE+dhv3ry80DiJgMWTMEQg0/GGFbXl4UJrdhphpPTeoEj1DMjQaX0phLGVuH&#10;3sRVGJGYfYbJm8Rx6qSdzMzjfpAqyzbSm574gjMjVg7br+boNYS6rt5U8717r2ZbdfNuSeOH0/r6&#10;anl+ApFwSX9lOOuzOpTsdAhHslEMGu7UWnH1DATj+0fF8aBBZZs1yLKQ/x8ofwEAAP//AwBQSwEC&#10;LQAUAAYACAAAACEAtoM4kv4AAADhAQAAEwAAAAAAAAAAAAAAAAAAAAAAW0NvbnRlbnRfVHlwZXNd&#10;LnhtbFBLAQItABQABgAIAAAAIQA4/SH/1gAAAJQBAAALAAAAAAAAAAAAAAAAAC8BAABfcmVscy8u&#10;cmVsc1BLAQItABQABgAIAAAAIQA7iK0WLAIAAFwEAAAOAAAAAAAAAAAAAAAAAC4CAABkcnMvZTJv&#10;RG9jLnhtbFBLAQItABQABgAIAAAAIQB4rjIm2gAAAAgBAAAPAAAAAAAAAAAAAAAAAIYEAABkcnMv&#10;ZG93bnJldi54bWxQSwUGAAAAAAQABADzAAAAjQU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w:t>
                      </w:r>
                      <w:r>
                        <w:rPr>
                          <w:rFonts w:ascii="Tw Cen MT" w:hAnsi="Tw Cen MT"/>
                        </w:rPr>
                        <w:t>y</w:t>
                      </w:r>
                      <w:r>
                        <w:rPr>
                          <w:rFonts w:ascii="Tw Cen MT" w:hAnsi="Tw Cen MT"/>
                        </w:rPr>
                        <w:t>er’s ownership interest.  If the property is su</w:t>
                      </w:r>
                      <w:r>
                        <w:rPr>
                          <w:rFonts w:ascii="Tw Cen MT" w:hAnsi="Tw Cen MT"/>
                        </w:rPr>
                        <w:t>b</w:t>
                      </w:r>
                      <w:r>
                        <w:rPr>
                          <w:rFonts w:ascii="Tw Cen MT" w:hAnsi="Tw Cen MT"/>
                        </w:rPr>
                        <w:t>ject to a liability, then taxpayer’s equity i</w:t>
                      </w:r>
                      <w:r>
                        <w:rPr>
                          <w:rFonts w:ascii="Tw Cen MT" w:hAnsi="Tw Cen MT"/>
                        </w:rPr>
                        <w:t>n</w:t>
                      </w:r>
                      <w:r>
                        <w:rPr>
                          <w:rFonts w:ascii="Tw Cen MT" w:hAnsi="Tw Cen MT"/>
                        </w:rPr>
                        <w:t>terest EQUALS the fmv of the property MINUS the liability to which the property is subject.</w:t>
                      </w:r>
                    </w:p>
                  </w:txbxContent>
                </v:textbox>
                <w10:wrap type="square" side="largest" anchorx="margin"/>
              </v:shape>
            </w:pict>
          </mc:Fallback>
        </mc:AlternateContent>
      </w:r>
      <w:r w:rsidR="0049128E" w:rsidRPr="00576ED7">
        <w:rPr>
          <w:szCs w:val="24"/>
        </w:rPr>
        <w:t>In upholding the Commissio</w:t>
      </w:r>
      <w:r w:rsidR="0049128E" w:rsidRPr="00576ED7">
        <w:rPr>
          <w:szCs w:val="24"/>
        </w:rPr>
        <w:t>n</w:t>
      </w:r>
      <w:r w:rsidR="0049128E" w:rsidRPr="00576ED7">
        <w:rPr>
          <w:szCs w:val="24"/>
        </w:rPr>
        <w:t>er’s interpretation of § [1014] [footnote omitted], the Court observed that to regard merely the taxpayer’s equity in the property as her basis would lead to depreciation deductions less than the actual physical det</w:t>
      </w:r>
      <w:r w:rsidR="0049128E" w:rsidRPr="00576ED7">
        <w:rPr>
          <w:szCs w:val="24"/>
        </w:rPr>
        <w:t>e</w:t>
      </w:r>
      <w:r w:rsidR="0049128E" w:rsidRPr="00576ED7">
        <w:rPr>
          <w:szCs w:val="24"/>
        </w:rPr>
        <w:t>rioration of the property, and would require the basis to be recomputed with each payment on the mortgage.  The Court rejected Crane’s claim that any loss due to depreciation belonged to the mortgagee.  The effect of the Court’s ruling was that the taxpayer’s basis was the value of the property undiminished by the mortgage.</w:t>
      </w:r>
    </w:p>
    <w:p w:rsidR="0049128E" w:rsidRPr="00576ED7" w:rsidRDefault="0049128E" w:rsidP="00A6585D">
      <w:pPr>
        <w:widowControl w:val="0"/>
        <w:jc w:val="both"/>
        <w:rPr>
          <w:szCs w:val="24"/>
        </w:rPr>
      </w:pPr>
    </w:p>
    <w:p w:rsidR="0049128E" w:rsidRPr="00576ED7" w:rsidRDefault="00321DB3" w:rsidP="00A6585D">
      <w:pPr>
        <w:widowControl w:val="0"/>
        <w:jc w:val="both"/>
        <w:rPr>
          <w:szCs w:val="24"/>
        </w:rPr>
      </w:pPr>
      <w:r w:rsidRPr="00576ED7">
        <w:rPr>
          <w:noProof/>
          <w:szCs w:val="24"/>
        </w:rPr>
        <mc:AlternateContent>
          <mc:Choice Requires="wps">
            <w:drawing>
              <wp:anchor distT="152400" distB="152400" distL="152400" distR="152400" simplePos="0" relativeHeight="251665408" behindDoc="0" locked="0" layoutInCell="0" allowOverlap="1" wp14:anchorId="1B814A21" wp14:editId="4A05A3F0">
                <wp:simplePos x="0" y="0"/>
                <wp:positionH relativeFrom="margin">
                  <wp:posOffset>2058670</wp:posOffset>
                </wp:positionH>
                <wp:positionV relativeFrom="paragraph">
                  <wp:posOffset>46355</wp:posOffset>
                </wp:positionV>
                <wp:extent cx="2971800" cy="1866265"/>
                <wp:effectExtent l="0" t="0" r="19050" b="1968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6626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162.1pt;margin-top:3.65pt;width:234pt;height:146.9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wOLAIAAFwEAAAOAAAAZHJzL2Uyb0RvYy54bWysVNtu2zAMfR+wfxD0vviCzmmMOEWXLsOA&#10;7gK0+wBZlm1hsqhJSuzs60fJaZrdXobpQSAl6pA8JLW+mQZFDsI6Cbqi2SKlRGgOjdRdRb887l5d&#10;U+I80w1ToEVFj8LRm83LF+vRlCKHHlQjLEEQ7crRVLT33pRJ4ngvBuYWYITGyxbswDyqtksay0ZE&#10;H1SSp2mRjGAbY4EL5/D0br6km4jftoL7T23rhCeqohibj7uNex32ZLNmZWeZ6SU/hcH+IYqBSY1O&#10;z1B3zDOyt/I3qEFyCw5av+AwJNC2kouYA2aTpb9k89AzI2IuSI4zZ5rc/4PlHw+fLZFNRYsVJZoN&#10;WKNHMXnyBiZytQr8jMaVaPZg0NBPeI51jrk6cw/8qyMatj3Tnbi1FsZesAbjy8LL5OLpjOMCSD1+&#10;gAb9sL2HCDS1dgjkIR0E0bFOx3NtQiwcD/PVMrtO8YrjXXZdFHnxOvpg5dNzY51/J2AgQaioxeJH&#10;eHa4dz6Ew8onk+DNgZLNTioVFdvVW2XJgWGj7OI6of9kpjQZ0X2erfKZgr9ipHH9CWOQHlteyaGi&#10;mBCuYMTKQNxb3UTZM6lmGWNW+sRkIG+m0U/1FIt2tQyPA801NEfk1sLc4jiSKPRgv1MyYntX1H3b&#10;MysoUe811mdZ4PTgPFwq9lKpLxWmOUJV1FMyi1s/z9DeWNn16GnuCA23WNNWRrafozrFjy0ci3Aa&#10;tzAjl3q0ev4UNj8AAAD//wMAUEsDBBQABgAIAAAAIQDHY7Mp2wAAAAkBAAAPAAAAZHJzL2Rvd25y&#10;ZXYueG1sTI/BTsMwEETvSPyDtUjcqFMXUQhxKhSJexOK4OjGSxwRr0PsNuHvWU5wHL3R7Ntit/hB&#10;nHGKfSAN61UGAqkNtqdOw+Hl+eYeREyGrBkCoYZvjLArLy8Kk9swU43nJnWCRyjmRoNLacyljK1D&#10;b+IqjEjMPsLkTeI4ddJOZuZxP0iVZXfSm574gjMjVg7bz+bkNYS6rl5V87V/q2ZbdfN+SeO70/r6&#10;anl6BJFwSX9l+NVndSjZ6RhOZKMYNGzUreKqhu0GBPPtg+J8ZJCtFciykP8/KH8AAAD//wMAUEsB&#10;Ai0AFAAGAAgAAAAhALaDOJL+AAAA4QEAABMAAAAAAAAAAAAAAAAAAAAAAFtDb250ZW50X1R5cGVz&#10;XS54bWxQSwECLQAUAAYACAAAACEAOP0h/9YAAACUAQAACwAAAAAAAAAAAAAAAAAvAQAAX3JlbHMv&#10;LnJlbHNQSwECLQAUAAYACAAAACEAWJicDiwCAABcBAAADgAAAAAAAAAAAAAAAAAuAgAAZHJzL2Uy&#10;b0RvYy54bWxQSwECLQAUAAYACAAAACEAx2OzKdsAAAAJAQAADwAAAAAAAAAAAAAAAACGBAAAZHJz&#10;L2Rvd25yZXYueG1sUEsFBgAAAAAEAAQA8wAAAI4FA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Boot</w:t>
                      </w:r>
                      <w:r>
                        <w:rPr>
                          <w:rFonts w:ascii="Tw Cen MT" w:hAnsi="Tw Cen MT"/>
                        </w:rPr>
                        <w:t>: The term “boot” comes from the idioma</w:t>
                      </w:r>
                      <w:r>
                        <w:rPr>
                          <w:rFonts w:ascii="Tw Cen MT" w:hAnsi="Tw Cen MT"/>
                        </w:rPr>
                        <w:t>t</w:t>
                      </w:r>
                      <w:r>
                        <w:rPr>
                          <w:rFonts w:ascii="Tw Cen MT" w:hAnsi="Tw Cen MT"/>
                        </w:rPr>
                        <w: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v:textbox>
                <w10:wrap type="square" side="largest" anchorx="margin"/>
              </v:shape>
            </w:pict>
          </mc:Fallback>
        </mc:AlternateContent>
      </w:r>
      <w:r w:rsidR="0049128E" w:rsidRPr="00576ED7">
        <w:rPr>
          <w:szCs w:val="24"/>
        </w:rPr>
        <w:t>The Court next proceeded to determine the amount realized under [what is now § 1001(b)].   In order to avoid the “absurd</w:t>
      </w:r>
      <w:r w:rsidR="0049128E" w:rsidRPr="00576ED7">
        <w:rPr>
          <w:szCs w:val="24"/>
        </w:rPr>
        <w:t>i</w:t>
      </w:r>
      <w:r w:rsidR="0049128E" w:rsidRPr="00576ED7">
        <w:rPr>
          <w:szCs w:val="24"/>
        </w:rPr>
        <w:t>ty,” of Crane’s realizing only $2,500 on the sale of property worth over a quarter of a mi</w:t>
      </w:r>
      <w:r w:rsidR="0049128E" w:rsidRPr="00576ED7">
        <w:rPr>
          <w:szCs w:val="24"/>
        </w:rPr>
        <w:t>l</w:t>
      </w:r>
      <w:r w:rsidR="0049128E" w:rsidRPr="00576ED7">
        <w:rPr>
          <w:szCs w:val="24"/>
        </w:rPr>
        <w:t>lion dollars, the Court treated the amount realized as it had treated basis, that is, by inclu</w:t>
      </w:r>
      <w:r w:rsidR="0049128E" w:rsidRPr="00576ED7">
        <w:rPr>
          <w:szCs w:val="24"/>
        </w:rPr>
        <w:t>d</w:t>
      </w:r>
      <w:r w:rsidR="0049128E" w:rsidRPr="00576ED7">
        <w:rPr>
          <w:szCs w:val="24"/>
        </w:rPr>
        <w:t>ing the outstanding value of the mortgage.  To do otherwise would have permitted Crane to recognize a tax loss unconnected with any actual economic loss.  The Court refused to construe one section of the Revenue Act so as “to frustrate the Act as a whole.”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however, insisted that the nonrecourse nature of the mortgage required di</w:t>
      </w:r>
      <w:r w:rsidRPr="00576ED7">
        <w:rPr>
          <w:szCs w:val="24"/>
        </w:rPr>
        <w:t>f</w:t>
      </w:r>
      <w:r w:rsidRPr="00576ED7">
        <w:rPr>
          <w:szCs w:val="24"/>
        </w:rPr>
        <w:t>ferent treatment.  The Court, for two reasons, disagreed.  First, excluding the no</w:t>
      </w:r>
      <w:r w:rsidRPr="00576ED7">
        <w:rPr>
          <w:szCs w:val="24"/>
        </w:rPr>
        <w:t>n</w:t>
      </w:r>
      <w:r w:rsidRPr="00576ED7">
        <w:rPr>
          <w:szCs w:val="24"/>
        </w:rPr>
        <w:t>recourse debt from the amount realized would result in the same absurdity and frustration of the Code.  Second, the Court concluded that Crane obtained an ec</w:t>
      </w:r>
      <w:r w:rsidRPr="00576ED7">
        <w:rPr>
          <w:szCs w:val="24"/>
        </w:rPr>
        <w:t>o</w:t>
      </w:r>
      <w:r w:rsidRPr="00576ED7">
        <w:rPr>
          <w:szCs w:val="24"/>
        </w:rPr>
        <w:t>nomic benefit from the purchaser’s assumption of the mortgage identical to the benefit conferred by the cancellation of personal debt.  Because the value of the property in that case exceeded the amount of the mortgage, it was in Crane’s ec</w:t>
      </w:r>
      <w:r w:rsidRPr="00576ED7">
        <w:rPr>
          <w:szCs w:val="24"/>
        </w:rPr>
        <w:t>o</w:t>
      </w:r>
      <w:r w:rsidRPr="00576ED7">
        <w:rPr>
          <w:szCs w:val="24"/>
        </w:rPr>
        <w:t xml:space="preserve">nomic interest to treat the mortgage as a personal obligation; only by so doing could she realize upon sale the appreciation in her equity represented by the </w:t>
      </w:r>
      <w:r w:rsidRPr="00576ED7">
        <w:rPr>
          <w:szCs w:val="24"/>
        </w:rPr>
        <w:lastRenderedPageBreak/>
        <w:t>$2,500 boot.  The purchaser’s assumption of the liability thus resulted in a taxable economic benefit to her, just as if she had been given, in addition to the boot, a sum of cash sufficient to satisfy the mortgage.</w:t>
      </w:r>
      <w:r w:rsidRPr="00576ED7">
        <w:rPr>
          <w:rStyle w:val="FootnoteReference"/>
          <w:szCs w:val="24"/>
        </w:rPr>
        <w:footnoteReference w:id="67"/>
      </w:r>
    </w:p>
    <w:p w:rsidR="0049128E" w:rsidRPr="00576ED7" w:rsidRDefault="0049128E" w:rsidP="00A6585D">
      <w:pPr>
        <w:widowControl w:val="0"/>
        <w:jc w:val="both"/>
        <w:rPr>
          <w:szCs w:val="24"/>
        </w:rPr>
      </w:pPr>
      <w:r w:rsidRPr="00576ED7">
        <w:rPr>
          <w:szCs w:val="24"/>
        </w:rPr>
        <w:t>In a footnote, pertinent to the present case, the Court observed:</w:t>
      </w:r>
    </w:p>
    <w:p w:rsidR="0049128E" w:rsidRPr="00576ED7" w:rsidRDefault="0049128E" w:rsidP="00A6585D">
      <w:pPr>
        <w:widowControl w:val="0"/>
        <w:jc w:val="both"/>
        <w:rPr>
          <w:szCs w:val="24"/>
        </w:rPr>
      </w:pPr>
    </w:p>
    <w:p w:rsidR="0049128E" w:rsidRPr="00576ED7" w:rsidRDefault="0049128E" w:rsidP="00321DB3">
      <w:pPr>
        <w:widowControl w:val="0"/>
        <w:ind w:left="720"/>
        <w:jc w:val="both"/>
        <w:rPr>
          <w:szCs w:val="24"/>
        </w:rPr>
      </w:pPr>
      <w:r w:rsidRPr="00576ED7">
        <w:rPr>
          <w:szCs w:val="24"/>
        </w:rPr>
        <w:t>“Obviously, if the value of the property is less than the amount of the mortgage, a mortgagor who is not personally liable cannot realize a benefit equal to the mortgage.  Consequently, a different problem might be e</w:t>
      </w:r>
      <w:r w:rsidRPr="00576ED7">
        <w:rPr>
          <w:szCs w:val="24"/>
        </w:rPr>
        <w:t>n</w:t>
      </w:r>
      <w:r w:rsidRPr="00576ED7">
        <w:rPr>
          <w:szCs w:val="24"/>
        </w:rPr>
        <w:t>countered where a mortgagor abandoned the property or transferred it su</w:t>
      </w:r>
      <w:r w:rsidRPr="00576ED7">
        <w:rPr>
          <w:szCs w:val="24"/>
        </w:rPr>
        <w:t>b</w:t>
      </w:r>
      <w:r w:rsidRPr="00576ED7">
        <w:rPr>
          <w:szCs w:val="24"/>
        </w:rPr>
        <w:t>ject to the mortgage without receiving boot.  That is not this case.”</w:t>
      </w:r>
      <w:r w:rsidR="00321DB3">
        <w:rPr>
          <w:szCs w:val="24"/>
        </w:rPr>
        <w:t xml:space="preserve">  </w:t>
      </w:r>
      <w:r w:rsidRPr="00576ED7">
        <w:rPr>
          <w:szCs w:val="24"/>
        </w:rPr>
        <w:t>331 U.S. at 14, n. 37.</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This case presents that unresolved issue.  We are disinclined to overrule </w:t>
      </w:r>
      <w:r w:rsidRPr="00576ED7">
        <w:rPr>
          <w:i/>
          <w:szCs w:val="24"/>
        </w:rPr>
        <w:t>Crane</w:t>
      </w:r>
      <w:r w:rsidRPr="00576ED7">
        <w:rPr>
          <w:szCs w:val="24"/>
        </w:rPr>
        <w:t>, and we conclude that the same rule applies when the unpaid amount of the nonr</w:t>
      </w:r>
      <w:r w:rsidRPr="00576ED7">
        <w:rPr>
          <w:szCs w:val="24"/>
        </w:rPr>
        <w:t>e</w:t>
      </w:r>
      <w:r w:rsidRPr="00576ED7">
        <w:rPr>
          <w:szCs w:val="24"/>
        </w:rPr>
        <w:t xml:space="preserve">course mortgage exceeds the value of the property transferred.  </w:t>
      </w:r>
      <w:r w:rsidRPr="00576ED7">
        <w:rPr>
          <w:i/>
          <w:szCs w:val="24"/>
        </w:rPr>
        <w:t>Crane</w:t>
      </w:r>
      <w:r w:rsidRPr="00576ED7">
        <w:rPr>
          <w:szCs w:val="24"/>
        </w:rPr>
        <w:t xml:space="preserve"> ultimately does not rest on its limited theory of economic benefit; instead, we read </w:t>
      </w:r>
      <w:r w:rsidRPr="00576ED7">
        <w:rPr>
          <w:i/>
          <w:szCs w:val="24"/>
        </w:rPr>
        <w:t>Crane</w:t>
      </w:r>
      <w:r w:rsidRPr="00576ED7">
        <w:rPr>
          <w:szCs w:val="24"/>
        </w:rPr>
        <w:t xml:space="preserve"> to have approved the Commissioner’s decision to treat a nonrecourse mortgage in this context as a true loan.  This approval underlies </w:t>
      </w:r>
      <w:r w:rsidRPr="00576ED7">
        <w:rPr>
          <w:i/>
          <w:szCs w:val="24"/>
        </w:rPr>
        <w:t>Crane</w:t>
      </w:r>
      <w:r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consequence to the taxpayer from this obligation occurs when the ta</w:t>
      </w:r>
      <w:r w:rsidRPr="00576ED7">
        <w:rPr>
          <w:szCs w:val="24"/>
        </w:rPr>
        <w:t>x</w:t>
      </w:r>
      <w:r w:rsidRPr="00576ED7">
        <w:rPr>
          <w:szCs w:val="24"/>
        </w:rPr>
        <w:t xml:space="preserve">payer applies the loan proceeds to the purchase price of property used to secure the loan.  Because of the obligation to repay, the taxpayer is entitled to include the </w:t>
      </w:r>
      <w:r w:rsidRPr="00576ED7">
        <w:rPr>
          <w:szCs w:val="24"/>
        </w:rPr>
        <w:lastRenderedPageBreak/>
        <w:t>amount of the loan in computing his basis in the property; the loan, under § 1012, is part of the taxpayer’s cost of the property.  Although a different approach might have been taken with respect to a nonrecourse mortgage loan,</w:t>
      </w:r>
      <w:r w:rsidRPr="00576ED7">
        <w:rPr>
          <w:rStyle w:val="FootnoteReference"/>
          <w:szCs w:val="24"/>
        </w:rPr>
        <w:footnoteReference w:id="68"/>
      </w:r>
      <w:r w:rsidRPr="00576ED7">
        <w:rPr>
          <w:szCs w:val="24"/>
        </w:rPr>
        <w:t xml:space="preserve"> the Commissioner has chosen to accord it the same treatment he gives to a recourse mortgage loan.  The Court approved that choice in </w:t>
      </w:r>
      <w:r w:rsidRPr="00576ED7">
        <w:rPr>
          <w:i/>
          <w:szCs w:val="24"/>
        </w:rPr>
        <w:t>Crane</w:t>
      </w:r>
      <w:r w:rsidRPr="00576ED7">
        <w:rPr>
          <w:szCs w:val="24"/>
        </w:rPr>
        <w:t>, and the respondents do not challenge it here.  The choice and its resultant benefits to the taxpayer are predicated on the assumption that the mortgage will be repaid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encumbered property is sold or otherwise disposed of and the purchaser assumes the mortgage, the associated extinguishment of the mortgagor’s oblig</w:t>
      </w:r>
      <w:r w:rsidRPr="00576ED7">
        <w:rPr>
          <w:szCs w:val="24"/>
        </w:rPr>
        <w:t>a</w:t>
      </w:r>
      <w:r w:rsidRPr="00576ED7">
        <w:rPr>
          <w:szCs w:val="24"/>
        </w:rPr>
        <w:t>tion to repay is accounted for in the computation of the amount realized.  [foo</w:t>
      </w:r>
      <w:r w:rsidRPr="00576ED7">
        <w:rPr>
          <w:szCs w:val="24"/>
        </w:rPr>
        <w:t>t</w:t>
      </w:r>
      <w:r w:rsidRPr="00576ED7">
        <w:rPr>
          <w:szCs w:val="24"/>
        </w:rPr>
        <w:t xml:space="preserve">note omitted].  </w:t>
      </w:r>
      <w:r w:rsidRPr="00576ED7">
        <w:rPr>
          <w:i/>
          <w:szCs w:val="24"/>
        </w:rPr>
        <w:t>See</w:t>
      </w:r>
      <w:r w:rsidRPr="00576ED7">
        <w:rPr>
          <w:szCs w:val="24"/>
        </w:rPr>
        <w:t xml:space="preserve"> </w:t>
      </w:r>
      <w:r w:rsidRPr="00576ED7">
        <w:rPr>
          <w:i/>
          <w:szCs w:val="24"/>
        </w:rPr>
        <w:t>United States v. Hendler</w:t>
      </w:r>
      <w:r w:rsidRPr="00576ED7">
        <w:rPr>
          <w:szCs w:val="24"/>
        </w:rPr>
        <w:t>, 303 U.S. 564, 566-567 (1938).  B</w:t>
      </w:r>
      <w:r w:rsidRPr="00576ED7">
        <w:rPr>
          <w:szCs w:val="24"/>
        </w:rPr>
        <w:t>e</w:t>
      </w:r>
      <w:r w:rsidRPr="00576ED7">
        <w:rPr>
          <w:szCs w:val="24"/>
        </w:rPr>
        <w:t xml:space="preserv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w:t>
      </w:r>
      <w:r w:rsidRPr="00576ED7">
        <w:rPr>
          <w:szCs w:val="24"/>
        </w:rPr>
        <w:t>l</w:t>
      </w:r>
      <w:r w:rsidRPr="00576ED7">
        <w:rPr>
          <w:szCs w:val="24"/>
        </w:rPr>
        <w:t>ized upon disposition of the encumbered property.  He thus may include in the amount realized the amount of the nonrecourse mortgage assumed by the pu</w:t>
      </w:r>
      <w:r w:rsidRPr="00576ED7">
        <w:rPr>
          <w:szCs w:val="24"/>
        </w:rPr>
        <w:t>r</w:t>
      </w:r>
      <w:r w:rsidRPr="00576ED7">
        <w:rPr>
          <w:szCs w:val="24"/>
        </w:rPr>
        <w:t xml:space="preserve">chaser.  The rationale for this treatment is that the original inclusion of the amount of the mortgage in basis rested on the assumption that the mortgagor incurred an obligation to repay.  Moreover, this treatment balances the fact that the mortgagor </w:t>
      </w:r>
      <w:r w:rsidRPr="00576ED7">
        <w:rPr>
          <w:szCs w:val="24"/>
        </w:rPr>
        <w:lastRenderedPageBreak/>
        <w:t>originally received the proceeds of the nonrecourse loan tax-free on the same a</w:t>
      </w:r>
      <w:r w:rsidRPr="00576ED7">
        <w:rPr>
          <w:szCs w:val="24"/>
        </w:rPr>
        <w:t>s</w:t>
      </w:r>
      <w:r w:rsidRPr="00576ED7">
        <w:rPr>
          <w:szCs w:val="24"/>
        </w:rPr>
        <w:t>sumption.  Unless the outstanding amount of the mortgage is deemed to be rea</w:t>
      </w:r>
      <w:r w:rsidRPr="00576ED7">
        <w:rPr>
          <w:szCs w:val="24"/>
        </w:rPr>
        <w:t>l</w:t>
      </w:r>
      <w:r w:rsidRPr="00576ED7">
        <w:rPr>
          <w:szCs w:val="24"/>
        </w:rPr>
        <w:t>ized, the mortgagor effectively will have received untaxed income at the time the loan was extended, and will have received an unwarranted increase in the basis of his property.  [footnote omitted].  The Commissioner’s interpretation of § 1001(b) in this fashion cannot be said to be unreasonable.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Pr="00576ED7"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 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w:t>
      </w:r>
      <w:r w:rsidRPr="00576ED7">
        <w:rPr>
          <w:i/>
          <w:szCs w:val="24"/>
        </w:rPr>
        <w:t>e</w:t>
      </w:r>
      <w:r w:rsidRPr="00576ED7">
        <w:rPr>
          <w:i/>
          <w:szCs w:val="24"/>
        </w:rPr>
        <w:t>nied</w:t>
      </w:r>
      <w:r w:rsidRPr="00576ED7">
        <w:rPr>
          <w:szCs w:val="24"/>
        </w:rPr>
        <w:t>, 439 U.S. 1046 (1978);</w:t>
      </w:r>
      <w:r w:rsidRPr="00576ED7">
        <w:rPr>
          <w:rStyle w:val="FootnoteReference"/>
          <w:szCs w:val="24"/>
        </w:rPr>
        <w:footnoteReference w:id="69"/>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Pr="00576ED7">
        <w:rPr>
          <w:rStyle w:val="FootnoteReference"/>
          <w:szCs w:val="24"/>
        </w:rPr>
        <w:footnoteReference w:id="70"/>
      </w:r>
    </w:p>
    <w:p w:rsidR="0049128E" w:rsidRPr="00576ED7" w:rsidRDefault="0049128E" w:rsidP="00A6585D">
      <w:pPr>
        <w:widowControl w:val="0"/>
        <w:jc w:val="both"/>
        <w:rPr>
          <w:szCs w:val="24"/>
        </w:rPr>
      </w:pPr>
      <w:r w:rsidRPr="00576ED7">
        <w:rPr>
          <w:szCs w:val="24"/>
        </w:rPr>
        <w:lastRenderedPageBreak/>
        <w:t>Respondents received a mortgage loan with the concomitant obligation to repay by the year 2012.  The only difference between that mortgage and one on which the borrower is personally liable is that the mortgagee’s remedy is limited to for</w:t>
      </w:r>
      <w:r w:rsidRPr="00576ED7">
        <w:rPr>
          <w:szCs w:val="24"/>
        </w:rPr>
        <w:t>e</w:t>
      </w:r>
      <w:r w:rsidRPr="00576ED7">
        <w:rPr>
          <w:szCs w:val="24"/>
        </w:rPr>
        <w:t>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however, does not erase the fact that the mortgagor received the loan pr</w:t>
      </w:r>
      <w:r w:rsidRPr="00576ED7">
        <w:rPr>
          <w:szCs w:val="24"/>
        </w:rPr>
        <w:t>o</w:t>
      </w:r>
      <w:r w:rsidRPr="00576ED7">
        <w:rPr>
          <w:szCs w:val="24"/>
        </w:rPr>
        <w:t xml:space="preserve">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w:t>
      </w:r>
      <w:r w:rsidRPr="00576ED7">
        <w:rPr>
          <w:i/>
          <w:szCs w:val="24"/>
        </w:rPr>
        <w:t>s</w:t>
      </w:r>
      <w:r w:rsidRPr="00576ED7">
        <w:rPr>
          <w:i/>
          <w:szCs w:val="24"/>
        </w:rPr>
        <w:t>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Pr="00576ED7">
        <w:rPr>
          <w:szCs w:val="24"/>
        </w:rPr>
        <w:t xml:space="preserve">. 277, at 284 n.7 (1978).  When the obligation is canceled, the mortgagor is relieved of his responsibility to repay the sum he originally received, and thus realizes value to that extent within the meaning of § 1001(b).  From the mortgagor’s point of view, when his obligation is assumed by a third party who purchases the encumbered property, it is as if the mortgagor first had been paid with cash borrowed by the third party from the mortgagee on a </w:t>
      </w:r>
      <w:r w:rsidRPr="00576ED7">
        <w:rPr>
          <w:szCs w:val="24"/>
        </w:rPr>
        <w:lastRenderedPageBreak/>
        <w:t>nonrecourse basis, and then had used the cash to satisfy his obligation to the mortgagee.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w:t>
      </w:r>
      <w:r w:rsidRPr="00576ED7">
        <w:rPr>
          <w:szCs w:val="24"/>
        </w:rPr>
        <w:t>e</w:t>
      </w:r>
      <w:r w:rsidRPr="00576ED7">
        <w:rPr>
          <w:szCs w:val="24"/>
        </w:rPr>
        <w:t>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w:t>
      </w:r>
      <w:r w:rsidRPr="00576ED7">
        <w:rPr>
          <w:szCs w:val="24"/>
        </w:rPr>
        <w:t>o</w:t>
      </w:r>
      <w:r w:rsidRPr="00576ED7">
        <w:rPr>
          <w:szCs w:val="24"/>
        </w:rPr>
        <w:t>nomic loss.  [footnote omitted].  Such a result would be to construe “one section of the Act ... so as ... to defeat the intention of another or to frustrate the Act as a whole.” 331 U.S. at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the economic benefit theory did support the Commissioner’s treatment of the nonrecourse mortgage as a personal oblig</w:t>
      </w:r>
      <w:r w:rsidRPr="00576ED7">
        <w:rPr>
          <w:szCs w:val="24"/>
        </w:rPr>
        <w:t>a</w:t>
      </w:r>
      <w:r w:rsidRPr="00576ED7">
        <w:rPr>
          <w:szCs w:val="24"/>
        </w:rPr>
        <w:t xml:space="preserve">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should be treated as a true loan.  We therefore hold that a taxpayer must account for the proceeds of obligations he has received tax-free and included in basis.  Nothing in either § 1001(b) or in the Court’s prior decisions requires the Commissioner to permit a taxpayer to treat a sale of e</w:t>
      </w:r>
      <w:r w:rsidRPr="00576ED7">
        <w:rPr>
          <w:szCs w:val="24"/>
        </w:rPr>
        <w:t>n</w:t>
      </w:r>
      <w:r w:rsidRPr="00576ED7">
        <w:rPr>
          <w:szCs w:val="24"/>
        </w:rPr>
        <w:t>cumbered property asymmetrically, by including the proceeds of the nonrecourse obligation in basis but not accounting for the proceeds upon transfer of the e</w:t>
      </w:r>
      <w:r w:rsidRPr="00576ED7">
        <w:rPr>
          <w:szCs w:val="24"/>
        </w:rPr>
        <w:t>n</w:t>
      </w:r>
      <w:r w:rsidRPr="00576ED7">
        <w:rPr>
          <w:szCs w:val="24"/>
        </w:rPr>
        <w:t>cumbered property.  [citation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When a taxpayer sells or disposes of property encumbered by a nonrecourse obl</w:t>
      </w:r>
      <w:r w:rsidRPr="00576ED7">
        <w:rPr>
          <w:szCs w:val="24"/>
        </w:rPr>
        <w:t>i</w:t>
      </w:r>
      <w:r w:rsidRPr="00576ED7">
        <w:rPr>
          <w:szCs w:val="24"/>
        </w:rPr>
        <w:t>gation, the Commissioner properly requires him to include among the assets rea</w:t>
      </w:r>
      <w:r w:rsidRPr="00576ED7">
        <w:rPr>
          <w:szCs w:val="24"/>
        </w:rPr>
        <w:t>l</w:t>
      </w:r>
      <w:r w:rsidRPr="00576ED7">
        <w:rPr>
          <w:szCs w:val="24"/>
        </w:rPr>
        <w:t>ized the outstanding amount of the obligation.  The fair market value of the pro</w:t>
      </w:r>
      <w:r w:rsidRPr="00576ED7">
        <w:rPr>
          <w:szCs w:val="24"/>
        </w:rPr>
        <w:t>p</w:t>
      </w:r>
      <w:r w:rsidRPr="00576ED7">
        <w:rPr>
          <w:szCs w:val="24"/>
        </w:rPr>
        <w:t xml:space="preserve">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therefore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It is so ordered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O’CONNOR,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w:t>
      </w:r>
      <w:r w:rsidRPr="00576ED7">
        <w:rPr>
          <w:szCs w:val="24"/>
        </w:rPr>
        <w:t>e</w:t>
      </w:r>
      <w:r w:rsidRPr="00576ED7">
        <w:rPr>
          <w:szCs w:val="24"/>
        </w:rPr>
        <w:t>cause the taxpayer also takes out a mortgage, an independent transaction.  In this case, the taxpayer purchased property, using nonrecourse financing, and sold it after it declined in value to a buyer who assumed the mortgage.  There is no ec</w:t>
      </w:r>
      <w:r w:rsidRPr="00576ED7">
        <w:rPr>
          <w:szCs w:val="24"/>
        </w:rPr>
        <w:t>o</w:t>
      </w:r>
      <w:r w:rsidRPr="00576ED7">
        <w:rPr>
          <w:szCs w:val="24"/>
        </w:rPr>
        <w:t>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logical way to treat both this case and the hypothesized case 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w:t>
      </w:r>
      <w:r w:rsidRPr="00576ED7">
        <w:rPr>
          <w:szCs w:val="24"/>
        </w:rPr>
        <w:t>t</w:t>
      </w:r>
      <w:r w:rsidRPr="00576ED7">
        <w:rPr>
          <w:szCs w:val="24"/>
        </w:rPr>
        <w:t>gagee can expect to collect on the mortgage.  His gain or loss on the disposition of the property equals the difference between the proceeds and the cost of acquis</w:t>
      </w:r>
      <w:r w:rsidRPr="00576ED7">
        <w:rPr>
          <w:szCs w:val="24"/>
        </w:rPr>
        <w:t>i</w:t>
      </w:r>
      <w:r w:rsidRPr="00576ED7">
        <w:rPr>
          <w:szCs w:val="24"/>
        </w:rPr>
        <w:t>tion.  Thus, the taxation of the transaction in property reflects the economic fate of the property.  If the property has declined in value, as was the case here, the ta</w:t>
      </w:r>
      <w:r w:rsidRPr="00576ED7">
        <w:rPr>
          <w:szCs w:val="24"/>
        </w:rPr>
        <w:t>x</w:t>
      </w:r>
      <w:r w:rsidRPr="00576ED7">
        <w:rPr>
          <w:szCs w:val="24"/>
        </w:rPr>
        <w:t>payer recognizes a loss on the disposition of the property.  The new purchaser then takes as his basis the fair market value as of the date of the sale.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separate borrowing transaction, the taxpayer acquires cash from the mor</w:t>
      </w:r>
      <w:r w:rsidRPr="00576ED7">
        <w:rPr>
          <w:szCs w:val="24"/>
        </w:rPr>
        <w:t>t</w:t>
      </w:r>
      <w:r w:rsidRPr="00576ED7">
        <w:rPr>
          <w:szCs w:val="24"/>
        </w:rPr>
        <w:t>gagee.  He need not recognize income at that time, of course, because he also i</w:t>
      </w:r>
      <w:r w:rsidRPr="00576ED7">
        <w:rPr>
          <w:szCs w:val="24"/>
        </w:rPr>
        <w:t>n</w:t>
      </w:r>
      <w:r w:rsidRPr="00576ED7">
        <w:rPr>
          <w:szCs w:val="24"/>
        </w:rPr>
        <w:t>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w:t>
      </w:r>
      <w:r w:rsidRPr="00576ED7">
        <w:rPr>
          <w:szCs w:val="24"/>
        </w:rPr>
        <w:t>o</w:t>
      </w:r>
      <w:r w:rsidRPr="00576ED7">
        <w:rPr>
          <w:szCs w:val="24"/>
        </w:rPr>
        <w:t>ceeds of the loan and the amount for which he is able to satisfy his creditor.  26 U.S.C. § 61(a)(12).  The taxation of the financing transaction then reflects the economic fate of the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reason that separation of the two aspects of the events in this case is i</w:t>
      </w:r>
      <w:r w:rsidRPr="00576ED7">
        <w:rPr>
          <w:szCs w:val="24"/>
        </w:rPr>
        <w:t>m</w:t>
      </w:r>
      <w:r w:rsidRPr="00576ED7">
        <w:rPr>
          <w:szCs w:val="24"/>
        </w:rPr>
        <w:t>portant is, of course, that the Code treats different sorts of income differently.  A gain on the sale of the property may qualify for capital gains treatment, §§ 1202, 1221, while the cancellation of indebtedness is ordinary income, but income that the taxpayer may be able to defer.  §§ 108, 1017.  Not only does Professor Ba</w:t>
      </w:r>
      <w:r w:rsidRPr="00576ED7">
        <w:rPr>
          <w:szCs w:val="24"/>
        </w:rPr>
        <w:t>r</w:t>
      </w:r>
      <w:r w:rsidRPr="00576ED7">
        <w:rPr>
          <w:szCs w:val="24"/>
        </w:rPr>
        <w:t>nett’s theory permit us to accord appropriate treatment to each of the two types of income or loss present in these sorts of transactions, it also restores continuity to the system by making the taxpayer-seller’s proceeds on the disposition of prope</w:t>
      </w:r>
      <w:r w:rsidRPr="00576ED7">
        <w:rPr>
          <w:szCs w:val="24"/>
        </w:rPr>
        <w:t>r</w:t>
      </w:r>
      <w:r w:rsidRPr="00576ED7">
        <w:rPr>
          <w:szCs w:val="24"/>
        </w:rPr>
        <w:t>ty equal to the purchaser’s basis in the property.  Further, and most important, it allows us to tax the events in this case in the same way that we tax the econom</w:t>
      </w:r>
      <w:r w:rsidRPr="00576ED7">
        <w:rPr>
          <w:szCs w:val="24"/>
        </w:rPr>
        <w:t>i</w:t>
      </w:r>
      <w:r w:rsidRPr="00576ED7">
        <w:rPr>
          <w:szCs w:val="24"/>
        </w:rPr>
        <w:t>cally identical hypothesized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Persuaded though I am by the logical coherence and internal consistency of this approach, I agree with the Court’s decision not to adopt it judicially.  We do not write on a slate marked only by </w:t>
      </w:r>
      <w:r w:rsidRPr="00576ED7">
        <w:rPr>
          <w:i/>
          <w:szCs w:val="24"/>
        </w:rPr>
        <w:t>Crane</w:t>
      </w:r>
      <w:r w:rsidRPr="00576ED7">
        <w:rPr>
          <w:szCs w:val="24"/>
        </w:rPr>
        <w:t>.  The Commissioner’s longstanding pos</w:t>
      </w:r>
      <w:r w:rsidRPr="00576ED7">
        <w:rPr>
          <w:szCs w:val="24"/>
        </w:rPr>
        <w:t>i</w:t>
      </w:r>
      <w:r w:rsidRPr="00576ED7">
        <w:rPr>
          <w:szCs w:val="24"/>
        </w:rPr>
        <w:t>tion, Rev. Rul. 76-111, is now reflected in the regulations.  Reg. § 1.1001-2 (1982).  In the light of the numerous cases in the lower courts including the amount of the unrepaid proceeds of the mortgage in the proceeds on sale or disp</w:t>
      </w:r>
      <w:r w:rsidRPr="00576ED7">
        <w:rPr>
          <w:szCs w:val="24"/>
        </w:rPr>
        <w:t>o</w:t>
      </w:r>
      <w:r w:rsidRPr="00576ED7">
        <w:rPr>
          <w:szCs w:val="24"/>
        </w:rPr>
        <w:t>sition [citations omitted], it is difficult to conclude that the Commissioner’s inte</w:t>
      </w:r>
      <w:r w:rsidRPr="00576ED7">
        <w:rPr>
          <w:szCs w:val="24"/>
        </w:rPr>
        <w:t>r</w:t>
      </w:r>
      <w:r w:rsidRPr="00576ED7">
        <w:rPr>
          <w:szCs w:val="24"/>
        </w:rPr>
        <w:t>pretation of the statute exceeds the bounds of his discretion.  As the Court’s opi</w:t>
      </w:r>
      <w:r w:rsidRPr="00576ED7">
        <w:rPr>
          <w:szCs w:val="24"/>
        </w:rPr>
        <w:t>n</w:t>
      </w:r>
      <w:r w:rsidRPr="00576ED7">
        <w:rPr>
          <w:szCs w:val="24"/>
        </w:rPr>
        <w:t>ion demonstrates, his interpretation is defensible.  One can reasonably read § 1001(b)’s reference to “the amount realized from the sale or other disposition of property” (emphasis added) to permit the Commissioner to collapse the two a</w:t>
      </w:r>
      <w:r w:rsidRPr="00576ED7">
        <w:rPr>
          <w:szCs w:val="24"/>
        </w:rPr>
        <w:t>s</w:t>
      </w:r>
      <w:r w:rsidRPr="00576ED7">
        <w:rPr>
          <w:szCs w:val="24"/>
        </w:rPr>
        <w:t>pects of the transaction.  As long as his view is a reasonable reading of § 1001(b), we should defer to the regulations promulgated by the agency charged with inte</w:t>
      </w:r>
      <w:r w:rsidRPr="00576ED7">
        <w:rPr>
          <w:szCs w:val="24"/>
        </w:rPr>
        <w:t>r</w:t>
      </w:r>
      <w:r w:rsidRPr="00576ED7">
        <w:rPr>
          <w:szCs w:val="24"/>
        </w:rPr>
        <w:t>pretation of the statute.  [cit</w:t>
      </w:r>
      <w:r w:rsidRPr="00576ED7">
        <w:rPr>
          <w:szCs w:val="24"/>
        </w:rPr>
        <w:t>a</w:t>
      </w:r>
      <w:r w:rsidRPr="00576ED7">
        <w:rPr>
          <w:szCs w:val="24"/>
        </w:rPr>
        <w:t>tions omitted].  Accordingly, I concur.</w:t>
      </w:r>
    </w:p>
    <w:p w:rsidR="0049128E" w:rsidRPr="00576ED7" w:rsidRDefault="00E1445D"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66432" behindDoc="0" locked="0" layoutInCell="0" allowOverlap="1" wp14:anchorId="556F00C2" wp14:editId="1E7CF2C3">
                <wp:simplePos x="0" y="0"/>
                <wp:positionH relativeFrom="margin">
                  <wp:posOffset>2118360</wp:posOffset>
                </wp:positionH>
                <wp:positionV relativeFrom="paragraph">
                  <wp:posOffset>117475</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166.8pt;margin-top:9.25pt;width:234pt;height:120.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7DLQIAAFwEAAAOAAAAZHJzL2Uyb0RvYy54bWysVNtu2zAMfR+wfxD0vtjOljQ14hRdugwD&#10;ugvQ7gNkWbaFSaImKbG7ry8lp2l2exnmB0GUqEPyHNLrq1ErchDOSzAVLWY5JcJwaKTpKvr1fvdq&#10;RYkPzDRMgREVfRCeXm1evlgPthRz6EE1whEEMb4cbEX7EGyZZZ73QjM/AysMXrbgNAtoui5rHBsQ&#10;XatsnufLbADXWAdceI+nN9Ml3ST8thU8fG5bLwJRFcXcQlpdWuu4Zps1KzvHbC/5MQ32D1loJg0G&#10;PUHdsMDI3snfoLTkDjy0YcZBZ9C2kotUA1ZT5L9Uc9czK1ItSI63J5r8/4Plnw5fHJFNRZeolGEa&#10;NboXYyBvYSSLxM9gfYludxYdw4jnqHOq1dtb4N88MbDtmenEtXMw9II1mF8Rmc3OnkZFfOkjSD18&#10;hAbjsH2ABDS2TkfykA6C6KjTw0mbmAvHw/nlRbHK8YrjXbF4vcyXixSDlU/PrfPhvQBN4qaiDsVP&#10;8Oxw60NMh5VPLjGaByWbnVQqGa6rt8qRA8NG2aXviP6TmzJkwPDz4nI+UfBXjDx9f8LQMmDLK6kr&#10;igXhF51YGYl7Z5q0D0yqaY85K3NkMpI30RjGekyivVnFx5HZGpoH5NbB1OI4krjpwf2gZMD2rqj/&#10;vmdOUKI+GNTnYonTg/Nwbrhzoz43mOEIVdFAybTdhmmG9tbJrsdIU0cYuEZNW5nYfs7qmD+2cBLh&#10;OG5xRs7t5PX8U9g8AgAA//8DAFBLAwQUAAYACAAAACEA1Y1ZYt0AAAAKAQAADwAAAGRycy9kb3du&#10;cmV2LnhtbEyPwU6EMBCG7ya+QzObeHPbBSUEKRtD4n1BN3rs0pGSpS3S7oJv73jS48z/5Z9vyv1q&#10;R3bFOQzeSdhtBTB0ndeD6yW8vb7c58BCVE6r0TuU8I0B9tXtTakK7RfX4LWNPaMSFwolwcQ4FZyH&#10;zqBVYesndJR9+tmqSOPccz2rhcrtyBMhMm7V4OiCURPWBrtze7ESfNPUx6T9OrzXi6775bDG6cNI&#10;ebdZn5+ARVzjHwy/+qQOFTmd/MXpwEYJaZpmhFKQPwIjIBc7WpwkJJl4AF6V/P8L1Q8AAAD//wMA&#10;UEsBAi0AFAAGAAgAAAAhALaDOJL+AAAA4QEAABMAAAAAAAAAAAAAAAAAAAAAAFtDb250ZW50X1R5&#10;cGVzXS54bWxQSwECLQAUAAYACAAAACEAOP0h/9YAAACUAQAACwAAAAAAAAAAAAAAAAAvAQAAX3Jl&#10;bHMvLnJlbHNQSwECLQAUAAYACAAAACEA2moOwy0CAABcBAAADgAAAAAAAAAAAAAAAAAuAgAAZHJz&#10;L2Uyb0RvYy54bWxQSwECLQAUAAYACAAAACEA1Y1ZYt0AAAAKAQAADwAAAAAAAAAAAAAAAACHBAAA&#10;ZHJzL2Rvd25yZXYueG1sUEsFBgAAAAAEAAQA8wAAAJEFA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Tax Shelters</w:t>
                      </w:r>
                      <w:r>
                        <w:rPr>
                          <w:rFonts w:ascii="Tw Cen MT" w:hAnsi="Tw Cen MT"/>
                        </w:rPr>
                        <w:t>:  Tax shelters create a mismatch in timing between claiming deductions and reporting taxable gain.  Taxpayer claims d</w:t>
                      </w:r>
                      <w:r>
                        <w:rPr>
                          <w:rFonts w:ascii="Tw Cen MT" w:hAnsi="Tw Cen MT"/>
                        </w:rPr>
                        <w:t>e</w:t>
                      </w:r>
                      <w:r>
                        <w:rPr>
                          <w:rFonts w:ascii="Tw Cen MT" w:hAnsi="Tw Cen MT"/>
                        </w:rPr>
                        <w:t>ductions against borrowed money and reports taxable gain only upon sale of the property.  What might this mismatch in timing of dedu</w:t>
                      </w:r>
                      <w:r>
                        <w:rPr>
                          <w:rFonts w:ascii="Tw Cen MT" w:hAnsi="Tw Cen MT"/>
                        </w:rPr>
                        <w:t>c</w:t>
                      </w:r>
                      <w:r>
                        <w:rPr>
                          <w:rFonts w:ascii="Tw Cen MT" w:hAnsi="Tw Cen MT"/>
                        </w:rPr>
                        <w:t xml:space="preserve">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E1445D" w:rsidP="00A6585D">
      <w:pPr>
        <w:widowControl w:val="0"/>
        <w:jc w:val="both"/>
        <w:rPr>
          <w:szCs w:val="24"/>
        </w:rPr>
      </w:pPr>
      <w:r w:rsidRPr="00576ED7">
        <w:rPr>
          <w:noProof/>
          <w:szCs w:val="24"/>
        </w:rPr>
        <mc:AlternateContent>
          <mc:Choice Requires="wps">
            <w:drawing>
              <wp:anchor distT="152400" distB="152400" distL="152400" distR="152400" simplePos="0" relativeHeight="251667456" behindDoc="0" locked="0" layoutInCell="0" allowOverlap="1" wp14:anchorId="3A79E5FA" wp14:editId="71787811">
                <wp:simplePos x="0" y="0"/>
                <wp:positionH relativeFrom="margin">
                  <wp:posOffset>-71120</wp:posOffset>
                </wp:positionH>
                <wp:positionV relativeFrom="paragraph">
                  <wp:posOffset>1272540</wp:posOffset>
                </wp:positionV>
                <wp:extent cx="2971800" cy="1686560"/>
                <wp:effectExtent l="0" t="0" r="19050" b="27940"/>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656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5.6pt;margin-top:100.2pt;width:234pt;height:132.8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ALwIAAFwEAAAOAAAAZHJzL2Uyb0RvYy54bWysVNuO0zAQfUfiHyy/0yQVm7ZR09XSpQhp&#10;WZB2+QDHcRILx2Nst0n5esZOW8rtBZEHy2OPz8ycM5P17dgrchDWSdAlzWYpJUJzqKVuS/r5efdq&#10;SYnzTNdMgRYlPQpHbzcvX6wHU4g5dKBqYQmCaFcMpqSd96ZIEsc70TM3AyM0XjZge+bRtG1SWzYg&#10;eq+SeZrmyQC2Nha4cA5P76dLuon4TSO4/9g0TniiSoq5+bjauFZhTTZrVrSWmU7yUxrsH7LomdQY&#10;9AJ1zzwjeyt/g+olt+Cg8TMOfQJNI7mINWA1WfpLNU8dMyLWguQ4c6HJ/T9Y/nj4ZImsS5ovKNGs&#10;R42exejJGxjJTRb4GYwr0O3JoKMf8Rx1jrU68wD8iyMath3TrbizFoZOsBrziy+Tq6cTjgsg1fAB&#10;aozD9h4i0NjYPpCHdBBER52OF21CLhwP56tFtkzxiuNdli/zmzyql7Di/NxY598J6EnYlNSi+BGe&#10;HR6cx0LQ9ewSojlQst5JpaJh22qrLDkwbJRd/ELt+OQnN6XJgOHn2Wo+UfBXjDR+f8LopceWV7Iv&#10;KRaE39SEgbi3uo4N6ZlU0x4TUBrzCEwG8iYa/ViNUbTXq7NCFdRH5NbC1OI4krjpwH6jZMD2Lqn7&#10;umdWUKLea9RnkeP04DxcG/baqK4NpjlCldRTMm23fpqhvbGy7TDS1BEa7lDTRka2Q8pTVqf8sYUj&#10;o6dxCzNybUevHz+FzXcAAAD//wMAUEsDBBQABgAIAAAAIQBccbja3AAAAAsBAAAPAAAAZHJzL2Rv&#10;d25yZXYueG1sTI9NT4QwEIbvJv6HZky87RbISgxSNobE+4IaPXbpLCVLp0i7C/57x5Pe5s08eT/K&#10;/epGccU5DJ4UpNsEBFLnzUC9grfXl80jiBA1GT16QgXfGGBf3d6UujB+oQavbewFm1AotAIb41RI&#10;GTqLToetn5D4d/Kz05Hl3Esz64XN3SizJMml0wNxgtUT1ha7c3txCnzT1O9Z+3X4qBdT98thjdOn&#10;Ver+bn1+AhFxjX8w/Nbn6lBxp6O/kAliVLBJ04xRBRyzA8HE7iHnMUc+8jwBWZXy/4bqBwAA//8D&#10;AFBLAQItABQABgAIAAAAIQC2gziS/gAAAOEBAAATAAAAAAAAAAAAAAAAAAAAAABbQ29udGVudF9U&#10;eXBlc10ueG1sUEsBAi0AFAAGAAgAAAAhADj9If/WAAAAlAEAAAsAAAAAAAAAAAAAAAAALwEAAF9y&#10;ZWxzLy5yZWxzUEsBAi0AFAAGAAgAAAAhAMjB4IAvAgAAXAQAAA4AAAAAAAAAAAAAAAAALgIAAGRy&#10;cy9lMm9Eb2MueG1sUEsBAi0AFAAGAAgAAAAhAFxxuNrcAAAACwEAAA8AAAAAAAAAAAAAAAAAiQQA&#10;AGRycy9kb3ducmV2LnhtbFBLBQYAAAAABAAEAPMAAACS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irr</w:t>
                      </w:r>
                      <w:r>
                        <w:rPr>
                          <w:rFonts w:ascii="Tw Cen MT" w:hAnsi="Tw Cen MT"/>
                        </w:rPr>
                        <w:t>e</w:t>
                      </w:r>
                      <w:r>
                        <w:rPr>
                          <w:rFonts w:ascii="Tw Cen MT" w:hAnsi="Tw Cen MT"/>
                        </w:rPr>
                        <w:t>spective of the fmv of the property, taxpa</w:t>
                      </w:r>
                      <w:r>
                        <w:rPr>
                          <w:rFonts w:ascii="Tw Cen MT" w:hAnsi="Tw Cen MT"/>
                        </w:rPr>
                        <w:t>y</w:t>
                      </w:r>
                      <w:r>
                        <w:rPr>
                          <w:rFonts w:ascii="Tw Cen MT" w:hAnsi="Tw Cen MT"/>
                        </w:rPr>
                        <w:t xml:space="preserve">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w:t>
                      </w:r>
                      <w:r>
                        <w:rPr>
                          <w:rFonts w:ascii="Tw Cen MT" w:hAnsi="Tw Cen MT"/>
                        </w:rPr>
                        <w:t>l</w:t>
                      </w:r>
                      <w:r>
                        <w:rPr>
                          <w:rFonts w:ascii="Tw Cen MT" w:hAnsi="Tw Cen MT"/>
                        </w:rPr>
                        <w:t>ize less gain than that upon disposition of property subject to a nonrecourse loan.  Do you see why?</w:t>
                      </w:r>
                    </w:p>
                  </w:txbxContent>
                </v:textbox>
                <w10:wrap type="square" side="largest" anchorx="margin"/>
              </v:shape>
            </w:pict>
          </mc:Fallback>
        </mc:AlternateContent>
      </w:r>
      <w:r w:rsidR="0049128E" w:rsidRPr="00576ED7">
        <w:rPr>
          <w:szCs w:val="24"/>
        </w:rPr>
        <w:t>1.  Notice that taxpayers’ a</w:t>
      </w:r>
      <w:r w:rsidR="0049128E" w:rsidRPr="00576ED7">
        <w:rPr>
          <w:szCs w:val="24"/>
        </w:rPr>
        <w:t>l</w:t>
      </w:r>
      <w:r w:rsidR="0049128E" w:rsidRPr="00576ED7">
        <w:rPr>
          <w:szCs w:val="24"/>
        </w:rPr>
        <w:t>lowable depreciation dedu</w:t>
      </w:r>
      <w:r w:rsidR="0049128E" w:rsidRPr="00576ED7">
        <w:rPr>
          <w:szCs w:val="24"/>
        </w:rPr>
        <w:t>c</w:t>
      </w:r>
      <w:r w:rsidR="0049128E" w:rsidRPr="00576ED7">
        <w:rPr>
          <w:szCs w:val="24"/>
        </w:rPr>
        <w:t>tions reduced their adjusted b</w:t>
      </w:r>
      <w:r w:rsidR="0049128E" w:rsidRPr="00576ED7">
        <w:rPr>
          <w:szCs w:val="24"/>
        </w:rPr>
        <w:t>a</w:t>
      </w:r>
      <w:r w:rsidR="0049128E" w:rsidRPr="00576ED7">
        <w:rPr>
          <w:szCs w:val="24"/>
        </w:rPr>
        <w:t>sis in the property.  Why is it absolutely necessary that this be the rule?</w:t>
      </w:r>
    </w:p>
    <w:p w:rsidR="0049128E" w:rsidRPr="00576ED7" w:rsidRDefault="0049128E" w:rsidP="00A6585D">
      <w:pPr>
        <w:widowControl w:val="0"/>
        <w:ind w:left="5528" w:hanging="5528"/>
        <w:jc w:val="both"/>
        <w:rPr>
          <w:szCs w:val="24"/>
        </w:rPr>
      </w:pPr>
      <w:r w:rsidRPr="00576ED7">
        <w:rPr>
          <w:szCs w:val="24"/>
        </w:rPr>
        <w:tab/>
        <w:t>•Aside from comput</w:t>
      </w:r>
      <w:r w:rsidRPr="00576ED7">
        <w:rPr>
          <w:szCs w:val="24"/>
        </w:rPr>
        <w:t>a</w:t>
      </w:r>
      <w:r w:rsidRPr="00576ED7">
        <w:rPr>
          <w:szCs w:val="24"/>
        </w:rPr>
        <w:t>tion of gain under § 1001, what significance is there in the fact that taxpayer includes bo</w:t>
      </w:r>
      <w:r w:rsidRPr="00576ED7">
        <w:rPr>
          <w:szCs w:val="24"/>
        </w:rPr>
        <w:t>r</w:t>
      </w:r>
      <w:r w:rsidRPr="00576ED7">
        <w:rPr>
          <w:szCs w:val="24"/>
        </w:rPr>
        <w:t>rowed money in dete</w:t>
      </w:r>
      <w:r w:rsidRPr="00576ED7">
        <w:rPr>
          <w:szCs w:val="24"/>
        </w:rPr>
        <w:t>r</w:t>
      </w:r>
      <w:r w:rsidRPr="00576ED7">
        <w:rPr>
          <w:szCs w:val="24"/>
        </w:rPr>
        <w:t>mining his/her/its a</w:t>
      </w:r>
      <w:r w:rsidRPr="00576ED7">
        <w:rPr>
          <w:szCs w:val="24"/>
        </w:rPr>
        <w:t>d</w:t>
      </w:r>
      <w:r w:rsidRPr="00576ED7">
        <w:rPr>
          <w:szCs w:val="24"/>
        </w:rPr>
        <w:t>justed basis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w:t>
      </w:r>
      <w:r w:rsidRPr="00576ED7">
        <w:rPr>
          <w:szCs w:val="24"/>
        </w:rPr>
        <w:t>n</w:t>
      </w:r>
      <w:r w:rsidRPr="00576ED7">
        <w:rPr>
          <w:szCs w:val="24"/>
        </w:rPr>
        <w:t xml:space="preserve">celled.  It is </w:t>
      </w:r>
      <w:r w:rsidRPr="00576ED7">
        <w:rPr>
          <w:i/>
          <w:szCs w:val="24"/>
        </w:rPr>
        <w:t>all</w:t>
      </w:r>
      <w:r w:rsidRPr="00576ED7">
        <w:rPr>
          <w:szCs w:val="24"/>
        </w:rPr>
        <w:t xml:space="preserve"> included in “amount realized.”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outstanding principal of the loan.  Why the difference?</w:t>
      </w:r>
    </w:p>
    <w:p w:rsidR="0049128E" w:rsidRPr="00576ED7" w:rsidRDefault="0049128E" w:rsidP="00A6585D">
      <w:pPr>
        <w:widowControl w:val="0"/>
        <w:ind w:left="720"/>
        <w:jc w:val="both"/>
        <w:rPr>
          <w:szCs w:val="24"/>
        </w:rPr>
      </w:pPr>
      <w:r w:rsidRPr="00576ED7">
        <w:rPr>
          <w:szCs w:val="24"/>
        </w:rPr>
        <w:t xml:space="preserve">•Did the lender in </w:t>
      </w:r>
      <w:r w:rsidRPr="00576ED7">
        <w:rPr>
          <w:i/>
          <w:szCs w:val="24"/>
        </w:rPr>
        <w:t>Tufts</w:t>
      </w:r>
      <w:r w:rsidRPr="00576ED7">
        <w:rPr>
          <w:szCs w:val="24"/>
        </w:rPr>
        <w:t xml:space="preserve"> discharge any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Property that is subject to depreciation is </w:t>
      </w:r>
      <w:r w:rsidRPr="00576ED7">
        <w:rPr>
          <w:i/>
          <w:szCs w:val="24"/>
        </w:rPr>
        <w:t>not</w:t>
      </w:r>
      <w:r w:rsidRPr="00576ED7">
        <w:rPr>
          <w:szCs w:val="24"/>
        </w:rPr>
        <w:t xml:space="preserve"> a capital asset.  § 1221(a)(2).  A special wartime measure, § 1231, allows taxpayer to treat such property held for more than one year to be treated as a capital asset if a sale or disposition produces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90-16</w:t>
      </w:r>
      <w:r w:rsidRPr="00576ED7">
        <w:rPr>
          <w:szCs w:val="24"/>
        </w:rPr>
        <w:fldChar w:fldCharType="begin"/>
      </w:r>
      <w:r w:rsidRPr="00576ED7">
        <w:rPr>
          <w:szCs w:val="24"/>
        </w:rPr>
        <w:instrText xml:space="preserve"> TC \l2 "Rev. Rul. 90-16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 1001(c) and 61(a)(3) of the Code to the extent the fair market value of the property exceeds the taxpayer's adjusted basis in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taxpayer's basis in satisfaction of a debt for which the ta</w:t>
      </w:r>
      <w:r w:rsidRPr="00576ED7">
        <w:rPr>
          <w:szCs w:val="24"/>
        </w:rPr>
        <w:t>x</w:t>
      </w:r>
      <w:r w:rsidRPr="00576ED7">
        <w:rPr>
          <w:szCs w:val="24"/>
        </w:rPr>
        <w:t>payer was personally liable.  Is the transfer a sale or disposition resulting in the realization and recognition of gain by the taxpayer under §§ 1001(c) and 61(a)(3) of the Internal Revenue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was the owner and developer of a residential subdivision.  To finance the d</w:t>
      </w:r>
      <w:r w:rsidRPr="00576ED7">
        <w:rPr>
          <w:szCs w:val="24"/>
        </w:rPr>
        <w:t>e</w:t>
      </w:r>
      <w:r w:rsidRPr="00576ED7">
        <w:rPr>
          <w:szCs w:val="24"/>
        </w:rPr>
        <w:t>velopment of the subdivision, X obtained a loan from an unrelated bank.  X was unconditionally liable for repayment of the debt.  The debt was secured by a mortgage on the subdivision.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became insolvent (within the meaning of § 108(d)(3) of the Code) and defaul</w:t>
      </w:r>
      <w:r w:rsidRPr="00576ED7">
        <w:rPr>
          <w:szCs w:val="24"/>
        </w:rPr>
        <w:t>t</w:t>
      </w:r>
      <w:r w:rsidRPr="00576ED7">
        <w:rPr>
          <w:szCs w:val="24"/>
        </w:rPr>
        <w: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X's adjusted basis in the subdivision was 8,000x dollars, and the amount due on the debt was 12,000x do</w:t>
      </w:r>
      <w:r w:rsidRPr="00576ED7">
        <w:rPr>
          <w:szCs w:val="24"/>
        </w:rPr>
        <w:t>l</w:t>
      </w:r>
      <w:r w:rsidRPr="00576ED7">
        <w:rPr>
          <w:szCs w:val="24"/>
        </w:rPr>
        <w:t>lars, which did not represent any accrued but unpaid interest.  After the transa</w:t>
      </w:r>
      <w:r w:rsidRPr="00576ED7">
        <w:rPr>
          <w:szCs w:val="24"/>
        </w:rPr>
        <w:t>c</w:t>
      </w:r>
      <w:r w:rsidRPr="00576ED7">
        <w:rPr>
          <w:szCs w:val="24"/>
        </w:rPr>
        <w:t>tion X was still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61(a)(3) and 61(a)(12) of the Code provide that, except as otherwise provided, gross income means all income from whatever source derived, inclu</w:t>
      </w:r>
      <w:r w:rsidRPr="00576ED7">
        <w:rPr>
          <w:szCs w:val="24"/>
        </w:rPr>
        <w:t>d</w:t>
      </w:r>
      <w:r w:rsidRPr="00576ED7">
        <w:rPr>
          <w:szCs w:val="24"/>
        </w:rPr>
        <w:lastRenderedPageBreak/>
        <w:t>ing (but not limited to) gains from dealings in property and income from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w:t>
      </w:r>
      <w:r w:rsidRPr="00576ED7">
        <w:rPr>
          <w:szCs w:val="24"/>
        </w:rPr>
        <w:t>s</w:t>
      </w:r>
      <w:r w:rsidRPr="00576ED7">
        <w:rPr>
          <w:szCs w:val="24"/>
        </w:rPr>
        <w:t>charge to which § 108(a)(1)(B) applies, the amount excluded under § 108(a)(1)(B) shall not exceed the amount by which the taxpayer is insolvent (as defined in § 108(d)(3)).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1.61-6(a) provides that the specific rules for computing the amount of gain or loss from dealings in property under § 61(a)(3) are contained in § 1001 and the regulations thereunder.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1001(a) of the Code provides that gain from the sale or other disposition of property shall be the excess of the amount realized therefrom over the adjusted basis provided in § 1011 for determining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1001(c) of the Code provides that, except as otherwise provided in subt</w:t>
      </w:r>
      <w:r w:rsidRPr="00576ED7">
        <w:rPr>
          <w:szCs w:val="24"/>
        </w:rPr>
        <w:t>i</w:t>
      </w:r>
      <w:r w:rsidRPr="00576ED7">
        <w:rPr>
          <w:szCs w:val="24"/>
        </w:rPr>
        <w:t>tle A, the entire amount of the gain or loss, determined under § 1001, on the sale or exchange of property shall be recognized.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1.1001-2(a)(1) provides that, except as provided in § 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w:t>
      </w:r>
      <w:r w:rsidRPr="00576ED7">
        <w:rPr>
          <w:szCs w:val="24"/>
        </w:rPr>
        <w:t>s</w:t>
      </w:r>
      <w:r w:rsidRPr="00576ED7">
        <w:rPr>
          <w:szCs w:val="24"/>
        </w:rPr>
        <w:t>charge of indebtedness under § 61(a)(12).  Example (8) under § 1.1001-2(c) illu</w:t>
      </w:r>
      <w:r w:rsidRPr="00576ED7">
        <w:rPr>
          <w:szCs w:val="24"/>
        </w:rPr>
        <w:t>s</w:t>
      </w:r>
      <w:r w:rsidRPr="00576ED7">
        <w:rPr>
          <w:szCs w:val="24"/>
        </w:rPr>
        <w:t>trates these rules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Example (8).  In 1980, F transfers to a creditor an asset with a fair market value of $6,000 and the creditor discharges $7,500 of indebtedness for which F is personally liable.  The amount realized on the disposition of the </w:t>
      </w:r>
      <w:r w:rsidRPr="00576ED7">
        <w:rPr>
          <w:szCs w:val="24"/>
        </w:rPr>
        <w:lastRenderedPageBreak/>
        <w:t>asset is its fair market value ($6,000).  In addition, F has income from the discharge of indebtedness of $1,500 ($7,500 − $6,000).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 1001(c) of the Code.  To the extent the fair market value of the subdivision, 10,000x dollars, exceeds its a</w:t>
      </w:r>
      <w:r w:rsidRPr="00576ED7">
        <w:rPr>
          <w:szCs w:val="24"/>
        </w:rPr>
        <w:t>d</w:t>
      </w:r>
      <w:r w:rsidRPr="00576ED7">
        <w:rPr>
          <w:szCs w:val="24"/>
        </w:rPr>
        <w:t>justed basis, 8,000x dollars, X realizes and recognizes gain on the transfer.  X thus recognizes 2,000x dollars of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the extent the amount of debt, 12,000x dollars, exceeds the fair market value of the subdivision, 10,000x dollars, X realizes income from the discharge of i</w:t>
      </w:r>
      <w:r w:rsidRPr="00576ED7">
        <w:rPr>
          <w:szCs w:val="24"/>
        </w:rPr>
        <w:t>n</w:t>
      </w:r>
      <w:r w:rsidRPr="00576ED7">
        <w:rPr>
          <w:szCs w:val="24"/>
        </w:rPr>
        <w:t>debtedness.  However, under § 108(a)(1)(B) of the Code, the full amount of X’s discharge of indebtedness income is excluded from gross income because that amount does not exceed the amount by which X was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subdivision had been transferred to the bank as a result of a foreclosure pr</w:t>
      </w:r>
      <w:r w:rsidRPr="00576ED7">
        <w:rPr>
          <w:szCs w:val="24"/>
        </w:rPr>
        <w:t>o</w:t>
      </w:r>
      <w:r w:rsidRPr="00576ED7">
        <w:rPr>
          <w:szCs w:val="24"/>
        </w:rPr>
        <w:t xml:space="preserve">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 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 Chemical Engraving Co. v. Commissio</w:t>
      </w:r>
      <w:r w:rsidRPr="00576ED7">
        <w:rPr>
          <w:i/>
          <w:szCs w:val="24"/>
        </w:rPr>
        <w:t>n</w:t>
      </w:r>
      <w:r w:rsidRPr="00576ED7">
        <w:rPr>
          <w:i/>
          <w:szCs w:val="24"/>
        </w:rPr>
        <w:t>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 1001(c) and 61(a)(3) of the Code to the extent the fair market value of the subdivision transferred exceeds X’s adjusted basis.  Subject to the application of § 108 of the Code, to the extent the amount of debt exceeds the fair market value of the subdivision, X would also realize income from the di</w:t>
      </w:r>
      <w:r w:rsidRPr="00576ED7">
        <w:rPr>
          <w:szCs w:val="24"/>
        </w:rPr>
        <w:t>s</w:t>
      </w:r>
      <w:r w:rsidRPr="00576ED7">
        <w:rPr>
          <w:szCs w:val="24"/>
        </w:rPr>
        <w:t>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What would have been the result if the adjusted basis of the property had been </w:t>
      </w:r>
      <w:r w:rsidRPr="00576ED7">
        <w:rPr>
          <w:szCs w:val="24"/>
        </w:rPr>
        <w:lastRenderedPageBreak/>
        <w:t>$7000x?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is it so important to this revenue ruling that taxpayer is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You should recognize that the holding in </w:t>
      </w:r>
      <w:r w:rsidRPr="00576ED7">
        <w:rPr>
          <w:i/>
          <w:szCs w:val="24"/>
        </w:rPr>
        <w:t>Gehl</w:t>
      </w:r>
      <w:r w:rsidRPr="00576ED7">
        <w:rPr>
          <w:szCs w:val="24"/>
        </w:rPr>
        <w:t xml:space="preserve"> is in exact accord with the IRS’s position in this revenue ruling.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Read Reg. § 1.1001-3</w:t>
      </w:r>
      <w:r w:rsidR="00E1445D">
        <w:rPr>
          <w:szCs w:val="24"/>
        </w:rPr>
        <w:t>(b)</w:t>
      </w:r>
      <w:r w:rsidRPr="00576ED7">
        <w:rPr>
          <w:szCs w:val="24"/>
        </w:rPr>
        <w:t>.  You might have to get this regulation on Westlaw or Lexis.  A “material modification” of a debt instrument results in an exchange for purposes of § 1001(a).  What is the effect of this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Would the result have been the same if the loan had been without recourse? Read 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w:t>
      </w:r>
      <w:r w:rsidRPr="00576ED7">
        <w:rPr>
          <w:szCs w:val="24"/>
        </w:rPr>
        <w:t>. 91-31</w:t>
      </w:r>
      <w:r w:rsidRPr="00576ED7">
        <w:rPr>
          <w:szCs w:val="24"/>
        </w:rPr>
        <w:fldChar w:fldCharType="begin"/>
      </w:r>
      <w:r w:rsidRPr="00576ED7">
        <w:rPr>
          <w:szCs w:val="24"/>
        </w:rPr>
        <w:instrText xml:space="preserve"> TC \l2 "Rev. Rul. 91-31</w:instrText>
      </w:r>
      <w:r w:rsidRPr="00576ED7">
        <w:rPr>
          <w:szCs w:val="24"/>
        </w:rPr>
        <w:fldChar w:fldCharType="end"/>
      </w:r>
    </w:p>
    <w:p w:rsidR="0049128E" w:rsidRPr="00576ED7" w:rsidRDefault="0049128E" w:rsidP="00A6585D">
      <w:pPr>
        <w:widowControl w:val="0"/>
        <w:jc w:val="both"/>
        <w:rPr>
          <w:szCs w:val="24"/>
        </w:rPr>
      </w:pPr>
      <w:r w:rsidRPr="00576ED7">
        <w:rPr>
          <w:szCs w:val="24"/>
        </w:rPr>
        <w:t>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 61(a)(12) of the Internal Revenue Code or in the reduction of the basis in the property securing the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 1274(c)(2).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here do not involve the bankruptcy, insolvency, or qualified farm i</w:t>
      </w:r>
      <w:r w:rsidRPr="00576ED7">
        <w:rPr>
          <w:szCs w:val="24"/>
        </w:rPr>
        <w:t>n</w:t>
      </w:r>
      <w:r w:rsidRPr="00576ED7">
        <w:rPr>
          <w:szCs w:val="24"/>
        </w:rPr>
        <w:t>debtedness of the taxpayer.  Thus, the specific exclusions provided by § 108(a) do not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61(a)(12) of the Code provides that gross income includes income from the discharge of indebtedness.  Reg. § 1.61-12(a) provides that the discharge of indebtedness, in whole or in part, may result in the realization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 61(a)(12) of the Code, whether the mortgage is recourse or nonrecourse and whether it is partially or fully pr</w:t>
      </w:r>
      <w:r w:rsidRPr="00576ED7">
        <w:rPr>
          <w:szCs w:val="24"/>
        </w:rPr>
        <w:t>e</w:t>
      </w:r>
      <w:r w:rsidRPr="00576ED7">
        <w:rPr>
          <w:szCs w:val="24"/>
        </w:rPr>
        <w:t xml:space="preserv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w:t>
      </w:r>
      <w:r w:rsidRPr="00576ED7">
        <w:rPr>
          <w:szCs w:val="24"/>
        </w:rPr>
        <w:t>c</w:t>
      </w:r>
      <w:r w:rsidRPr="00576ED7">
        <w:rPr>
          <w:szCs w:val="24"/>
        </w:rPr>
        <w:t>tion at less than their face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461 U.S. 300 (1983), the Supreme Court held that when a taxpayer sold property encumbered by a nonrecourse obligation that exceeded the fair market value of the property sold, the amount realized included the amount of the obligation discharged.  The Court reasoned that because a nonr</w:t>
      </w:r>
      <w:r w:rsidRPr="00576ED7">
        <w:rPr>
          <w:szCs w:val="24"/>
        </w:rPr>
        <w:t>e</w:t>
      </w:r>
      <w:r w:rsidRPr="00576ED7">
        <w:rPr>
          <w:szCs w:val="24"/>
        </w:rPr>
        <w:t>course note is treated as a true debt upon inception (so that the loan proceeds are not taken into income at that time), a taxpayer is bound to treat the nonrecourse note as a true debt when the taxpayer is discharged from the liability upon disp</w:t>
      </w:r>
      <w:r w:rsidRPr="00576ED7">
        <w:rPr>
          <w:szCs w:val="24"/>
        </w:rPr>
        <w:t>o</w:t>
      </w:r>
      <w:r w:rsidRPr="00576ED7">
        <w:rPr>
          <w:szCs w:val="24"/>
        </w:rPr>
        <w:t>sition of the collateral, notwithstanding the lesser fair market value of the colla</w:t>
      </w:r>
      <w:r w:rsidRPr="00576ED7">
        <w:rPr>
          <w:szCs w:val="24"/>
        </w:rPr>
        <w:t>t</w:t>
      </w:r>
      <w:r w:rsidRPr="00576ED7">
        <w:rPr>
          <w:szCs w:val="24"/>
        </w:rPr>
        <w:t xml:space="preserve">eral.  </w:t>
      </w:r>
      <w:r w:rsidRPr="00576ED7">
        <w:rPr>
          <w:i/>
          <w:szCs w:val="24"/>
        </w:rPr>
        <w:t xml:space="preserve">See </w:t>
      </w:r>
      <w:r w:rsidRPr="00576ED7">
        <w:rPr>
          <w:szCs w:val="24"/>
        </w:rPr>
        <w:t>§ 1.1001-2(c), Example 7, of the Income Tax Regulations.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88 T.C. 984 (1987), the Tax Court, in a r</w:t>
      </w:r>
      <w:r w:rsidRPr="00576ED7">
        <w:rPr>
          <w:szCs w:val="24"/>
        </w:rPr>
        <w:t>e</w:t>
      </w:r>
      <w:r w:rsidRPr="00576ED7">
        <w:rPr>
          <w:szCs w:val="24"/>
        </w:rPr>
        <w:t>viewed opinion, concluded, in part, that the settlement of a nonrecourse debt of $250,000 for a $40,000 cash payment (rather than surrender of the $2,500 colla</w:t>
      </w:r>
      <w:r w:rsidRPr="00576ED7">
        <w:rPr>
          <w:szCs w:val="24"/>
        </w:rPr>
        <w:t>t</w:t>
      </w:r>
      <w:r w:rsidRPr="00576ED7">
        <w:rPr>
          <w:szCs w:val="24"/>
        </w:rPr>
        <w:t>eral) resulted in $210,000 of discharge of indebtedness income.  The court, fo</w:t>
      </w:r>
      <w:r w:rsidRPr="00576ED7">
        <w:rPr>
          <w:szCs w:val="24"/>
        </w:rPr>
        <w:t>l</w:t>
      </w:r>
      <w:r w:rsidRPr="00576ED7">
        <w:rPr>
          <w:szCs w:val="24"/>
        </w:rPr>
        <w:t xml:space="preserve">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w:t>
      </w:r>
      <w:r w:rsidRPr="00576ED7">
        <w:rPr>
          <w:szCs w:val="24"/>
        </w:rPr>
        <w:t>r</w:t>
      </w:r>
      <w:r w:rsidRPr="00576ED7">
        <w:rPr>
          <w:szCs w:val="24"/>
        </w:rPr>
        <w:lastRenderedPageBreak/>
        <w:t>secured nonrecourse obligation through a cash settlement must also result in i</w:t>
      </w:r>
      <w:r w:rsidRPr="00576ED7">
        <w:rPr>
          <w:szCs w:val="24"/>
        </w:rPr>
        <w:t>n</w:t>
      </w:r>
      <w:r w:rsidRPr="00576ED7">
        <w:rPr>
          <w:szCs w:val="24"/>
        </w:rPr>
        <w:t>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w:t>
      </w:r>
      <w:r w:rsidRPr="00576ED7">
        <w:rPr>
          <w:szCs w:val="24"/>
        </w:rPr>
        <w:t>s</w:t>
      </w:r>
      <w:r w:rsidRPr="00576ED7">
        <w:rPr>
          <w:szCs w:val="24"/>
        </w:rPr>
        <w:t>charged from all or a portion of a nonrecourse liability when there is no dispos</w:t>
      </w:r>
      <w:r w:rsidRPr="00576ED7">
        <w:rPr>
          <w:szCs w:val="24"/>
        </w:rPr>
        <w:t>i</w:t>
      </w:r>
      <w:r w:rsidRPr="00576ED7">
        <w:rPr>
          <w:szCs w:val="24"/>
        </w:rPr>
        <w:t>tion of the collateral.  Thus, in the present case, A realizes $200,000 of discharge of indebtedness income in 1989 as a result of the modification of A’s note payable to 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w:t>
      </w:r>
      <w:r w:rsidRPr="00576ED7">
        <w:rPr>
          <w:szCs w:val="24"/>
        </w:rPr>
        <w:t>t</w:t>
      </w:r>
      <w:r w:rsidRPr="00576ED7">
        <w:rPr>
          <w:szCs w:val="24"/>
        </w:rPr>
        <w:t>standing mortgage and subsequently satisfied the mortgage for less than its face amount.  In a decision based on unclear facts, the Board of Tax Appeals, for pu</w:t>
      </w:r>
      <w:r w:rsidRPr="00576ED7">
        <w:rPr>
          <w:szCs w:val="24"/>
        </w:rPr>
        <w:t>r</w:t>
      </w:r>
      <w:r w:rsidRPr="00576ED7">
        <w:rPr>
          <w:szCs w:val="24"/>
        </w:rPr>
        <w:t>poses of determining the taxpayer’s gain or loss upon the sale of the property in a later year, held that the taxpayer’s basis in the property should have been reduced by the amount of the mortgage debt forgiven in the earlier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w:t>
      </w:r>
      <w:r w:rsidRPr="00576ED7">
        <w:rPr>
          <w:szCs w:val="24"/>
        </w:rPr>
        <w:t>c</w:t>
      </w:r>
      <w:r w:rsidRPr="00576ED7">
        <w:rPr>
          <w:szCs w:val="24"/>
        </w:rPr>
        <w:t xml:space="preserve">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reduction of the principal amount of an undersecured nonrecourse debt by the holder of a debt who was not the seller of the property securing the debt results in the realization of discharge of indebtedness income under § 61(a)(12)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is the rule of Rev. Rul. 82-202, as stated in Rev. Rul. 91-31?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rsidR="0049128E" w:rsidRPr="00576ED7" w:rsidRDefault="0049128E" w:rsidP="00A6585D">
      <w:pPr>
        <w:widowControl w:val="0"/>
        <w:ind w:left="720"/>
        <w:jc w:val="both"/>
        <w:rPr>
          <w:szCs w:val="24"/>
        </w:rPr>
      </w:pPr>
      <w:r w:rsidRPr="00576ED7">
        <w:rPr>
          <w:szCs w:val="24"/>
        </w:rPr>
        <w:t>•What do you think should be the result in such a case?</w:t>
      </w:r>
    </w:p>
    <w:p w:rsidR="0049128E" w:rsidRPr="00576ED7" w:rsidRDefault="0049128E" w:rsidP="00A6585D">
      <w:pPr>
        <w:widowControl w:val="0"/>
        <w:ind w:left="1440"/>
        <w:jc w:val="both"/>
        <w:rPr>
          <w:szCs w:val="24"/>
        </w:rPr>
      </w:pPr>
      <w:r w:rsidRPr="00576ED7">
        <w:rPr>
          <w:szCs w:val="24"/>
        </w:rPr>
        <w:t>•No doi income, but a reduction of basis?</w:t>
      </w:r>
    </w:p>
    <w:p w:rsidR="0049128E" w:rsidRPr="00576ED7" w:rsidRDefault="0049128E" w:rsidP="00A6585D">
      <w:pPr>
        <w:widowControl w:val="0"/>
        <w:ind w:left="1440"/>
        <w:jc w:val="both"/>
        <w:rPr>
          <w:szCs w:val="24"/>
        </w:rPr>
      </w:pPr>
      <w:r w:rsidRPr="00576ED7">
        <w:rPr>
          <w:szCs w:val="24"/>
        </w:rPr>
        <w:t>•A purchase price (and basis) reduction if taxpayer is solvent?</w:t>
      </w:r>
    </w:p>
    <w:p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 1.1001-2(c), Example 7</w:t>
      </w:r>
      <w:r w:rsidR="00E1445D">
        <w:rPr>
          <w:szCs w:val="24"/>
        </w:rPr>
        <w:t xml:space="preserve"> (which the IRS cites in connection with its discussion of </w:t>
      </w:r>
      <w:r w:rsidR="00E1445D">
        <w:rPr>
          <w:i/>
          <w:szCs w:val="24"/>
        </w:rPr>
        <w:t>Tufts</w:t>
      </w:r>
      <w:r w:rsidR="00E1445D">
        <w:rPr>
          <w:szCs w:val="24"/>
        </w:rPr>
        <w:t>).</w:t>
      </w:r>
    </w:p>
    <w:p w:rsidR="00E1445D" w:rsidRPr="00576ED7" w:rsidRDefault="00E1445D"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4.  To what extent should taxpayer take into account nonrecourse debt in dete</w:t>
      </w:r>
      <w:r w:rsidRPr="00576ED7">
        <w:rPr>
          <w:szCs w:val="24"/>
        </w:rPr>
        <w:t>r</w:t>
      </w:r>
      <w:r w:rsidRPr="00576ED7">
        <w:rPr>
          <w:szCs w:val="24"/>
        </w:rPr>
        <w:t>mining whether he/she/it is insolvent for purposes of applying § 108? In Rev. Rul. 92-53, the IRS stated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amount by which a nonrecourse debt exceeds the fair market value of the property securing the debt is taken into account in determining whet</w:t>
      </w:r>
      <w:r w:rsidRPr="00576ED7">
        <w:rPr>
          <w:szCs w:val="24"/>
        </w:rPr>
        <w:t>h</w:t>
      </w:r>
      <w:r w:rsidRPr="00576ED7">
        <w:rPr>
          <w:szCs w:val="24"/>
        </w:rPr>
        <w:t>er, and to what extent, a taxpayer is insolvent within the meaning of § 108(d)(3) of the Code, but only to the extent that the excess nonrecourse debt is discharged.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Nonrecourse debt up to the fmv of the property is taken into account.  Why shouldn’t the full excess of the amount of the nonrecourse debt over the fmv of the property – even that which is not discharged – be taken into account? How does the IRS’s treatment of nonrecourse debt preserve taxpayer’s “fresh start” – but no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49" w:name="_Toc375132936"/>
      <w:r w:rsidRPr="00576ED7">
        <w:t>VI.  Transactions Treated as Loans</w:t>
      </w:r>
      <w:bookmarkEnd w:id="49"/>
      <w:r w:rsidRPr="00576ED7">
        <w:fldChar w:fldCharType="begin"/>
      </w:r>
      <w:r w:rsidRPr="00576ED7">
        <w:instrText xml:space="preserve"> TC \l1 "VI.  Transactions Treated as Loans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use of borrowed money is not free.  A person pays for the use of another’s money by paying interest, and the amount of interest depends on the length of time the borrower does not repay the borrowed money.  The payment and receipt of interest have certain tax consequences.  Payment of interest might be deduct</w:t>
      </w:r>
      <w:r w:rsidRPr="00576ED7">
        <w:rPr>
          <w:szCs w:val="24"/>
        </w:rPr>
        <w:t>i</w:t>
      </w:r>
      <w:r w:rsidRPr="00576ED7">
        <w:rPr>
          <w:szCs w:val="24"/>
        </w:rPr>
        <w:t xml:space="preserve">ble from a taxpayer’s ordinary income.  </w:t>
      </w:r>
      <w:r w:rsidRPr="00576ED7">
        <w:rPr>
          <w:i/>
          <w:szCs w:val="24"/>
        </w:rPr>
        <w:t>See</w:t>
      </w:r>
      <w:r w:rsidRPr="00576ED7">
        <w:rPr>
          <w:szCs w:val="24"/>
        </w:rPr>
        <w:t xml:space="preserve"> § 163.  The recipient of interest rea</w:t>
      </w:r>
      <w:r w:rsidRPr="00576ED7">
        <w:rPr>
          <w:szCs w:val="24"/>
        </w:rPr>
        <w:t>l</w:t>
      </w:r>
      <w:r w:rsidRPr="00576ED7">
        <w:rPr>
          <w:szCs w:val="24"/>
        </w:rPr>
        <w:t xml:space="preserve">izes gross income.  </w:t>
      </w:r>
      <w:r w:rsidRPr="00576ED7">
        <w:rPr>
          <w:i/>
          <w:szCs w:val="24"/>
        </w:rPr>
        <w:t>See</w:t>
      </w:r>
      <w:r w:rsidRPr="00576ED7">
        <w:rPr>
          <w:szCs w:val="24"/>
        </w:rPr>
        <w:t xml:space="preserve"> 61(a)(4). Lenders and borrowers usually create loans with another transaction in mind, e.g., purchase of property, investment.  </w:t>
      </w:r>
      <w:r w:rsidRPr="00576ED7">
        <w:rPr>
          <w:i/>
          <w:szCs w:val="24"/>
        </w:rPr>
        <w:t>Those</w:t>
      </w:r>
      <w:r w:rsidRPr="00576ED7">
        <w:rPr>
          <w:szCs w:val="24"/>
        </w:rPr>
        <w:t xml:space="preserve"> tran</w:t>
      </w:r>
      <w:r w:rsidRPr="00576ED7">
        <w:rPr>
          <w:szCs w:val="24"/>
        </w:rPr>
        <w:t>s</w:t>
      </w:r>
      <w:r w:rsidRPr="00576ED7">
        <w:rPr>
          <w:szCs w:val="24"/>
        </w:rPr>
        <w:t>actions generate certain tax consequences that may differ from the tax cons</w:t>
      </w:r>
      <w:r w:rsidRPr="00576ED7">
        <w:rPr>
          <w:szCs w:val="24"/>
        </w:rPr>
        <w:t>e</w:t>
      </w:r>
      <w:r w:rsidRPr="00576ED7">
        <w:rPr>
          <w:szCs w:val="24"/>
        </w:rPr>
        <w:t>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 xml:space="preserve">), realization of gain or loss </w:t>
      </w:r>
      <w:r w:rsidRPr="00576ED7">
        <w:rPr>
          <w:szCs w:val="24"/>
        </w:rPr>
        <w:lastRenderedPageBreak/>
        <w:t>only upon sale or exchange of the underlying asset rather than on an annual basis (</w:t>
      </w:r>
      <w:r w:rsidRPr="00576ED7">
        <w:rPr>
          <w:i/>
          <w:szCs w:val="24"/>
        </w:rPr>
        <w:t>see</w:t>
      </w:r>
      <w:r w:rsidRPr="00576ED7">
        <w:rPr>
          <w:szCs w:val="24"/>
        </w:rPr>
        <w:t xml:space="preserve"> chapter 9, </w:t>
      </w:r>
      <w:r w:rsidRPr="00576ED7">
        <w:rPr>
          <w:i/>
          <w:szCs w:val="24"/>
        </w:rPr>
        <w:t>infra</w:t>
      </w:r>
      <w:r w:rsidRPr="00576ED7">
        <w:rPr>
          <w:szCs w:val="24"/>
        </w:rPr>
        <w:t>).  The Code has certain provisions that create and carve out an interest element in various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(1) Clifton Corporation issued $10M worth of bonds on January 1, 2006.  For each $10,000 bond that an investor purchased, Clifton Corporation promised to pay $15,007.30 on January 1, 2012.  Taxpayer Linda invested $10,000 on January 1, 2006 in Clifton Corporation bonds.  She held the Clifton Corporation bonds until their maturity on January 1, 2012 at which time Clifton Corporation paid her $15,007.30.  Obviously, Linda realized $5007.30 of interest income.  When? Obviously, Clifton Corporation paid $5007.30 in interest.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Suppose that Linda had sold the Clifton Corporation bond on January 1, 2009 for $13,000.  Obviously (?) Linda realized a total of $3000 of income.  When? How much of it was interest income and how much of it was gain derived from dealing in property? The Buyer would have a $13,000 basis in the bond.  How should Buyer treat his/her/its eventual receipt of $15,007.30?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Seller agreed to sell Blackacre to Buyer for $3,500,000.  Seller’s basis in Blackacre was $2,500,000.  The terms of the agreement were that Buyer would pay Seller $350,000 every year for ten years.  The parties stated no other terms of their agreement.  Assume that Buyer made all of the required payments.  Upon fulfillment of all of his/her/its obligations, what is Buyer’s basis in </w:t>
      </w:r>
      <w:r w:rsidR="004020EF">
        <w:rPr>
          <w:szCs w:val="24"/>
        </w:rPr>
        <w:t>B</w:t>
      </w:r>
      <w:r w:rsidR="004020EF" w:rsidRPr="00576ED7">
        <w:rPr>
          <w:szCs w:val="24"/>
        </w:rPr>
        <w:t>lackacre</w:t>
      </w:r>
      <w:r w:rsidRPr="00576ED7">
        <w:rPr>
          <w:szCs w:val="24"/>
        </w:rPr>
        <w:t>? How much interest income must Seller recognize in each of years 1 through 10? How much must Seller recognize as gain derived from dealing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transactions all involve the unstated payment and receipt of interest.  Se</w:t>
      </w:r>
      <w:r w:rsidRPr="00576ED7">
        <w:rPr>
          <w:szCs w:val="24"/>
        </w:rPr>
        <w:t>c</w:t>
      </w:r>
      <w:r w:rsidRPr="00576ED7">
        <w:rPr>
          <w:szCs w:val="24"/>
        </w:rPr>
        <w:t>tions 1271 to 1288 and 483</w:t>
      </w:r>
      <w:r w:rsidRPr="00576ED7">
        <w:rPr>
          <w:rStyle w:val="FootnoteReference"/>
          <w:szCs w:val="24"/>
        </w:rPr>
        <w:footnoteReference w:id="71"/>
      </w:r>
      <w:r w:rsidRPr="00576ED7">
        <w:rPr>
          <w:szCs w:val="24"/>
        </w:rPr>
        <w:t xml:space="preserve"> deal with variations of the issues that these hyp</w:t>
      </w:r>
      <w:r w:rsidRPr="00576ED7">
        <w:rPr>
          <w:szCs w:val="24"/>
        </w:rPr>
        <w:t>o</w:t>
      </w:r>
      <w:r w:rsidRPr="00576ED7">
        <w:rPr>
          <w:szCs w:val="24"/>
        </w:rPr>
        <w:t>thetical fact patterns raise.  Our concern is with basic principles and not the details of implementation.  These provisions essentially “read into” the parties’ agre</w:t>
      </w:r>
      <w:r w:rsidRPr="00576ED7">
        <w:rPr>
          <w:szCs w:val="24"/>
        </w:rPr>
        <w:t>e</w:t>
      </w:r>
      <w:r w:rsidRPr="00576ED7">
        <w:rPr>
          <w:szCs w:val="24"/>
        </w:rPr>
        <w:t>ments the payment and receipt of interest annually and require tax treatment to track such an inclusion of interest.  The effect of such requirements is that the pa</w:t>
      </w:r>
      <w:r w:rsidRPr="00576ED7">
        <w:rPr>
          <w:szCs w:val="24"/>
        </w:rPr>
        <w:t>r</w:t>
      </w:r>
      <w:r w:rsidRPr="00576ED7">
        <w:rPr>
          <w:szCs w:val="24"/>
        </w:rPr>
        <w:t>ties must account for interest on a compounding basis.  The amount of interest will increase over time; it will be less than the straight-line amount in the early years and more than the straight-line amount in the later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terms of these arrangements all required performance of obligations at diffe</w:t>
      </w:r>
      <w:r w:rsidRPr="00576ED7">
        <w:rPr>
          <w:szCs w:val="24"/>
        </w:rPr>
        <w:t>r</w:t>
      </w:r>
      <w:r w:rsidRPr="00576ED7">
        <w:rPr>
          <w:szCs w:val="24"/>
        </w:rPr>
        <w:t>ent times and thereby raised time value of money issues.  The Code sections cr</w:t>
      </w:r>
      <w:r w:rsidRPr="00576ED7">
        <w:rPr>
          <w:szCs w:val="24"/>
        </w:rPr>
        <w:t>e</w:t>
      </w:r>
      <w:r w:rsidRPr="00576ED7">
        <w:rPr>
          <w:szCs w:val="24"/>
        </w:rPr>
        <w:t xml:space="preserve">ate an interest rate and prescribe a certain compounding period – essentially semi-annual.  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  Those tables reflect compounding interest on an annual basis.</w:t>
      </w:r>
    </w:p>
    <w:p w:rsidR="0049128E" w:rsidRPr="00576ED7" w:rsidRDefault="0049128E" w:rsidP="00A6585D">
      <w:pPr>
        <w:widowControl w:val="0"/>
        <w:ind w:left="720"/>
        <w:jc w:val="both"/>
        <w:rPr>
          <w:szCs w:val="24"/>
        </w:rPr>
      </w:pPr>
      <w:r w:rsidRPr="00576ED7">
        <w:rPr>
          <w:szCs w:val="24"/>
        </w:rPr>
        <w:t>•In the event you find working with formulas in a spreadsheet to be somewhat frightening, the following website (and certainly there are ot</w:t>
      </w:r>
      <w:r w:rsidRPr="00576ED7">
        <w:rPr>
          <w:szCs w:val="24"/>
        </w:rPr>
        <w:t>h</w:t>
      </w:r>
      <w:r w:rsidRPr="00576ED7">
        <w:rPr>
          <w:szCs w:val="24"/>
        </w:rPr>
        <w:t>ers) has links to several useful calculators: http://www.pine-grove.com/online-calculators/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w:t>
      </w:r>
      <w:r w:rsidRPr="00576ED7">
        <w:rPr>
          <w:szCs w:val="24"/>
        </w:rPr>
        <w:t>n</w:t>
      </w:r>
      <w:r w:rsidRPr="00576ED7">
        <w:rPr>
          <w:szCs w:val="24"/>
        </w:rPr>
        <w:t>come in the gross income of a holder of a debt instrument as the interest accrues, i.e., taxpayer Linda in Example (1) must include in her gross income interest as if Clifton had actually paid it and it was compounded semi-annually (§ 1272(a)(5)).</w:t>
      </w:r>
    </w:p>
    <w:p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rsidR="0049128E" w:rsidRPr="00576ED7" w:rsidRDefault="0049128E" w:rsidP="00A6585D">
      <w:pPr>
        <w:widowControl w:val="0"/>
        <w:ind w:left="720"/>
        <w:jc w:val="both"/>
        <w:rPr>
          <w:szCs w:val="24"/>
        </w:rPr>
      </w:pPr>
      <w:r w:rsidRPr="00576ED7">
        <w:rPr>
          <w:szCs w:val="24"/>
        </w:rPr>
        <w:t>•In Example (1) above, the “original issue discount” would be $15,007.30 − $10,000 = $5007.30.  This happens to be the interest that would be paid if the interest rate were 7%.  Use that figure when working from table 1 in chapter 2.</w:t>
      </w:r>
      <w:r w:rsidRPr="00576ED7">
        <w:rPr>
          <w:rStyle w:val="FootnoteReference"/>
          <w:szCs w:val="24"/>
        </w:rPr>
        <w:footnoteReference w:id="72"/>
      </w:r>
    </w:p>
    <w:p w:rsidR="0049128E" w:rsidRPr="00576ED7" w:rsidRDefault="0049128E" w:rsidP="00A6585D">
      <w:pPr>
        <w:widowControl w:val="0"/>
        <w:ind w:left="720"/>
        <w:jc w:val="both"/>
        <w:rPr>
          <w:szCs w:val="24"/>
        </w:rPr>
      </w:pPr>
      <w:r w:rsidRPr="00576ED7">
        <w:rPr>
          <w:szCs w:val="24"/>
        </w:rPr>
        <w:t>•By using table 1, we learn that Linda’s should include $700 in her gross income one year after making her investment.  Because she has paid i</w:t>
      </w:r>
      <w:r w:rsidRPr="00576ED7">
        <w:rPr>
          <w:szCs w:val="24"/>
        </w:rPr>
        <w:t>n</w:t>
      </w:r>
      <w:r w:rsidRPr="00576ED7">
        <w:rPr>
          <w:szCs w:val="24"/>
        </w:rPr>
        <w:t>come tax on $700, Linda’s basis in the bond increases to $10,700.  § 1272(d)(2).</w:t>
      </w:r>
    </w:p>
    <w:p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rsidR="0049128E" w:rsidRPr="00576ED7" w:rsidRDefault="0049128E" w:rsidP="00A6585D">
      <w:pPr>
        <w:widowControl w:val="0"/>
        <w:ind w:left="720"/>
        <w:jc w:val="both"/>
        <w:rPr>
          <w:szCs w:val="24"/>
        </w:rPr>
      </w:pPr>
      <w:r w:rsidRPr="00576ED7">
        <w:rPr>
          <w:szCs w:val="24"/>
        </w:rPr>
        <w:t>•After two years, Linda’s interest income will total $1449.  Because she already included $700 in her gross income, her interest income for year 2 that she must include in her gross income is $749.</w:t>
      </w:r>
      <w:r w:rsidRPr="00576ED7">
        <w:rPr>
          <w:rStyle w:val="FootnoteReference"/>
          <w:szCs w:val="24"/>
        </w:rPr>
        <w:footnoteReference w:id="73"/>
      </w:r>
      <w:r w:rsidRPr="00576ED7">
        <w:rPr>
          <w:szCs w:val="24"/>
        </w:rPr>
        <w:t xml:space="preserve">  Notice that it was more than it was in year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After three years, Linda would have paid tax on a total of $2250 of interest i</w:t>
      </w:r>
      <w:r w:rsidRPr="00576ED7">
        <w:rPr>
          <w:szCs w:val="24"/>
        </w:rPr>
        <w:t>n</w:t>
      </w:r>
      <w:r w:rsidRPr="00576ED7">
        <w:rPr>
          <w:szCs w:val="24"/>
        </w:rPr>
        <w:t xml:space="preserve">come.  She must include $801 of interest income in her gross income for year 3 – again, more than her interest income in year 2.  The basis in her bond would be $12,250.  She would realize $750 of gain from dealing in property upon its sale for $13,000.  </w:t>
      </w:r>
      <w:r w:rsidRPr="00576ED7">
        <w:rPr>
          <w:i/>
          <w:szCs w:val="24"/>
        </w:rPr>
        <w:t>See</w:t>
      </w:r>
      <w:r w:rsidRPr="00576ED7">
        <w:rPr>
          <w:szCs w:val="24"/>
        </w:rPr>
        <w:t xml:space="preserve"> Example (1a).</w:t>
      </w:r>
    </w:p>
    <w:p w:rsidR="0049128E" w:rsidRPr="00576ED7" w:rsidRDefault="0049128E" w:rsidP="00A6585D">
      <w:pPr>
        <w:widowControl w:val="0"/>
        <w:ind w:left="720"/>
        <w:jc w:val="both"/>
        <w:rPr>
          <w:szCs w:val="24"/>
        </w:rPr>
      </w:pPr>
      <w:r w:rsidRPr="00576ED7">
        <w:rPr>
          <w:szCs w:val="24"/>
        </w:rPr>
        <w:t>•Buyer paid a “premium,” i.e., Buyer paid $750 more than Linda’s adjus</w:t>
      </w:r>
      <w:r w:rsidRPr="00576ED7">
        <w:rPr>
          <w:szCs w:val="24"/>
        </w:rPr>
        <w:t>t</w:t>
      </w:r>
      <w:r w:rsidRPr="00576ED7">
        <w:rPr>
          <w:szCs w:val="24"/>
        </w:rPr>
        <w:t>ed basis in the bond.  Buyer will step into Linda’s shoes and recognize i</w:t>
      </w:r>
      <w:r w:rsidRPr="00576ED7">
        <w:rPr>
          <w:szCs w:val="24"/>
        </w:rPr>
        <w:t>n</w:t>
      </w:r>
      <w:r w:rsidRPr="00576ED7">
        <w:rPr>
          <w:szCs w:val="24"/>
        </w:rPr>
        <w:t>terest income on the bond.  However, Buyer will reduce the interest based upon a similar calculation of the $750 premium spread over the time r</w:t>
      </w:r>
      <w:r w:rsidRPr="00576ED7">
        <w:rPr>
          <w:szCs w:val="24"/>
        </w:rPr>
        <w:t>e</w:t>
      </w:r>
      <w:r w:rsidRPr="00576ED7">
        <w:rPr>
          <w:szCs w:val="24"/>
        </w:rPr>
        <w:t>maining to maturity of the bond.  § 1272(a)(7).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w:t>
      </w:r>
      <w:r w:rsidRPr="00576ED7">
        <w:rPr>
          <w:szCs w:val="24"/>
        </w:rPr>
        <w:t>x</w:t>
      </w:r>
      <w:r w:rsidRPr="00576ED7">
        <w:rPr>
          <w:szCs w:val="24"/>
        </w:rPr>
        <w:t>change for property (§ 1274(c)(1)), the interest must be at least the “applicable federal rate” (AFR).  If it is not, then the debt payments are structured as if the interest rate is the AFR.</w:t>
      </w:r>
    </w:p>
    <w:p w:rsidR="0049128E" w:rsidRPr="00576ED7" w:rsidRDefault="0049128E" w:rsidP="00A6585D">
      <w:pPr>
        <w:widowControl w:val="0"/>
        <w:ind w:left="720"/>
        <w:jc w:val="both"/>
        <w:rPr>
          <w:szCs w:val="24"/>
        </w:rPr>
      </w:pPr>
      <w:r w:rsidRPr="00576ED7">
        <w:rPr>
          <w:szCs w:val="24"/>
        </w:rPr>
        <w:t>•The AFR depends on the term of the debt instrument – whether short-term, mid-term, or long-term.  The Treasury Department determines AFRs monthly.  § 1274(d).</w:t>
      </w:r>
    </w:p>
    <w:p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w:t>
      </w:r>
      <w:r w:rsidRPr="00576ED7">
        <w:rPr>
          <w:szCs w:val="24"/>
        </w:rPr>
        <w:t>e</w:t>
      </w:r>
      <w:r w:rsidRPr="00576ED7">
        <w:rPr>
          <w:szCs w:val="24"/>
        </w:rPr>
        <w:t>sent values of all future payments.  The present value is determined on the basis of the AFR compounded semi-annually.  § 1274(b)(1 and 2).</w:t>
      </w:r>
    </w:p>
    <w:p w:rsidR="0049128E" w:rsidRPr="00576ED7" w:rsidRDefault="0049128E" w:rsidP="00A6585D">
      <w:pPr>
        <w:widowControl w:val="0"/>
        <w:ind w:left="720"/>
        <w:jc w:val="both"/>
        <w:rPr>
          <w:szCs w:val="24"/>
        </w:rPr>
      </w:pPr>
      <w:r w:rsidRPr="00576ED7">
        <w:rPr>
          <w:szCs w:val="24"/>
        </w:rPr>
        <w:t>•In Example 2, assume again that the interest rate is 7%.  Refer to table 3</w:t>
      </w:r>
      <w:r w:rsidRPr="00576ED7">
        <w:rPr>
          <w:rStyle w:val="FootnoteReference"/>
          <w:szCs w:val="24"/>
        </w:rPr>
        <w:footnoteReference w:id="74"/>
      </w:r>
      <w:r w:rsidRPr="00576ED7">
        <w:rPr>
          <w:szCs w:val="24"/>
        </w:rPr>
        <w:t xml:space="preserve"> in the materials following </w:t>
      </w:r>
      <w:r w:rsidRPr="00576ED7">
        <w:rPr>
          <w:i/>
          <w:szCs w:val="24"/>
        </w:rPr>
        <w:t>Bruun</w:t>
      </w:r>
      <w:r w:rsidRPr="00576ED7">
        <w:rPr>
          <w:szCs w:val="24"/>
        </w:rPr>
        <w:t>, i.e., the table that gives the present value of a fixed annuity payment.  The multiplier for ten years is 7.0236.  The annual payment is $350,000.  $350,000 x 7.0236 = $2,458,260.</w:t>
      </w:r>
    </w:p>
    <w:p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  The parties will allocate it on the same yield-to-maturity principles of § 1272 applic</w:t>
      </w:r>
      <w:r w:rsidRPr="00576ED7">
        <w:rPr>
          <w:szCs w:val="24"/>
        </w:rPr>
        <w:t>a</w:t>
      </w:r>
      <w:r w:rsidRPr="00576ED7">
        <w:rPr>
          <w:szCs w:val="24"/>
        </w:rPr>
        <w:t>ble to OID.</w:t>
      </w:r>
    </w:p>
    <w:p w:rsidR="0049128E" w:rsidRPr="00576ED7"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Pr="00576ED7">
        <w:rPr>
          <w:szCs w:val="24"/>
        </w:rPr>
        <w:t xml:space="preserve"> money on the sale.  Seller will realize substantial interest i</w:t>
      </w:r>
      <w:r w:rsidRPr="00576ED7">
        <w:rPr>
          <w:szCs w:val="24"/>
        </w:rPr>
        <w:t>n</w:t>
      </w:r>
      <w:r w:rsidRPr="00576ED7">
        <w:rPr>
          <w:szCs w:val="24"/>
        </w:rPr>
        <w:t>come – which is subject to a higher tax rate than long-term capital gain.</w:t>
      </w:r>
    </w:p>
    <w:p w:rsidR="0049128E" w:rsidRPr="00576ED7" w:rsidRDefault="0049128E" w:rsidP="00A6585D">
      <w:pPr>
        <w:widowControl w:val="0"/>
        <w:jc w:val="both"/>
        <w:rPr>
          <w:szCs w:val="24"/>
        </w:rPr>
      </w:pPr>
    </w:p>
    <w:p w:rsidR="0049128E" w:rsidRPr="00576ED7" w:rsidRDefault="0049128E" w:rsidP="00910345">
      <w:pPr>
        <w:pStyle w:val="Heading3"/>
      </w:pPr>
      <w:bookmarkStart w:id="50" w:name="_Toc375132937"/>
      <w:r w:rsidRPr="00576ED7">
        <w:lastRenderedPageBreak/>
        <w:t>Wrap-up Questions for Chapter 4</w:t>
      </w:r>
      <w:bookmarkEnd w:id="50"/>
      <w:r w:rsidRPr="00576ED7">
        <w:fldChar w:fldCharType="begin"/>
      </w:r>
      <w:r w:rsidRPr="00576ED7">
        <w:instrText xml:space="preserve"> TC \l1 "Wrap-up Questions for Chapter 4</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(in a court) is highly unlikely? Taxpayer borrows money in order to engage in an illegal transa</w:t>
      </w:r>
      <w:r w:rsidRPr="00576ED7">
        <w:rPr>
          <w:szCs w:val="24"/>
        </w:rPr>
        <w:t>c</w:t>
      </w:r>
      <w:r w:rsidRPr="00576ED7">
        <w:rPr>
          <w:szCs w:val="24"/>
        </w:rPr>
        <w:t>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Bankruptcy Code, 11 U.S.C. § 523(a)(8) makes discharge of a student loan quite difficult, i.e., bankrupt must show “undue hardship on the debtor and the debtor’s dependents.”  Section 108(f)(1) of the I.R.C. excludes doi income from a taxpayer’s gross income when “discharge was pursuant to a provision of such loan under which all or part of the indebtedness of the individual would be discharged if the individual worked for a certain period of time in certain profe</w:t>
      </w:r>
      <w:r w:rsidRPr="00576ED7">
        <w:rPr>
          <w:szCs w:val="24"/>
        </w:rPr>
        <w:t>s</w:t>
      </w:r>
      <w:r w:rsidRPr="00576ED7">
        <w:rPr>
          <w:szCs w:val="24"/>
        </w:rPr>
        <w:t>sions for any of a broad class of employers.”  What should be the effect of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You have seen that various types of loans fall within § 108 and are therefore subject to the favorable treatment that that section provides.  Are there others? Some argue that </w:t>
      </w:r>
      <w:r w:rsidRPr="00576ED7">
        <w:rPr>
          <w:i/>
          <w:szCs w:val="24"/>
        </w:rPr>
        <w:t>any</w:t>
      </w:r>
      <w:r w:rsidRPr="00576ED7">
        <w:rPr>
          <w:szCs w:val="24"/>
        </w:rPr>
        <w:t xml:space="preserve"> forgiveness of a student loan should be excluded from gross income.  Do you agree?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51" w:name="_Toc375132938"/>
      <w:r w:rsidRPr="00576ED7">
        <w:rPr>
          <w:b/>
        </w:rPr>
        <w:t>Chapter 5: Assignment of Income</w:t>
      </w:r>
      <w:bookmarkEnd w:id="51"/>
      <w:r w:rsidRPr="00576ED7">
        <w:fldChar w:fldCharType="begin"/>
      </w:r>
      <w:r w:rsidRPr="00576ED7">
        <w:instrText xml:space="preserve"> TC \l1 "Chapter 5: Assignment of Income</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68480" behindDoc="0" locked="0" layoutInCell="0" allowOverlap="1" wp14:anchorId="67F089D9" wp14:editId="11E52C4A">
                <wp:simplePos x="0" y="0"/>
                <wp:positionH relativeFrom="margin">
                  <wp:posOffset>8255</wp:posOffset>
                </wp:positionH>
                <wp:positionV relativeFrom="paragraph">
                  <wp:posOffset>88900</wp:posOffset>
                </wp:positionV>
                <wp:extent cx="2517775" cy="2454910"/>
                <wp:effectExtent l="0" t="0" r="0" b="0"/>
                <wp:wrapSquare wrapText="largest"/>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54910"/>
                        </a:xfrm>
                        <a:prstGeom prst="rect">
                          <a:avLst/>
                        </a:prstGeom>
                        <a:solidFill>
                          <a:srgbClr val="FFFFFF"/>
                        </a:solidFill>
                        <a:ln w="12192">
                          <a:solidFill>
                            <a:srgbClr val="000000"/>
                          </a:solidFill>
                          <a:miter lim="800000"/>
                          <a:headEnd/>
                          <a:tailEnd/>
                        </a:ln>
                      </wps:spPr>
                      <wps:txbx>
                        <w:txbxContent>
                          <w:p w:rsidR="00FF5E72" w:rsidRDefault="00FF5E72">
                            <w:pPr>
                              <w:widowControl w:val="0"/>
                              <w:rPr>
                                <w:rFonts w:ascii="Tw Cen MT" w:hAnsi="Tw Cen MT"/>
                              </w:rPr>
                            </w:pPr>
                            <w:r>
                              <w:rPr>
                                <w:rFonts w:ascii="Tw Cen MT" w:hAnsi="Tw Cen MT"/>
                                <w:i/>
                              </w:rPr>
                              <w:t>The Tax Formula</w:t>
                            </w:r>
                            <w:r>
                              <w:rPr>
                                <w:rFonts w:ascii="Tw Cen MT" w:hAnsi="Tw Cen MT"/>
                              </w:rPr>
                              <w:t>:</w:t>
                            </w:r>
                          </w:p>
                          <w:p w:rsidR="00FF5E72" w:rsidRDefault="00FF5E72">
                            <w:pPr>
                              <w:widowControl w:val="0"/>
                              <w:rPr>
                                <w:rFonts w:ascii="Tw Cen MT" w:hAnsi="Tw Cen MT"/>
                              </w:rPr>
                            </w:pPr>
                          </w:p>
                          <w:p w:rsidR="00FF5E72" w:rsidRDefault="00FF5E72">
                            <w:pPr>
                              <w:widowControl w:val="0"/>
                              <w:rPr>
                                <w:rFonts w:ascii="Tw Cen MT" w:hAnsi="Tw Cen MT"/>
                              </w:rPr>
                            </w:pPr>
                            <w:r>
                              <w:rPr>
                                <w:rFonts w:ascii="Tw Cen MT" w:hAnsi="Tw Cen MT"/>
                              </w:rPr>
                              <w:t>(gross income)</w:t>
                            </w:r>
                          </w:p>
                          <w:p w:rsidR="00FF5E72" w:rsidRDefault="00FF5E72">
                            <w:pPr>
                              <w:widowControl w:val="0"/>
                              <w:rPr>
                                <w:rFonts w:ascii="Tw Cen MT" w:hAnsi="Tw Cen MT"/>
                              </w:rPr>
                            </w:pPr>
                            <w:r>
                              <w:rPr>
                                <w:rFonts w:ascii="Tw Cen MT" w:hAnsi="Tw Cen MT"/>
                                <w:u w:val="single"/>
                              </w:rPr>
                              <w:t>MINUS deductions named in § 62</w:t>
                            </w:r>
                          </w:p>
                          <w:p w:rsidR="00FF5E72" w:rsidRDefault="00FF5E72">
                            <w:pPr>
                              <w:widowControl w:val="0"/>
                              <w:rPr>
                                <w:rFonts w:ascii="Tw Cen MT" w:hAnsi="Tw Cen MT"/>
                              </w:rPr>
                            </w:pPr>
                            <w:r>
                              <w:rPr>
                                <w:rFonts w:ascii="Tw Cen MT" w:hAnsi="Tw Cen MT"/>
                              </w:rPr>
                              <w:t>EQUALS (adjusted gross income (AGI))</w:t>
                            </w:r>
                          </w:p>
                          <w:p w:rsidR="00FF5E72" w:rsidRDefault="00FF5E72">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pPr>
                              <w:widowControl w:val="0"/>
                              <w:rPr>
                                <w:rFonts w:ascii="Tw Cen MT" w:hAnsi="Tw Cen MT"/>
                              </w:rPr>
                            </w:pPr>
                            <w:r>
                              <w:rPr>
                                <w:rFonts w:ascii="Tw Cen MT" w:hAnsi="Tw Cen MT"/>
                              </w:rPr>
                              <w:t>MINUS (personal exemptions)</w:t>
                            </w:r>
                          </w:p>
                          <w:p w:rsidR="00FF5E72" w:rsidRDefault="00FF5E72">
                            <w:pPr>
                              <w:widowControl w:val="0"/>
                              <w:rPr>
                                <w:rFonts w:ascii="Tw Cen MT" w:hAnsi="Tw Cen MT"/>
                              </w:rPr>
                            </w:pPr>
                            <w:r>
                              <w:rPr>
                                <w:rFonts w:ascii="Tw Cen MT" w:hAnsi="Tw Cen MT"/>
                              </w:rPr>
                              <w:t>EQUALS (taxable income)</w:t>
                            </w:r>
                          </w:p>
                          <w:p w:rsidR="00FF5E72" w:rsidRDefault="00FF5E72">
                            <w:pPr>
                              <w:widowControl w:val="0"/>
                              <w:rPr>
                                <w:rFonts w:ascii="Tw Cen MT" w:hAnsi="Tw Cen MT"/>
                              </w:rPr>
                            </w:pPr>
                          </w:p>
                          <w:p w:rsidR="00FF5E72" w:rsidRPr="00E1445D" w:rsidRDefault="00FF5E72">
                            <w:pPr>
                              <w:widowControl w:val="0"/>
                              <w:rPr>
                                <w:rFonts w:ascii="Tw Cen MT" w:hAnsi="Tw Cen MT"/>
                              </w:rPr>
                            </w:pPr>
                            <w:r>
                              <w:rPr>
                                <w:rFonts w:ascii="Tw Cen MT" w:hAnsi="Tw Cen MT"/>
                              </w:rPr>
                              <w:t xml:space="preserve">➔Compute income tax liability from tables in § 1 (indexed for inflation) </w:t>
                            </w:r>
                          </w:p>
                          <w:p w:rsidR="00FF5E72" w:rsidRDefault="00FF5E72">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65pt;margin-top:7pt;width:198.25pt;height:193.3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QJKwIAAFwEAAAOAAAAZHJzL2Uyb0RvYy54bWysVFFv0zAQfkfiP1h+p2mitd2ipdPoKEIa&#10;A2njBziOk1jYPmO7Tcqv5+x0XTXgBZEHy2efv7v7vrtc34xakb1wXoKpaD6bUyIMh0aarqLfnrbv&#10;LinxgZmGKTCiogfh6c367ZvrwZaigB5UIxxBEOPLwVa0D8GWWeZ5LzTzM7DC4GULTrOApuuyxrEB&#10;0bXKivl8mQ3gGuuAC+/x9G66pOuE37aChy9t60UgqqKYW0irS2sd12x9zcrOMdtLfkyD/UMWmkmD&#10;QU9QdywwsnPyNygtuQMPbZhx0Bm0reQi1YDV5PNX1Tz2zIpUC5Lj7Ykm//9g+cP+qyOyqehySYlh&#10;GjV6EmMg72EkiyLyM1hfotujRccw4jnqnGr19h74d08MbHpmOnHrHAy9YA3ml8eX2dnTCcdHkHr4&#10;DA3GYbsACWhsnY7kIR0E0VGnw0mbmAvHw2KRr1arBSUc74qLxcVVntTLWPn83DofPgrQJG4q6lD8&#10;BM/29z7EdFj57BKjeVCy2UqlkuG6eqMc2TNslG36UgWv3JQhAxZX5FfFRMFfMebp+xOGlgFbXkld&#10;0cuTEysjcR9MkxoyMKmmPeaszJHJSN5EYxjrMYm2SBxEmmtoDsitg6nFcSRx04P7ScmA7V1R/2PH&#10;nKBEfTKoz2qJ04PzcG64c6M+N5jhCFXRQMm03YRphnbWya7HSFNHGLhFTVuZ2H7J6pg/tnAS4Thu&#10;cUbO7eT18lNY/wIAAP//AwBQSwMEFAAGAAgAAAAhAH+q+9rYAAAACAEAAA8AAABkcnMvZG93bnJl&#10;di54bWxMT8tOwzAQvCPxD9YicaMObcUjxKlQJO5NAMFxGy9xRLwOsduEv2c5wWk0mtE8it3iB3Wi&#10;KfaBDVyvMlDEbbA9dwZenp+u7kDFhGxxCEwGvinCrjw/KzC3YeaaTk3qlIRwzNGAS2nMtY6tI49x&#10;FUZi0T7C5DEJnTptJ5wl3A96nWU32mPP0uBwpMpR+9kcvYFQ19Xruvnav1Wzrbp5v6Tx3RlzebE8&#10;PoBKtKQ/M/zOl+lQyqZDOLKNahC+EaPAVh6JvLm/lScHA1tpBV0W+v+B8gcAAP//AwBQSwECLQAU&#10;AAYACAAAACEAtoM4kv4AAADhAQAAEwAAAAAAAAAAAAAAAAAAAAAAW0NvbnRlbnRfVHlwZXNdLnht&#10;bFBLAQItABQABgAIAAAAIQA4/SH/1gAAAJQBAAALAAAAAAAAAAAAAAAAAC8BAABfcmVscy8ucmVs&#10;c1BLAQItABQABgAIAAAAIQB1pKQJKwIAAFwEAAAOAAAAAAAAAAAAAAAAAC4CAABkcnMvZTJvRG9j&#10;LnhtbFBLAQItABQABgAIAAAAIQB/qvva2AAAAAgBAAAPAAAAAAAAAAAAAAAAAIUEAABkcnMvZG93&#10;bnJldi54bWxQSwUGAAAAAAQABADzAAAAigUAAAAA&#10;" o:allowincell="f" strokeweight=".96pt">
                <v:textbox inset="6pt,6pt,6pt,6pt">
                  <w:txbxContent>
                    <w:p w:rsidR="00FF5E72" w:rsidRDefault="00FF5E72">
                      <w:pPr>
                        <w:widowControl w:val="0"/>
                        <w:rPr>
                          <w:rFonts w:ascii="Tw Cen MT" w:hAnsi="Tw Cen MT"/>
                        </w:rPr>
                      </w:pPr>
                      <w:r>
                        <w:rPr>
                          <w:rFonts w:ascii="Tw Cen MT" w:hAnsi="Tw Cen MT"/>
                          <w:i/>
                        </w:rPr>
                        <w:t>The Tax Formula</w:t>
                      </w:r>
                      <w:r>
                        <w:rPr>
                          <w:rFonts w:ascii="Tw Cen MT" w:hAnsi="Tw Cen MT"/>
                        </w:rPr>
                        <w:t>:</w:t>
                      </w:r>
                    </w:p>
                    <w:p w:rsidR="00FF5E72" w:rsidRDefault="00FF5E72">
                      <w:pPr>
                        <w:widowControl w:val="0"/>
                        <w:rPr>
                          <w:rFonts w:ascii="Tw Cen MT" w:hAnsi="Tw Cen MT"/>
                        </w:rPr>
                      </w:pPr>
                    </w:p>
                    <w:p w:rsidR="00FF5E72" w:rsidRDefault="00FF5E72">
                      <w:pPr>
                        <w:widowControl w:val="0"/>
                        <w:rPr>
                          <w:rFonts w:ascii="Tw Cen MT" w:hAnsi="Tw Cen MT"/>
                        </w:rPr>
                      </w:pPr>
                      <w:r>
                        <w:rPr>
                          <w:rFonts w:ascii="Tw Cen MT" w:hAnsi="Tw Cen MT"/>
                        </w:rPr>
                        <w:t>(gross income)</w:t>
                      </w:r>
                    </w:p>
                    <w:p w:rsidR="00FF5E72" w:rsidRDefault="00FF5E72">
                      <w:pPr>
                        <w:widowControl w:val="0"/>
                        <w:rPr>
                          <w:rFonts w:ascii="Tw Cen MT" w:hAnsi="Tw Cen MT"/>
                        </w:rPr>
                      </w:pPr>
                      <w:r>
                        <w:rPr>
                          <w:rFonts w:ascii="Tw Cen MT" w:hAnsi="Tw Cen MT"/>
                          <w:u w:val="single"/>
                        </w:rPr>
                        <w:t>MINUS deductions named in § 62</w:t>
                      </w:r>
                    </w:p>
                    <w:p w:rsidR="00FF5E72" w:rsidRDefault="00FF5E72">
                      <w:pPr>
                        <w:widowControl w:val="0"/>
                        <w:rPr>
                          <w:rFonts w:ascii="Tw Cen MT" w:hAnsi="Tw Cen MT"/>
                        </w:rPr>
                      </w:pPr>
                      <w:r>
                        <w:rPr>
                          <w:rFonts w:ascii="Tw Cen MT" w:hAnsi="Tw Cen MT"/>
                        </w:rPr>
                        <w:t>EQUALS (adjusted gross income (AGI))</w:t>
                      </w:r>
                    </w:p>
                    <w:p w:rsidR="00FF5E72" w:rsidRDefault="00FF5E72">
                      <w:pPr>
                        <w:widowControl w:val="0"/>
                        <w:rPr>
                          <w:rFonts w:ascii="Tw Cen MT" w:hAnsi="Tw Cen MT"/>
                        </w:rPr>
                      </w:pPr>
                      <w:r>
                        <w:rPr>
                          <w:rFonts w:ascii="Tw Cen MT" w:hAnsi="Tw Cen MT"/>
                        </w:rPr>
                        <w:t>MINUS (standard deduction or ite</w:t>
                      </w:r>
                      <w:r>
                        <w:rPr>
                          <w:rFonts w:ascii="Tw Cen MT" w:hAnsi="Tw Cen MT"/>
                        </w:rPr>
                        <w:t>m</w:t>
                      </w:r>
                      <w:r>
                        <w:rPr>
                          <w:rFonts w:ascii="Tw Cen MT" w:hAnsi="Tw Cen MT"/>
                        </w:rPr>
                        <w:t>ized deductions)</w:t>
                      </w:r>
                    </w:p>
                    <w:p w:rsidR="00FF5E72" w:rsidRDefault="00FF5E72">
                      <w:pPr>
                        <w:widowControl w:val="0"/>
                        <w:rPr>
                          <w:rFonts w:ascii="Tw Cen MT" w:hAnsi="Tw Cen MT"/>
                        </w:rPr>
                      </w:pPr>
                      <w:r>
                        <w:rPr>
                          <w:rFonts w:ascii="Tw Cen MT" w:hAnsi="Tw Cen MT"/>
                        </w:rPr>
                        <w:t>MINUS (personal exemptions)</w:t>
                      </w:r>
                    </w:p>
                    <w:p w:rsidR="00FF5E72" w:rsidRDefault="00FF5E72">
                      <w:pPr>
                        <w:widowControl w:val="0"/>
                        <w:rPr>
                          <w:rFonts w:ascii="Tw Cen MT" w:hAnsi="Tw Cen MT"/>
                        </w:rPr>
                      </w:pPr>
                      <w:r>
                        <w:rPr>
                          <w:rFonts w:ascii="Tw Cen MT" w:hAnsi="Tw Cen MT"/>
                        </w:rPr>
                        <w:t>EQUALS (taxable income)</w:t>
                      </w:r>
                    </w:p>
                    <w:p w:rsidR="00FF5E72" w:rsidRDefault="00FF5E72">
                      <w:pPr>
                        <w:widowControl w:val="0"/>
                        <w:rPr>
                          <w:rFonts w:ascii="Tw Cen MT" w:hAnsi="Tw Cen MT"/>
                        </w:rPr>
                      </w:pPr>
                    </w:p>
                    <w:p w:rsidR="00FF5E72" w:rsidRPr="00E1445D" w:rsidRDefault="00FF5E72">
                      <w:pPr>
                        <w:widowControl w:val="0"/>
                        <w:rPr>
                          <w:rFonts w:ascii="Tw Cen MT" w:hAnsi="Tw Cen MT"/>
                        </w:rPr>
                      </w:pPr>
                      <w:r>
                        <w:rPr>
                          <w:rFonts w:ascii="Tw Cen MT" w:hAnsi="Tw Cen MT"/>
                        </w:rPr>
                        <w:t xml:space="preserve">➔Compute income tax liability from tables in § 1 (indexed for inflation) </w:t>
                      </w:r>
                    </w:p>
                    <w:p w:rsidR="00FF5E72" w:rsidRDefault="00FF5E72">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w:t>
      </w:r>
      <w:r w:rsidR="0049128E" w:rsidRPr="00576ED7">
        <w:rPr>
          <w:szCs w:val="24"/>
        </w:rPr>
        <w:t>e</w:t>
      </w:r>
      <w:r w:rsidR="0049128E" w:rsidRPr="00576ED7">
        <w:rPr>
          <w:szCs w:val="24"/>
        </w:rPr>
        <w:t>ments of taxable income increase.  Currently there are seven marginal brackets – eight if we count income that is below the threshold of taxable income.</w:t>
      </w:r>
      <w:r w:rsidR="0049128E" w:rsidRPr="00576ED7">
        <w:rPr>
          <w:rStyle w:val="FootnoteReference"/>
          <w:szCs w:val="24"/>
        </w:rPr>
        <w:footnoteReference w:id="75"/>
      </w:r>
      <w:r w:rsidR="0049128E" w:rsidRPr="00576ED7">
        <w:rPr>
          <w:szCs w:val="24"/>
        </w:rPr>
        <w:t xml:space="preserve">  If a taxpayer can spread his/her income among other taxpa</w:t>
      </w:r>
      <w:r w:rsidR="0049128E" w:rsidRPr="00576ED7">
        <w:rPr>
          <w:szCs w:val="24"/>
        </w:rPr>
        <w:t>y</w:t>
      </w:r>
      <w:r w:rsidR="0049128E" w:rsidRPr="00576ED7">
        <w:rPr>
          <w:szCs w:val="24"/>
        </w:rPr>
        <w:t>ers, more of taxpayer’s income will be subject to lower marginal rates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table represents the computation of the income tax burden of a person whose taxable income is $210,000.  Imaginary marginal tax brackets are as noted.  The total tax burden of this taxpayer is $50,000.</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430"/>
        <w:gridCol w:w="1080"/>
      </w:tblGrid>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tabs>
                <w:tab w:val="right" w:pos="2228"/>
              </w:tabs>
              <w:jc w:val="both"/>
              <w:rPr>
                <w:szCs w:val="24"/>
              </w:rPr>
            </w:pPr>
            <w:r w:rsidRPr="00576ED7">
              <w:rPr>
                <w:szCs w:val="24"/>
              </w:rPr>
              <w:t>Income range</w:t>
            </w:r>
            <w:r w:rsidRPr="00576ED7">
              <w:rPr>
                <w:szCs w:val="24"/>
              </w:rPr>
              <w:tab/>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Marginal Tax Rate</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$110,000 to $160,000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$160,000 to $210,000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$20,000</w:t>
            </w:r>
          </w:p>
        </w:tc>
      </w:tr>
      <w:tr w:rsidR="0049128E" w:rsidRPr="00576ED7">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Our taxpayer might try to reduce his/her tax burden by “assigning” some of </w:t>
      </w:r>
      <w:r w:rsidRPr="00576ED7">
        <w:rPr>
          <w:szCs w:val="24"/>
        </w:rPr>
        <w:lastRenderedPageBreak/>
        <w:t>his/her taxable income to persons s/he controls – perhaps two children.  Our ta</w:t>
      </w:r>
      <w:r w:rsidRPr="00576ED7">
        <w:rPr>
          <w:szCs w:val="24"/>
        </w:rPr>
        <w:t>x</w:t>
      </w:r>
      <w:r w:rsidRPr="00576ED7">
        <w:rPr>
          <w:szCs w:val="24"/>
        </w:rPr>
        <w:t>payer might decide that s/he and each of the two children should receive $70,000 of the original $210,000 total.  The new tax computation table would be the fo</w:t>
      </w:r>
      <w:r w:rsidRPr="00576ED7">
        <w:rPr>
          <w:szCs w:val="24"/>
        </w:rPr>
        <w:t>l</w:t>
      </w:r>
      <w:r w:rsidRPr="00576ED7">
        <w:rPr>
          <w:szCs w:val="24"/>
        </w:rPr>
        <w:t>lowing:</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490"/>
        <w:gridCol w:w="2340"/>
      </w:tblGrid>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Income range</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 xml:space="preserve">Marginal Tax Rate </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6"/>
            </w:r>
          </w:p>
        </w:tc>
      </w:tr>
      <w:tr w:rsidR="0049128E" w:rsidRPr="00576ED7">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$7000 x 3 = $21,000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with taxable income of $210,000.  This characteristic of progressive tax rates has led taxpayers to cr</w:t>
      </w:r>
      <w:r w:rsidRPr="00576ED7">
        <w:rPr>
          <w:szCs w:val="24"/>
        </w:rPr>
        <w:t>e</w:t>
      </w:r>
      <w:r w:rsidRPr="00576ED7">
        <w:rPr>
          <w:szCs w:val="24"/>
        </w:rPr>
        <w:t>ate many schemes to “split income” so that more of it would be subject to lower rates of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7"/>
      </w:r>
      <w:r w:rsidRPr="00576ED7">
        <w:rPr>
          <w:szCs w:val="24"/>
        </w:rPr>
        <w:t xml:space="preserve"> doctrine to prevent abusive income splitting.  In addition, Congress has created some statutory rules that limit assignments of income.  We begin with the leading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2" w:name="_Toc375132939"/>
      <w:r w:rsidRPr="00576ED7">
        <w:t>I.  Compensation for Services</w:t>
      </w:r>
      <w:bookmarkEnd w:id="52"/>
      <w:r w:rsidRPr="00576ED7">
        <w:fldChar w:fldCharType="begin"/>
      </w:r>
      <w:r w:rsidRPr="00576ED7">
        <w:instrText xml:space="preserve"> TC \l1 "I.  Compensation for Services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question whether the respondent, Earl, could be taxed for </w:t>
      </w:r>
      <w:r w:rsidRPr="00576ED7">
        <w:rPr>
          <w:szCs w:val="24"/>
        </w:rPr>
        <w:lastRenderedPageBreak/>
        <w:t>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w:t>
      </w:r>
      <w:r w:rsidRPr="00576ED7">
        <w:rPr>
          <w:szCs w:val="24"/>
        </w:rPr>
        <w:t>e</w:t>
      </w:r>
      <w:r w:rsidRPr="00576ED7">
        <w:rPr>
          <w:szCs w:val="24"/>
        </w:rPr>
        <w:t>versed by the circuit court of appeals.  A writ of certiorari was granted by this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w:t>
      </w:r>
      <w:r w:rsidRPr="00576ED7">
        <w:rPr>
          <w:szCs w:val="24"/>
        </w:rPr>
        <w:t>d</w:t>
      </w:r>
      <w:r w:rsidRPr="00576ED7">
        <w:rPr>
          <w:szCs w:val="24"/>
        </w:rPr>
        <w:t>ing salaries, fees, etc.), or any rights by contract or otherwise, during the existence of our marriage, or which we or either of us may receive by gift, bequest, devise, or inheritance, and all the proceeds, issues, and profits of any and all such prope</w:t>
      </w:r>
      <w:r w:rsidRPr="00576ED7">
        <w:rPr>
          <w:szCs w:val="24"/>
        </w:rPr>
        <w:t>r</w:t>
      </w:r>
      <w:r w:rsidRPr="00576ED7">
        <w:rPr>
          <w:szCs w:val="24"/>
        </w:rPr>
        <w:t>ty shall be treated and considered, and hereby is declared to be received, held, taken, and owned by us as joint tenants, and not otherwise, with the right of surv</w:t>
      </w:r>
      <w:r w:rsidRPr="00576ED7">
        <w:rPr>
          <w:szCs w:val="24"/>
        </w:rPr>
        <w:t>i</w:t>
      </w:r>
      <w:r w:rsidRPr="00576ED7">
        <w:rPr>
          <w:szCs w:val="24"/>
        </w:rPr>
        <w:t>vorship.”</w:t>
      </w:r>
      <w:r w:rsidR="0029117B">
        <w:rPr>
          <w:szCs w:val="24"/>
        </w:rPr>
        <w:t xml:space="preserve">  </w:t>
      </w:r>
      <w:r w:rsidRPr="00576ED7">
        <w:rPr>
          <w:szCs w:val="24"/>
        </w:rPr>
        <w:t>The validity of the contract is not questioned, and we assume it to be unquestionable under the law of the California, in which the parties lived.  Neve</w:t>
      </w:r>
      <w:r w:rsidRPr="00576ED7">
        <w:rPr>
          <w:szCs w:val="24"/>
        </w:rPr>
        <w:t>r</w:t>
      </w:r>
      <w:r w:rsidRPr="00576ED7">
        <w:rPr>
          <w:szCs w:val="24"/>
        </w:rPr>
        <w:t>theless we are of opinion that the Commissioner and Board of Tax Appeals were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Revenue Act of 1918 approved February 24, 1919, c. 18, §§ 210, 211, 212(a), 213(a), 40 Stat. 1057, 1062, 1064, 1065, imposes a tax upon the net income of every individual including “income derived from salaries, wages, or compens</w:t>
      </w:r>
      <w:r w:rsidRPr="00576ED7">
        <w:rPr>
          <w:szCs w:val="24"/>
        </w:rPr>
        <w:t>a</w:t>
      </w:r>
      <w:r w:rsidRPr="00576ED7">
        <w:rPr>
          <w:szCs w:val="24"/>
        </w:rPr>
        <w:t>tion for personal service ... of whatever kind and in whatever form paid,” § 213(a).  The provisions of the Revenue Act of 1921</w:t>
      </w:r>
      <w:r w:rsidR="00C46AB2">
        <w:rPr>
          <w:szCs w:val="24"/>
        </w:rPr>
        <w:t xml:space="preserve"> …</w:t>
      </w:r>
      <w:r w:rsidRPr="00576ED7">
        <w:rPr>
          <w:szCs w:val="24"/>
        </w:rPr>
        <w:t xml:space="preserve"> are similar to those of the above.  A very forcible argument is presented to the effect that the statute seeks to tax only income beneficially received, and that, taking the question more techn</w:t>
      </w:r>
      <w:r w:rsidRPr="00576ED7">
        <w:rPr>
          <w:szCs w:val="24"/>
        </w:rPr>
        <w:t>i</w:t>
      </w:r>
      <w:r w:rsidRPr="00576ED7">
        <w:rPr>
          <w:szCs w:val="24"/>
        </w:rPr>
        <w:t>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w:t>
      </w:r>
      <w:r w:rsidRPr="00576ED7">
        <w:rPr>
          <w:szCs w:val="24"/>
        </w:rPr>
        <w:t>n</w:t>
      </w:r>
      <w:r w:rsidRPr="00576ED7">
        <w:rPr>
          <w:szCs w:val="24"/>
        </w:rPr>
        <w:t>struction of the taxing act.  There is no doubt that the statute could tax salaries to those who earned them, and provide that the tax could not be escaped by anticip</w:t>
      </w:r>
      <w:r w:rsidRPr="00576ED7">
        <w:rPr>
          <w:szCs w:val="24"/>
        </w:rPr>
        <w:t>a</w:t>
      </w:r>
      <w:r w:rsidRPr="00576ED7">
        <w:rPr>
          <w:szCs w:val="24"/>
        </w:rPr>
        <w:t xml:space="preserve">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w:t>
      </w:r>
      <w:r w:rsidRPr="00576ED7">
        <w:rPr>
          <w:szCs w:val="24"/>
        </w:rPr>
        <w:lastRenderedPageBreak/>
        <w:t>attributed to a different tree from that on which they grew.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This case is the origin of the “assignment of income” doctrine, i.e., a taxpayer cannot assign his/her income tax liability to another by assigning as yet unearned income to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Earls entered their contract 1901 – at a time when most people believed that a federal personal income tax was unconstitutional and fifteen years before Congress enacted the income tax statute.  This “anticipatory assignment” could hardly have had as a purpose the avoidance of federal income tax liability.</w:t>
      </w:r>
    </w:p>
    <w:p w:rsidR="0049128E" w:rsidRPr="00576ED7" w:rsidRDefault="0049128E" w:rsidP="00A6585D">
      <w:pPr>
        <w:widowControl w:val="0"/>
        <w:ind w:left="720"/>
        <w:jc w:val="both"/>
        <w:rPr>
          <w:szCs w:val="24"/>
        </w:rPr>
      </w:pPr>
      <w:r w:rsidRPr="00576ED7">
        <w:rPr>
          <w:szCs w:val="24"/>
        </w:rPr>
        <w:t>•In fact, Guy Earl probably utilized the contract as an estate planning d</w:t>
      </w:r>
      <w:r w:rsidRPr="00576ED7">
        <w:rPr>
          <w:szCs w:val="24"/>
        </w:rPr>
        <w:t>e</w:t>
      </w:r>
      <w:r w:rsidRPr="00576ED7">
        <w:rPr>
          <w:szCs w:val="24"/>
        </w:rPr>
        <w:t xml:space="preserve">vice.  He was not in good health, and by this simple contract, he was able to pass half of his property – already owned or to be acquired – to his wife without need of probate.  At the time, there was no right of survivorship in 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w:t>
      </w:r>
      <w:r w:rsidRPr="00576ED7">
        <w:rPr>
          <w:i/>
          <w:szCs w:val="24"/>
        </w:rPr>
        <w:t>s</w:t>
      </w:r>
      <w:r w:rsidRPr="00576ED7">
        <w:rPr>
          <w:i/>
          <w:szCs w:val="24"/>
        </w:rPr>
        <w:t>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Consider: Taxpayer sold life insurance for several years.  As such, he was e</w:t>
      </w:r>
      <w:r w:rsidRPr="00576ED7">
        <w:rPr>
          <w:szCs w:val="24"/>
        </w:rPr>
        <w:t>n</w:t>
      </w:r>
      <w:r w:rsidRPr="00576ED7">
        <w:rPr>
          <w:szCs w:val="24"/>
        </w:rPr>
        <w:t>titled to “renewal commissions” when the purchaser of a policy paid premiums in later years in order to keep the policy in effect.  Taxpayer sold his/her insurance agency business to another company, and the company paid $100,000 to Taxpa</w:t>
      </w:r>
      <w:r w:rsidRPr="00576ED7">
        <w:rPr>
          <w:szCs w:val="24"/>
        </w:rPr>
        <w:t>y</w:t>
      </w:r>
      <w:r w:rsidRPr="00576ED7">
        <w:rPr>
          <w:szCs w:val="24"/>
        </w:rPr>
        <w:t>er for Taxpayer’s right to “renewal commissions.”  Tax consequences to Taxpa</w:t>
      </w:r>
      <w:r w:rsidRPr="00576ED7">
        <w:rPr>
          <w:szCs w:val="24"/>
        </w:rPr>
        <w:t>y</w:t>
      </w:r>
      <w:r w:rsidRPr="00576ED7">
        <w:rPr>
          <w:szCs w:val="24"/>
        </w:rPr>
        <w:t xml:space="preserve">er? How is this case different in essence from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Hodges v. Commissioner</w:t>
      </w:r>
      <w:r w:rsidRPr="00576ED7">
        <w:rPr>
          <w:szCs w:val="24"/>
        </w:rPr>
        <w:t xml:space="preserve">, 50 T.C. 428 (1968); </w:t>
      </w:r>
      <w:r w:rsidRPr="00576ED7">
        <w:rPr>
          <w:i/>
          <w:szCs w:val="24"/>
        </w:rPr>
        <w:t>cf.</w:t>
      </w:r>
      <w:r w:rsidRPr="00576ED7">
        <w:rPr>
          <w:szCs w:val="24"/>
        </w:rPr>
        <w:t xml:space="preserve"> </w:t>
      </w:r>
      <w:r w:rsidRPr="00576ED7">
        <w:rPr>
          <w:i/>
          <w:szCs w:val="24"/>
        </w:rPr>
        <w:t>Helvering v. E</w:t>
      </w:r>
      <w:r w:rsidRPr="00576ED7">
        <w:rPr>
          <w:i/>
          <w:szCs w:val="24"/>
        </w:rPr>
        <w:t>u</w:t>
      </w:r>
      <w:r w:rsidRPr="00576ED7">
        <w:rPr>
          <w:i/>
          <w:szCs w:val="24"/>
        </w:rPr>
        <w:t>bank</w:t>
      </w:r>
      <w:r w:rsidRPr="00576ED7">
        <w:rPr>
          <w:szCs w:val="24"/>
        </w:rPr>
        <w:t xml:space="preserve">, 311 U.S. 122 (1941),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was a waitress at a restaurant and collected tips from customers.  At the end of each shift, she would “tip out” various other restaurant employees, i</w:t>
      </w:r>
      <w:r w:rsidRPr="00576ED7">
        <w:rPr>
          <w:szCs w:val="24"/>
        </w:rPr>
        <w:t>n</w:t>
      </w:r>
      <w:r w:rsidRPr="00576ED7">
        <w:rPr>
          <w:szCs w:val="24"/>
        </w:rPr>
        <w:t>cluding busboys, bartenders, cooks, and other waitresses and waiters who assisted her during particularly busy times.</w:t>
      </w:r>
    </w:p>
    <w:p w:rsidR="0049128E" w:rsidRPr="00576ED7" w:rsidRDefault="0049128E" w:rsidP="00A6585D">
      <w:pPr>
        <w:widowControl w:val="0"/>
        <w:ind w:left="720"/>
        <w:jc w:val="both"/>
        <w:rPr>
          <w:szCs w:val="24"/>
        </w:rPr>
      </w:pPr>
      <w:r w:rsidRPr="00576ED7">
        <w:rPr>
          <w:szCs w:val="24"/>
        </w:rPr>
        <w:lastRenderedPageBreak/>
        <w:t xml:space="preserve">•The Commissioner argues that Taxpayer must report </w:t>
      </w:r>
      <w:r w:rsidRPr="00576ED7">
        <w:rPr>
          <w:i/>
          <w:szCs w:val="24"/>
        </w:rPr>
        <w:t>all</w:t>
      </w:r>
      <w:r w:rsidRPr="00576ED7">
        <w:rPr>
          <w:szCs w:val="24"/>
        </w:rPr>
        <w:t xml:space="preserve"> of the tip i</w:t>
      </w:r>
      <w:r w:rsidRPr="00576ED7">
        <w:rPr>
          <w:szCs w:val="24"/>
        </w:rPr>
        <w:t>n</w:t>
      </w:r>
      <w:r w:rsidRPr="00576ED7">
        <w:rPr>
          <w:szCs w:val="24"/>
        </w:rPr>
        <w:t>come.  Taxpayer may deduct as a trade or business expense what she pays other employees.</w:t>
      </w:r>
    </w:p>
    <w:p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rsidR="0049128E" w:rsidRPr="00576ED7" w:rsidRDefault="0049128E" w:rsidP="00A6585D">
      <w:pPr>
        <w:widowControl w:val="0"/>
        <w:ind w:left="720"/>
        <w:jc w:val="both"/>
        <w:rPr>
          <w:szCs w:val="24"/>
        </w:rPr>
      </w:pPr>
      <w:r w:rsidRPr="00576ED7">
        <w:rPr>
          <w:szCs w:val="24"/>
        </w:rPr>
        <w:t>•Why does one characterization rather than the other matter? Read §§ 62(a)(1), 67.</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4c.  Taxpayer was a partner in a partnership.  Partnerships do not pay income ta</w:t>
      </w:r>
      <w:r w:rsidRPr="00576ED7">
        <w:rPr>
          <w:szCs w:val="24"/>
        </w:rPr>
        <w:t>x</w:t>
      </w:r>
      <w:r w:rsidRPr="00576ED7">
        <w:rPr>
          <w:szCs w:val="24"/>
        </w:rPr>
        <w:t>es.  Rather, individual partners are liable for income tax on their individual di</w:t>
      </w:r>
      <w:r w:rsidRPr="00576ED7">
        <w:rPr>
          <w:szCs w:val="24"/>
        </w:rPr>
        <w:t>s</w:t>
      </w:r>
      <w:r w:rsidRPr="00576ED7">
        <w:rPr>
          <w:szCs w:val="24"/>
        </w:rPr>
        <w:t>tributive shares of partnership profits.  Taxpayer and his wife entered an agre</w:t>
      </w:r>
      <w:r w:rsidRPr="00576ED7">
        <w:rPr>
          <w:szCs w:val="24"/>
        </w:rPr>
        <w:t>e</w:t>
      </w:r>
      <w:r w:rsidRPr="00576ED7">
        <w:rPr>
          <w:szCs w:val="24"/>
        </w:rPr>
        <w:t>ment whereby she was made a full and equal partner with him.  Wife performed no services and the other partners were not a party to this agreement.</w:t>
      </w:r>
    </w:p>
    <w:p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w:t>
      </w:r>
      <w:r w:rsidRPr="00576ED7">
        <w:rPr>
          <w:szCs w:val="24"/>
        </w:rPr>
        <w:t>u</w:t>
      </w:r>
      <w:r w:rsidRPr="00576ED7">
        <w:rPr>
          <w:szCs w:val="24"/>
        </w:rPr>
        <w:t>tive share.  This case predates married filing jointly tax returns.</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useful is the tree-fruits metaphor in resolving difficult questions of a</w:t>
      </w:r>
      <w:r w:rsidRPr="00576ED7">
        <w:rPr>
          <w:szCs w:val="24"/>
        </w:rPr>
        <w:t>s</w:t>
      </w:r>
      <w:r w:rsidRPr="00576ED7">
        <w:rPr>
          <w:szCs w:val="24"/>
        </w:rPr>
        <w:t>signment of income?</w:t>
      </w:r>
    </w:p>
    <w:p w:rsidR="0049128E" w:rsidRPr="00576ED7" w:rsidRDefault="0049128E" w:rsidP="00A6585D">
      <w:pPr>
        <w:widowControl w:val="0"/>
        <w:ind w:left="720"/>
        <w:jc w:val="both"/>
        <w:rPr>
          <w:szCs w:val="24"/>
        </w:rPr>
      </w:pPr>
      <w:r w:rsidRPr="00576ED7">
        <w:rPr>
          <w:szCs w:val="24"/>
        </w:rPr>
        <w:t>•Taxpayer works for Mega Corporation.  Taxpayer was personally respo</w:t>
      </w:r>
      <w:r w:rsidRPr="00576ED7">
        <w:rPr>
          <w:szCs w:val="24"/>
        </w:rPr>
        <w:t>n</w:t>
      </w:r>
      <w:r w:rsidRPr="00576ED7">
        <w:rPr>
          <w:szCs w:val="24"/>
        </w:rPr>
        <w:t>sible for generating $1M of new business for Mega.  Mega paid taxpayer his usual salary of $100,000.  Next year, Mega will give taxpayer a 50% raise.  On how much income should taxpayer be liable for income tax –</w:t>
      </w:r>
    </w:p>
    <w:p w:rsidR="0049128E" w:rsidRPr="00576ED7" w:rsidRDefault="0049128E" w:rsidP="00A6585D">
      <w:pPr>
        <w:widowControl w:val="0"/>
        <w:ind w:left="1440"/>
        <w:jc w:val="both"/>
        <w:rPr>
          <w:szCs w:val="24"/>
        </w:rPr>
      </w:pPr>
      <w:r w:rsidRPr="00576ED7">
        <w:rPr>
          <w:szCs w:val="24"/>
        </w:rPr>
        <w:t>•in year 1?</w:t>
      </w:r>
    </w:p>
    <w:p w:rsidR="0049128E" w:rsidRPr="00576ED7" w:rsidRDefault="0049128E" w:rsidP="00A6585D">
      <w:pPr>
        <w:widowControl w:val="0"/>
        <w:ind w:left="1440"/>
        <w:jc w:val="both"/>
        <w:rPr>
          <w:szCs w:val="24"/>
        </w:rPr>
      </w:pPr>
      <w:r w:rsidRPr="00576ED7">
        <w:rPr>
          <w:szCs w:val="24"/>
        </w:rPr>
        <w:t>•in year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ROBERTS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Seaborn and his wife, citizens and residents of the State of Washington, made for the year 1927 separate income tax returns as permitted by the Revenue Act of 1926, c. 27, § 223 (U.S.C.App., Title 26, § 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undisputed that all of the property, real and personal, constituted co</w:t>
      </w:r>
      <w:r w:rsidRPr="00576ED7">
        <w:rPr>
          <w:szCs w:val="24"/>
        </w:rPr>
        <w:t>m</w:t>
      </w:r>
      <w:r w:rsidRPr="00576ED7">
        <w:rPr>
          <w:szCs w:val="24"/>
        </w:rPr>
        <w:t>munity property, and that neither owned any separate property or had any separate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29117B" w:rsidRPr="00576ED7" w:rsidRDefault="0029117B" w:rsidP="00A6585D">
      <w:pPr>
        <w:widowControl w:val="0"/>
        <w:jc w:val="both"/>
        <w:rPr>
          <w:szCs w:val="24"/>
        </w:rPr>
      </w:pPr>
    </w:p>
    <w:p w:rsidR="0049128E" w:rsidRPr="00576ED7" w:rsidRDefault="0049128E" w:rsidP="00A6585D">
      <w:pPr>
        <w:widowControl w:val="0"/>
        <w:jc w:val="both"/>
        <w:rPr>
          <w:szCs w:val="24"/>
        </w:rPr>
      </w:pPr>
      <w:r w:rsidRPr="00576ED7">
        <w:rPr>
          <w:szCs w:val="24"/>
        </w:rPr>
        <w:t>The case requires us to construe §§ 210(a) and 211(a) of the Revenue Act of 1926 (44 Stat. 21, U.S.C.App. Tit. 26, §§ 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w:t>
      </w:r>
      <w:r w:rsidRPr="00576ED7">
        <w:rPr>
          <w:szCs w:val="24"/>
        </w:rPr>
        <w:t>n</w:t>
      </w:r>
      <w:r w:rsidRPr="00576ED7">
        <w:rPr>
          <w:szCs w:val="24"/>
        </w:rPr>
        <w:t>ings of the husband’s and wife’s labor?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answer is found in the statutes of the state [footnote omitted] and the dec</w:t>
      </w:r>
      <w:r w:rsidRPr="00576ED7">
        <w:rPr>
          <w:szCs w:val="24"/>
        </w:rPr>
        <w:t>i</w:t>
      </w:r>
      <w:r w:rsidRPr="00576ED7">
        <w:rPr>
          <w:szCs w:val="24"/>
        </w:rPr>
        <w:lastRenderedPageBreak/>
        <w:t>sions interpreting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w:t>
      </w:r>
      <w:r w:rsidRPr="00576ED7">
        <w:rPr>
          <w:szCs w:val="24"/>
        </w:rPr>
        <w:t>s</w:t>
      </w:r>
      <w:r w:rsidRPr="00576ED7">
        <w:rPr>
          <w:szCs w:val="24"/>
        </w:rPr>
        <w:t>sue of the decedent, and not to the surviving spouse. While the husband has the management and control of community personal property and like power of di</w:t>
      </w:r>
      <w:r w:rsidRPr="00576ED7">
        <w:rPr>
          <w:szCs w:val="24"/>
        </w:rPr>
        <w:t>s</w:t>
      </w:r>
      <w:r w:rsidRPr="00576ED7">
        <w:rPr>
          <w:szCs w:val="24"/>
        </w:rPr>
        <w:t>position thereof as of his separate personal property, this power is subject to r</w:t>
      </w:r>
      <w:r w:rsidRPr="00576ED7">
        <w:rPr>
          <w:szCs w:val="24"/>
        </w:rPr>
        <w:t>e</w:t>
      </w:r>
      <w:r w:rsidRPr="00576ED7">
        <w:rPr>
          <w:szCs w:val="24"/>
        </w:rPr>
        <w:t>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w:t>
      </w:r>
      <w:r w:rsidRPr="00576ED7">
        <w:rPr>
          <w:szCs w:val="24"/>
        </w:rPr>
        <w:t>t</w:t>
      </w:r>
      <w:r w:rsidRPr="00576ED7">
        <w:rPr>
          <w:szCs w:val="24"/>
        </w:rPr>
        <w:t>ted]. The community property is not liable for the husband’s torts not committed in carrying on the business of the community.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w:t>
      </w:r>
      <w:r w:rsidRPr="00576ED7">
        <w:rPr>
          <w:szCs w:val="24"/>
        </w:rPr>
        <w:t>m</w:t>
      </w:r>
      <w:r w:rsidRPr="00576ED7">
        <w:rPr>
          <w:szCs w:val="24"/>
        </w:rPr>
        <w:t>munity, and that husband and wife have each a present vested one-half interest therein.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 210 and 211. He points out that, as to personal property, the husband may </w:t>
      </w:r>
      <w:r w:rsidRPr="00576ED7">
        <w:rPr>
          <w:szCs w:val="24"/>
        </w:rPr>
        <w:lastRenderedPageBreak/>
        <w:t>convey it, may make contracts affecting it, may do anything with it short of co</w:t>
      </w:r>
      <w:r w:rsidRPr="00576ED7">
        <w:rPr>
          <w:szCs w:val="24"/>
        </w:rPr>
        <w:t>m</w:t>
      </w:r>
      <w:r w:rsidRPr="00576ED7">
        <w:rPr>
          <w:szCs w:val="24"/>
        </w:rPr>
        <w:t>mitting a fraud on his wife’s rights. And though the wife must join in any sale of real estate, he asserts that the same is true, by virtue of statutes, in most states which do not have the community system. He asserts that control without a</w:t>
      </w:r>
      <w:r w:rsidRPr="00576ED7">
        <w:rPr>
          <w:szCs w:val="24"/>
        </w:rPr>
        <w:t>c</w:t>
      </w:r>
      <w:r w:rsidRPr="00576ED7">
        <w:rPr>
          <w:szCs w:val="24"/>
        </w:rPr>
        <w:t>countability is indistinguishable from ownership, and that, since the husband has this, quoad community property and income, the income is that “of” the husband under §§ 210, 211 of the income tax law.</w:t>
      </w:r>
    </w:p>
    <w:p w:rsidR="0049128E" w:rsidRPr="00576ED7" w:rsidRDefault="0049128E" w:rsidP="00A6585D">
      <w:pPr>
        <w:widowControl w:val="0"/>
        <w:jc w:val="both"/>
        <w:rPr>
          <w:szCs w:val="24"/>
        </w:rPr>
      </w:pPr>
    </w:p>
    <w:p w:rsidR="0049128E" w:rsidRPr="00576ED7" w:rsidRDefault="00C007EA" w:rsidP="0029117B">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1FE0E049" wp14:editId="11091C5A">
                <wp:simplePos x="0" y="0"/>
                <wp:positionH relativeFrom="margin">
                  <wp:posOffset>3257550</wp:posOffset>
                </wp:positionH>
                <wp:positionV relativeFrom="paragraph">
                  <wp:posOffset>8890</wp:posOffset>
                </wp:positionV>
                <wp:extent cx="1876425" cy="708025"/>
                <wp:effectExtent l="0" t="0" r="0" b="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08025"/>
                        </a:xfrm>
                        <a:prstGeom prst="rect">
                          <a:avLst/>
                        </a:prstGeom>
                        <a:solidFill>
                          <a:srgbClr val="FFFFFF"/>
                        </a:solidFill>
                        <a:ln w="12192">
                          <a:solidFill>
                            <a:srgbClr val="000000"/>
                          </a:solidFill>
                          <a:miter lim="800000"/>
                          <a:headEnd/>
                          <a:tailEnd/>
                        </a:ln>
                      </wps:spPr>
                      <wps:txbx>
                        <w:txbxContent>
                          <w:p w:rsidR="00FF5E72" w:rsidRDefault="00FF5E72" w:rsidP="0029117B">
                            <w:pPr>
                              <w:widowControl w:val="0"/>
                              <w:jc w:val="both"/>
                              <w:rPr>
                                <w:rFonts w:ascii="Tw Cen MT" w:hAnsi="Tw Cen MT"/>
                              </w:rPr>
                            </w:pPr>
                            <w:r>
                              <w:rPr>
                                <w:rFonts w:ascii="Tw Cen MT" w:hAnsi="Tw Cen MT"/>
                                <w:i/>
                              </w:rPr>
                              <w:t>quoad</w:t>
                            </w:r>
                            <w:r>
                              <w:rPr>
                                <w:rFonts w:ascii="Tw Cen MT" w:hAnsi="Tw Cen MT"/>
                              </w:rPr>
                              <w:t>: as to; as long as; until</w:t>
                            </w:r>
                          </w:p>
                          <w:p w:rsidR="00FF5E72" w:rsidRDefault="00FF5E72" w:rsidP="0029117B">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256.5pt;margin-top:.7pt;width:147.75pt;height:55.75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sfKAIAAFsEAAAOAAAAZHJzL2Uyb0RvYy54bWysVNtu2zAMfR+wfxD0vtjJljQz4hRdugwD&#10;ugvQ7gNoWY6FyaImKbGzrx8lp2l2exnmB0GUqMPDQ9Kr66HT7CCdV2hKPp3knEkjsFZmV/IvD9sX&#10;S858AFODRiNLfpSeX6+fP1v1tpAzbFHX0jECMb7obcnbEGyRZV60sgM/QSsNXTboOghkul1WO+gJ&#10;vdPZLM8XWY+utg6F9J5Ob8dLvk74TSNF+NQ0XgamS07cQlpdWqu4ZusVFDsHtlXiRAP+gUUHylDQ&#10;M9QtBGB7p36D6pRw6LEJE4Fdhk2jhEw5UDbT/Jds7luwMuVC4nh7lsn/P1jx8fDZMVWXfDHnzEBH&#10;NXqQQ2BvcGDzl1Gf3vqC3O4tOYaBzqnOKVdv71B89czgpgWzkzfOYd9KqInfNL7MLp6OOD6CVP0H&#10;rCkO7AMmoKFxXRSP5GCETnU6nmsTuYgYcnm1eDUjjoLurvJlTvsYAorH19b58E5ix+Km5I5qn9Dh&#10;cOfD6ProEoN51KreKq2T4XbVRjt2AOqTbfpO6D+5acN6ojKbvp6NCvwVI0/fnzA6FajjtepKvjw7&#10;QRF1e2tq4glFAKXHPaWnzUnIqN2oYhiqIdVsnmSOKldYH0lah2OH00TSpkX3nbOeurvk/tsenORM&#10;vzdUnqsFDQ+Nw6XhLo3q0gAjCKrkgbNxuwnjCO2tU7uWIo0NYfCGStqopPYTqxN/6uBUr9O0xRG5&#10;tJPX0z9h/QMAAP//AwBQSwMEFAAGAAgAAAAhACkHrKHbAAAACQEAAA8AAABkcnMvZG93bnJldi54&#10;bWxMj0FPhDAQhe8m/odmTLy5BXQNImVjSLwvuEaPXTpSIp0i7S747x1Penz5Jm++V+5WN4ozzmHw&#10;pCDdJCCQOm8G6hUcXp5vchAhajJ69IQKvjHArrq8KHVh/EINntvYCy6hUGgFNsapkDJ0Fp0OGz8h&#10;Mfvws9OR49xLM+uFy90osyS5l04PxB+snrC22H22J6fAN039mrVf+7d6MXW/7Nc4vVulrq/Wp0cQ&#10;Edf4dwy/+qwOFTsd/YlMEKOCbXrLWyKDOxDM8yTfgjhyTrMHkFUp/y+ofgAAAP//AwBQSwECLQAU&#10;AAYACAAAACEAtoM4kv4AAADhAQAAEwAAAAAAAAAAAAAAAAAAAAAAW0NvbnRlbnRfVHlwZXNdLnht&#10;bFBLAQItABQABgAIAAAAIQA4/SH/1gAAAJQBAAALAAAAAAAAAAAAAAAAAC8BAABfcmVscy8ucmVs&#10;c1BLAQItABQABgAIAAAAIQBkxNsfKAIAAFsEAAAOAAAAAAAAAAAAAAAAAC4CAABkcnMvZTJvRG9j&#10;LnhtbFBLAQItABQABgAIAAAAIQApB6yh2wAAAAkBAAAPAAAAAAAAAAAAAAAAAIIEAABkcnMvZG93&#10;bnJldi54bWxQSwUGAAAAAAQABADzAAAAigUAAAAA&#10;" o:allowincell="f" strokeweight=".96pt">
                <v:textbox inset="6pt,6pt,6pt,6pt">
                  <w:txbxContent>
                    <w:p w:rsidR="00FF5E72" w:rsidRDefault="00FF5E72" w:rsidP="0029117B">
                      <w:pPr>
                        <w:widowControl w:val="0"/>
                        <w:jc w:val="both"/>
                        <w:rPr>
                          <w:rFonts w:ascii="Tw Cen MT" w:hAnsi="Tw Cen MT"/>
                        </w:rPr>
                      </w:pPr>
                      <w:r>
                        <w:rPr>
                          <w:rFonts w:ascii="Tw Cen MT" w:hAnsi="Tw Cen MT"/>
                          <w:i/>
                        </w:rPr>
                        <w:t>quoad</w:t>
                      </w:r>
                      <w:r>
                        <w:rPr>
                          <w:rFonts w:ascii="Tw Cen MT" w:hAnsi="Tw Cen MT"/>
                        </w:rPr>
                        <w:t>: as to; as long as; until</w:t>
                      </w:r>
                    </w:p>
                    <w:p w:rsidR="00FF5E72" w:rsidRDefault="00FF5E72" w:rsidP="0029117B">
                      <w:pPr>
                        <w:widowControl w:val="0"/>
                        <w:jc w:val="both"/>
                        <w:rPr>
                          <w:rFonts w:ascii="Tw Cen MT" w:hAnsi="Tw Cen MT"/>
                        </w:rPr>
                      </w:pPr>
                      <w:r>
                        <w:rPr>
                          <w:rFonts w:ascii="Tw Cen MT" w:hAnsi="Tw Cen MT"/>
                          <w:i/>
                        </w:rPr>
                        <w:t>acquêt</w:t>
                      </w:r>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w:t>
      </w:r>
      <w:r w:rsidR="0049128E" w:rsidRPr="00576ED7">
        <w:rPr>
          <w:szCs w:val="24"/>
        </w:rPr>
        <w:t>n</w:t>
      </w:r>
      <w:r w:rsidR="0049128E" w:rsidRPr="00576ED7">
        <w:rPr>
          <w:szCs w:val="24"/>
        </w:rPr>
        <w:t>sound. The community must act through an agent. This Court has said with r</w:t>
      </w:r>
      <w:r w:rsidR="0049128E" w:rsidRPr="00576ED7">
        <w:rPr>
          <w:szCs w:val="24"/>
        </w:rPr>
        <w:t>e</w:t>
      </w:r>
      <w:r w:rsidR="0049128E" w:rsidRPr="00576ED7">
        <w:rPr>
          <w:szCs w:val="24"/>
        </w:rPr>
        <w:t>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w:t>
      </w:r>
      <w:r w:rsidR="0049128E" w:rsidRPr="00576ED7">
        <w:rPr>
          <w:szCs w:val="24"/>
        </w:rPr>
        <w:t>u</w:t>
      </w:r>
      <w:r w:rsidR="0049128E" w:rsidRPr="00576ED7">
        <w:rPr>
          <w:szCs w:val="24"/>
        </w:rPr>
        <w:t>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of opinion that, under the law of Washington, the entire property and i</w:t>
      </w:r>
      <w:r w:rsidRPr="00576ED7">
        <w:rPr>
          <w:szCs w:val="24"/>
        </w:rPr>
        <w:t>n</w:t>
      </w:r>
      <w:r w:rsidRPr="00576ED7">
        <w:rPr>
          <w:szCs w:val="24"/>
        </w:rPr>
        <w:t>come of the community can no more be said to be that of the husband than it could rightly be termed that of the wife.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w:t>
      </w:r>
      <w:r w:rsidRPr="00576ED7">
        <w:rPr>
          <w:szCs w:val="24"/>
        </w:rPr>
        <w:t>e</w:t>
      </w:r>
      <w:r w:rsidRPr="00576ED7">
        <w:rPr>
          <w:szCs w:val="24"/>
        </w:rPr>
        <w:t>mained true that the husband’s professional fees, earned in years subsequent to the date of the contract, were his individual income, “derived from salaries, wa</w:t>
      </w:r>
      <w:r w:rsidRPr="00576ED7">
        <w:rPr>
          <w:szCs w:val="24"/>
        </w:rPr>
        <w:t>g</w:t>
      </w:r>
      <w:r w:rsidRPr="00576ED7">
        <w:rPr>
          <w:szCs w:val="24"/>
        </w:rPr>
        <w:t>es, or compensation for personal service” under § 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w:t>
      </w:r>
      <w:r w:rsidRPr="00576ED7">
        <w:rPr>
          <w:szCs w:val="24"/>
        </w:rPr>
        <w:t>s</w:t>
      </w:r>
      <w:r w:rsidRPr="00576ED7">
        <w:rPr>
          <w:szCs w:val="24"/>
        </w:rPr>
        <w:t>band, but that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STONE took no part in the consider</w:t>
      </w:r>
      <w:r w:rsidRPr="00576ED7">
        <w:rPr>
          <w:szCs w:val="24"/>
        </w:rPr>
        <w:t>a</w:t>
      </w:r>
      <w:r w:rsidRPr="00576ED7">
        <w:rPr>
          <w:szCs w:val="24"/>
        </w:rPr>
        <w:t>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Is the distinction of ownership by reason of state law rather than operation of a contract convincing? Would you expect the same resolution of the conflict to be applied to partnership allocations of income embodied in a partnership agreement, i.e., in a contract? Why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When taxpayer lawfully performed services for which insurance commissions were paid but which taxpayer could not legally receive, the Supreme Court held that taxpayer did not have sufficient dominion over the income to be required to include it in its gross income.  </w:t>
      </w:r>
      <w:r w:rsidRPr="00576ED7">
        <w:rPr>
          <w:i/>
          <w:szCs w:val="24"/>
        </w:rPr>
        <w:t>Commissioner v. First Security Bank of Utah</w:t>
      </w:r>
      <w:r w:rsidRPr="00576ED7">
        <w:rPr>
          <w:szCs w:val="24"/>
        </w:rPr>
        <w:t>, 405 U.S. 394, 405 (1972) (“We think that fairness requires the tax to fall on the party that actually receives the premiums, rather than on the party that cannot.”).</w:t>
      </w:r>
    </w:p>
    <w:p w:rsidR="0049128E" w:rsidRPr="00576ED7" w:rsidRDefault="0049128E" w:rsidP="00A6585D">
      <w:pPr>
        <w:widowControl w:val="0"/>
        <w:jc w:val="both"/>
        <w:rPr>
          <w:szCs w:val="24"/>
        </w:rPr>
      </w:pPr>
    </w:p>
    <w:p w:rsidR="00237ABA" w:rsidRDefault="0049128E" w:rsidP="00237ABA">
      <w:pPr>
        <w:widowControl w:val="0"/>
        <w:jc w:val="both"/>
        <w:rPr>
          <w:szCs w:val="24"/>
        </w:rPr>
      </w:pPr>
      <w:r w:rsidRPr="00576ED7">
        <w:rPr>
          <w:szCs w:val="24"/>
        </w:rPr>
        <w:t xml:space="preserve">3.  State law often effectively dictates the ownership of property for purposes of federal income tax.  Recall the role of Ohio law of treasure trove in </w:t>
      </w:r>
      <w:r w:rsidRPr="00576ED7">
        <w:rPr>
          <w:i/>
          <w:szCs w:val="24"/>
        </w:rPr>
        <w:t>Cesarini</w:t>
      </w:r>
      <w:r w:rsidRPr="00576ED7">
        <w:rPr>
          <w:szCs w:val="24"/>
        </w:rPr>
        <w:t xml:space="preserve">. </w:t>
      </w:r>
      <w:r w:rsidR="00237ABA" w:rsidRPr="00576ED7">
        <w:rPr>
          <w:szCs w:val="24"/>
        </w:rPr>
        <w:t xml:space="preserve">If state law recognizes </w:t>
      </w:r>
      <w:r w:rsidR="00237ABA">
        <w:rPr>
          <w:szCs w:val="24"/>
        </w:rPr>
        <w:t xml:space="preserve">a taxpayer’s </w:t>
      </w:r>
      <w:r w:rsidR="00237ABA" w:rsidRPr="00576ED7">
        <w:rPr>
          <w:szCs w:val="24"/>
        </w:rPr>
        <w:t xml:space="preserve">same-sex marriage, </w:t>
      </w:r>
      <w:r w:rsidR="00237ABA">
        <w:rPr>
          <w:szCs w:val="24"/>
        </w:rPr>
        <w:t xml:space="preserve">what </w:t>
      </w:r>
      <w:r w:rsidR="00237ABA" w:rsidRPr="00576ED7">
        <w:rPr>
          <w:szCs w:val="24"/>
        </w:rPr>
        <w:t>feder</w:t>
      </w:r>
      <w:r w:rsidR="00237ABA">
        <w:rPr>
          <w:szCs w:val="24"/>
        </w:rPr>
        <w:t>al tax law cons</w:t>
      </w:r>
      <w:r w:rsidR="00237ABA">
        <w:rPr>
          <w:szCs w:val="24"/>
        </w:rPr>
        <w:t>e</w:t>
      </w:r>
      <w:r w:rsidR="00237ABA">
        <w:rPr>
          <w:szCs w:val="24"/>
        </w:rPr>
        <w:t>quences should follow?</w:t>
      </w:r>
    </w:p>
    <w:p w:rsidR="0029117B" w:rsidRDefault="0049128E" w:rsidP="00A6585D">
      <w:pPr>
        <w:widowControl w:val="0"/>
        <w:jc w:val="both"/>
        <w:rPr>
          <w:szCs w:val="24"/>
        </w:rPr>
      </w:pPr>
      <w:r w:rsidRPr="00576ED7">
        <w:rPr>
          <w:szCs w:val="24"/>
        </w:rPr>
        <w:t xml:space="preserve"> </w:t>
      </w:r>
    </w:p>
    <w:p w:rsidR="009D217D" w:rsidRDefault="0029117B" w:rsidP="00A6585D">
      <w:pPr>
        <w:widowControl w:val="0"/>
        <w:jc w:val="both"/>
        <w:rPr>
          <w:szCs w:val="24"/>
        </w:rPr>
      </w:pPr>
      <w:r>
        <w:rPr>
          <w:szCs w:val="24"/>
        </w:rPr>
        <w:t xml:space="preserve">4.  </w:t>
      </w:r>
      <w:r w:rsidR="009D217D">
        <w:rPr>
          <w:szCs w:val="24"/>
        </w:rPr>
        <w:t>Section 3</w:t>
      </w:r>
      <w:r w:rsidR="00F6540E">
        <w:rPr>
          <w:szCs w:val="24"/>
        </w:rPr>
        <w:t xml:space="preserve"> of the Defense of Marriage Act</w:t>
      </w:r>
      <w:r w:rsidR="00414165">
        <w:rPr>
          <w:szCs w:val="24"/>
        </w:rPr>
        <w:t xml:space="preserve"> (DOMA)</w:t>
      </w:r>
      <w:r w:rsidR="009D217D">
        <w:rPr>
          <w:szCs w:val="24"/>
        </w:rPr>
        <w:t>, 1 U.S.C. § 7</w:t>
      </w:r>
      <w:r w:rsidR="00414165">
        <w:rPr>
          <w:szCs w:val="24"/>
        </w:rPr>
        <w:t>,</w:t>
      </w:r>
      <w:r w:rsidR="00F6540E">
        <w:rPr>
          <w:szCs w:val="24"/>
        </w:rPr>
        <w:t xml:space="preserve"> </w:t>
      </w:r>
      <w:r w:rsidR="00B94241">
        <w:rPr>
          <w:szCs w:val="24"/>
        </w:rPr>
        <w:t>provides:</w:t>
      </w:r>
    </w:p>
    <w:p w:rsidR="009D217D" w:rsidRDefault="009D217D" w:rsidP="00A6585D">
      <w:pPr>
        <w:widowControl w:val="0"/>
        <w:jc w:val="both"/>
        <w:rPr>
          <w:szCs w:val="24"/>
        </w:rPr>
      </w:pPr>
    </w:p>
    <w:p w:rsidR="0029117B" w:rsidRDefault="009D217D" w:rsidP="009D217D">
      <w:pPr>
        <w:widowControl w:val="0"/>
        <w:ind w:left="720"/>
        <w:jc w:val="both"/>
      </w:pPr>
      <w:r>
        <w:t>In determining the meaning of any Act of Congress, or of any ruling, reg</w:t>
      </w:r>
      <w:r>
        <w:t>u</w:t>
      </w:r>
      <w:r>
        <w:t>lation, or interpretation of the various administrative bureaus and agencies of the United States, the word “marriage” means only a legal union b</w:t>
      </w:r>
      <w:r>
        <w:t>e</w:t>
      </w:r>
      <w:r>
        <w:t>tween one man and one woman as husband and wife, and the word “spouse” refers only to a person of the opposite sex who is a husband or a wife.</w:t>
      </w:r>
    </w:p>
    <w:p w:rsidR="009D217D" w:rsidRDefault="009D217D" w:rsidP="009D217D">
      <w:pPr>
        <w:widowControl w:val="0"/>
        <w:ind w:left="720"/>
        <w:jc w:val="both"/>
      </w:pPr>
    </w:p>
    <w:p w:rsidR="009D217D" w:rsidRDefault="009D217D" w:rsidP="00414165">
      <w:pPr>
        <w:widowControl w:val="0"/>
        <w:jc w:val="both"/>
      </w:pPr>
      <w:r>
        <w:t xml:space="preserve">The United States Supreme Court held </w:t>
      </w:r>
      <w:r w:rsidR="00414165">
        <w:t xml:space="preserve">that </w:t>
      </w:r>
      <w:r>
        <w:t>this provision unconstitutional</w:t>
      </w:r>
      <w:r w:rsidR="00414165">
        <w:t>ly d</w:t>
      </w:r>
      <w:r w:rsidR="00414165">
        <w:t>e</w:t>
      </w:r>
      <w:r w:rsidR="00414165">
        <w:t>nied same-sex spouses equal protection</w:t>
      </w:r>
      <w:r>
        <w:t xml:space="preserve"> in </w:t>
      </w:r>
      <w:r w:rsidR="00F6540E">
        <w:rPr>
          <w:i/>
          <w:szCs w:val="24"/>
        </w:rPr>
        <w:t>United States v. Windsor</w:t>
      </w:r>
      <w:r w:rsidR="00F6540E">
        <w:rPr>
          <w:szCs w:val="24"/>
        </w:rPr>
        <w:t>, ___ U.S. ___, ___, 133 S. Ct. 2675, 2695 (2013)</w:t>
      </w:r>
      <w:r>
        <w:rPr>
          <w:szCs w:val="24"/>
        </w:rPr>
        <w:t xml:space="preserve">.  </w:t>
      </w:r>
      <w:r w:rsidR="00414165">
        <w:rPr>
          <w:szCs w:val="24"/>
        </w:rPr>
        <w:t>Section 2 of DOMA, 1 U.S.C. § 6, pr</w:t>
      </w:r>
      <w:r w:rsidR="00414165">
        <w:rPr>
          <w:szCs w:val="24"/>
        </w:rPr>
        <w:t>o</w:t>
      </w:r>
      <w:r w:rsidR="00414165">
        <w:rPr>
          <w:szCs w:val="24"/>
        </w:rPr>
        <w:t>vides:</w:t>
      </w:r>
    </w:p>
    <w:p w:rsidR="009D217D" w:rsidRDefault="009D217D" w:rsidP="009D217D">
      <w:pPr>
        <w:widowControl w:val="0"/>
        <w:ind w:left="720"/>
        <w:jc w:val="both"/>
        <w:rPr>
          <w:szCs w:val="24"/>
        </w:rPr>
      </w:pPr>
      <w:r>
        <w:t>No State, territory, or possession of the United States, or Indian tribe, shall be required to give effect to any public act, record, or judicial proceeding of any other State, territory, possession, or tribe respecting a relationship between persons of the same sex that is treated as a marriage under the laws of such other State, territory, possession, or tribe, or a right or claim arising from such relationship.”</w:t>
      </w:r>
    </w:p>
    <w:p w:rsidR="009D217D" w:rsidRDefault="009D217D" w:rsidP="00A6585D">
      <w:pPr>
        <w:widowControl w:val="0"/>
        <w:jc w:val="both"/>
        <w:rPr>
          <w:szCs w:val="24"/>
        </w:rPr>
      </w:pPr>
    </w:p>
    <w:p w:rsidR="00F6540E" w:rsidRDefault="00414165" w:rsidP="00A6585D">
      <w:pPr>
        <w:widowControl w:val="0"/>
        <w:jc w:val="both"/>
        <w:rPr>
          <w:szCs w:val="24"/>
        </w:rPr>
      </w:pPr>
      <w:r>
        <w:rPr>
          <w:szCs w:val="24"/>
        </w:rPr>
        <w:t>The Supreme Court offer</w:t>
      </w:r>
      <w:r w:rsidR="00BB45AD">
        <w:rPr>
          <w:szCs w:val="24"/>
        </w:rPr>
        <w:t>ed</w:t>
      </w:r>
      <w:r>
        <w:rPr>
          <w:szCs w:val="24"/>
        </w:rPr>
        <w:t xml:space="preserve"> no holding concerning the constitutionality of § 2 of DOMA.  For purposes of income tax, </w:t>
      </w:r>
      <w:r>
        <w:rPr>
          <w:i/>
          <w:szCs w:val="24"/>
        </w:rPr>
        <w:t>Windsor</w:t>
      </w:r>
      <w:r>
        <w:rPr>
          <w:szCs w:val="24"/>
        </w:rPr>
        <w:t xml:space="preserve"> raised issues that the IRS a</w:t>
      </w:r>
      <w:r>
        <w:rPr>
          <w:szCs w:val="24"/>
        </w:rPr>
        <w:t>d</w:t>
      </w:r>
      <w:r>
        <w:rPr>
          <w:szCs w:val="24"/>
        </w:rPr>
        <w:lastRenderedPageBreak/>
        <w:t xml:space="preserve">dressed in </w:t>
      </w:r>
      <w:r w:rsidR="00F6540E">
        <w:rPr>
          <w:szCs w:val="24"/>
        </w:rPr>
        <w:t>Rev. Rul. 2013-17</w:t>
      </w:r>
      <w:r w:rsidR="00B94241">
        <w:rPr>
          <w:szCs w:val="24"/>
        </w:rPr>
        <w:t>, 2013 38 I.R.B. 201</w:t>
      </w:r>
      <w:r>
        <w:rPr>
          <w:szCs w:val="24"/>
        </w:rPr>
        <w:t>.</w:t>
      </w:r>
    </w:p>
    <w:p w:rsidR="00B94241" w:rsidRDefault="00B94241" w:rsidP="00A6585D">
      <w:pPr>
        <w:widowControl w:val="0"/>
        <w:jc w:val="both"/>
        <w:rPr>
          <w:szCs w:val="24"/>
        </w:rPr>
      </w:pPr>
    </w:p>
    <w:p w:rsidR="00B94241" w:rsidRDefault="00BB45AD" w:rsidP="00BB45AD">
      <w:pPr>
        <w:widowControl w:val="0"/>
        <w:ind w:left="720"/>
        <w:jc w:val="both"/>
        <w:rPr>
          <w:szCs w:val="24"/>
        </w:rPr>
      </w:pPr>
      <w:r>
        <w:rPr>
          <w:szCs w:val="24"/>
        </w:rPr>
        <w:t>Although states have different rules of marriage recognition, uniform n</w:t>
      </w:r>
      <w:r>
        <w:rPr>
          <w:szCs w:val="24"/>
        </w:rPr>
        <w:t>a</w:t>
      </w:r>
      <w:r>
        <w:rPr>
          <w:szCs w:val="24"/>
        </w:rPr>
        <w:t>tionwide rules are essential for efficient and fair tax administration.  A rule under which a couple’s marital status could change simply by moving from one state to another state would be prohibitively difficult and costly for the Service to administer, and for many taxpayers to apply.</w:t>
      </w:r>
    </w:p>
    <w:p w:rsidR="00BB45AD" w:rsidRDefault="00BB45AD" w:rsidP="00BB45AD">
      <w:pPr>
        <w:widowControl w:val="0"/>
        <w:ind w:left="720"/>
        <w:jc w:val="both"/>
        <w:rPr>
          <w:szCs w:val="24"/>
        </w:rPr>
      </w:pPr>
    </w:p>
    <w:p w:rsidR="00BB45AD" w:rsidRDefault="00BB45AD" w:rsidP="00BB45AD">
      <w:pPr>
        <w:widowControl w:val="0"/>
        <w:ind w:left="720"/>
        <w:jc w:val="both"/>
        <w:rPr>
          <w:szCs w:val="24"/>
        </w:rPr>
      </w:pPr>
      <w:r>
        <w:rPr>
          <w:szCs w:val="24"/>
        </w:rPr>
        <w:t>…</w:t>
      </w:r>
    </w:p>
    <w:p w:rsidR="00BB45AD" w:rsidRDefault="00BB45AD" w:rsidP="00BB45AD">
      <w:pPr>
        <w:widowControl w:val="0"/>
        <w:ind w:left="720"/>
        <w:jc w:val="both"/>
        <w:rPr>
          <w:szCs w:val="24"/>
        </w:rPr>
      </w:pPr>
    </w:p>
    <w:p w:rsidR="00BB45AD" w:rsidRDefault="00BB45AD" w:rsidP="00BB45AD">
      <w:pPr>
        <w:ind w:left="720"/>
        <w:jc w:val="both"/>
        <w:rPr>
          <w:szCs w:val="24"/>
        </w:rPr>
      </w:pPr>
      <w:r w:rsidRPr="00BB45AD">
        <w:rPr>
          <w:szCs w:val="24"/>
        </w:rPr>
        <w:t>For Federal tax purposes, the term “marriage” does not include registered domestic partnerships, civil unions, or other similar formal relationships recognized under state law that are not denominated as a marriage under that state's law, and the terms “spouse,” “husband and wife,” “husband,” and “wife” do not include individuals who have entered into such a formal relationship. This conclusion applies regardless of whether individuals who have entered into such relationships are of the opposite sex or the same sex.</w:t>
      </w:r>
    </w:p>
    <w:p w:rsidR="00BB45AD" w:rsidRPr="00BB45AD" w:rsidRDefault="00BB45AD" w:rsidP="00BB45AD">
      <w:pPr>
        <w:ind w:left="720"/>
        <w:jc w:val="both"/>
        <w:rPr>
          <w:szCs w:val="24"/>
        </w:rPr>
      </w:pPr>
    </w:p>
    <w:p w:rsidR="00BB45AD" w:rsidRPr="00BB45AD" w:rsidRDefault="00BB45AD" w:rsidP="00BB45AD">
      <w:pPr>
        <w:spacing w:after="240"/>
        <w:ind w:left="720"/>
        <w:jc w:val="both"/>
        <w:rPr>
          <w:szCs w:val="24"/>
        </w:rPr>
      </w:pPr>
      <w:r>
        <w:rPr>
          <w:szCs w:val="24"/>
        </w:rPr>
        <w:t>….</w:t>
      </w:r>
    </w:p>
    <w:p w:rsidR="00BB45AD" w:rsidRPr="00BB45AD" w:rsidRDefault="00BB45AD" w:rsidP="00BB45AD">
      <w:pPr>
        <w:pStyle w:val="ListParagraph"/>
        <w:numPr>
          <w:ilvl w:val="0"/>
          <w:numId w:val="6"/>
        </w:numPr>
        <w:jc w:val="both"/>
        <w:rPr>
          <w:szCs w:val="24"/>
        </w:rPr>
      </w:pPr>
      <w:r w:rsidRPr="00BB45AD">
        <w:rPr>
          <w:szCs w:val="24"/>
        </w:rPr>
        <w:t>For Federal tax purposes, the terms “spouse,” “husband and wife,” “husband,” and “wife” include an individual married to a person of the same sex if the individuals are lawfully married under state law, and the term “marriage” includes such a marriage between individuals of the same sex.</w:t>
      </w:r>
    </w:p>
    <w:p w:rsidR="00BB45AD" w:rsidRDefault="00BB45AD" w:rsidP="00BB45AD">
      <w:pPr>
        <w:pStyle w:val="ListParagraph"/>
        <w:ind w:left="1080"/>
        <w:jc w:val="both"/>
        <w:rPr>
          <w:szCs w:val="24"/>
        </w:rPr>
      </w:pPr>
    </w:p>
    <w:p w:rsidR="00BB45AD" w:rsidRDefault="00BB45AD" w:rsidP="00BB45AD">
      <w:pPr>
        <w:pStyle w:val="ListParagraph"/>
        <w:numPr>
          <w:ilvl w:val="0"/>
          <w:numId w:val="6"/>
        </w:numPr>
        <w:jc w:val="both"/>
        <w:rPr>
          <w:szCs w:val="24"/>
        </w:rPr>
      </w:pPr>
      <w:r w:rsidRPr="00BB45AD">
        <w:rPr>
          <w:szCs w:val="24"/>
        </w:rPr>
        <w:t>For Federal tax purposes, the Service adopts a general rule recognizing a</w:t>
      </w:r>
      <w:r>
        <w:rPr>
          <w:szCs w:val="24"/>
        </w:rPr>
        <w:t xml:space="preserve"> </w:t>
      </w:r>
      <w:r w:rsidRPr="00BB45AD">
        <w:rPr>
          <w:szCs w:val="24"/>
        </w:rPr>
        <w:t>marriage of same-sex individuals that was validly entered into in a state whose laws</w:t>
      </w:r>
      <w:r>
        <w:rPr>
          <w:szCs w:val="24"/>
        </w:rPr>
        <w:t xml:space="preserve"> </w:t>
      </w:r>
      <w:r w:rsidRPr="00BB45AD">
        <w:rPr>
          <w:szCs w:val="24"/>
        </w:rPr>
        <w:t>authorize the marriage of two individuals of the same sex even if the married couple is</w:t>
      </w:r>
      <w:r>
        <w:rPr>
          <w:szCs w:val="24"/>
        </w:rPr>
        <w:t xml:space="preserve"> </w:t>
      </w:r>
      <w:r w:rsidRPr="00BB45AD">
        <w:rPr>
          <w:szCs w:val="24"/>
        </w:rPr>
        <w:t>domiciled in a state that does not re</w:t>
      </w:r>
      <w:r w:rsidRPr="00BB45AD">
        <w:rPr>
          <w:szCs w:val="24"/>
        </w:rPr>
        <w:t>c</w:t>
      </w:r>
      <w:r w:rsidRPr="00BB45AD">
        <w:rPr>
          <w:szCs w:val="24"/>
        </w:rPr>
        <w:t>ognize the validity of same-sex marriages.</w:t>
      </w:r>
    </w:p>
    <w:p w:rsidR="00BB45AD" w:rsidRPr="00BB45AD" w:rsidRDefault="00BB45AD" w:rsidP="00BB45AD">
      <w:pPr>
        <w:pStyle w:val="ListParagraph"/>
        <w:jc w:val="both"/>
        <w:rPr>
          <w:szCs w:val="24"/>
        </w:rPr>
      </w:pPr>
    </w:p>
    <w:p w:rsidR="00BB45AD" w:rsidRPr="00BB45AD" w:rsidRDefault="00BB45AD" w:rsidP="00BB45AD">
      <w:pPr>
        <w:pStyle w:val="ListParagraph"/>
        <w:ind w:left="1080"/>
        <w:jc w:val="both"/>
        <w:rPr>
          <w:szCs w:val="24"/>
        </w:rPr>
      </w:pPr>
      <w:r w:rsidRPr="00BB45AD">
        <w:rPr>
          <w:szCs w:val="24"/>
        </w:rPr>
        <w:t>3. For Federal tax purposes, the terms “spouse,” “husband and wife,” “husband,” and “wife” do not include individuals (whether of the o</w:t>
      </w:r>
      <w:r w:rsidRPr="00BB45AD">
        <w:rPr>
          <w:szCs w:val="24"/>
        </w:rPr>
        <w:t>p</w:t>
      </w:r>
      <w:r w:rsidRPr="00BB45AD">
        <w:rPr>
          <w:szCs w:val="24"/>
        </w:rPr>
        <w:t>posite sex or the</w:t>
      </w:r>
      <w:r w:rsidR="00885ECF">
        <w:rPr>
          <w:szCs w:val="24"/>
        </w:rPr>
        <w:t xml:space="preserve"> </w:t>
      </w:r>
      <w:r w:rsidRPr="00BB45AD">
        <w:rPr>
          <w:szCs w:val="24"/>
        </w:rPr>
        <w:t>same sex) who have entered into a registered dome</w:t>
      </w:r>
      <w:r w:rsidRPr="00BB45AD">
        <w:rPr>
          <w:szCs w:val="24"/>
        </w:rPr>
        <w:t>s</w:t>
      </w:r>
      <w:r w:rsidRPr="00BB45AD">
        <w:rPr>
          <w:szCs w:val="24"/>
        </w:rPr>
        <w:t>tic partnership, civil union, or other</w:t>
      </w:r>
      <w:r w:rsidR="00885ECF">
        <w:rPr>
          <w:szCs w:val="24"/>
        </w:rPr>
        <w:t xml:space="preserve"> </w:t>
      </w:r>
      <w:r w:rsidRPr="00BB45AD">
        <w:rPr>
          <w:szCs w:val="24"/>
        </w:rPr>
        <w:t>similar formal relationship reco</w:t>
      </w:r>
      <w:r w:rsidRPr="00BB45AD">
        <w:rPr>
          <w:szCs w:val="24"/>
        </w:rPr>
        <w:t>g</w:t>
      </w:r>
      <w:r w:rsidRPr="00BB45AD">
        <w:rPr>
          <w:szCs w:val="24"/>
        </w:rPr>
        <w:t>nized under state law that is not denominated as a</w:t>
      </w:r>
      <w:r>
        <w:rPr>
          <w:szCs w:val="24"/>
        </w:rPr>
        <w:t xml:space="preserve"> </w:t>
      </w:r>
      <w:r w:rsidRPr="00BB45AD">
        <w:rPr>
          <w:szCs w:val="24"/>
        </w:rPr>
        <w:t xml:space="preserve">marriage under the </w:t>
      </w:r>
      <w:r w:rsidRPr="00BB45AD">
        <w:rPr>
          <w:szCs w:val="24"/>
        </w:rPr>
        <w:lastRenderedPageBreak/>
        <w:t>laws of that state, and the term “marriage” does not include such</w:t>
      </w:r>
      <w:r>
        <w:rPr>
          <w:szCs w:val="24"/>
        </w:rPr>
        <w:t xml:space="preserve"> </w:t>
      </w:r>
      <w:r w:rsidRPr="00BB45AD">
        <w:rPr>
          <w:szCs w:val="24"/>
        </w:rPr>
        <w:t>fo</w:t>
      </w:r>
      <w:r w:rsidRPr="00BB45AD">
        <w:rPr>
          <w:szCs w:val="24"/>
        </w:rPr>
        <w:t>r</w:t>
      </w:r>
      <w:r w:rsidRPr="00BB45AD">
        <w:rPr>
          <w:szCs w:val="24"/>
        </w:rPr>
        <w:t>mal relationships.</w:t>
      </w:r>
    </w:p>
    <w:p w:rsidR="00BB45AD" w:rsidRPr="00BB45AD" w:rsidRDefault="00BB45AD" w:rsidP="00BB45AD">
      <w:pPr>
        <w:rPr>
          <w:szCs w:val="24"/>
        </w:rPr>
      </w:pPr>
    </w:p>
    <w:p w:rsidR="00237ABA" w:rsidRPr="00CC4E0E" w:rsidRDefault="00885ECF" w:rsidP="00A6585D">
      <w:pPr>
        <w:widowControl w:val="0"/>
        <w:jc w:val="both"/>
        <w:rPr>
          <w:szCs w:val="24"/>
        </w:rPr>
      </w:pPr>
      <w:r>
        <w:rPr>
          <w:szCs w:val="24"/>
        </w:rPr>
        <w:t xml:space="preserve">Thus, same-sex couples whose </w:t>
      </w:r>
      <w:r>
        <w:rPr>
          <w:i/>
          <w:szCs w:val="24"/>
        </w:rPr>
        <w:t>marriage</w:t>
      </w:r>
      <w:r>
        <w:rPr>
          <w:szCs w:val="24"/>
        </w:rPr>
        <w:t xml:space="preserve"> is recognized by any state </w:t>
      </w:r>
      <w:r>
        <w:rPr>
          <w:i/>
          <w:szCs w:val="24"/>
        </w:rPr>
        <w:t>must</w:t>
      </w:r>
      <w:r>
        <w:rPr>
          <w:szCs w:val="24"/>
        </w:rPr>
        <w:t xml:space="preserve"> file as married filing jointly or as married filing separately.  Married same sex spouses </w:t>
      </w:r>
      <w:r>
        <w:rPr>
          <w:i/>
          <w:szCs w:val="24"/>
        </w:rPr>
        <w:t>may not</w:t>
      </w:r>
      <w:r>
        <w:rPr>
          <w:szCs w:val="24"/>
        </w:rPr>
        <w:t xml:space="preserve"> file as single or as head of household.  </w:t>
      </w:r>
      <w:r>
        <w:rPr>
          <w:i/>
          <w:szCs w:val="24"/>
        </w:rPr>
        <w:t>See</w:t>
      </w:r>
      <w:r w:rsidR="00CC4E0E">
        <w:rPr>
          <w:szCs w:val="24"/>
        </w:rPr>
        <w:t xml:space="preserve"> IRS, Notice, 2013 WL 4718990 (August 29, 2013), </w:t>
      </w:r>
      <w:r w:rsidR="00CC4E0E">
        <w:rPr>
          <w:i/>
          <w:szCs w:val="24"/>
        </w:rPr>
        <w:t>Answers to Frequently Asked Questions for Individ</w:t>
      </w:r>
      <w:r w:rsidR="00CC4E0E">
        <w:rPr>
          <w:i/>
          <w:szCs w:val="24"/>
        </w:rPr>
        <w:t>u</w:t>
      </w:r>
      <w:r w:rsidR="00CC4E0E">
        <w:rPr>
          <w:i/>
          <w:szCs w:val="24"/>
        </w:rPr>
        <w:t>als of the Same Sex Who Are Married Under State Law</w:t>
      </w:r>
      <w:r w:rsidR="00CC4E0E">
        <w:rPr>
          <w:szCs w:val="24"/>
        </w:rPr>
        <w:t xml:space="preserve"> (Q2 and Q5).</w:t>
      </w:r>
    </w:p>
    <w:p w:rsidR="00237ABA" w:rsidRPr="00576ED7" w:rsidRDefault="00237ABA" w:rsidP="00A6585D">
      <w:pPr>
        <w:widowControl w:val="0"/>
        <w:jc w:val="both"/>
        <w:rPr>
          <w:szCs w:val="24"/>
        </w:rPr>
      </w:pPr>
    </w:p>
    <w:p w:rsidR="0049128E" w:rsidRPr="00576ED7" w:rsidRDefault="0049128E" w:rsidP="00A6585D">
      <w:pPr>
        <w:widowControl w:val="0"/>
        <w:jc w:val="both"/>
        <w:rPr>
          <w:szCs w:val="24"/>
        </w:rPr>
      </w:pPr>
    </w:p>
    <w:p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25915548" wp14:editId="5381618E">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rsidR="0049128E" w:rsidRPr="00576ED7" w:rsidRDefault="0029117B" w:rsidP="00A6585D">
      <w:pPr>
        <w:widowControl w:val="0"/>
        <w:jc w:val="both"/>
        <w:rPr>
          <w:szCs w:val="24"/>
        </w:rPr>
      </w:pPr>
      <w:r>
        <w:rPr>
          <w:szCs w:val="24"/>
        </w:rPr>
        <w:t>5</w:t>
      </w:r>
      <w:r w:rsidR="000F260F" w:rsidRPr="00576ED7">
        <w:rPr>
          <w:szCs w:val="24"/>
        </w:rPr>
        <w:t xml:space="preserve">.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D0447F" w:rsidRPr="00576ED7">
        <w:rPr>
          <w:i/>
          <w:szCs w:val="24"/>
        </w:rPr>
        <w:t xml:space="preserve">Federal </w:t>
      </w:r>
      <w:r w:rsidR="0049128E" w:rsidRPr="00576ED7">
        <w:rPr>
          <w:i/>
          <w:szCs w:val="24"/>
        </w:rPr>
        <w:t>Income Taxation: Assignment of Income: Services</w:t>
      </w:r>
      <w:r w:rsidR="0049128E" w:rsidRPr="00576ED7">
        <w:rPr>
          <w:szCs w:val="24"/>
        </w:rPr>
        <w:t>.</w:t>
      </w:r>
    </w:p>
    <w:p w:rsidR="0049128E" w:rsidRDefault="0049128E" w:rsidP="00A6585D">
      <w:pPr>
        <w:widowControl w:val="0"/>
        <w:ind w:left="720"/>
        <w:jc w:val="both"/>
        <w:rPr>
          <w:szCs w:val="24"/>
        </w:rPr>
      </w:pPr>
      <w:r w:rsidRPr="00576ED7">
        <w:rPr>
          <w:szCs w:val="24"/>
        </w:rPr>
        <w:t>•Do not worry about question 14.</w:t>
      </w:r>
    </w:p>
    <w:p w:rsidR="0029117B" w:rsidRPr="00576ED7" w:rsidRDefault="0029117B" w:rsidP="00F6540E">
      <w:pPr>
        <w:widowControl w:val="0"/>
        <w:ind w:left="720"/>
        <w:jc w:val="both"/>
        <w:rPr>
          <w:szCs w:val="24"/>
        </w:rPr>
      </w:pPr>
      <w:r w:rsidRPr="00576ED7">
        <w:rPr>
          <w:szCs w:val="24"/>
        </w:rPr>
        <w:t>•</w:t>
      </w:r>
      <w:r>
        <w:rPr>
          <w:szCs w:val="24"/>
        </w:rPr>
        <w:t>Be prepared to learn something about waiver.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3" w:name="_Toc375132940"/>
      <w:r w:rsidRPr="00576ED7">
        <w:t>II.  Income Splitting and the Joint Return</w:t>
      </w:r>
      <w:bookmarkEnd w:id="53"/>
      <w:r w:rsidRPr="00576ED7">
        <w:fldChar w:fldCharType="begin"/>
      </w:r>
      <w:r w:rsidRPr="00576ED7">
        <w:instrText xml:space="preserve"> TC \l1 "II.  Income Splitting and the Joint Return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excerpt from a legislative report reviews ebb and flow of policy in the choice of tax bracket breakpoints for different filing statuses.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b/>
          <w:szCs w:val="24"/>
        </w:rPr>
        <w:t>Joint Committee on Taxation</w:t>
      </w:r>
      <w:r w:rsidRPr="00576ED7">
        <w:rPr>
          <w:szCs w:val="24"/>
        </w:rPr>
        <w:t xml:space="preserve">, </w:t>
      </w:r>
      <w:r w:rsidRPr="00576ED7">
        <w:rPr>
          <w:i/>
          <w:szCs w:val="24"/>
        </w:rPr>
        <w:t>The Income Tax Treatment of Married Couples and Single Persons</w:t>
      </w:r>
      <w:r w:rsidRPr="00576ED7">
        <w:rPr>
          <w:szCs w:val="24"/>
        </w:rPr>
        <w:t xml:space="preserve"> 3-7 (April 2, 1980)</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Pr="00576ED7">
        <w:rPr>
          <w:i/>
          <w:szCs w:val="24"/>
        </w:rPr>
        <w:instrText>The Income Tax Treatment of Married Couples and Single Persons</w:instrText>
      </w:r>
      <w:r w:rsidRPr="00576ED7">
        <w:rPr>
          <w:szCs w:val="24"/>
        </w:rPr>
        <w:instrText xml:space="preserve"> 3-7 (April 2, 1980)</w:instrText>
      </w:r>
      <w:r w:rsidRPr="00576ED7">
        <w:rPr>
          <w:szCs w:val="24"/>
        </w:rPr>
        <w:fldChar w:fldCharType="end"/>
      </w:r>
      <w:r w:rsidRPr="00576ED7">
        <w:rPr>
          <w:szCs w:val="24"/>
        </w:rPr>
        <w:t>.</w:t>
      </w:r>
    </w:p>
    <w:p w:rsidR="00CC4E0E" w:rsidRPr="00576ED7" w:rsidRDefault="00CC4E0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initial version of the modern individual income tax, enacted in 1913, married couples were taxed as separate individuals.  In 1930, the Supreme Court ruled that State community property laws were to be given effect for income tax purposes, which meant that, in the States with such laws, married couples could equally divide income considered community property, the split which minimizes a couple’s combined tax burden in a progressive tax system. After the large increase in tax rates enacted to f</w:t>
      </w:r>
      <w:r w:rsidRPr="00576ED7">
        <w:rPr>
          <w:szCs w:val="24"/>
        </w:rPr>
        <w:t>i</w:t>
      </w:r>
      <w:r w:rsidRPr="00576ED7">
        <w:rPr>
          <w:szCs w:val="24"/>
        </w:rPr>
        <w:t>nance World War II, many States enacted community property laws in o</w:t>
      </w:r>
      <w:r w:rsidRPr="00576ED7">
        <w:rPr>
          <w:szCs w:val="24"/>
        </w:rPr>
        <w:t>r</w:t>
      </w:r>
      <w:r w:rsidRPr="00576ED7">
        <w:rPr>
          <w:szCs w:val="24"/>
        </w:rPr>
        <w:t>der to give their citizens the tax benefit of this income splitting.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To stop this community property epidemic, in 1948 Congress provided that all married couples could enjoy the benefits of income splitting by fi</w:t>
      </w:r>
      <w:r w:rsidRPr="00576ED7">
        <w:rPr>
          <w:szCs w:val="24"/>
        </w:rPr>
        <w:t>l</w:t>
      </w:r>
      <w:r w:rsidRPr="00576ED7">
        <w:rPr>
          <w:szCs w:val="24"/>
        </w:rPr>
        <w:t xml:space="preserve">ing joint returns.  Separate filing by married persons was allowed, but the </w:t>
      </w:r>
      <w:r w:rsidRPr="00576ED7">
        <w:rPr>
          <w:szCs w:val="24"/>
        </w:rPr>
        <w:lastRenderedPageBreak/>
        <w:t>loss of income splitting meant that this almost always led to a tax increase.  Single persons were required to use the same rate schedules as married couples and received no special treatment to offset the married couples’ benefit from income splitting; therefore, marriage almost always resulted in a tax reduction for married couples and divorce in a tax increase.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1951, Congress enacted the head-of-household rate schedule for single persons who maintain households for certain relatives.  This provided a “divorce bonus” to married couples with children if they had relatively equal incomes.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1969, Congress enacted a special rate schedule for single persons to give them about one-half the benefit of income splitting and adjusted the head-of-household rate schedule to give these taxpayers about three-fourths of the benefit of income splitting.  These changes increased the d</w:t>
      </w:r>
      <w:r w:rsidRPr="00576ED7">
        <w:rPr>
          <w:szCs w:val="24"/>
        </w:rPr>
        <w:t>i</w:t>
      </w:r>
      <w:r w:rsidRPr="00576ED7">
        <w:rPr>
          <w:szCs w:val="24"/>
        </w:rPr>
        <w:t>vorce bonus provided by the head-of-household rate schedule and created a “marriage penalty” when single persons with relatively equal incomes married each other.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ind w:left="720"/>
        <w:jc w:val="both"/>
        <w:rPr>
          <w:szCs w:val="24"/>
        </w:rPr>
      </w:pPr>
      <w:r w:rsidRPr="00576ED7">
        <w:rPr>
          <w:szCs w:val="24"/>
        </w:rPr>
        <w:tab/>
      </w:r>
      <w:r w:rsidRPr="00576ED7">
        <w:rPr>
          <w:b/>
          <w:szCs w:val="24"/>
        </w:rPr>
        <w:t>Issues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proper tax treatment of married couples and single persons involves judgments about equity, economic efficiency and complexity.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Equity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first question is what should be the tax unit, the group whose income and deductions are pooled in determining tax liability.  Many people b</w:t>
      </w:r>
      <w:r w:rsidRPr="00576ED7">
        <w:rPr>
          <w:szCs w:val="24"/>
        </w:rPr>
        <w:t>e</w:t>
      </w:r>
      <w:r w:rsidRPr="00576ED7">
        <w:rPr>
          <w:szCs w:val="24"/>
        </w:rPr>
        <w:t>lieve that the tax system should be “marriage neutral;” that is, a married couple should have the same tax burden as two single persons, each of whom has the same income as one of the spouses.  Many people, however, also believe that, because most married couples pool their income and spend as a unit, fairness requires that the tax burden of a married couple not depend on how their combined income is distributed between them.  A third widely held proposition is that the tax system should be progressive; that is, as income rises, tax burdens should increase as a percentage of i</w:t>
      </w:r>
      <w:r w:rsidRPr="00576ED7">
        <w:rPr>
          <w:szCs w:val="24"/>
        </w:rPr>
        <w:t>n</w:t>
      </w:r>
      <w:r w:rsidRPr="00576ED7">
        <w:rPr>
          <w:szCs w:val="24"/>
        </w:rPr>
        <w:t>come.  Many Americans, if asked, would express agreement with all three of these principles of tax equity: marriage neutrality, equal taxation of couples with equal incomes, and progressivity.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problem with devising a satisfactory method of taxing married co</w:t>
      </w:r>
      <w:r w:rsidRPr="00576ED7">
        <w:rPr>
          <w:szCs w:val="24"/>
        </w:rPr>
        <w:t>u</w:t>
      </w:r>
      <w:r w:rsidRPr="00576ED7">
        <w:rPr>
          <w:szCs w:val="24"/>
        </w:rPr>
        <w:t>ples is that these three principles of tax equity are logically inconsistent.  A tax system generally can have any two of them, but not all three.  A progressive tax system that treats the individual, not the couple, as a tax unit preserves marriage neutrality but sacrifices equal taxation of couples with equal incomes because couples with unequal incomes would pay a larger combined tax than couples with relatively equal incomes. The pr</w:t>
      </w:r>
      <w:r w:rsidRPr="00576ED7">
        <w:rPr>
          <w:szCs w:val="24"/>
        </w:rPr>
        <w:t>e</w:t>
      </w:r>
      <w:r w:rsidRPr="00576ED7">
        <w:rPr>
          <w:szCs w:val="24"/>
        </w:rPr>
        <w:t>sent income tax sacrifices marriage neutrality, but maintains equal taxation of couples with equal incomes and progressivity.  A proportional income tax could have both marriage neutrality and equal taxation of couples with equal incomes, but it would sacrifice progressivity ... Which of these three principles ought to be sacrificed is a subjective question.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second equity issue is how the overall tax burden should be distributed between single persons, single heads of households, one-earner married couples and two-earner married couples.  This too is essentially a subje</w:t>
      </w:r>
      <w:r w:rsidRPr="00576ED7">
        <w:rPr>
          <w:szCs w:val="24"/>
        </w:rPr>
        <w:t>c</w:t>
      </w:r>
      <w:r w:rsidRPr="00576ED7">
        <w:rPr>
          <w:szCs w:val="24"/>
        </w:rPr>
        <w:t>tive judgment.  The enactment of income splitting in 1948 shifted the tax burden away from one-earner married couples and other couples with rel</w:t>
      </w:r>
      <w:r w:rsidRPr="00576ED7">
        <w:rPr>
          <w:szCs w:val="24"/>
        </w:rPr>
        <w:t>a</w:t>
      </w:r>
      <w:r w:rsidRPr="00576ED7">
        <w:rPr>
          <w:szCs w:val="24"/>
        </w:rPr>
        <w:t>tively unequal incomes.  The special rate schedules for heads of hous</w:t>
      </w:r>
      <w:r w:rsidRPr="00576ED7">
        <w:rPr>
          <w:szCs w:val="24"/>
        </w:rPr>
        <w:t>e</w:t>
      </w:r>
      <w:r w:rsidRPr="00576ED7">
        <w:rPr>
          <w:szCs w:val="24"/>
        </w:rPr>
        <w:t>holds and for single persons shifted the burden away from these classes of taxpayers.  Recent proposals to reduce the marriage penalty involve shif</w:t>
      </w:r>
      <w:r w:rsidRPr="00576ED7">
        <w:rPr>
          <w:szCs w:val="24"/>
        </w:rPr>
        <w:t>t</w:t>
      </w:r>
      <w:r w:rsidRPr="00576ED7">
        <w:rPr>
          <w:szCs w:val="24"/>
        </w:rPr>
        <w:t>ing the burden away from two-earner couples.  Any proposal that shifts the tax burden away from one of these groups means increasing the rel</w:t>
      </w:r>
      <w:r w:rsidRPr="00576ED7">
        <w:rPr>
          <w:szCs w:val="24"/>
        </w:rPr>
        <w:t>a</w:t>
      </w:r>
      <w:r w:rsidRPr="00576ED7">
        <w:rPr>
          <w:szCs w:val="24"/>
        </w:rPr>
        <w:t>tive burden on the others.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Efficiency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Considerations of economic efficiency dictate that tax rates be lowest on persons whose work effort would be most responsive to lower taxes.  Vi</w:t>
      </w:r>
      <w:r w:rsidRPr="00576ED7">
        <w:rPr>
          <w:szCs w:val="24"/>
        </w:rPr>
        <w:t>r</w:t>
      </w:r>
      <w:r w:rsidRPr="00576ED7">
        <w:rPr>
          <w:szCs w:val="24"/>
        </w:rPr>
        <w:t>tually all statistical studies of the issue conclude that a wife’s work effort is more responsive to reduced taxes than her husband’s.  Therefore, the present system of taxing both spouses’ earnings at the same marginal tax rate is economically inefficient compared to a system with lower tax rates on the wife’s earnings.  (The marginal tax rate is the rate applicable to the next dollar of income.)  However, the present system may have counte</w:t>
      </w:r>
      <w:r w:rsidRPr="00576ED7">
        <w:rPr>
          <w:szCs w:val="24"/>
        </w:rPr>
        <w:t>r</w:t>
      </w:r>
      <w:r w:rsidRPr="00576ED7">
        <w:rPr>
          <w:szCs w:val="24"/>
        </w:rPr>
        <w:t>vailing benefits to the extent society gains from uncompensated work pe</w:t>
      </w:r>
      <w:r w:rsidRPr="00576ED7">
        <w:rPr>
          <w:szCs w:val="24"/>
        </w:rPr>
        <w:t>r</w:t>
      </w:r>
      <w:r w:rsidRPr="00576ED7">
        <w:rPr>
          <w:szCs w:val="24"/>
        </w:rPr>
        <w:t>formed by wives.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b/>
          <w:szCs w:val="24"/>
        </w:rPr>
        <w:t>Alternative Proposals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i/>
          <w:szCs w:val="24"/>
        </w:rPr>
        <w:t>Relief for second earners</w:t>
      </w:r>
    </w:p>
    <w:p w:rsidR="0049128E" w:rsidRPr="00576ED7" w:rsidRDefault="0049128E" w:rsidP="00A6585D">
      <w:pPr>
        <w:widowControl w:val="0"/>
        <w:jc w:val="both"/>
        <w:rPr>
          <w:szCs w:val="24"/>
        </w:rPr>
      </w:pPr>
    </w:p>
    <w:p w:rsidR="0049128E" w:rsidRPr="00576ED7" w:rsidRDefault="00CC4E0E" w:rsidP="00A6585D">
      <w:pPr>
        <w:widowControl w:val="0"/>
        <w:ind w:left="720"/>
        <w:jc w:val="both"/>
        <w:rPr>
          <w:szCs w:val="24"/>
        </w:rPr>
      </w:pPr>
      <w:r>
        <w:rPr>
          <w:szCs w:val="24"/>
        </w:rPr>
        <w:t xml:space="preserve">[Some] </w:t>
      </w:r>
      <w:r w:rsidR="0049128E" w:rsidRPr="00576ED7">
        <w:rPr>
          <w:szCs w:val="24"/>
        </w:rPr>
        <w:t>proposals involve</w:t>
      </w:r>
      <w:r>
        <w:rPr>
          <w:szCs w:val="24"/>
        </w:rPr>
        <w:t>[]</w:t>
      </w:r>
      <w:r w:rsidR="0049128E" w:rsidRPr="00576ED7">
        <w:rPr>
          <w:szCs w:val="24"/>
        </w:rPr>
        <w:t xml:space="preserve"> </w:t>
      </w:r>
      <w:r w:rsidR="0049128E" w:rsidRPr="00576ED7">
        <w:rPr>
          <w:i/>
          <w:szCs w:val="24"/>
        </w:rPr>
        <w:t xml:space="preserve">ad hoc </w:t>
      </w:r>
      <w:r w:rsidR="0049128E" w:rsidRPr="00576ED7">
        <w:rPr>
          <w:szCs w:val="24"/>
        </w:rPr>
        <w:t xml:space="preserve">relief for two-earner married couples, designed to reduce the marriage penalty and marginal tax rates on second earners while retaining the basic system of joint filing.  Such relief could take the form of a deduction or credit equal to a percentage of the earnings of the spouse with the lower amount of earnings.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deduction or credit for second earners is one of the simplest ways to r</w:t>
      </w:r>
      <w:r w:rsidRPr="00576ED7">
        <w:rPr>
          <w:szCs w:val="24"/>
        </w:rPr>
        <w:t>e</w:t>
      </w:r>
      <w:r w:rsidRPr="00576ED7">
        <w:rPr>
          <w:szCs w:val="24"/>
        </w:rPr>
        <w:t>duce the marriage penalty and the marginal tax rates on second earners. Per dollar of revenue loss, a deduction would be more effective in these respects; however, a credit gives more benefit to lower income couples than a deduction.  If either a deduction or credit were adopted, the system would be characterized neither by marriage neutrality nor by equal tax</w:t>
      </w:r>
      <w:r w:rsidRPr="00576ED7">
        <w:rPr>
          <w:szCs w:val="24"/>
        </w:rPr>
        <w:t>a</w:t>
      </w:r>
      <w:r w:rsidRPr="00576ED7">
        <w:rPr>
          <w:szCs w:val="24"/>
        </w:rPr>
        <w:t>tion of couples with equal incomes.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would you resolve these conflicts? You can imagine that there are many interest groups that have their own views of what is fair – but the point is well-taken that the Code cannot, consistently with </w:t>
      </w:r>
      <w:r w:rsidRPr="00576ED7">
        <w:rPr>
          <w:i/>
          <w:szCs w:val="24"/>
        </w:rPr>
        <w:t>Poe v. Seaborn</w:t>
      </w:r>
      <w:r w:rsidRPr="00576ED7">
        <w:rPr>
          <w:szCs w:val="24"/>
        </w:rPr>
        <w:t>, please everyone.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For a time, the Code provided a credit to married couples when both husband and wife worked.  The credit was based upon the income earned by the spouse who earned less.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Imagine several possible taxpaying units and some possible distributions of $70,000 of taxable income within those units.  Review determinations of the tax liability of each unit using the tax tables found in § 1 </w:t>
      </w:r>
      <w:r w:rsidRPr="00576ED7">
        <w:rPr>
          <w:i/>
          <w:szCs w:val="24"/>
        </w:rPr>
        <w:t>before</w:t>
      </w:r>
      <w:r w:rsidRPr="00576ED7">
        <w:rPr>
          <w:szCs w:val="24"/>
        </w:rPr>
        <w:t xml:space="preserve"> temporary reductions and indexing.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lastRenderedPageBreak/>
        <w:t>•</w:t>
      </w:r>
      <w:r w:rsidR="00CC4E0E">
        <w:rPr>
          <w:szCs w:val="24"/>
        </w:rPr>
        <w:t xml:space="preserve">One spouse </w:t>
      </w:r>
      <w:r w:rsidRPr="00576ED7">
        <w:rPr>
          <w:szCs w:val="24"/>
        </w:rPr>
        <w:t xml:space="preserve">earns $35,000, </w:t>
      </w:r>
      <w:r w:rsidR="00CC4E0E">
        <w:rPr>
          <w:szCs w:val="24"/>
        </w:rPr>
        <w:t xml:space="preserve">the other </w:t>
      </w:r>
      <w:r w:rsidRPr="00576ED7">
        <w:rPr>
          <w:szCs w:val="24"/>
        </w:rPr>
        <w:t>earns $35,000</w:t>
      </w:r>
    </w:p>
    <w:p w:rsidR="0049128E" w:rsidRPr="00576ED7" w:rsidRDefault="0049128E" w:rsidP="00A6585D">
      <w:pPr>
        <w:widowControl w:val="0"/>
        <w:ind w:left="1440"/>
        <w:jc w:val="both"/>
        <w:rPr>
          <w:szCs w:val="24"/>
        </w:rPr>
      </w:pPr>
      <w:r w:rsidRPr="00576ED7">
        <w:rPr>
          <w:szCs w:val="24"/>
        </w:rPr>
        <w:t>•Tax burden = 5535 + 9268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CC4E0E">
        <w:rPr>
          <w:szCs w:val="24"/>
        </w:rPr>
        <w:t xml:space="preserve">Married taxpayers </w:t>
      </w:r>
      <w:r w:rsidRPr="00576ED7">
        <w:rPr>
          <w:szCs w:val="24"/>
        </w:rPr>
        <w:t>together earn $70,000.  Couple files married filing jointly.</w:t>
      </w:r>
    </w:p>
    <w:p w:rsidR="0049128E" w:rsidRPr="00576ED7" w:rsidRDefault="0049128E" w:rsidP="00A6585D">
      <w:pPr>
        <w:widowControl w:val="0"/>
        <w:ind w:left="720"/>
        <w:jc w:val="both"/>
        <w:rPr>
          <w:szCs w:val="24"/>
        </w:rPr>
      </w:pPr>
      <w:r w:rsidRPr="00576ED7">
        <w:rPr>
          <w:szCs w:val="24"/>
        </w:rPr>
        <w:t>•</w:t>
      </w:r>
      <w:r w:rsidR="00CC4E0E">
        <w:rPr>
          <w:szCs w:val="24"/>
        </w:rPr>
        <w:t xml:space="preserve">One spouse </w:t>
      </w:r>
      <w:r w:rsidRPr="00576ED7">
        <w:rPr>
          <w:szCs w:val="24"/>
        </w:rPr>
        <w:t xml:space="preserve">earns $70,000, </w:t>
      </w:r>
      <w:r w:rsidR="00CC4E0E">
        <w:rPr>
          <w:szCs w:val="24"/>
        </w:rPr>
        <w:t xml:space="preserve">the other </w:t>
      </w:r>
      <w:r w:rsidRPr="00576ED7">
        <w:rPr>
          <w:szCs w:val="24"/>
        </w:rPr>
        <w:t>earns $0.</w:t>
      </w:r>
    </w:p>
    <w:p w:rsidR="0049128E" w:rsidRPr="00576ED7" w:rsidRDefault="0049128E" w:rsidP="00A6585D">
      <w:pPr>
        <w:widowControl w:val="0"/>
        <w:ind w:left="1440"/>
        <w:jc w:val="both"/>
        <w:rPr>
          <w:szCs w:val="24"/>
        </w:rPr>
      </w:pPr>
      <w:r w:rsidRPr="00576ED7">
        <w:rPr>
          <w:szCs w:val="24"/>
        </w:rPr>
        <w:t>•Tax Burden = $14,803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•Both partners each earns $35,000</w:t>
      </w:r>
    </w:p>
    <w:p w:rsidR="0049128E" w:rsidRPr="00576ED7" w:rsidRDefault="0049128E" w:rsidP="00A6585D">
      <w:pPr>
        <w:widowControl w:val="0"/>
        <w:ind w:left="1440"/>
        <w:jc w:val="both"/>
        <w:rPr>
          <w:szCs w:val="24"/>
        </w:rPr>
      </w:pPr>
      <w:r w:rsidRPr="00576ED7">
        <w:rPr>
          <w:szCs w:val="24"/>
        </w:rPr>
        <w:t>•Tax Burden = 3315 + 3612 = 6927, x2 = $13,854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Same sex partners, or unmarried cohabiting man and woman together earn $70,000.  Each partner files as unmarried individual.</w:t>
      </w:r>
    </w:p>
    <w:p w:rsidR="0049128E" w:rsidRPr="00576ED7" w:rsidRDefault="0049128E" w:rsidP="00A6585D">
      <w:pPr>
        <w:widowControl w:val="0"/>
        <w:ind w:left="720"/>
        <w:jc w:val="both"/>
        <w:rPr>
          <w:szCs w:val="24"/>
        </w:rPr>
      </w:pPr>
      <w:r w:rsidRPr="00576ED7">
        <w:rPr>
          <w:szCs w:val="24"/>
        </w:rPr>
        <w:t>•One partner earns $70,000, the other partner earns $0.</w:t>
      </w:r>
    </w:p>
    <w:p w:rsidR="0049128E" w:rsidRPr="00576ED7" w:rsidRDefault="0049128E" w:rsidP="00A6585D">
      <w:pPr>
        <w:widowControl w:val="0"/>
        <w:ind w:left="1440"/>
        <w:jc w:val="both"/>
        <w:rPr>
          <w:szCs w:val="24"/>
        </w:rPr>
      </w:pPr>
      <w:r w:rsidRPr="00576ED7">
        <w:rPr>
          <w:szCs w:val="24"/>
        </w:rPr>
        <w:t>•Tax Burden = 12,107 + 5115 = $17,222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Divorced mother with child earns $70,000</w:t>
      </w:r>
    </w:p>
    <w:p w:rsidR="0049128E" w:rsidRPr="00576ED7" w:rsidRDefault="0049128E" w:rsidP="00A6585D">
      <w:pPr>
        <w:widowControl w:val="0"/>
        <w:ind w:left="720"/>
        <w:jc w:val="both"/>
        <w:rPr>
          <w:szCs w:val="24"/>
        </w:rPr>
      </w:pPr>
      <w:r w:rsidRPr="00576ED7">
        <w:rPr>
          <w:szCs w:val="24"/>
        </w:rPr>
        <w:t>Tax Burden = 4440 + 11,312 = $15,752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Observe</w:t>
      </w:r>
      <w:r w:rsidRPr="00576ED7">
        <w:rPr>
          <w:szCs w:val="24"/>
        </w:rPr>
        <w:t>:</w:t>
      </w:r>
    </w:p>
    <w:p w:rsidR="0049128E" w:rsidRPr="00576ED7" w:rsidRDefault="0049128E" w:rsidP="00A6585D">
      <w:pPr>
        <w:widowControl w:val="0"/>
        <w:jc w:val="both"/>
        <w:rPr>
          <w:szCs w:val="24"/>
        </w:rPr>
      </w:pPr>
      <w:r w:rsidRPr="00576ED7">
        <w:rPr>
          <w:szCs w:val="24"/>
        </w:rPr>
        <w:t>•The first two couples pay the same tax.  The Code does not discriminate among married couples, irrespective of who earns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•However the first two couples pay more income tax than the third couple.  This is the marriage penalty.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first two couples pay less than the fourth couple.  This is the marriage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fifth taxpayer pays less than the fourth couple, but more than the first two couples.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Are these results this fair?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Recompute the tax liabilities of these taxpaying units using the current tables found at the very front of your Code.</w:t>
      </w:r>
    </w:p>
    <w:p w:rsidR="0049128E" w:rsidRPr="00576ED7" w:rsidRDefault="0049128E" w:rsidP="00A6585D">
      <w:pPr>
        <w:widowControl w:val="0"/>
        <w:ind w:left="720"/>
        <w:jc w:val="both"/>
        <w:rPr>
          <w:szCs w:val="24"/>
        </w:rPr>
      </w:pPr>
      <w:r w:rsidRPr="00576ED7">
        <w:rPr>
          <w:szCs w:val="24"/>
        </w:rPr>
        <w:t xml:space="preserve">•What has happened to the brackets that </w:t>
      </w:r>
      <w:r w:rsidR="00CC4E0E">
        <w:rPr>
          <w:szCs w:val="24"/>
        </w:rPr>
        <w:t xml:space="preserve">caused </w:t>
      </w:r>
      <w:r w:rsidRPr="00576ED7">
        <w:rPr>
          <w:szCs w:val="24"/>
        </w:rPr>
        <w:t>such dramatically diffe</w:t>
      </w:r>
      <w:r w:rsidRPr="00576ED7">
        <w:rPr>
          <w:szCs w:val="24"/>
        </w:rPr>
        <w:t>r</w:t>
      </w:r>
      <w:r w:rsidRPr="00576ED7">
        <w:rPr>
          <w:szCs w:val="24"/>
        </w:rPr>
        <w:t>ent results?</w:t>
      </w:r>
    </w:p>
    <w:p w:rsidR="0049128E" w:rsidRPr="00576ED7" w:rsidRDefault="0049128E" w:rsidP="00A6585D">
      <w:pPr>
        <w:widowControl w:val="0"/>
        <w:ind w:left="720"/>
        <w:jc w:val="both"/>
        <w:rPr>
          <w:szCs w:val="24"/>
        </w:rPr>
      </w:pPr>
      <w:r w:rsidRPr="00576ED7">
        <w:rPr>
          <w:szCs w:val="24"/>
        </w:rPr>
        <w:t>•Look at the bottom two tax brackets in tables 1 and 3.  Notice the rel</w:t>
      </w:r>
      <w:r w:rsidRPr="00576ED7">
        <w:rPr>
          <w:szCs w:val="24"/>
        </w:rPr>
        <w:t>a</w:t>
      </w:r>
      <w:r w:rsidRPr="00576ED7">
        <w:rPr>
          <w:szCs w:val="24"/>
        </w:rPr>
        <w:lastRenderedPageBreak/>
        <w:t>tionship between the lowest bracket in table 1 and the lowest bracket in table 3.  Notice the relationship between the second lowest bracket in table 1 and the second lowest bracket in table 3.</w:t>
      </w:r>
    </w:p>
    <w:p w:rsidR="0049128E" w:rsidRPr="00576ED7" w:rsidRDefault="0049128E" w:rsidP="00A6585D">
      <w:pPr>
        <w:widowControl w:val="0"/>
        <w:ind w:left="720"/>
        <w:jc w:val="both"/>
        <w:rPr>
          <w:szCs w:val="24"/>
        </w:rPr>
      </w:pPr>
      <w:r w:rsidRPr="00576ED7">
        <w:rPr>
          <w:szCs w:val="24"/>
        </w:rPr>
        <w:t>•To whom did Congress respond when it created these relationships in 2001? Perhaps the same people who supported adoption of the Child Tax Credit in 1997 (§ 24)?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4" w:name="_Toc375132941"/>
      <w:r w:rsidRPr="00576ED7">
        <w:t>III.  Income Derived from Property</w:t>
      </w:r>
      <w:bookmarkEnd w:id="54"/>
      <w:r w:rsidRPr="00576ED7">
        <w:fldChar w:fldCharType="begin"/>
      </w:r>
      <w:r w:rsidRPr="00576ED7">
        <w:instrText xml:space="preserve"> TC \l1 "III.  Income Derived from Property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  Why did taxpayer Horst lose?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w:t>
      </w:r>
      <w:r w:rsidRPr="00576ED7">
        <w:rPr>
          <w:szCs w:val="24"/>
        </w:rPr>
        <w:t>n</w:t>
      </w:r>
      <w:r w:rsidRPr="00576ED7">
        <w:rPr>
          <w:szCs w:val="24"/>
        </w:rPr>
        <w:t>guishable from those in that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separate opinion of MR. JUSTICE McREYNOLDS.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w:t>
      </w:r>
      <w:r w:rsidRPr="00576ED7">
        <w:rPr>
          <w:szCs w:val="24"/>
        </w:rPr>
        <w:t>s</w:t>
      </w:r>
      <w:r w:rsidRPr="00576ED7">
        <w:rPr>
          <w:szCs w:val="24"/>
        </w:rPr>
        <w:t>signment.”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part of the year 1924, the petitioner was employed by The Canada Life Assurance Company as its branch manager for the state of Michigan.  His co</w:t>
      </w:r>
      <w:r w:rsidRPr="00576ED7">
        <w:rPr>
          <w:szCs w:val="24"/>
        </w:rPr>
        <w:t>m</w:t>
      </w:r>
      <w:r w:rsidRPr="00576ED7">
        <w:rPr>
          <w:szCs w:val="24"/>
        </w:rPr>
        <w:t>pensation consisted of a salary plus certain commissions.  His employment term</w:t>
      </w:r>
      <w:r w:rsidRPr="00576ED7">
        <w:rPr>
          <w:szCs w:val="24"/>
        </w:rPr>
        <w:t>i</w:t>
      </w:r>
      <w:r w:rsidRPr="00576ED7">
        <w:rPr>
          <w:szCs w:val="24"/>
        </w:rPr>
        <w:t>nated on September 1, 1924.  Under the terms of his contract, he was entitled to renewal commissions on premiums thereafter collected by the company on pol</w:t>
      </w:r>
      <w:r w:rsidRPr="00576ED7">
        <w:rPr>
          <w:szCs w:val="24"/>
        </w:rPr>
        <w:t>i</w:t>
      </w:r>
      <w:r w:rsidRPr="00576ED7">
        <w:rPr>
          <w:szCs w:val="24"/>
        </w:rPr>
        <w:t>cies written prior to the termination of his agency, without the obligation to pe</w:t>
      </w:r>
      <w:r w:rsidRPr="00576ED7">
        <w:rPr>
          <w:szCs w:val="24"/>
        </w:rPr>
        <w:t>r</w:t>
      </w:r>
      <w:r w:rsidRPr="00576ED7">
        <w:rPr>
          <w:szCs w:val="24"/>
        </w:rPr>
        <w:t>form any further services.  In November, 1924, he assigned his right, title and i</w:t>
      </w:r>
      <w:r w:rsidRPr="00576ED7">
        <w:rPr>
          <w:szCs w:val="24"/>
        </w:rPr>
        <w:t>n</w:t>
      </w:r>
      <w:r w:rsidRPr="00576ED7">
        <w:rPr>
          <w:szCs w:val="24"/>
        </w:rPr>
        <w:t>terest in the contract, as well as the renewal commissions, to a corporate trustee.  From September 1, 1924 to June 30, 1927, the petitioner and another, constituting the firm of Hart &amp; Eubank, were general agents in New York City for the Aetna Life Assurance Company, and from July 1, 1927, to August 31, 1927, the pet</w:t>
      </w:r>
      <w:r w:rsidRPr="00576ED7">
        <w:rPr>
          <w:szCs w:val="24"/>
        </w:rPr>
        <w:t>i</w:t>
      </w:r>
      <w:r w:rsidRPr="00576ED7">
        <w:rPr>
          <w:szCs w:val="24"/>
        </w:rPr>
        <w:t>tioner individually was general agent for said Aetna Company.  The Aetna co</w:t>
      </w:r>
      <w:r w:rsidRPr="00576ED7">
        <w:rPr>
          <w:szCs w:val="24"/>
        </w:rPr>
        <w:t>n</w:t>
      </w:r>
      <w:r w:rsidRPr="00576ED7">
        <w:rPr>
          <w:szCs w:val="24"/>
        </w:rPr>
        <w:t>tracts likewise contained terms entitling the agent to commissions on renewal premiums paid after termination of the agency, without the performance of any further services.  On March 28, 1928, the petitioner assigned to the corporate tru</w:t>
      </w:r>
      <w:r w:rsidRPr="00576ED7">
        <w:rPr>
          <w:szCs w:val="24"/>
        </w:rPr>
        <w:t>s</w:t>
      </w:r>
      <w:r w:rsidRPr="00576ED7">
        <w:rPr>
          <w:szCs w:val="24"/>
        </w:rPr>
        <w:t>tee all commissions to become due him under the Aetna contracts.  During the year 1933, the trustee collected by virtue of the assignments renewal commissions payable under the three agency contracts above mentioned amounting to some $15,600.  These commissions were taxed to the petitioner by the commissioner, and the Board has sustained the deficiency resulting therefrom.”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below declared –</w:t>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ind w:left="720"/>
        <w:jc w:val="both"/>
        <w:rPr>
          <w:szCs w:val="24"/>
        </w:rPr>
      </w:pPr>
      <w:r w:rsidRPr="00576ED7">
        <w:rPr>
          <w:szCs w:val="24"/>
        </w:rPr>
        <w:t>“In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w:t>
      </w:r>
      <w:r w:rsidRPr="00576ED7">
        <w:rPr>
          <w:szCs w:val="24"/>
        </w:rPr>
        <w:t>s</w:t>
      </w:r>
      <w:r w:rsidRPr="00576ED7">
        <w:rPr>
          <w:szCs w:val="24"/>
        </w:rPr>
        <w:t xml:space="preserve">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107 F.2d 906, or a right to patent ro</w:t>
      </w:r>
      <w:r w:rsidRPr="00576ED7">
        <w:rPr>
          <w:szCs w:val="24"/>
        </w:rPr>
        <w:t>y</w:t>
      </w:r>
      <w:r w:rsidRPr="00576ED7">
        <w:rPr>
          <w:szCs w:val="24"/>
        </w:rPr>
        <w:lastRenderedPageBreak/>
        <w:t xml:space="preserve">alties, as in </w:t>
      </w:r>
      <w:r w:rsidRPr="00576ED7">
        <w:rPr>
          <w:i/>
          <w:szCs w:val="24"/>
        </w:rPr>
        <w:t>Nelson v. Ferguson</w:t>
      </w:r>
      <w:r w:rsidRPr="00576ED7">
        <w:rPr>
          <w:szCs w:val="24"/>
        </w:rPr>
        <w:t xml:space="preserve">, 56 F.2d 121, </w:t>
      </w:r>
      <w:r w:rsidRPr="00576ED7">
        <w:rPr>
          <w:i/>
          <w:szCs w:val="24"/>
        </w:rPr>
        <w:t>cert. denied</w:t>
      </w:r>
      <w:r w:rsidRPr="00576ED7">
        <w:rPr>
          <w:szCs w:val="24"/>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w:t>
      </w:r>
      <w:r w:rsidRPr="00576ED7">
        <w:rPr>
          <w:szCs w:val="24"/>
        </w:rPr>
        <w:t>s</w:t>
      </w:r>
      <w:r w:rsidRPr="00576ED7">
        <w:rPr>
          <w:szCs w:val="24"/>
        </w:rPr>
        <w:t>fers a property right, and the money, when received by the assignee, is not income taxable to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Board of Tax Appeals was reversed, and this, I think, is in a</w:t>
      </w:r>
      <w:r w:rsidRPr="00576ED7">
        <w:rPr>
          <w:szCs w:val="24"/>
        </w:rPr>
        <w:t>c</w:t>
      </w:r>
      <w:r w:rsidRPr="00576ED7">
        <w:rPr>
          <w:szCs w:val="24"/>
        </w:rPr>
        <w:t>cord with the statute and our opinions.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w:t>
      </w:r>
      <w:r w:rsidRPr="00576ED7">
        <w:rPr>
          <w:szCs w:val="24"/>
        </w:rPr>
        <w:t>n</w:t>
      </w:r>
      <w:r w:rsidRPr="00576ED7">
        <w:rPr>
          <w:szCs w:val="24"/>
        </w:rPr>
        <w:t>come, but the statute does not undertake to impose liability upon him because of payments to another under a contract which he had transferred in good faith under circumstances like those here disclosed.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ROBERTS concur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w:t>
      </w:r>
      <w:r w:rsidRPr="00576ED7">
        <w:rPr>
          <w:i/>
          <w:szCs w:val="24"/>
        </w:rPr>
        <w:t>u</w:t>
      </w:r>
      <w:r w:rsidRPr="00576ED7">
        <w:rPr>
          <w:i/>
          <w:szCs w:val="24"/>
        </w:rPr>
        <w:t>pra</w:t>
      </w:r>
      <w:r w:rsidRPr="00576ED7">
        <w:rPr>
          <w:szCs w:val="24"/>
        </w:rPr>
        <w:t>?</w:t>
      </w:r>
    </w:p>
    <w:p w:rsidR="0049128E" w:rsidRPr="00576ED7" w:rsidRDefault="0049128E" w:rsidP="00A6585D">
      <w:pPr>
        <w:widowControl w:val="0"/>
        <w:ind w:left="720"/>
        <w:jc w:val="both"/>
        <w:rPr>
          <w:szCs w:val="24"/>
        </w:rPr>
      </w:pPr>
      <w:r w:rsidRPr="00576ED7">
        <w:rPr>
          <w:szCs w:val="24"/>
        </w:rPr>
        <w:t>•Is that accurate?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Should the right to collect compensation income for services performed b</w:t>
      </w:r>
      <w:r w:rsidRPr="00576ED7">
        <w:rPr>
          <w:szCs w:val="24"/>
        </w:rPr>
        <w:t>e</w:t>
      </w:r>
      <w:r w:rsidRPr="00576ED7">
        <w:rPr>
          <w:szCs w:val="24"/>
        </w:rPr>
        <w:t>come property simply by the passage of time, e.g., one year?</w:t>
      </w:r>
    </w:p>
    <w:p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 you see any latent problems of horizontal equity in the opinion of Justice McReynolds? Taxpayers have endeavored from the beginning to convert compe</w:t>
      </w:r>
      <w:r w:rsidRPr="00576ED7">
        <w:rPr>
          <w:szCs w:val="24"/>
        </w:rPr>
        <w:t>n</w:t>
      </w:r>
      <w:r w:rsidRPr="00576ED7">
        <w:rPr>
          <w:szCs w:val="24"/>
        </w:rPr>
        <w:t xml:space="preserve">sation income from ordinary income into property.  Courts are very careful </w:t>
      </w:r>
      <w:r w:rsidR="005C62E0">
        <w:rPr>
          <w:szCs w:val="24"/>
        </w:rPr>
        <w:t xml:space="preserve">not </w:t>
      </w:r>
      <w:r w:rsidRPr="00576ED7">
        <w:rPr>
          <w:szCs w:val="24"/>
        </w:rPr>
        <w:t>permit</w:t>
      </w:r>
      <w:r w:rsidR="005C62E0">
        <w:rPr>
          <w:szCs w:val="24"/>
        </w:rPr>
        <w:t xml:space="preserve"> </w:t>
      </w:r>
      <w:r w:rsidRPr="00576ED7">
        <w:rPr>
          <w:szCs w:val="24"/>
        </w:rPr>
        <w:t xml:space="preserve">this to occur.  Does not Justice McReynolds undermine the principles of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 xml:space="preserve">•Maybe the principles of </w:t>
      </w:r>
      <w:r w:rsidRPr="00576ED7">
        <w:rPr>
          <w:i/>
          <w:szCs w:val="24"/>
        </w:rPr>
        <w:t>Lucas v. Earl</w:t>
      </w:r>
      <w:r w:rsidRPr="00576ED7">
        <w:rPr>
          <w:szCs w:val="24"/>
        </w:rPr>
        <w:t xml:space="preserve"> need undermining.</w:t>
      </w:r>
    </w:p>
    <w:p w:rsidR="0049128E" w:rsidRPr="00576ED7" w:rsidRDefault="0049128E" w:rsidP="00A6585D">
      <w:pPr>
        <w:widowControl w:val="0"/>
        <w:ind w:left="720"/>
        <w:jc w:val="both"/>
        <w:rPr>
          <w:szCs w:val="24"/>
        </w:rPr>
      </w:pPr>
      <w:r w:rsidRPr="00576ED7">
        <w:rPr>
          <w:szCs w:val="24"/>
        </w:rPr>
        <w:t>•Why do you think that taxpayer wanted to transfer his rights to receive future renewal commission to a corporation that he controlled? Were there tax advantages to doing this?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CHIEF JUSTICE HUGHES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w:t>
      </w:r>
      <w:r w:rsidRPr="00576ED7">
        <w:rPr>
          <w:szCs w:val="24"/>
        </w:rPr>
        <w:t>e</w:t>
      </w:r>
      <w:r w:rsidRPr="00576ED7">
        <w:rPr>
          <w:szCs w:val="24"/>
        </w:rPr>
        <w:t>titioner assigned to his daughter, Lucy Blair Linn, an interest amounting to $6,000 for the remainder of that calendar year, and to $9,000 in each calendar year ther</w:t>
      </w:r>
      <w:r w:rsidRPr="00576ED7">
        <w:rPr>
          <w:szCs w:val="24"/>
        </w:rPr>
        <w:t>e</w:t>
      </w:r>
      <w:r w:rsidRPr="00576ED7">
        <w:rPr>
          <w:szCs w:val="24"/>
        </w:rPr>
        <w:t>after, in the net income which the petitioner was then or might thereafter be ent</w:t>
      </w:r>
      <w:r w:rsidRPr="00576ED7">
        <w:rPr>
          <w:szCs w:val="24"/>
        </w:rPr>
        <w:t>i</w:t>
      </w:r>
      <w:r w:rsidRPr="00576ED7">
        <w:rPr>
          <w:szCs w:val="24"/>
        </w:rPr>
        <w:t>tled to receive during his life.  At about the same time, he made like assignments of interests, amounting to $9,000 in each calendar year, in the net income of the trust to his daughter Edith Blair and to his son, Edward Seymour Blair, respe</w:t>
      </w:r>
      <w:r w:rsidRPr="00576ED7">
        <w:rPr>
          <w:szCs w:val="24"/>
        </w:rPr>
        <w:t>c</w:t>
      </w:r>
      <w:r w:rsidRPr="00576ED7">
        <w:rPr>
          <w:szCs w:val="24"/>
        </w:rPr>
        <w:t>tively.  In later years, by similar instruments, he assigned to these children add</w:t>
      </w:r>
      <w:r w:rsidRPr="00576ED7">
        <w:rPr>
          <w:szCs w:val="24"/>
        </w:rPr>
        <w:t>i</w:t>
      </w:r>
      <w:r w:rsidRPr="00576ED7">
        <w:rPr>
          <w:szCs w:val="24"/>
        </w:rPr>
        <w:t>tional interests, and to his son William McCormick Blair other specified interests, in the net income.  The trustees accepted the assignments and distributed the i</w:t>
      </w:r>
      <w:r w:rsidRPr="00576ED7">
        <w:rPr>
          <w:szCs w:val="24"/>
        </w:rPr>
        <w:t>n</w:t>
      </w:r>
      <w:r w:rsidRPr="00576ED7">
        <w:rPr>
          <w:szCs w:val="24"/>
        </w:rPr>
        <w:t>come directly to the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trustees brought suit in the superior court of Cook county, Illinois, to o</w:t>
      </w:r>
      <w:r w:rsidRPr="00576ED7">
        <w:rPr>
          <w:szCs w:val="24"/>
        </w:rPr>
        <w:t>b</w:t>
      </w:r>
      <w:r w:rsidRPr="00576ED7">
        <w:rPr>
          <w:szCs w:val="24"/>
        </w:rPr>
        <w:lastRenderedPageBreak/>
        <w:t>tain a construction of the will ... [and the Illinois courts] found the assignments to be “voluntary assignments of a part of the interest of said Edward Tyler Blair in said trust estate” and, as such, adjudged them to be valid.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At that time, there were pending before the Board of Tax Appeals proceedings involving the income of the trust for the years 1924, 1925, 1926, and 1929.  The Board ... [applied] the decision of [the Illinois courts and] overruled the Commi</w:t>
      </w:r>
      <w:r w:rsidRPr="00576ED7">
        <w:rPr>
          <w:szCs w:val="24"/>
        </w:rPr>
        <w:t>s</w:t>
      </w:r>
      <w:r w:rsidRPr="00576ED7">
        <w:rPr>
          <w:szCs w:val="24"/>
        </w:rPr>
        <w:t>sioner’s determination as to the petitioner’s liability.  The Circuit Court of A</w:t>
      </w:r>
      <w:r w:rsidRPr="00576ED7">
        <w:rPr>
          <w:szCs w:val="24"/>
        </w:rPr>
        <w:t>p</w:t>
      </w:r>
      <w:r w:rsidRPr="00576ED7">
        <w:rPr>
          <w:szCs w:val="24"/>
        </w:rPr>
        <w:t>peals ... reversed the Board.  That court recognized the binding effect of the dec</w:t>
      </w:r>
      <w:r w:rsidRPr="00576ED7">
        <w:rPr>
          <w:szCs w:val="24"/>
        </w:rPr>
        <w:t>i</w:t>
      </w:r>
      <w:r w:rsidRPr="00576ED7">
        <w:rPr>
          <w:szCs w:val="24"/>
        </w:rPr>
        <w:t>sion of the state court as to the validity of the assignments, but decided that the income was still taxable to the petitioner upon the ground that his interest was not attached to the corpus of the estate, and that the income was not subject to his di</w:t>
      </w:r>
      <w:r w:rsidRPr="00576ED7">
        <w:rPr>
          <w:szCs w:val="24"/>
        </w:rPr>
        <w:t>s</w:t>
      </w:r>
      <w:r w:rsidRPr="00576ED7">
        <w:rPr>
          <w:szCs w:val="24"/>
        </w:rPr>
        <w:t>position until he received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of an asserted conflict with the decision of the state court, and also with decisions of circuit courts of appeals, we granted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[Res judicata does not bar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Second.  The question of the validity of the assignments is a question of local law.  The donor was a resident of Illinois, and his disposition of the property in that State was subject to its law.  By that law, the character of the trust, the nature and extent of the interest of the beneficiary, and the power of the beneficiary to assign that interest in whole or in part are to be determined.  The decision of the state court upon these questions is final.  </w:t>
      </w:r>
      <w:r w:rsidRPr="00576ED7">
        <w:rPr>
          <w:i/>
          <w:szCs w:val="24"/>
        </w:rPr>
        <w:t>Spindle v. Shreve</w:t>
      </w:r>
      <w:r w:rsidRPr="00576ED7">
        <w:rPr>
          <w:szCs w:val="24"/>
        </w:rPr>
        <w:t xml:space="preserve">, 111 U.S. 542, 547-548; </w:t>
      </w:r>
      <w:r w:rsidRPr="00576ED7">
        <w:rPr>
          <w:i/>
          <w:szCs w:val="24"/>
        </w:rPr>
        <w:t>Uterhart v. United States</w:t>
      </w:r>
      <w:r w:rsidRPr="00576ED7">
        <w:rPr>
          <w:szCs w:val="24"/>
        </w:rPr>
        <w:t xml:space="preserve">, 240 U.S. 598, 603; </w:t>
      </w:r>
      <w:r w:rsidRPr="00576ED7">
        <w:rPr>
          <w:i/>
          <w:szCs w:val="24"/>
        </w:rPr>
        <w:t>Poe v. Seaborn</w:t>
      </w:r>
      <w:r w:rsidRPr="00576ED7">
        <w:rPr>
          <w:szCs w:val="24"/>
        </w:rPr>
        <w:t xml:space="preserve">, 282 U.S. 101, 110; </w:t>
      </w:r>
      <w:r w:rsidRPr="00576ED7">
        <w:rPr>
          <w:i/>
          <w:szCs w:val="24"/>
        </w:rPr>
        <w:t>Freuler v. Helvering</w:t>
      </w:r>
      <w:r w:rsidRPr="00576ED7">
        <w:rPr>
          <w:szCs w:val="24"/>
        </w:rPr>
        <w:t xml:space="preserve">, </w:t>
      </w:r>
      <w:r w:rsidRPr="00576ED7">
        <w:rPr>
          <w:i/>
          <w:szCs w:val="24"/>
        </w:rPr>
        <w:t>supra</w:t>
      </w:r>
      <w:r w:rsidRPr="00576ED7">
        <w:rPr>
          <w:szCs w:val="24"/>
        </w:rPr>
        <w:t>, 291 U.S. 45. ... In this instance, it is not necessary to go beyond the obvious point that the decision was in a suit between the trustees and the beneficiary and his assignees, and the decree which was entered in purs</w:t>
      </w:r>
      <w:r w:rsidRPr="00576ED7">
        <w:rPr>
          <w:szCs w:val="24"/>
        </w:rPr>
        <w:t>u</w:t>
      </w:r>
      <w:r w:rsidRPr="00576ED7">
        <w:rPr>
          <w:szCs w:val="24"/>
        </w:rPr>
        <w:t>ance of the decision determined as between these parties the validity of the parti</w:t>
      </w:r>
      <w:r w:rsidRPr="00576ED7">
        <w:rPr>
          <w:szCs w:val="24"/>
        </w:rPr>
        <w:t>c</w:t>
      </w:r>
      <w:r w:rsidRPr="00576ED7">
        <w:rPr>
          <w:szCs w:val="24"/>
        </w:rPr>
        <w:t>ular assignments.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Third.  The question remains whether, treating the assignments as valid, the a</w:t>
      </w:r>
      <w:r w:rsidRPr="00576ED7">
        <w:rPr>
          <w:szCs w:val="24"/>
        </w:rPr>
        <w:t>s</w:t>
      </w:r>
      <w:r w:rsidRPr="00576ED7">
        <w:rPr>
          <w:szCs w:val="24"/>
        </w:rPr>
        <w:t>signor was still taxable upon the income under the federal income tax act.  That is a federal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Our decisions in </w:t>
      </w:r>
      <w:r w:rsidRPr="00576ED7">
        <w:rPr>
          <w:i/>
          <w:szCs w:val="24"/>
        </w:rPr>
        <w:t>Lucas v. Earl</w:t>
      </w:r>
      <w:r w:rsidRPr="00576ED7">
        <w:rPr>
          <w:szCs w:val="24"/>
        </w:rPr>
        <w:t xml:space="preserve">, 281 U.S. 111, and </w:t>
      </w:r>
      <w:r w:rsidRPr="00576ED7">
        <w:rPr>
          <w:i/>
          <w:szCs w:val="24"/>
        </w:rPr>
        <w:t>Burnet v. Leininger</w:t>
      </w:r>
      <w:r w:rsidRPr="00576ED7">
        <w:rPr>
          <w:szCs w:val="24"/>
        </w:rPr>
        <w:t xml:space="preserve">, 285 U.S. </w:t>
      </w:r>
      <w:r w:rsidRPr="00576ED7">
        <w:rPr>
          <w:szCs w:val="24"/>
        </w:rPr>
        <w:lastRenderedPageBreak/>
        <w:t xml:space="preserve">136, are cited.  In the </w:t>
      </w:r>
      <w:r w:rsidRPr="00576ED7">
        <w:rPr>
          <w:i/>
          <w:szCs w:val="24"/>
        </w:rPr>
        <w:t>Lucas</w:t>
      </w:r>
      <w:r w:rsidRPr="00576ED7">
        <w:rPr>
          <w:szCs w:val="24"/>
        </w:rPr>
        <w:t xml:space="preserve"> case, the question was whether an attorney was tax</w:t>
      </w:r>
      <w:r w:rsidRPr="00576ED7">
        <w:rPr>
          <w:szCs w:val="24"/>
        </w:rPr>
        <w:t>a</w:t>
      </w:r>
      <w:r w:rsidRPr="00576ED7">
        <w:rPr>
          <w:szCs w:val="24"/>
        </w:rPr>
        <w:t>ble for the whole of his salary and fees earned by him in the tax years, or only u</w:t>
      </w:r>
      <w:r w:rsidRPr="00576ED7">
        <w:rPr>
          <w:szCs w:val="24"/>
        </w:rPr>
        <w:t>p</w:t>
      </w:r>
      <w:r w:rsidRPr="00576ED7">
        <w:rPr>
          <w:szCs w:val="24"/>
        </w:rPr>
        <w:t>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Pr="00576ED7">
        <w:rPr>
          <w:szCs w:val="24"/>
        </w:rPr>
        <w:t xml:space="preserve">That was deemed to be the meaning of the statute as to compensation for personal service, and the one who earned the income was held to be subject to the tax.  In </w:t>
      </w:r>
      <w:r w:rsidRPr="00576ED7">
        <w:rPr>
          <w:i/>
          <w:szCs w:val="24"/>
        </w:rPr>
        <w:t>Burnet v. Leininger</w:t>
      </w:r>
      <w:r w:rsidRPr="00576ED7">
        <w:rPr>
          <w:szCs w:val="24"/>
        </w:rPr>
        <w:t xml:space="preserve">, </w:t>
      </w:r>
      <w:r w:rsidRPr="00576ED7">
        <w:rPr>
          <w:i/>
          <w:szCs w:val="24"/>
        </w:rPr>
        <w:t>supra</w:t>
      </w:r>
      <w:r w:rsidRPr="00576ED7">
        <w:rPr>
          <w:szCs w:val="24"/>
        </w:rPr>
        <w:t>, a husband, a member of a firm, assigned future par</w:t>
      </w:r>
      <w:r w:rsidRPr="00576ED7">
        <w:rPr>
          <w:szCs w:val="24"/>
        </w:rPr>
        <w:t>t</w:t>
      </w:r>
      <w:r w:rsidRPr="00576ED7">
        <w:rPr>
          <w:szCs w:val="24"/>
        </w:rPr>
        <w:t>nership income 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w:t>
      </w:r>
      <w:r w:rsidRPr="00576ED7">
        <w:rPr>
          <w:szCs w:val="24"/>
        </w:rPr>
        <w:t>n</w:t>
      </w:r>
      <w:r w:rsidRPr="00576ED7">
        <w:rPr>
          <w:szCs w:val="24"/>
        </w:rPr>
        <w:t>ings which are taxed to the one who earns them.  Nor is it a case of income a</w:t>
      </w:r>
      <w:r w:rsidRPr="00576ED7">
        <w:rPr>
          <w:szCs w:val="24"/>
        </w:rPr>
        <w:t>t</w:t>
      </w:r>
      <w:r w:rsidRPr="00576ED7">
        <w:rPr>
          <w:szCs w:val="24"/>
        </w:rPr>
        <w:t xml:space="preserve">tributable to a taxpayer by reason of the application of the income to the discharge of his obligation.  </w:t>
      </w:r>
      <w:r w:rsidRPr="00576ED7">
        <w:rPr>
          <w:i/>
          <w:szCs w:val="24"/>
        </w:rPr>
        <w:t>Old Colony Trust Co. v. Commissioner</w:t>
      </w:r>
      <w:r w:rsidRPr="00576ED7">
        <w:rPr>
          <w:szCs w:val="24"/>
        </w:rPr>
        <w:t>, 279 U.S. 716; [citations omitted].  There is here no question of evasion or of giving effect to statutory pr</w:t>
      </w:r>
      <w:r w:rsidRPr="00576ED7">
        <w:rPr>
          <w:szCs w:val="24"/>
        </w:rPr>
        <w:t>o</w:t>
      </w:r>
      <w:r w:rsidRPr="00576ED7">
        <w:rPr>
          <w:szCs w:val="24"/>
        </w:rPr>
        <w:t xml:space="preserve">visions designed to forestall evasion; or of the taxpayer’s retention of control.  </w:t>
      </w:r>
      <w:r w:rsidRPr="00576ED7">
        <w:rPr>
          <w:i/>
          <w:szCs w:val="24"/>
        </w:rPr>
        <w:t>Corliss v. Bowers</w:t>
      </w:r>
      <w:r w:rsidRPr="00576ED7">
        <w:rPr>
          <w:szCs w:val="24"/>
        </w:rPr>
        <w:t xml:space="preserve">, 281 U.S. 376; </w:t>
      </w:r>
      <w:r w:rsidRPr="00576ED7">
        <w:rPr>
          <w:i/>
          <w:szCs w:val="24"/>
        </w:rPr>
        <w:t>Burnet v. Guggenheim</w:t>
      </w:r>
      <w:r w:rsidRPr="00576ED7">
        <w:rPr>
          <w:szCs w:val="24"/>
        </w:rPr>
        <w:t>, 288 U.S. 280.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instant case, the tax is upon income as to which, in the general application of the revenue acts, the tax liability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distributable to the beneficiary.  But the term is merely descriptive of the one entitled to the benef</w:t>
      </w:r>
      <w:r w:rsidRPr="00576ED7">
        <w:rPr>
          <w:szCs w:val="24"/>
        </w:rPr>
        <w:t>i</w:t>
      </w:r>
      <w:r w:rsidRPr="00576ED7">
        <w:rPr>
          <w:szCs w:val="24"/>
        </w:rPr>
        <w:t>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w:t>
      </w:r>
      <w:r w:rsidRPr="00576ED7">
        <w:rPr>
          <w:szCs w:val="24"/>
        </w:rPr>
        <w:t>n</w:t>
      </w:r>
      <w:r w:rsidRPr="00576ED7">
        <w:rPr>
          <w:szCs w:val="24"/>
        </w:rPr>
        <w:t>eficial interest is assignable, and if it has been assigned without reservation, the assignee thus becomes the beneficiary, and is entitled to rights and remedies a</w:t>
      </w:r>
      <w:r w:rsidRPr="00576ED7">
        <w:rPr>
          <w:szCs w:val="24"/>
        </w:rPr>
        <w:t>c</w:t>
      </w:r>
      <w:r w:rsidRPr="00576ED7">
        <w:rPr>
          <w:szCs w:val="24"/>
        </w:rPr>
        <w:t>cordingly.  We find nothing in the revenue acts which denies him that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decision of the Circuit Court of Appeals turned upon the effect to be ascribed to the assignments.  The court held that the petitioner had no interest in the corpus of the estate, and could not dispose of the income until he received it.  Hence, it was said that “the income was his,” and his assignment was merely a direction to pay over to others what was due to himself.  The question was considered to i</w:t>
      </w:r>
      <w:r w:rsidRPr="00576ED7">
        <w:rPr>
          <w:szCs w:val="24"/>
        </w:rPr>
        <w:t>n</w:t>
      </w:r>
      <w:r w:rsidRPr="00576ED7">
        <w:rPr>
          <w:szCs w:val="24"/>
        </w:rPr>
        <w:t>volve “the date when the income became transferable.”  The Government refers to the terms of the assignment – that it was of the interest in the income “which the said party of the first part now is, or may hereafter be, entitled to receive during his life from the trustees.”  From this, it is urged that the assignments “dealt only with a right to receive the income,” and that “no attempt was made to assign any equitable right, title or interest in the trust itself.”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“in said trust estate,” and it was in that aspect that petitioner’s right to make the assignments was sustained.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will creating the trust entitled the petitioner during his life to the net income of the property held in trust.  He thus became the owner of an equitable interest 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308 Ill. 519, 530, 139 N.E. 912.  By virtue of that interest, he was entitled to enforce the trust, to have a breach of trust enjoined, and to obtain redress in case of breach.  The interest was present property alienable like any other, in the absence of a valid restraint upon alienation. [citations omi</w:t>
      </w:r>
      <w:r w:rsidRPr="00576ED7">
        <w:rPr>
          <w:szCs w:val="24"/>
        </w:rPr>
        <w:t>t</w:t>
      </w:r>
      <w:r w:rsidRPr="00576ED7">
        <w:rPr>
          <w:szCs w:val="24"/>
        </w:rPr>
        <w:t xml:space="preserve">ted].  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xml:space="preserve">, §§ 130, 132 et seq.  The assignment of the beneficial interest is not the assignment of a chose in action, but of the “right, title, and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Pr="00576ED7">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 183, pp. 516, 517; 17 </w:t>
      </w:r>
      <w:r w:rsidRPr="00576ED7">
        <w:rPr>
          <w:smallCaps/>
          <w:szCs w:val="24"/>
        </w:rPr>
        <w:t>Columbia Law Review</w:t>
      </w:r>
      <w:r w:rsidRPr="00576ED7">
        <w:rPr>
          <w:szCs w:val="24"/>
        </w:rPr>
        <w:t>, 269, 273, 289, 290.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w:t>
      </w:r>
      <w:r w:rsidRPr="00576ED7">
        <w:rPr>
          <w:szCs w:val="24"/>
        </w:rPr>
        <w:t>e</w:t>
      </w:r>
      <w:r w:rsidRPr="00576ED7">
        <w:rPr>
          <w:szCs w:val="24"/>
        </w:rPr>
        <w:t>manded with direction to affirm the decision of the Board of Tax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what basis did the court of appeals hold for the Commissioner? Compare that to the language of </w:t>
      </w:r>
      <w:r w:rsidRPr="00576ED7">
        <w:rPr>
          <w:i/>
          <w:szCs w:val="24"/>
        </w:rPr>
        <w:t>Horst</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Court spent several paragraphs establishing that Edward Tyler Blair had the power to dispose of his interest as he wished.  Why was the exercise of this discretion sufficient in this case to shift the tax burden to the recipient when it was not sufficient in </w:t>
      </w:r>
      <w:r w:rsidRPr="00576ED7">
        <w:rPr>
          <w:i/>
          <w:szCs w:val="24"/>
        </w:rPr>
        <w:t>Helvering v. Horst</w:t>
      </w:r>
      <w:r w:rsidRPr="00576ED7">
        <w:rPr>
          <w:szCs w:val="24"/>
        </w:rPr>
        <w:t>?</w:t>
      </w:r>
    </w:p>
    <w:p w:rsidR="0049128E" w:rsidRPr="00576ED7" w:rsidRDefault="0049128E" w:rsidP="00A6585D">
      <w:pPr>
        <w:widowControl w:val="0"/>
        <w:jc w:val="both"/>
        <w:rPr>
          <w:szCs w:val="24"/>
        </w:rPr>
      </w:pPr>
    </w:p>
    <w:p w:rsidR="0049128E" w:rsidRPr="00576ED7" w:rsidRDefault="00617AF3" w:rsidP="00A6585D">
      <w:pPr>
        <w:widowControl w:val="0"/>
        <w:jc w:val="both"/>
        <w:rPr>
          <w:szCs w:val="24"/>
        </w:rPr>
      </w:pPr>
      <w:r w:rsidRPr="00576ED7">
        <w:rPr>
          <w:noProof/>
          <w:szCs w:val="24"/>
        </w:rPr>
        <w:drawing>
          <wp:anchor distT="57150" distB="57150" distL="57150" distR="57150" simplePos="0" relativeHeight="251670528" behindDoc="0" locked="0" layoutInCell="0" allowOverlap="1" wp14:anchorId="2588597B" wp14:editId="7ADD95CD">
            <wp:simplePos x="0" y="0"/>
            <wp:positionH relativeFrom="margin">
              <wp:posOffset>111125</wp:posOffset>
            </wp:positionH>
            <wp:positionV relativeFrom="margin">
              <wp:posOffset>1668780</wp:posOffset>
            </wp:positionV>
            <wp:extent cx="1893570" cy="3211195"/>
            <wp:effectExtent l="0" t="0" r="0" b="8255"/>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3570" cy="3211195"/>
                    </a:xfrm>
                    <a:prstGeom prst="rect">
                      <a:avLst/>
                    </a:prstGeom>
                    <a:noFill/>
                  </pic:spPr>
                </pic:pic>
              </a:graphicData>
            </a:graphic>
            <wp14:sizeRelH relativeFrom="page">
              <wp14:pctWidth>0</wp14:pctWidth>
            </wp14:sizeRelH>
            <wp14:sizeRelV relativeFrom="page">
              <wp14:pctHeight>0</wp14:pctHeight>
            </wp14:sizeRelV>
          </wp:anchor>
        </w:drawing>
      </w:r>
      <w:r w:rsidR="0049128E" w:rsidRPr="00576ED7">
        <w:rPr>
          <w:szCs w:val="24"/>
        </w:rPr>
        <w:t>3.  William Blair died.  Through his will, he d</w:t>
      </w:r>
      <w:r w:rsidR="0049128E" w:rsidRPr="00576ED7">
        <w:rPr>
          <w:szCs w:val="24"/>
        </w:rPr>
        <w:t>e</w:t>
      </w:r>
      <w:r w:rsidR="0049128E" w:rsidRPr="00576ED7">
        <w:rPr>
          <w:szCs w:val="24"/>
        </w:rPr>
        <w:t xml:space="preserve">vised </w:t>
      </w:r>
      <w:r w:rsidR="0049128E" w:rsidRPr="00576ED7">
        <w:rPr>
          <w:i/>
          <w:szCs w:val="24"/>
        </w:rPr>
        <w:t>part</w:t>
      </w:r>
      <w:r w:rsidR="0049128E" w:rsidRPr="00576ED7">
        <w:rPr>
          <w:szCs w:val="24"/>
        </w:rPr>
        <w:t xml:space="preserve"> of his property to a trust.  We are not told who received the remainder of his property.  Edward Tyler Wi</w:t>
      </w:r>
      <w:r w:rsidR="0049128E" w:rsidRPr="00576ED7">
        <w:rPr>
          <w:szCs w:val="24"/>
        </w:rPr>
        <w:t>l</w:t>
      </w:r>
      <w:r w:rsidR="0049128E" w:rsidRPr="00576ED7">
        <w:rPr>
          <w:szCs w:val="24"/>
        </w:rPr>
        <w:t xml:space="preserve">liam Blair was an income beneficiary of </w:t>
      </w:r>
      <w:r w:rsidR="0049128E" w:rsidRPr="00576ED7">
        <w:rPr>
          <w:i/>
          <w:szCs w:val="24"/>
        </w:rPr>
        <w:t>part</w:t>
      </w:r>
      <w:r w:rsidR="0049128E" w:rsidRPr="00576ED7">
        <w:rPr>
          <w:szCs w:val="24"/>
        </w:rPr>
        <w:t xml:space="preserve"> of the trust.  We are not told of the final disposition of the corpus of the trust.  We are told that Edward had no inte</w:t>
      </w:r>
      <w:r w:rsidR="0049128E" w:rsidRPr="00576ED7">
        <w:rPr>
          <w:szCs w:val="24"/>
        </w:rPr>
        <w:t>r</w:t>
      </w:r>
      <w:r w:rsidR="0049128E" w:rsidRPr="00576ED7">
        <w:rPr>
          <w:szCs w:val="24"/>
        </w:rPr>
        <w:t>est in the corpus of the estate.  Edward assigned fractional interests “in each ca</w:t>
      </w:r>
      <w:r w:rsidR="0049128E" w:rsidRPr="00576ED7">
        <w:rPr>
          <w:szCs w:val="24"/>
        </w:rPr>
        <w:t>l</w:t>
      </w:r>
      <w:r w:rsidR="0049128E" w:rsidRPr="00576ED7">
        <w:rPr>
          <w:szCs w:val="24"/>
        </w:rPr>
        <w:t>endar year thereafter, in the net income which [Edward] was then or might ther</w:t>
      </w:r>
      <w:r w:rsidR="0049128E" w:rsidRPr="00576ED7">
        <w:rPr>
          <w:szCs w:val="24"/>
        </w:rPr>
        <w:t>e</w:t>
      </w:r>
      <w:r w:rsidR="0049128E" w:rsidRPr="00576ED7">
        <w:rPr>
          <w:szCs w:val="24"/>
        </w:rPr>
        <w:t xml:space="preserve">after be entitled to receive during his life.”  It appears that Edward’s </w:t>
      </w:r>
      <w:r w:rsidR="0049128E" w:rsidRPr="00576ED7">
        <w:rPr>
          <w:i/>
          <w:szCs w:val="24"/>
        </w:rPr>
        <w:t>entire</w:t>
      </w:r>
      <w:r w:rsidR="0049128E" w:rsidRPr="00576ED7">
        <w:rPr>
          <w:szCs w:val="24"/>
        </w:rPr>
        <w:t xml:space="preserve"> inte</w:t>
      </w:r>
      <w:r w:rsidR="0049128E" w:rsidRPr="00576ED7">
        <w:rPr>
          <w:szCs w:val="24"/>
        </w:rPr>
        <w:t>r</w:t>
      </w:r>
      <w:r w:rsidR="0049128E" w:rsidRPr="00576ED7">
        <w:rPr>
          <w:szCs w:val="24"/>
        </w:rPr>
        <w:t xml:space="preserve">est was as a beneficiary of the trust.  He then assigned to various sons and daughters a </w:t>
      </w:r>
      <w:r w:rsidR="0049128E" w:rsidRPr="00576ED7">
        <w:rPr>
          <w:i/>
          <w:szCs w:val="24"/>
        </w:rPr>
        <w:t xml:space="preserve">fraction </w:t>
      </w:r>
      <w:r w:rsidR="0049128E" w:rsidRPr="00576ED7">
        <w:rPr>
          <w:szCs w:val="24"/>
        </w:rPr>
        <w:t xml:space="preserve">of his </w:t>
      </w:r>
      <w:r w:rsidR="0049128E" w:rsidRPr="00576ED7">
        <w:rPr>
          <w:i/>
          <w:szCs w:val="24"/>
        </w:rPr>
        <w:t>e</w:t>
      </w:r>
      <w:r w:rsidR="0049128E" w:rsidRPr="00576ED7">
        <w:rPr>
          <w:i/>
          <w:szCs w:val="24"/>
        </w:rPr>
        <w:t>n</w:t>
      </w:r>
      <w:r w:rsidR="0049128E" w:rsidRPr="00576ED7">
        <w:rPr>
          <w:i/>
          <w:szCs w:val="24"/>
        </w:rPr>
        <w:t>tire interest</w:t>
      </w:r>
      <w:r w:rsidR="0049128E"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w:t>
      </w:r>
      <w:r w:rsidRPr="00576ED7">
        <w:rPr>
          <w:szCs w:val="24"/>
        </w:rPr>
        <w:t>i</w:t>
      </w:r>
      <w:r w:rsidRPr="00576ED7">
        <w:rPr>
          <w:szCs w:val="24"/>
        </w:rPr>
        <w:t>tions?</w:t>
      </w:r>
    </w:p>
    <w:p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Think of the ownership of “property” as the ownership of a “bundle of sticks.”  Each stick represents some particular right.  For example, a holder of a bond may </w:t>
      </w:r>
      <w:r w:rsidRPr="00576ED7">
        <w:rPr>
          <w:szCs w:val="24"/>
        </w:rPr>
        <w:lastRenderedPageBreak/>
        <w:t>own several sticks, e.g., the right to receive an interest payment in each of ten co</w:t>
      </w:r>
      <w:r w:rsidRPr="00576ED7">
        <w:rPr>
          <w:szCs w:val="24"/>
        </w:rPr>
        <w:t>n</w:t>
      </w:r>
      <w:r w:rsidRPr="00576ED7">
        <w:rPr>
          <w:szCs w:val="24"/>
        </w:rPr>
        <w:t xml:space="preserve">secutive years might </w:t>
      </w:r>
      <w:r w:rsidR="005C62E0">
        <w:rPr>
          <w:szCs w:val="24"/>
        </w:rPr>
        <w:t xml:space="preserve">be </w:t>
      </w:r>
      <w:r w:rsidRPr="00576ED7">
        <w:rPr>
          <w:szCs w:val="24"/>
        </w:rPr>
        <w:t>ten sticks, the right to sell the bond might be another stick, the right to the proceeds upon maturity might be another stick.  Imagine that we lay the sticks comprising a bond, one on top of the other.  Then we slice off a piece of the property.  We might slice horizontally – and thereby take all or a po</w:t>
      </w:r>
      <w:r w:rsidRPr="00576ED7">
        <w:rPr>
          <w:szCs w:val="24"/>
        </w:rPr>
        <w:t>r</w:t>
      </w:r>
      <w:r w:rsidRPr="00576ED7">
        <w:rPr>
          <w:szCs w:val="24"/>
        </w:rPr>
        <w:t>tion of only one or a few sticks.  Or we might slice ve</w:t>
      </w:r>
      <w:r w:rsidRPr="00576ED7">
        <w:rPr>
          <w:szCs w:val="24"/>
        </w:rPr>
        <w:t>r</w:t>
      </w:r>
      <w:r w:rsidRPr="00576ED7">
        <w:rPr>
          <w:szCs w:val="24"/>
        </w:rPr>
        <w:t>tically – and thereby take an identically proportional piece of every stick.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Pr="00576ED7">
        <w:rPr>
          <w:szCs w:val="24"/>
        </w:rPr>
        <w:t xml:space="preserve">.  Do they suggest an analytical model in “assignment of income derived from property” cases? </w:t>
      </w:r>
    </w:p>
    <w:p w:rsidR="0049128E" w:rsidRPr="00576ED7" w:rsidRDefault="0049128E" w:rsidP="00A6585D">
      <w:pPr>
        <w:widowControl w:val="0"/>
        <w:ind w:left="720"/>
        <w:jc w:val="both"/>
        <w:rPr>
          <w:szCs w:val="24"/>
        </w:rPr>
      </w:pPr>
      <w:r w:rsidRPr="00576ED7">
        <w:rPr>
          <w:szCs w:val="24"/>
        </w:rPr>
        <w:t>•Slice vertically rather than horizontally?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Taxpayer was the life beneficiary of a testamentary trust.  In December 1929, she assigned a specified number of dollars from the income of the trust to certain of her children for 1930.  The trustee paid the specified children as per Taxpayer’s instructions.  </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•Should Taxpayer-life beneficiary or the children that she named to r</w:t>
      </w:r>
      <w:r w:rsidRPr="00576ED7">
        <w:rPr>
          <w:szCs w:val="24"/>
        </w:rPr>
        <w:t>e</w:t>
      </w:r>
      <w:r w:rsidRPr="00576ED7">
        <w:rPr>
          <w:szCs w:val="24"/>
        </w:rPr>
        <w:t xml:space="preserve">ceive money in 1930 be subject to income tax on the trust income paid over to the 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Taxpayer established a trust with himself as trustee and his wife as beneficiary.  The trust was to last for five years unless either Taxpayer or his wife died earlier.  Taxpayer placed securities that he owned in the trust.  The trust’s net income was to be held for Taxpayer’s wife.  Upon termination of the trust, the corpus was to revert to Taxpayer and any accumulated income was to be paid to his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6a.  Now suppose that Ta</w:t>
      </w:r>
      <w:r w:rsidRPr="00576ED7">
        <w:rPr>
          <w:szCs w:val="24"/>
        </w:rPr>
        <w:t>x</w:t>
      </w:r>
      <w:r w:rsidRPr="00576ED7">
        <w:rPr>
          <w:szCs w:val="24"/>
        </w:rPr>
        <w:t xml:space="preserve">payer placed property in trust, the income from </w:t>
      </w:r>
      <w:r w:rsidR="00617AF3" w:rsidRPr="00576ED7">
        <w:rPr>
          <w:noProof/>
          <w:szCs w:val="24"/>
        </w:rPr>
        <w:drawing>
          <wp:anchor distT="57150" distB="57150" distL="57150" distR="57150" simplePos="0" relativeHeight="251671552" behindDoc="0" locked="0" layoutInCell="0" allowOverlap="1" wp14:anchorId="21C8DCAD" wp14:editId="31C68E6C">
            <wp:simplePos x="0" y="0"/>
            <wp:positionH relativeFrom="margin">
              <wp:posOffset>1951990</wp:posOffset>
            </wp:positionH>
            <wp:positionV relativeFrom="margin">
              <wp:posOffset>87630</wp:posOffset>
            </wp:positionV>
            <wp:extent cx="3051810" cy="3360420"/>
            <wp:effectExtent l="0" t="0" r="0" b="0"/>
            <wp:wrapSquare wrapText="largest"/>
            <wp:docPr id="1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1810" cy="3360420"/>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which was to be paid to his wife until she died and then to their children.  Taxpayer “r</w:t>
      </w:r>
      <w:r w:rsidRPr="00576ED7">
        <w:rPr>
          <w:szCs w:val="24"/>
        </w:rPr>
        <w:t>e</w:t>
      </w:r>
      <w:r w:rsidRPr="00576ED7">
        <w:rPr>
          <w:szCs w:val="24"/>
        </w:rPr>
        <w:t>served power ‘to modify or alter in any manner, or revoke in whole or in part, this indenture and the trusts then existing, and the estates and interests in property her</w:t>
      </w:r>
      <w:r w:rsidRPr="00576ED7">
        <w:rPr>
          <w:szCs w:val="24"/>
        </w:rPr>
        <w:t>e</w:t>
      </w:r>
      <w:r w:rsidRPr="00576ED7">
        <w:rPr>
          <w:szCs w:val="24"/>
        </w:rPr>
        <w:t xml:space="preserve">by created[.]?’” Taxpayer did </w:t>
      </w:r>
      <w:r w:rsidRPr="00576ED7">
        <w:rPr>
          <w:i/>
          <w:szCs w:val="24"/>
        </w:rPr>
        <w:t>not</w:t>
      </w:r>
      <w:r w:rsidRPr="00576ED7">
        <w:rPr>
          <w:szCs w:val="24"/>
        </w:rPr>
        <w:t xml:space="preserve"> in fact exercise this power, and the trustee paid income to Taxpayer’s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w:t>
      </w:r>
      <w:r w:rsidRPr="00576ED7">
        <w:rPr>
          <w:szCs w:val="24"/>
        </w:rPr>
        <w:t>f</w:t>
      </w:r>
      <w:r w:rsidRPr="00576ED7">
        <w:rPr>
          <w:szCs w:val="24"/>
        </w:rPr>
        <w:t>ter this disposition?</w:t>
      </w:r>
    </w:p>
    <w:p w:rsidR="0049128E" w:rsidRPr="00576ED7" w:rsidRDefault="0049128E" w:rsidP="00A6585D">
      <w:pPr>
        <w:widowControl w:val="0"/>
        <w:ind w:left="720"/>
        <w:jc w:val="both"/>
        <w:rPr>
          <w:szCs w:val="24"/>
        </w:rPr>
      </w:pPr>
      <w:r w:rsidRPr="00576ED7">
        <w:rPr>
          <w:szCs w:val="24"/>
        </w:rPr>
        <w:t>•Should the trust i</w:t>
      </w:r>
      <w:r w:rsidRPr="00576ED7">
        <w:rPr>
          <w:szCs w:val="24"/>
        </w:rPr>
        <w:t>n</w:t>
      </w:r>
      <w:r w:rsidRPr="00576ED7">
        <w:rPr>
          <w:szCs w:val="24"/>
        </w:rPr>
        <w:t>come be taxable i</w:t>
      </w:r>
      <w:r w:rsidRPr="00576ED7">
        <w:rPr>
          <w:szCs w:val="24"/>
        </w:rPr>
        <w:t>n</w:t>
      </w:r>
      <w:r w:rsidRPr="00576ED7">
        <w:rPr>
          <w:szCs w:val="24"/>
        </w:rPr>
        <w:t>come to Taxpayer or to his wife?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Again: is the tree-fruits analogy useful in difficult cases? Consider what ha</w:t>
      </w:r>
      <w:r w:rsidRPr="00576ED7">
        <w:rPr>
          <w:szCs w:val="24"/>
        </w:rPr>
        <w:t>p</w:t>
      </w:r>
      <w:r w:rsidRPr="00576ED7">
        <w:rPr>
          <w:szCs w:val="24"/>
        </w:rPr>
        <w:t>pens when the fruit of labor is property from which income may be derived.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B21CC1" w:rsidRPr="00576ED7">
        <w:rPr>
          <w:szCs w:val="24"/>
          <w:vertAlign w:val="superscript"/>
        </w:rPr>
        <w:t>nd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SWAN and MOORE, Circuit Judges, and KAUFMAN, District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SWAN,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w:t>
      </w:r>
      <w:r w:rsidRPr="00576ED7">
        <w:rPr>
          <w:szCs w:val="24"/>
        </w:rPr>
        <w:t>n</w:t>
      </w:r>
      <w:r w:rsidRPr="00576ED7">
        <w:rPr>
          <w:szCs w:val="24"/>
        </w:rPr>
        <w:t xml:space="preserve">creased by adding thereto patent royalty payments received by his wife, his son and his daughter.  The resulting deficiencies were paid under protest to defendant </w:t>
      </w:r>
      <w:r w:rsidRPr="00576ED7">
        <w:rPr>
          <w:szCs w:val="24"/>
        </w:rPr>
        <w:lastRenderedPageBreak/>
        <w:t>Fitzpatrick, Collector of Internal Revenue for the District of Connecticut.  Ther</w:t>
      </w:r>
      <w:r w:rsidRPr="00576ED7">
        <w:rPr>
          <w:szCs w:val="24"/>
        </w:rPr>
        <w:t>e</w:t>
      </w:r>
      <w:r w:rsidRPr="00576ED7">
        <w:rPr>
          <w:szCs w:val="24"/>
        </w:rPr>
        <w:t>after claims for refund were filed and rejected.  The present action was timely commenced ... It was heard upon an agreed statement of facts and supplemental affidavits.  Each party moved for summary judgment.  The plaintiff’s motion was denied and the defendant’s granted.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Plaintiff was the inventor of a new type of rod end and spherical bearing.  In Se</w:t>
      </w:r>
      <w:r w:rsidRPr="00576ED7">
        <w:rPr>
          <w:szCs w:val="24"/>
        </w:rPr>
        <w:t>p</w:t>
      </w:r>
      <w:r w:rsidRPr="00576ED7">
        <w:rPr>
          <w:szCs w:val="24"/>
        </w:rPr>
        <w:t>tember 1942 he applied for a patent thereon.  On November 5, 1942 he applied for a further patent on improvements of his original invention.  Thereafter on N</w:t>
      </w:r>
      <w:r w:rsidRPr="00576ED7">
        <w:rPr>
          <w:szCs w:val="24"/>
        </w:rPr>
        <w:t>o</w:t>
      </w:r>
      <w:r w:rsidRPr="00576ED7">
        <w:rPr>
          <w:szCs w:val="24"/>
        </w:rPr>
        <w:t>vember 17, 1942 he executed a formal written assignment of his invention and of the patents which might be issued for it and for improvements thereof to The Heim Company.</w:t>
      </w:r>
      <w:r w:rsidRPr="00576ED7">
        <w:rPr>
          <w:rStyle w:val="FootnoteReference"/>
          <w:szCs w:val="24"/>
        </w:rPr>
        <w:footnoteReference w:id="78"/>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w:t>
      </w:r>
      <w:r w:rsidRPr="00576ED7">
        <w:rPr>
          <w:szCs w:val="24"/>
        </w:rPr>
        <w:t>c</w:t>
      </w:r>
      <w:r w:rsidRPr="00576ED7">
        <w:rPr>
          <w:szCs w:val="24"/>
        </w:rPr>
        <w:t>ture; (4) that if the royalties for any two consecutive months or for any one year should fall below stated amounts, plaintiff at his option might cancel the agre</w:t>
      </w:r>
      <w:r w:rsidRPr="00576ED7">
        <w:rPr>
          <w:szCs w:val="24"/>
        </w:rPr>
        <w:t>e</w:t>
      </w:r>
      <w:r w:rsidRPr="00576ED7">
        <w:rPr>
          <w:szCs w:val="24"/>
        </w:rPr>
        <w:t>ment and thereupon all rights granted by him under the agreement and under any and all assigned patents should revert to him, his heirs and assigns; and (5) that this agreement is not transferable by the Company.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w:t>
      </w:r>
      <w:r w:rsidRPr="00576ED7">
        <w:rPr>
          <w:szCs w:val="24"/>
        </w:rPr>
        <w:t>n</w:t>
      </w:r>
      <w:r w:rsidRPr="00576ED7">
        <w:rPr>
          <w:szCs w:val="24"/>
        </w:rPr>
        <w:t>ventions and patent rights, past and future, referred to therein and in all rights and benefits of the First Party (plaintiff) thereunder * * *.’ A similar assignment was given to his son and another to his daughter.  Plaintiff paid gift taxes on the a</w:t>
      </w:r>
      <w:r w:rsidRPr="00576ED7">
        <w:rPr>
          <w:szCs w:val="24"/>
        </w:rPr>
        <w:t>s</w:t>
      </w:r>
      <w:r w:rsidRPr="00576ED7">
        <w:rPr>
          <w:szCs w:val="24"/>
        </w:rPr>
        <w:t>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Commissioner of Internal Revenue decided that all of the royalties paid by the Company to plaintiff’s wife and children during the taxable years in suit were taxable to him.  This resulted in a deficiency which the plaintiff paid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w:t>
      </w:r>
      <w:r w:rsidRPr="00576ED7">
        <w:rPr>
          <w:i/>
          <w:szCs w:val="24"/>
        </w:rPr>
        <w:t>r</w:t>
      </w:r>
      <w:r w:rsidRPr="00576ED7">
        <w:rPr>
          <w:i/>
          <w:szCs w:val="24"/>
        </w:rPr>
        <w:t>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w:t>
      </w:r>
      <w:r w:rsidRPr="00576ED7">
        <w:rPr>
          <w:szCs w:val="24"/>
        </w:rPr>
        <w:t>u</w:t>
      </w:r>
      <w:r w:rsidRPr="00576ED7">
        <w:rPr>
          <w:szCs w:val="24"/>
        </w:rPr>
        <w:t xml:space="preserve">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‘Nor is it perceived that there is any adequate basis for distinguishing b</w:t>
      </w:r>
      <w:r w:rsidRPr="00576ED7">
        <w:rPr>
          <w:szCs w:val="24"/>
        </w:rPr>
        <w:t>e</w:t>
      </w:r>
      <w:r w:rsidRPr="00576ED7">
        <w:rPr>
          <w:szCs w:val="24"/>
        </w:rPr>
        <w:t>tween the gift of interest coupons here and a gift of salary or commi</w:t>
      </w:r>
      <w:r w:rsidRPr="00576ED7">
        <w:rPr>
          <w:szCs w:val="24"/>
        </w:rPr>
        <w:t>s</w:t>
      </w:r>
      <w:r w:rsidRPr="00576ED7">
        <w:rPr>
          <w:szCs w:val="24"/>
        </w:rPr>
        <w:t>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79"/>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w:t>
      </w:r>
      <w:r w:rsidRPr="00576ED7">
        <w:rPr>
          <w:szCs w:val="24"/>
        </w:rPr>
        <w:t>m</w:t>
      </w:r>
      <w:r w:rsidRPr="00576ED7">
        <w:rPr>
          <w:szCs w:val="24"/>
        </w:rPr>
        <w:t>pany he retained the power to bargain for the fixing of royalties on new types of bearings, i.e., bearings other than the 12 products on which royalties were spec</w:t>
      </w:r>
      <w:r w:rsidRPr="00576ED7">
        <w:rPr>
          <w:szCs w:val="24"/>
        </w:rPr>
        <w:t>i</w:t>
      </w:r>
      <w:r w:rsidRPr="00576ED7">
        <w:rPr>
          <w:szCs w:val="24"/>
        </w:rPr>
        <w:t>fied.  This power was assigned and the assignees exercised it as to new products.  Plaintiff also retained a reversionary interest in his invention and patents by re</w:t>
      </w:r>
      <w:r w:rsidRPr="00576ED7">
        <w:rPr>
          <w:szCs w:val="24"/>
        </w:rPr>
        <w:t>a</w:t>
      </w:r>
      <w:r w:rsidRPr="00576ED7">
        <w:rPr>
          <w:szCs w:val="24"/>
        </w:rPr>
        <w:t>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Judge Ande</w:t>
      </w:r>
      <w:r w:rsidRPr="00576ED7">
        <w:rPr>
          <w:szCs w:val="24"/>
        </w:rPr>
        <w:t>r</w:t>
      </w:r>
      <w:r w:rsidRPr="00576ED7">
        <w:rPr>
          <w:szCs w:val="24"/>
        </w:rPr>
        <w:t>son’s ground of decision appe</w:t>
      </w:r>
      <w:r w:rsidRPr="00576ED7">
        <w:rPr>
          <w:szCs w:val="24"/>
        </w:rPr>
        <w:t>l</w:t>
      </w:r>
      <w:r w:rsidRPr="00576ED7">
        <w:rPr>
          <w:szCs w:val="24"/>
        </w:rPr>
        <w:t>lee advances a further argument in support of the judgment, namely, that the plaintiff r</w:t>
      </w:r>
      <w:r w:rsidRPr="00576ED7">
        <w:rPr>
          <w:szCs w:val="24"/>
        </w:rPr>
        <w:t>e</w:t>
      </w:r>
      <w:r w:rsidRPr="00576ED7">
        <w:rPr>
          <w:szCs w:val="24"/>
        </w:rPr>
        <w:t xml:space="preserve">tained sufficient control over the invention and the royalties to make it reasonable to treat him as owner of that income for tax purposes.  </w:t>
      </w:r>
      <w:r w:rsidRPr="00576ED7">
        <w:rPr>
          <w:i/>
          <w:szCs w:val="24"/>
        </w:rPr>
        <w:t>Commissio</w:t>
      </w:r>
      <w:r w:rsidRPr="00576ED7">
        <w:rPr>
          <w:i/>
          <w:szCs w:val="24"/>
        </w:rPr>
        <w:t>n</w:t>
      </w:r>
      <w:r w:rsidRPr="00576ED7">
        <w:rPr>
          <w:i/>
          <w:szCs w:val="24"/>
        </w:rPr>
        <w:t>er v. Sunnen</w:t>
      </w:r>
      <w:r w:rsidRPr="00576ED7">
        <w:rPr>
          <w:szCs w:val="24"/>
        </w:rPr>
        <w:t>, 333 U.S. 591 is relied upon.  There a patent was licensed under a royalty contract with a corpor</w:t>
      </w:r>
      <w:r w:rsidRPr="00576ED7">
        <w:rPr>
          <w:szCs w:val="24"/>
        </w:rPr>
        <w:t>a</w:t>
      </w:r>
      <w:r w:rsidRPr="00576ED7">
        <w:rPr>
          <w:szCs w:val="24"/>
        </w:rPr>
        <w:t>tion in which the taxpayer-inventor held 89% of the stock.  An a</w:t>
      </w:r>
      <w:r w:rsidRPr="00576ED7">
        <w:rPr>
          <w:szCs w:val="24"/>
        </w:rPr>
        <w:t>s</w:t>
      </w:r>
      <w:r w:rsidRPr="00576ED7">
        <w:rPr>
          <w:szCs w:val="24"/>
        </w:rPr>
        <w:t>signment of the royalty contract to the taxpayer’s wife was held ineffective to shift the tax, since the taxpayer retained co</w:t>
      </w:r>
      <w:r w:rsidRPr="00576ED7">
        <w:rPr>
          <w:szCs w:val="24"/>
        </w:rPr>
        <w:t>n</w:t>
      </w:r>
      <w:r w:rsidRPr="00576ED7">
        <w:rPr>
          <w:szCs w:val="24"/>
        </w:rPr>
        <w:t>trol over the royalty payments to his wife by virtue of his control of the corporation, which could cancel the contract at any time.  The a</w:t>
      </w:r>
      <w:r w:rsidRPr="00576ED7">
        <w:rPr>
          <w:szCs w:val="24"/>
        </w:rPr>
        <w:t>r</w:t>
      </w:r>
      <w:r w:rsidRPr="00576ED7">
        <w:rPr>
          <w:szCs w:val="24"/>
        </w:rPr>
        <w:t>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w:t>
      </w:r>
      <w:r w:rsidRPr="00576ED7">
        <w:rPr>
          <w:szCs w:val="24"/>
        </w:rPr>
        <w:t>n</w:t>
      </w:r>
      <w:r w:rsidRPr="00576ED7">
        <w:rPr>
          <w:szCs w:val="24"/>
        </w:rPr>
        <w:t>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rsidR="0049128E" w:rsidRPr="00576ED7" w:rsidRDefault="005C62E0"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2576" behindDoc="0" locked="0" layoutInCell="0" allowOverlap="1" wp14:anchorId="29529A34" wp14:editId="60F295FB">
                <wp:simplePos x="0" y="0"/>
                <wp:positionH relativeFrom="margin">
                  <wp:posOffset>2106930</wp:posOffset>
                </wp:positionH>
                <wp:positionV relativeFrom="paragraph">
                  <wp:posOffset>204470</wp:posOffset>
                </wp:positionV>
                <wp:extent cx="2971800" cy="5895975"/>
                <wp:effectExtent l="0" t="0" r="19050" b="28575"/>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9597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w:t>
                            </w:r>
                            <w:r>
                              <w:rPr>
                                <w:rFonts w:ascii="Tw Cen MT" w:hAnsi="Tw Cen MT"/>
                              </w:rPr>
                              <w:t>e</w:t>
                            </w:r>
                            <w:r>
                              <w:rPr>
                                <w:rFonts w:ascii="Tw Cen MT" w:hAnsi="Tw Cen MT"/>
                              </w:rPr>
                              <w:t>ment” to which the assignment-of-income do</w:t>
                            </w:r>
                            <w:r>
                              <w:rPr>
                                <w:rFonts w:ascii="Tw Cen MT" w:hAnsi="Tw Cen MT"/>
                              </w:rPr>
                              <w:t>c</w:t>
                            </w:r>
                            <w:r>
                              <w:rPr>
                                <w:rFonts w:ascii="Tw Cen MT" w:hAnsi="Tw Cen MT"/>
                              </w:rPr>
                              <w:t>trine should apply? Or has taxpayer partially assigned income-producing property?</w:t>
                            </w:r>
                          </w:p>
                          <w:p w:rsidR="00FF5E72" w:rsidRDefault="00FF5E72" w:rsidP="0021528C">
                            <w:pPr>
                              <w:widowControl w:val="0"/>
                              <w:jc w:val="both"/>
                              <w:rPr>
                                <w:rFonts w:ascii="Tw Cen MT" w:hAnsi="Tw Cen MT"/>
                              </w:rPr>
                            </w:pPr>
                            <w:r>
                              <w:rPr>
                                <w:rFonts w:ascii="Tw Cen MT" w:hAnsi="Tw Cen MT"/>
                              </w:rPr>
                              <w:t>•Is the contingent-fee attorney a joint owner of the client’s claim?</w:t>
                            </w:r>
                          </w:p>
                          <w:p w:rsidR="00FF5E72" w:rsidRDefault="00FF5E72" w:rsidP="0021528C">
                            <w:pPr>
                              <w:widowControl w:val="0"/>
                              <w:jc w:val="both"/>
                              <w:rPr>
                                <w:rFonts w:ascii="Tw Cen MT" w:hAnsi="Tw Cen MT"/>
                              </w:rPr>
                            </w:pPr>
                            <w:r>
                              <w:rPr>
                                <w:rFonts w:ascii="Tw Cen MT" w:hAnsi="Tw Cen MT"/>
                              </w:rPr>
                              <w:t>•Does it matter that the relationship between client and attorney is principal and agent?</w:t>
                            </w:r>
                          </w:p>
                          <w:p w:rsidR="00FF5E72" w:rsidRDefault="00FF5E72"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FF5E72" w:rsidRDefault="00FF5E72" w:rsidP="0021528C">
                            <w:pPr>
                              <w:widowControl w:val="0"/>
                              <w:jc w:val="both"/>
                              <w:rPr>
                                <w:rFonts w:ascii="Tw Cen MT" w:hAnsi="Tw Cen MT"/>
                              </w:rPr>
                            </w:pPr>
                            <w:r>
                              <w:rPr>
                                <w:rFonts w:ascii="Tw Cen MT" w:hAnsi="Tw Cen MT"/>
                              </w:rPr>
                              <w:t>•If taxpayer-plaintiff must include whatever damages s/he receives in his/her gross i</w:t>
                            </w:r>
                            <w:r>
                              <w:rPr>
                                <w:rFonts w:ascii="Tw Cen MT" w:hAnsi="Tw Cen MT"/>
                              </w:rPr>
                              <w:t>n</w:t>
                            </w:r>
                            <w:r>
                              <w:rPr>
                                <w:rFonts w:ascii="Tw Cen MT" w:hAnsi="Tw Cen MT"/>
                              </w:rPr>
                              <w:t>come, taxpayer-plaintiff must include the co</w:t>
                            </w:r>
                            <w:r>
                              <w:rPr>
                                <w:rFonts w:ascii="Tw Cen MT" w:hAnsi="Tw Cen MT"/>
                              </w:rPr>
                              <w:t>n</w:t>
                            </w:r>
                            <w:r>
                              <w:rPr>
                                <w:rFonts w:ascii="Tw Cen MT" w:hAnsi="Tw Cen MT"/>
                              </w:rPr>
                              <w:t>tingent fee that s/he pays his/her attorney.</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Assume that plaintiff must include whatever damages s/he receives in his/her gross i</w:t>
                            </w:r>
                            <w:r>
                              <w:rPr>
                                <w:rFonts w:ascii="Tw Cen MT" w:hAnsi="Tw Cen MT"/>
                              </w:rPr>
                              <w:t>n</w:t>
                            </w:r>
                            <w:r>
                              <w:rPr>
                                <w:rFonts w:ascii="Tw Cen MT" w:hAnsi="Tw Cen MT"/>
                              </w:rPr>
                              <w:t>come.  The expenses of producing taxable income are deductible.  What difference does it make? See §§ 67 and 55(a), 56(b)(1)(A)(i) (alternative minimum tax).  And see § 62(a)(20).  When would § 62(a)(20) affect your answer?</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w:t>
                            </w:r>
                            <w:r>
                              <w:rPr>
                                <w:rFonts w:ascii="Tw Cen MT" w:hAnsi="Tw Cen MT"/>
                              </w:rPr>
                              <w:t>a</w:t>
                            </w:r>
                            <w:r>
                              <w:rPr>
                                <w:rFonts w:ascii="Tw Cen MT" w:hAnsi="Tw Cen MT"/>
                              </w:rPr>
                              <w:t>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65.9pt;margin-top:16.1pt;width:234pt;height:464.2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ILAIAAFwEAAAOAAAAZHJzL2Uyb0RvYy54bWysVNuO2yAQfa/Uf0C8N3as5mbFWW2zTVVp&#10;e5F2+wEEYxsVGAokdvr1HXA2m95eqvKAZmA4M3NmhvXNoBU5CuclmIpOJzklwnCopWkr+uVx92pJ&#10;iQ/M1EyBERU9CU9vNi9frHtbigI6ULVwBEGML3tb0S4EW2aZ553QzE/ACoOXDTjNAqquzWrHekTX&#10;KivyfJ714GrrgAvv8fRuvKSbhN80godPTeNFIKqiGFtIu0v7Pu7ZZs3K1jHbSX4Og/1DFJpJg04v&#10;UHcsMHJw8jcoLbkDD02YcNAZNI3kIuWA2UzzX7J56JgVKRckx9sLTf7/wfKPx8+OyLqi89eUGKax&#10;Ro9iCOQNDGQ2j/z01pdo9mDRMAx4jnVOuXp7D/yrJwa2HTOtuHUO+k6wGuObxpfZ1dMRx0eQff8B&#10;avTDDgES0NA4HclDOgiiY51Ol9rEWDgeFqvFdJnjFce72XI1Wy1myQcrn55b58M7AZpEoaIOi5/g&#10;2fHehxgOK59MojcPStY7qVRSXLvfKkeODBtll9YZ/SczZUiPyRXTVTFS8FeMPK0/YWgZsOWV1BXF&#10;hHBFI1ZG4t6aOsmBSTXKGLMyZyYjeSONYdgPqWizIj6ONO+hPiG3DsYWx5FEoQP3nZIe27ui/tuB&#10;OUGJem+wPos5Tg/Ow7XirpX9tcIMR6iKBkpGcRvGGTpYJ9sOPY0dYeAWa9rIxPZzVOf4sYVTEc7j&#10;FmfkWk9Wz5/C5gcAAAD//wMAUEsDBBQABgAIAAAAIQC7YKf+3QAAAAoBAAAPAAAAZHJzL2Rvd25y&#10;ZXYueG1sTI9BT8MwDIXvSPyHyEjcWLpO2mhpOqFK3NcCgmPWmKaicUqTreXfzzvBzX5+eu9zsV/c&#10;IM44hd6TgvUqAYHUetNTp+Dt9eXhEUSImowePKGCXwywL29vCp0bP1ON5yZ2gkMo5FqBjXHMpQyt&#10;RafDyo9IfPvyk9OR16mTZtIzh7tBpkmylU73xA1Wj1hZbL+bk1Pg67p6T5ufw0c1m6qbD0scP61S&#10;93fL8xOIiEv8M8MVn9GhZKajP5EJYlCw2awZPfKQpiDYsMsyFo4Ksm2yA1kW8v8L5QUAAP//AwBQ&#10;SwECLQAUAAYACAAAACEAtoM4kv4AAADhAQAAEwAAAAAAAAAAAAAAAAAAAAAAW0NvbnRlbnRfVHlw&#10;ZXNdLnhtbFBLAQItABQABgAIAAAAIQA4/SH/1gAAAJQBAAALAAAAAAAAAAAAAAAAAC8BAABfcmVs&#10;cy8ucmVsc1BLAQItABQABgAIAAAAIQDe/UCILAIAAFwEAAAOAAAAAAAAAAAAAAAAAC4CAABkcnMv&#10;ZTJvRG9jLnhtbFBLAQItABQABgAIAAAAIQC7YKf+3QAAAAoBAAAPAAAAAAAAAAAAAAAAAIYEAABk&#10;cnMvZG93bnJldi54bWxQSwUGAAAAAAQABADzAAAAkAU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w:t>
                      </w:r>
                      <w:r>
                        <w:rPr>
                          <w:rFonts w:ascii="Tw Cen MT" w:hAnsi="Tw Cen MT"/>
                        </w:rPr>
                        <w:t>e</w:t>
                      </w:r>
                      <w:r>
                        <w:rPr>
                          <w:rFonts w:ascii="Tw Cen MT" w:hAnsi="Tw Cen MT"/>
                        </w:rPr>
                        <w:t>ment” to which the assignment-of-income do</w:t>
                      </w:r>
                      <w:r>
                        <w:rPr>
                          <w:rFonts w:ascii="Tw Cen MT" w:hAnsi="Tw Cen MT"/>
                        </w:rPr>
                        <w:t>c</w:t>
                      </w:r>
                      <w:r>
                        <w:rPr>
                          <w:rFonts w:ascii="Tw Cen MT" w:hAnsi="Tw Cen MT"/>
                        </w:rPr>
                        <w:t>trine should apply? Or has taxpayer partially assigned income-producing property?</w:t>
                      </w:r>
                    </w:p>
                    <w:p w:rsidR="00FF5E72" w:rsidRDefault="00FF5E72" w:rsidP="0021528C">
                      <w:pPr>
                        <w:widowControl w:val="0"/>
                        <w:jc w:val="both"/>
                        <w:rPr>
                          <w:rFonts w:ascii="Tw Cen MT" w:hAnsi="Tw Cen MT"/>
                        </w:rPr>
                      </w:pPr>
                      <w:r>
                        <w:rPr>
                          <w:rFonts w:ascii="Tw Cen MT" w:hAnsi="Tw Cen MT"/>
                        </w:rPr>
                        <w:t>•Is the contingent-fee attorney a joint owner of the client’s claim?</w:t>
                      </w:r>
                    </w:p>
                    <w:p w:rsidR="00FF5E72" w:rsidRDefault="00FF5E72" w:rsidP="0021528C">
                      <w:pPr>
                        <w:widowControl w:val="0"/>
                        <w:jc w:val="both"/>
                        <w:rPr>
                          <w:rFonts w:ascii="Tw Cen MT" w:hAnsi="Tw Cen MT"/>
                        </w:rPr>
                      </w:pPr>
                      <w:r>
                        <w:rPr>
                          <w:rFonts w:ascii="Tw Cen MT" w:hAnsi="Tw Cen MT"/>
                        </w:rPr>
                        <w:t>•Does it matter that the relationship between client and attorney is principal and agent?</w:t>
                      </w:r>
                    </w:p>
                    <w:p w:rsidR="00FF5E72" w:rsidRDefault="00FF5E72" w:rsidP="0021528C">
                      <w:pPr>
                        <w:widowControl w:val="0"/>
                        <w:jc w:val="both"/>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FF5E72" w:rsidRDefault="00FF5E72" w:rsidP="0021528C">
                      <w:pPr>
                        <w:widowControl w:val="0"/>
                        <w:jc w:val="both"/>
                        <w:rPr>
                          <w:rFonts w:ascii="Tw Cen MT" w:hAnsi="Tw Cen MT"/>
                        </w:rPr>
                      </w:pPr>
                      <w:r>
                        <w:rPr>
                          <w:rFonts w:ascii="Tw Cen MT" w:hAnsi="Tw Cen MT"/>
                        </w:rPr>
                        <w:t>•If taxpayer-plaintiff must include whatever damages s/he receives in his/her gross i</w:t>
                      </w:r>
                      <w:r>
                        <w:rPr>
                          <w:rFonts w:ascii="Tw Cen MT" w:hAnsi="Tw Cen MT"/>
                        </w:rPr>
                        <w:t>n</w:t>
                      </w:r>
                      <w:r>
                        <w:rPr>
                          <w:rFonts w:ascii="Tw Cen MT" w:hAnsi="Tw Cen MT"/>
                        </w:rPr>
                        <w:t>come, taxpayer-plaintiff must include the co</w:t>
                      </w:r>
                      <w:r>
                        <w:rPr>
                          <w:rFonts w:ascii="Tw Cen MT" w:hAnsi="Tw Cen MT"/>
                        </w:rPr>
                        <w:t>n</w:t>
                      </w:r>
                      <w:r>
                        <w:rPr>
                          <w:rFonts w:ascii="Tw Cen MT" w:hAnsi="Tw Cen MT"/>
                        </w:rPr>
                        <w:t>tingent fee that s/he pays his/her attorney.</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Assume that plaintiff must include whatever damages s/he receives in his/her gross i</w:t>
                      </w:r>
                      <w:r>
                        <w:rPr>
                          <w:rFonts w:ascii="Tw Cen MT" w:hAnsi="Tw Cen MT"/>
                        </w:rPr>
                        <w:t>n</w:t>
                      </w:r>
                      <w:r>
                        <w:rPr>
                          <w:rFonts w:ascii="Tw Cen MT" w:hAnsi="Tw Cen MT"/>
                        </w:rPr>
                        <w:t>come.  The expenses of producing taxable income are deductible.  What difference does it make? See §§ 67 and 55(a), 56(b)(1)(A)(i) (alternative minimum tax).  And see § 62(a)(20).  When would § 62(a)(20) affect your answer?</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If plaintiff’s recovery is not included in his/her gross income, why should s/he not even be permitted to deduct the expenses of litig</w:t>
                      </w:r>
                      <w:r>
                        <w:rPr>
                          <w:rFonts w:ascii="Tw Cen MT" w:hAnsi="Tw Cen MT"/>
                        </w:rPr>
                        <w:t>a</w:t>
                      </w:r>
                      <w:r>
                        <w:rPr>
                          <w:rFonts w:ascii="Tw Cen MT" w:hAnsi="Tw Cen MT"/>
                        </w:rPr>
                        <w:t>tion?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the foregoing reasons we hold that the judgment should be reversed and the cause r</w:t>
      </w:r>
      <w:r w:rsidRPr="00576ED7">
        <w:rPr>
          <w:szCs w:val="24"/>
        </w:rPr>
        <w:t>e</w:t>
      </w:r>
      <w:r w:rsidRPr="00576ED7">
        <w:rPr>
          <w:szCs w:val="24"/>
        </w:rPr>
        <w:t>manded with directions to grant plaintiff’s motion for summary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Eubank</w:t>
      </w:r>
      <w:r w:rsidRPr="00576ED7">
        <w:rPr>
          <w:szCs w:val="24"/>
        </w:rPr>
        <w:t xml:space="preserve"> involved labor that created an identifiable and a</w:t>
      </w:r>
      <w:r w:rsidRPr="00576ED7">
        <w:rPr>
          <w:szCs w:val="24"/>
        </w:rPr>
        <w:t>s</w:t>
      </w:r>
      <w:r w:rsidRPr="00576ED7">
        <w:rPr>
          <w:szCs w:val="24"/>
        </w:rPr>
        <w:t>signable right to receive i</w:t>
      </w:r>
      <w:r w:rsidRPr="00576ED7">
        <w:rPr>
          <w:szCs w:val="24"/>
        </w:rPr>
        <w:t>n</w:t>
      </w:r>
      <w:r w:rsidRPr="00576ED7">
        <w:rPr>
          <w:szCs w:val="24"/>
        </w:rPr>
        <w:t xml:space="preserve">come in the future.  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w:t>
      </w:r>
      <w:r w:rsidRPr="00576ED7">
        <w:rPr>
          <w:szCs w:val="24"/>
        </w:rPr>
        <w:t>a</w:t>
      </w:r>
      <w:r w:rsidRPr="00576ED7">
        <w:rPr>
          <w:szCs w:val="24"/>
        </w:rPr>
        <w:t>ble) work.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t>
      </w:r>
      <w:r w:rsidR="005C62E0">
        <w:rPr>
          <w:szCs w:val="24"/>
        </w:rPr>
        <w:t xml:space="preserve">A patent </w:t>
      </w:r>
      <w:r w:rsidRPr="00576ED7">
        <w:rPr>
          <w:szCs w:val="24"/>
        </w:rPr>
        <w:t>is also a capital a</w:t>
      </w:r>
      <w:r w:rsidRPr="00576ED7">
        <w:rPr>
          <w:szCs w:val="24"/>
        </w:rPr>
        <w:t>s</w:t>
      </w:r>
      <w:r w:rsidRPr="00576ED7">
        <w:rPr>
          <w:szCs w:val="24"/>
        </w:rPr>
        <w:t>set, even to the “individual whose efforts created” it, that the holder has presumptively held for more than one year.  § 1235(a), (b)(1).  However, this rule does not apply to loss transfers between related pe</w:t>
      </w:r>
      <w:r w:rsidRPr="00576ED7">
        <w:rPr>
          <w:szCs w:val="24"/>
        </w:rPr>
        <w:t>r</w:t>
      </w:r>
      <w:r w:rsidRPr="00576ED7">
        <w:rPr>
          <w:szCs w:val="24"/>
        </w:rPr>
        <w:t>sons under §§ 267(b) or 707(b).</w:t>
      </w:r>
    </w:p>
    <w:p w:rsidR="0049128E" w:rsidRPr="00576ED7" w:rsidRDefault="0049128E" w:rsidP="00A6585D">
      <w:pPr>
        <w:widowControl w:val="0"/>
        <w:ind w:left="720"/>
        <w:jc w:val="both"/>
        <w:rPr>
          <w:szCs w:val="24"/>
        </w:rPr>
      </w:pPr>
      <w:r w:rsidRPr="00576ED7">
        <w:rPr>
          <w:szCs w:val="24"/>
        </w:rPr>
        <w:t xml:space="preserve">•Does the existence of § 1235 lend inferential support to the court’s holding in </w:t>
      </w:r>
      <w:r w:rsidRPr="00576ED7">
        <w:rPr>
          <w:i/>
          <w:szCs w:val="24"/>
        </w:rPr>
        <w:t>Heim</w:t>
      </w:r>
      <w:r w:rsidRPr="00576ED7">
        <w:rPr>
          <w:szCs w:val="24"/>
        </w:rPr>
        <w: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57096E6" wp14:editId="5B59D1CA">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D0447F" w:rsidRPr="00576ED7">
        <w:rPr>
          <w:i/>
          <w:szCs w:val="24"/>
        </w:rPr>
        <w:t xml:space="preserve"> Federal</w:t>
      </w:r>
      <w:r w:rsidR="0049128E" w:rsidRPr="00576ED7">
        <w:rPr>
          <w:i/>
          <w:szCs w:val="24"/>
        </w:rPr>
        <w:t xml:space="preserve"> Income Taxation: Assignment of Income: </w:t>
      </w:r>
      <w:r w:rsidR="0049128E" w:rsidRPr="00576ED7">
        <w:rPr>
          <w:i/>
          <w:szCs w:val="24"/>
        </w:rPr>
        <w:lastRenderedPageBreak/>
        <w:t>Property</w:t>
      </w:r>
      <w:r w:rsidR="0049128E" w:rsidRPr="00576ED7">
        <w:rPr>
          <w:szCs w:val="24"/>
        </w:rPr>
        <w:t>.</w:t>
      </w:r>
    </w:p>
    <w:p w:rsidR="0049128E" w:rsidRPr="00576ED7" w:rsidRDefault="0049128E" w:rsidP="00A6585D">
      <w:pPr>
        <w:widowControl w:val="0"/>
        <w:ind w:left="720"/>
        <w:jc w:val="both"/>
        <w:rPr>
          <w:szCs w:val="24"/>
        </w:rPr>
      </w:pPr>
      <w:r w:rsidRPr="00576ED7">
        <w:rPr>
          <w:szCs w:val="24"/>
        </w:rPr>
        <w:t>•Do not worry about questions 3 and 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5" w:name="_Toc375132942"/>
      <w:r w:rsidRPr="00576ED7">
        <w:t>IV.  Interest Free Loans and Unstated Interest</w:t>
      </w:r>
      <w:bookmarkEnd w:id="55"/>
      <w:r w:rsidRPr="00576ED7">
        <w:fldChar w:fldCharType="begin"/>
      </w:r>
      <w:r w:rsidRPr="00576ED7">
        <w:instrText xml:space="preserve"> TC \l1 "IV.  Interest Free Loans and Unstated Interest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these scenarios: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•Father has a large savings account, and daughter is 18 years old.  Daughter is e</w:t>
      </w:r>
      <w:r w:rsidRPr="00576ED7">
        <w:rPr>
          <w:szCs w:val="24"/>
        </w:rPr>
        <w:t>n</w:t>
      </w:r>
      <w:r w:rsidRPr="00576ED7">
        <w:rPr>
          <w:szCs w:val="24"/>
        </w:rPr>
        <w:t>rolled at Private University and in need of tuition money.  Father and mother have planned for many years for this day and saved an ample amount to pay for Daug</w:t>
      </w:r>
      <w:r w:rsidRPr="00576ED7">
        <w:rPr>
          <w:szCs w:val="24"/>
        </w:rPr>
        <w:t>h</w:t>
      </w:r>
      <w:r w:rsidRPr="00576ED7">
        <w:rPr>
          <w:szCs w:val="24"/>
        </w:rPr>
        <w:t>ter’s tuition.  They now have $1M saved, and the annual interest income on this amount is $80,000.  Father and mother are in the 3</w:t>
      </w:r>
      <w:r w:rsidR="005C62E0">
        <w:rPr>
          <w:szCs w:val="24"/>
        </w:rPr>
        <w:t>9.6</w:t>
      </w:r>
      <w:r w:rsidRPr="00576ED7">
        <w:rPr>
          <w:szCs w:val="24"/>
        </w:rPr>
        <w:t>% marginal income tax bracket.  Daughter is in the 0% marginal income tax bracket.  An income of $80,000 would place Daughter in the 25% marginal tax bracket – although some of that income would not be subject to any tax, some would be subject to 10% tax, and some would be subject to 15% tax.  Father and mother decide to loan Daug</w:t>
      </w:r>
      <w:r w:rsidRPr="00576ED7">
        <w:rPr>
          <w:szCs w:val="24"/>
        </w:rPr>
        <w:t>h</w:t>
      </w:r>
      <w:r w:rsidRPr="00576ED7">
        <w:rPr>
          <w:szCs w:val="24"/>
        </w:rPr>
        <w:t>ter $1M interest free.  Daughter would deposit the money in an interest bearing account and use the interest income to pay her tuition and other expenses for four years.  With diploma in hand, Daughter will repay the loan.</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7872(a)(1), (c)(1)(A), (e), (f)(2), (f)(3).</w:t>
      </w:r>
    </w:p>
    <w:p w:rsidR="0049128E" w:rsidRPr="00576ED7" w:rsidRDefault="0049128E" w:rsidP="00A6585D">
      <w:pPr>
        <w:widowControl w:val="0"/>
        <w:ind w:left="1440"/>
        <w:jc w:val="both"/>
        <w:rPr>
          <w:szCs w:val="24"/>
        </w:rPr>
      </w:pPr>
      <w:r w:rsidRPr="00576ED7">
        <w:rPr>
          <w:szCs w:val="24"/>
        </w:rPr>
        <w:t>•[By the way, § 7872 applies both to the income tax and to the gift tax.]</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•Corporation very much wants to hire Star Employee and has made a generous salary offer.  To sweeten the deal, Corporation offers to loan $1M to Star E</w:t>
      </w:r>
      <w:r w:rsidRPr="00576ED7">
        <w:rPr>
          <w:szCs w:val="24"/>
        </w:rPr>
        <w:t>m</w:t>
      </w:r>
      <w:r w:rsidRPr="00576ED7">
        <w:rPr>
          <w:szCs w:val="24"/>
        </w:rPr>
        <w:t>ployee interest free so that Star Employee can purchase a house in an otherwise expensive housing market.  Star Employee will repay the loan at the rate of $40,000 per year for the next 25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(c)(1)(B), (e), (f)(2), (f)(5), (f)(6).</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•Closely-held Corporation is owned by four shareholders.  If the corporation pays dividends to shareholders, the dividend income is subject to income tax for the shareholders.  The payments are not deductible to Corporation.  Corporation loans </w:t>
      </w:r>
      <w:r w:rsidRPr="00576ED7">
        <w:rPr>
          <w:szCs w:val="24"/>
        </w:rPr>
        <w:lastRenderedPageBreak/>
        <w:t>each shareholder $100,000 interest free.  Shareholders will repay the loans at the rate of $1000 per year for the next 100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(c)(1)(C), (e), (f)(1), (f)(2).</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B37D72" w:rsidRPr="00576ED7" w:rsidRDefault="0049128E" w:rsidP="00A6585D">
      <w:pPr>
        <w:widowControl w:val="0"/>
        <w:jc w:val="both"/>
        <w:rPr>
          <w:szCs w:val="24"/>
        </w:rPr>
      </w:pPr>
      <w:r w:rsidRPr="00576ED7">
        <w:rPr>
          <w:szCs w:val="24"/>
        </w:rPr>
        <w:t>•Alpha owns a vacant piece of land (capital asset).  Alpha’s AB in the land is $700,000.  Alpha wanted to sell the land, but bank financing is very tight.  In o</w:t>
      </w:r>
      <w:r w:rsidRPr="00576ED7">
        <w:rPr>
          <w:szCs w:val="24"/>
        </w:rPr>
        <w:t>r</w:t>
      </w:r>
      <w:r w:rsidRPr="00576ED7">
        <w:rPr>
          <w:szCs w:val="24"/>
        </w:rPr>
        <w:t xml:space="preserve">der to sell the land, Alpha entered a contract with Beta whereby Beta would pay $1M for the property exactly four years from taking possession.  </w:t>
      </w:r>
      <w:r w:rsidRPr="00576ED7">
        <w:rPr>
          <w:szCs w:val="24"/>
        </w:rPr>
        <w:tab/>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•Read § 7872(b), (c)(1)(E), (e), (f)(1), (f)(2).</w:t>
      </w:r>
    </w:p>
    <w:p w:rsidR="0049128E" w:rsidRPr="00576ED7" w:rsidRDefault="0049128E" w:rsidP="00A6585D">
      <w:pPr>
        <w:widowControl w:val="0"/>
        <w:ind w:left="720"/>
        <w:jc w:val="both"/>
        <w:rPr>
          <w:szCs w:val="24"/>
        </w:rPr>
      </w:pPr>
      <w:r w:rsidRPr="00576ED7">
        <w:rPr>
          <w:szCs w:val="24"/>
        </w:rPr>
        <w:t>•What is the likely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Father and Mother are the proud parents of a 1-year old.  Knowing that a college education costs a lot, they place $100,000 in the child’s e-Trade account that he entirely manages </w:t>
      </w:r>
      <w:r w:rsidR="005C62E0">
        <w:rPr>
          <w:szCs w:val="24"/>
        </w:rPr>
        <w:t>from his crib</w:t>
      </w:r>
      <w:r w:rsidRPr="00576ED7">
        <w:rPr>
          <w:szCs w:val="24"/>
        </w:rPr>
        <w:t>.  The account earned $9000 this year.  This is u</w:t>
      </w:r>
      <w:r w:rsidRPr="00576ED7">
        <w:rPr>
          <w:szCs w:val="24"/>
        </w:rPr>
        <w:t>n</w:t>
      </w:r>
      <w:r w:rsidRPr="00576ED7">
        <w:rPr>
          <w:szCs w:val="24"/>
        </w:rPr>
        <w:t>earned income.  Child is of course the dependent of Mother and Father.</w:t>
      </w:r>
    </w:p>
    <w:p w:rsidR="0049128E" w:rsidRPr="00576ED7" w:rsidRDefault="0049128E" w:rsidP="00A6585D">
      <w:pPr>
        <w:widowControl w:val="0"/>
        <w:ind w:left="720"/>
        <w:jc w:val="both"/>
        <w:rPr>
          <w:szCs w:val="24"/>
        </w:rPr>
      </w:pPr>
      <w:r w:rsidRPr="00576ED7">
        <w:rPr>
          <w:szCs w:val="24"/>
        </w:rPr>
        <w:t>•Tax consequences to Father, Mother, and Child?</w:t>
      </w:r>
    </w:p>
    <w:p w:rsidR="0049128E" w:rsidRPr="00576ED7" w:rsidRDefault="0049128E" w:rsidP="00A6585D">
      <w:pPr>
        <w:widowControl w:val="0"/>
        <w:ind w:left="1440"/>
        <w:jc w:val="both"/>
        <w:rPr>
          <w:szCs w:val="24"/>
        </w:rPr>
      </w:pPr>
      <w:r w:rsidRPr="00576ED7">
        <w:rPr>
          <w:szCs w:val="24"/>
        </w:rPr>
        <w:t>•Assume Father and Mother are in the 30% tax bracket.</w:t>
      </w:r>
      <w:r w:rsidR="005C62E0">
        <w:rPr>
          <w:szCs w:val="24"/>
        </w:rPr>
        <w:t xml:space="preserve">  Assume Child is in the 10% tax bracket.</w:t>
      </w:r>
    </w:p>
    <w:p w:rsidR="0049128E" w:rsidRPr="00576ED7" w:rsidRDefault="0049128E" w:rsidP="00A6585D">
      <w:pPr>
        <w:widowControl w:val="0"/>
        <w:ind w:left="720"/>
        <w:jc w:val="both"/>
        <w:rPr>
          <w:szCs w:val="24"/>
        </w:rPr>
      </w:pPr>
      <w:r w:rsidRPr="00576ED7">
        <w:rPr>
          <w:szCs w:val="24"/>
        </w:rPr>
        <w:t>•Read § 1(g) very carefully and § 63(c)(5).</w:t>
      </w:r>
    </w:p>
    <w:p w:rsidR="0049128E" w:rsidRDefault="0049128E" w:rsidP="00A6585D">
      <w:pPr>
        <w:widowControl w:val="0"/>
        <w:ind w:left="1440"/>
        <w:jc w:val="both"/>
        <w:rPr>
          <w:szCs w:val="24"/>
        </w:rPr>
      </w:pPr>
      <w:r w:rsidRPr="00576ED7">
        <w:rPr>
          <w:szCs w:val="24"/>
        </w:rPr>
        <w:t>•Check the latest revenue procedure to determine the standard d</w:t>
      </w:r>
      <w:r w:rsidRPr="00576ED7">
        <w:rPr>
          <w:szCs w:val="24"/>
        </w:rPr>
        <w:t>e</w:t>
      </w:r>
      <w:r w:rsidRPr="00576ED7">
        <w:rPr>
          <w:szCs w:val="24"/>
        </w:rPr>
        <w:t>duction “for an individual who may be claimed as a dependent by another taxpayer.”  For tax year 201</w:t>
      </w:r>
      <w:r w:rsidR="00200DAD">
        <w:rPr>
          <w:szCs w:val="24"/>
        </w:rPr>
        <w:t>3</w:t>
      </w:r>
      <w:r w:rsidRPr="00576ED7">
        <w:rPr>
          <w:szCs w:val="24"/>
        </w:rPr>
        <w:t>, it is $</w:t>
      </w:r>
      <w:r w:rsidR="00200DAD">
        <w:rPr>
          <w:szCs w:val="24"/>
        </w:rPr>
        <w:t>100</w:t>
      </w:r>
      <w:r w:rsidRPr="00576ED7">
        <w:rPr>
          <w:szCs w:val="24"/>
        </w:rPr>
        <w:t>0 or the sum of $3</w:t>
      </w:r>
      <w:r w:rsidR="00200DAD">
        <w:rPr>
          <w:szCs w:val="24"/>
        </w:rPr>
        <w:t>5</w:t>
      </w:r>
      <w:r w:rsidRPr="00576ED7">
        <w:rPr>
          <w:szCs w:val="24"/>
        </w:rPr>
        <w:t>0 and the individual’s earned income.  Rev. Proc. 201</w:t>
      </w:r>
      <w:r w:rsidR="00200DAD">
        <w:rPr>
          <w:szCs w:val="24"/>
        </w:rPr>
        <w:t>2</w:t>
      </w:r>
      <w:r w:rsidRPr="00576ED7">
        <w:rPr>
          <w:szCs w:val="24"/>
        </w:rPr>
        <w:t>-</w:t>
      </w:r>
      <w:r w:rsidR="00200DAD">
        <w:rPr>
          <w:szCs w:val="24"/>
        </w:rPr>
        <w:t>41</w:t>
      </w:r>
      <w:r w:rsidRPr="00576ED7">
        <w:rPr>
          <w:szCs w:val="24"/>
        </w:rPr>
        <w:t>, § 3.</w:t>
      </w:r>
      <w:r w:rsidR="00200DAD">
        <w:rPr>
          <w:szCs w:val="24"/>
        </w:rPr>
        <w:t>0</w:t>
      </w:r>
      <w:r w:rsidRPr="00576ED7">
        <w:rPr>
          <w:szCs w:val="24"/>
        </w:rPr>
        <w:t>1.</w:t>
      </w:r>
    </w:p>
    <w:p w:rsidR="00200DAD" w:rsidRPr="00576ED7" w:rsidRDefault="00200DAD" w:rsidP="00A6585D">
      <w:pPr>
        <w:widowControl w:val="0"/>
        <w:ind w:left="1440"/>
        <w:jc w:val="both"/>
        <w:rPr>
          <w:szCs w:val="24"/>
        </w:rPr>
      </w:pPr>
      <w:r>
        <w:rPr>
          <w:szCs w:val="24"/>
        </w:rPr>
        <w:t>•How do we determine the amount that is subject to the parents’ tax rate? How do we determine the amount that is subject to the child’s tax rate?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FD2233A" wp14:editId="5B9E30AD">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Do:</w:t>
      </w: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Deductions: Below Market Loans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Taxable Income and Tax Computation: Taxation of Minor Children’s Income</w:t>
      </w:r>
    </w:p>
    <w:p w:rsidR="0049128E" w:rsidRPr="00576ED7" w:rsidRDefault="0049128E" w:rsidP="00A6585D">
      <w:pPr>
        <w:widowControl w:val="0"/>
        <w:ind w:left="1440"/>
        <w:jc w:val="both"/>
        <w:rPr>
          <w:szCs w:val="24"/>
        </w:rPr>
      </w:pPr>
      <w:r w:rsidRPr="00576ED7">
        <w:rPr>
          <w:szCs w:val="24"/>
        </w:rPr>
        <w:t xml:space="preserve">•Note: the § 63(c)(5)(A) amount is indexed.  Assume for purposes </w:t>
      </w:r>
      <w:r w:rsidRPr="00576ED7">
        <w:rPr>
          <w:szCs w:val="24"/>
        </w:rPr>
        <w:lastRenderedPageBreak/>
        <w:t xml:space="preserve">of this </w:t>
      </w:r>
      <w:r w:rsidR="0093600D" w:rsidRPr="00576ED7">
        <w:rPr>
          <w:szCs w:val="24"/>
        </w:rPr>
        <w:t>Lesson</w:t>
      </w:r>
      <w:r w:rsidRPr="00576ED7">
        <w:rPr>
          <w:szCs w:val="24"/>
        </w:rPr>
        <w:t xml:space="preserve"> that the amount is $900, not $500.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6" w:name="_Toc375132943"/>
      <w:r w:rsidRPr="00576ED7">
        <w:t>Wrap-Up Questions for Chapter 5</w:t>
      </w:r>
      <w:bookmarkEnd w:id="56"/>
      <w:r w:rsidRPr="00576ED7">
        <w:fldChar w:fldCharType="begin"/>
      </w:r>
      <w:r w:rsidRPr="00576ED7">
        <w:instrText xml:space="preserve"> TC \l1 "Wrap-Up Questions for Chapter 5</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0"/>
      </w:r>
      <w:r w:rsidRPr="00576ED7">
        <w:rPr>
          <w:szCs w:val="24"/>
        </w:rPr>
        <w:t xml:space="preserve"> burdens among different American taxpayers are not very progressive.  Federal tax burdens could be made more progressive simply by capping a taxpayer’s total allowable exclusions, d</w:t>
      </w:r>
      <w:r w:rsidRPr="00576ED7">
        <w:rPr>
          <w:szCs w:val="24"/>
        </w:rPr>
        <w:t>e</w:t>
      </w:r>
      <w:r w:rsidRPr="00576ED7">
        <w:rPr>
          <w:szCs w:val="24"/>
        </w:rPr>
        <w:t>ductions, and credits.  Perhaps a cap of $25,000 would be appropriate.  Maybe it should be more, maybe less.  What do you think of the idea of increasing progre</w:t>
      </w:r>
      <w:r w:rsidRPr="00576ED7">
        <w:rPr>
          <w:szCs w:val="24"/>
        </w:rPr>
        <w:t>s</w:t>
      </w:r>
      <w:r w:rsidRPr="00576ED7">
        <w:rPr>
          <w:szCs w:val="24"/>
        </w:rPr>
        <w:t>sivity by enacting such caps?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At what point does it not pay to spend money in order to gain income that will not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When the IRS in its enforcement mission must come up with an interest rate, it turns to the “applicable Federal rate.”  What might be wrong with reliance on such a uniform 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Congress has made the tax burden on the combined income of taxpayers who file married filing jointly exactly twice the tax burden on single persons with half the income of the couple.  This reduced the tax bracket on married persons from what it was before Congress enacted this change.  Is that preferable to giving r</w:t>
      </w:r>
      <w:r w:rsidRPr="00576ED7">
        <w:rPr>
          <w:szCs w:val="24"/>
        </w:rPr>
        <w:t>e</w:t>
      </w:r>
      <w:r w:rsidRPr="00576ED7">
        <w:rPr>
          <w:szCs w:val="24"/>
        </w:rPr>
        <w:t>lief only to those couples where both spouses work, as was the case when the Code provided for a credit based on the amount of income earned by the spouse who earned less?</w:t>
      </w:r>
    </w:p>
    <w:p w:rsidR="0049128E" w:rsidRPr="00576ED7" w:rsidRDefault="0049128E" w:rsidP="00A6585D">
      <w:pPr>
        <w:widowControl w:val="0"/>
        <w:jc w:val="both"/>
        <w:rPr>
          <w:szCs w:val="24"/>
        </w:rPr>
      </w:pPr>
    </w:p>
    <w:p w:rsidR="00D62DD5" w:rsidRPr="00576ED7" w:rsidRDefault="0049128E" w:rsidP="00A6585D">
      <w:pPr>
        <w:widowControl w:val="0"/>
        <w:jc w:val="both"/>
        <w:rPr>
          <w:szCs w:val="24"/>
        </w:rPr>
      </w:pPr>
      <w:r w:rsidRPr="00576ED7">
        <w:rPr>
          <w:szCs w:val="24"/>
        </w:rPr>
        <w:t>5.  Comment on the following rough outline of a flat tax: Remove all deductions, exclusions, and credits from the Code.  Retain only those associated with the pr</w:t>
      </w:r>
      <w:r w:rsidRPr="00576ED7">
        <w:rPr>
          <w:szCs w:val="24"/>
        </w:rPr>
        <w:t>o</w:t>
      </w:r>
      <w:r w:rsidRPr="00576ED7">
        <w:rPr>
          <w:szCs w:val="24"/>
        </w:rPr>
        <w:t>duction of income so that the income tax is a tax only o</w:t>
      </w:r>
      <w:r w:rsidR="008B3E15" w:rsidRPr="00576ED7">
        <w:rPr>
          <w:szCs w:val="24"/>
        </w:rPr>
        <w:t>n “net” income.  All ta</w:t>
      </w:r>
      <w:r w:rsidR="008B3E15" w:rsidRPr="00576ED7">
        <w:rPr>
          <w:szCs w:val="24"/>
        </w:rPr>
        <w:t>x</w:t>
      </w:r>
      <w:r w:rsidR="008B3E15" w:rsidRPr="00576ED7">
        <w:rPr>
          <w:szCs w:val="24"/>
        </w:rPr>
        <w:t xml:space="preserve">payers </w:t>
      </w:r>
      <w:r w:rsidRPr="00576ED7">
        <w:rPr>
          <w:szCs w:val="24"/>
        </w:rPr>
        <w:t>would be entitled to a $40,000 exemption.  The tax would be a flat rate on all taxpayers to the extent their gross income exceeds $40,000.</w:t>
      </w:r>
    </w:p>
    <w:p w:rsidR="00D62DD5" w:rsidRPr="00576ED7" w:rsidRDefault="00D62DD5" w:rsidP="00A6585D">
      <w:pPr>
        <w:jc w:val="both"/>
        <w:rPr>
          <w:szCs w:val="24"/>
        </w:rPr>
      </w:pPr>
      <w:r w:rsidRPr="00576ED7">
        <w:rPr>
          <w:szCs w:val="24"/>
        </w:rPr>
        <w:br w:type="page"/>
      </w:r>
    </w:p>
    <w:p w:rsidR="0049128E" w:rsidRPr="00576ED7" w:rsidRDefault="0049128E" w:rsidP="00AB61A1">
      <w:pPr>
        <w:pStyle w:val="Heading2"/>
      </w:pPr>
      <w:bookmarkStart w:id="57" w:name="_Toc375132944"/>
      <w:r w:rsidRPr="00576ED7">
        <w:lastRenderedPageBreak/>
        <w:t>Chapter 6:  Deductions: Business Expenses</w:t>
      </w:r>
      <w:bookmarkEnd w:id="57"/>
      <w:r w:rsidRPr="00576ED7">
        <w:fldChar w:fldCharType="begin"/>
      </w:r>
      <w:r w:rsidRPr="00576ED7">
        <w:instrText xml:space="preserve"> TC \l1 "Chapter 6:  Deductions: Business Expenses</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3600" behindDoc="0" locked="0" layoutInCell="0" allowOverlap="1" wp14:anchorId="42367E73" wp14:editId="3F9DDC37">
                <wp:simplePos x="0" y="0"/>
                <wp:positionH relativeFrom="margin">
                  <wp:posOffset>87630</wp:posOffset>
                </wp:positionH>
                <wp:positionV relativeFrom="paragraph">
                  <wp:posOffset>29210</wp:posOffset>
                </wp:positionV>
                <wp:extent cx="2517775" cy="2447925"/>
                <wp:effectExtent l="0" t="0" r="0" b="0"/>
                <wp:wrapSquare wrapText="largest"/>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7925"/>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(gross income)</w:t>
                            </w:r>
                          </w:p>
                          <w:p w:rsidR="00FF5E72" w:rsidRDefault="00FF5E72"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w:t>
                            </w:r>
                          </w:p>
                          <w:p w:rsidR="00FF5E72" w:rsidRDefault="00FF5E72" w:rsidP="0021528C">
                            <w:pPr>
                              <w:widowControl w:val="0"/>
                              <w:jc w:val="both"/>
                              <w:rPr>
                                <w:rFonts w:ascii="Tw Cen MT" w:hAnsi="Tw Cen MT"/>
                              </w:rPr>
                            </w:pPr>
                            <w:r>
                              <w:rPr>
                                <w:rFonts w:ascii="Tw Cen MT" w:hAnsi="Tw Cen MT"/>
                              </w:rPr>
                              <w:t xml:space="preserve"> ➔itemized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left:0;text-align:left;margin-left:6.9pt;margin-top:2.3pt;width:198.25pt;height:192.75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kLQIAAFwEAAAOAAAAZHJzL2Uyb0RvYy54bWysVNtu2zAMfR+wfxD0vjhxm6Q14hRdugwD&#10;ugvQ7gNkWbaFSaImKbGzry8lp2l2exnmB0GUqMPDQ9Krm0ErshfOSzAlnU2mlAjDoZamLenXx+2b&#10;K0p8YKZmCowo6UF4erN+/WrV20Lk0IGqhSMIYnzR25J2IdgiyzzvhGZ+AlYYvGzAaRbQdG1WO9Yj&#10;ulZZPp0ush5cbR1w4T2e3o2XdJ3wm0bw8LlpvAhElRS5hbS6tFZxzdYrVrSO2U7yIw32Dyw0kwaD&#10;nqDuWGBk5+RvUFpyBx6aMOGgM2gayUXKAbOZTX/J5qFjVqRcUBxvTzL5/wfLP+2/OCLrki4uKDFM&#10;Y40exRDIWxjIfBn16a0v0O3BomMY8BzrnHL19h74N08MbDpmWnHrHPSdYDXym8WX2dnTEcdHkKr/&#10;CDXGYbsACWhonI7ioRwE0bFOh1NtIheOh/l8tlwu55RwvMsvL5fX+TzFYMXzc+t8eC9Ak7gpqcPi&#10;J3i2v/ch0mHFs0uM5kHJeiuVSoZrq41yZM+wUbbpO6L/5KYM6TG5fHadjxL8FWOavj9haBmw5ZXU&#10;Jb06ObEiCvfO1KkhA5Nq3CNnZY5KRvFGGcNQDalo84sYIcpcQX1AbR2MLY4jiZsO3A9Kemzvkvrv&#10;O+YEJeqDwfosFzg9OA/nhjs3qnODGY5QJQ2UjNtNGGdoZ51sO4w0doSBW6xpI5PaL6yO/LGFUxGO&#10;4xZn5NxOXi8/hfUTAAAA//8DAFBLAwQUAAYACAAAACEAAqCz3tsAAAAIAQAADwAAAGRycy9kb3du&#10;cmV2LnhtbEyPwU7DMBBE70j8g7VI3KidpqogjVOhSNybQAVHN94mEfE6xG4T/p7lBMfRjGbe5PvF&#10;DeKKU+g9aUhWCgRS421PrYa315eHRxAhGrJm8IQavjHAvri9yU1m/UwVXuvYCi6hkBkNXYxjJmVo&#10;OnQmrPyIxN7ZT85EllMr7WRmLneDXCu1lc70xAudGbHssPmsL06Dr6ryuK6/Du/lbMt2Pixx/Oi0&#10;vr9bnncgIi7xLwy/+IwOBTOd/IVsEAPrlMmjhs0WBNubRKUgThrSJ5WALHL5/0DxAwAA//8DAFBL&#10;AQItABQABgAIAAAAIQC2gziS/gAAAOEBAAATAAAAAAAAAAAAAAAAAAAAAABbQ29udGVudF9UeXBl&#10;c10ueG1sUEsBAi0AFAAGAAgAAAAhADj9If/WAAAAlAEAAAsAAAAAAAAAAAAAAAAALwEAAF9yZWxz&#10;Ly5yZWxzUEsBAi0AFAAGAAgAAAAhAJwP/mQtAgAAXAQAAA4AAAAAAAAAAAAAAAAALgIAAGRycy9l&#10;Mm9Eb2MueG1sUEsBAi0AFAAGAAgAAAAhAAKgs97bAAAACAEAAA8AAAAAAAAAAAAAAAAAhw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(gross income)</w:t>
                      </w:r>
                    </w:p>
                    <w:p w:rsidR="00FF5E72" w:rsidRDefault="00FF5E72" w:rsidP="0021528C">
                      <w:pPr>
                        <w:widowControl w:val="0"/>
                        <w:jc w:val="both"/>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p>
                    <w:p w:rsidR="00FF5E72" w:rsidRDefault="00FF5E72" w:rsidP="0021528C">
                      <w:pPr>
                        <w:widowControl w:val="0"/>
                        <w:jc w:val="both"/>
                        <w:rPr>
                          <w:rFonts w:ascii="Tw Cen MT" w:hAnsi="Tw Cen MT"/>
                        </w:rPr>
                      </w:pPr>
                      <w:r>
                        <w:rPr>
                          <w:rFonts w:ascii="Tw Cen MT" w:hAnsi="Tw Cen MT"/>
                        </w:rPr>
                        <w:t>EQUALS (adjusted gross income (AGI))</w:t>
                      </w:r>
                    </w:p>
                    <w:p w:rsidR="00FF5E72" w:rsidRDefault="00FF5E72" w:rsidP="0021528C">
                      <w:pPr>
                        <w:widowControl w:val="0"/>
                        <w:jc w:val="both"/>
                        <w:rPr>
                          <w:rFonts w:ascii="Tw Cen MT" w:hAnsi="Tw Cen MT"/>
                        </w:rPr>
                      </w:pPr>
                      <w:r>
                        <w:rPr>
                          <w:rFonts w:ascii="Tw Cen MT" w:hAnsi="Tw Cen MT"/>
                        </w:rPr>
                        <w:t>MINUS (standard deduction or</w:t>
                      </w:r>
                    </w:p>
                    <w:p w:rsidR="00FF5E72" w:rsidRDefault="00FF5E72" w:rsidP="0021528C">
                      <w:pPr>
                        <w:widowControl w:val="0"/>
                        <w:jc w:val="both"/>
                        <w:rPr>
                          <w:rFonts w:ascii="Tw Cen MT" w:hAnsi="Tw Cen MT"/>
                        </w:rPr>
                      </w:pPr>
                      <w:r>
                        <w:rPr>
                          <w:rFonts w:ascii="Tw Cen MT" w:hAnsi="Tw Cen MT"/>
                        </w:rPr>
                        <w:t xml:space="preserve"> ➔itemized deductions)</w:t>
                      </w:r>
                    </w:p>
                    <w:p w:rsidR="00FF5E72" w:rsidRDefault="00FF5E72" w:rsidP="0021528C">
                      <w:pPr>
                        <w:widowControl w:val="0"/>
                        <w:jc w:val="both"/>
                        <w:rPr>
                          <w:rFonts w:ascii="Tw Cen MT" w:hAnsi="Tw Cen MT"/>
                        </w:rPr>
                      </w:pPr>
                      <w:r>
                        <w:rPr>
                          <w:rFonts w:ascii="Tw Cen MT" w:hAnsi="Tw Cen MT"/>
                        </w:rPr>
                        <w:t>MINUS (personal exemptions)</w:t>
                      </w:r>
                    </w:p>
                    <w:p w:rsidR="00FF5E72" w:rsidRDefault="00FF5E72" w:rsidP="0021528C">
                      <w:pPr>
                        <w:widowControl w:val="0"/>
                        <w:jc w:val="both"/>
                        <w:rPr>
                          <w:rFonts w:ascii="Tw Cen MT" w:hAnsi="Tw Cen MT"/>
                        </w:rPr>
                      </w:pPr>
                      <w:r>
                        <w:rPr>
                          <w:rFonts w:ascii="Tw Cen MT" w:hAnsi="Tw Cen MT"/>
                        </w:rPr>
                        <w:t>EQUALS (taxable income)</w:t>
                      </w:r>
                    </w:p>
                    <w:p w:rsidR="00FF5E72" w:rsidRDefault="00FF5E72" w:rsidP="0021528C">
                      <w:pPr>
                        <w:widowControl w:val="0"/>
                        <w:jc w:val="both"/>
                        <w:rPr>
                          <w:rFonts w:ascii="Tw Cen MT" w:hAnsi="Tw Cen MT"/>
                        </w:rPr>
                      </w:pPr>
                    </w:p>
                    <w:p w:rsidR="00FF5E72" w:rsidRDefault="00FF5E72" w:rsidP="0021528C">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21528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system taxes only “net income.”  Hence it is important that the Code incorporate principles that prevent taxing as income the expenses of deri</w:t>
      </w:r>
      <w:r w:rsidR="0049128E" w:rsidRPr="00576ED7">
        <w:rPr>
          <w:szCs w:val="24"/>
        </w:rPr>
        <w:t>v</w:t>
      </w:r>
      <w:r w:rsidR="0049128E" w:rsidRPr="00576ED7">
        <w:rPr>
          <w:szCs w:val="24"/>
        </w:rPr>
        <w:t>ing that income.  Section 162 provides a deduction for “all the ordinary and necessary e</w:t>
      </w:r>
      <w:r w:rsidR="0049128E" w:rsidRPr="00576ED7">
        <w:rPr>
          <w:szCs w:val="24"/>
        </w:rPr>
        <w:t>x</w:t>
      </w:r>
      <w:r w:rsidR="0049128E" w:rsidRPr="00576ED7">
        <w:rPr>
          <w:szCs w:val="24"/>
        </w:rPr>
        <w:t>penses paid or incurred during the taxable year in carrying on any trade or business[.]” Read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does not provide a defin</w:t>
      </w:r>
      <w:r w:rsidRPr="00576ED7">
        <w:rPr>
          <w:szCs w:val="24"/>
        </w:rPr>
        <w:t>i</w:t>
      </w:r>
      <w:r w:rsidRPr="00576ED7">
        <w:rPr>
          <w:szCs w:val="24"/>
        </w:rPr>
        <w:t>tion of “trade or business.”</w:t>
      </w:r>
      <w:r w:rsidRPr="00576ED7">
        <w:rPr>
          <w:rStyle w:val="FootnoteReference"/>
          <w:szCs w:val="24"/>
        </w:rPr>
        <w:footnoteReference w:id="81"/>
      </w:r>
      <w:r w:rsidRPr="00576ED7">
        <w:rPr>
          <w:szCs w:val="24"/>
        </w:rPr>
        <w:t xml:space="preserve">  The Supreme Court observed the follo</w:t>
      </w:r>
      <w:r w:rsidRPr="00576ED7">
        <w:rPr>
          <w:szCs w:val="24"/>
        </w:rPr>
        <w:t>w</w:t>
      </w:r>
      <w:r w:rsidRPr="00576ED7">
        <w:rPr>
          <w:szCs w:val="24"/>
        </w:rPr>
        <w:t>ing when it held that a full-time gambler was engaged in a “trade or business:”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Of course, not every income-producing and profit-making endeavor co</w:t>
      </w:r>
      <w:r w:rsidRPr="00576ED7">
        <w:rPr>
          <w:szCs w:val="24"/>
        </w:rPr>
        <w:t>n</w:t>
      </w:r>
      <w:r w:rsidRPr="00576ED7">
        <w:rPr>
          <w:szCs w:val="24"/>
        </w:rPr>
        <w:t>stitutes a trade or business. The income tax law, almost from the begi</w:t>
      </w:r>
      <w:r w:rsidRPr="00576ED7">
        <w:rPr>
          <w:szCs w:val="24"/>
        </w:rPr>
        <w:t>n</w:t>
      </w:r>
      <w:r w:rsidRPr="00576ED7">
        <w:rPr>
          <w:szCs w:val="24"/>
        </w:rPr>
        <w:t xml:space="preserve">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 5(a), Fifth, 39 Stat. 759. Congress “distinguished the broad range of income or profit producing a</w:t>
      </w:r>
      <w:r w:rsidRPr="00576ED7">
        <w:rPr>
          <w:szCs w:val="24"/>
        </w:rPr>
        <w:t>c</w:t>
      </w:r>
      <w:r w:rsidRPr="00576ED7">
        <w:rPr>
          <w:szCs w:val="24"/>
        </w:rPr>
        <w:t>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w:t>
      </w:r>
      <w:r w:rsidRPr="00576ED7">
        <w:rPr>
          <w:szCs w:val="24"/>
        </w:rPr>
        <w:t>n</w:t>
      </w:r>
      <w:r w:rsidRPr="00576ED7">
        <w:rPr>
          <w:szCs w:val="24"/>
        </w:rPr>
        <w:t>come or profit. A sporadic activity, a hobby, or an amusement diversion does not qualify.</w:t>
      </w:r>
      <w:r w:rsidRPr="00576ED7">
        <w:rPr>
          <w:rStyle w:val="FootnoteReference"/>
          <w:szCs w:val="24"/>
        </w:rPr>
        <w:footnoteReference w:id="8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This excerpt informs that there is a distinction between a “trade or business” and “transactions entered into for profit but not connected with” a trade or business.  For most taxpayers, investing fits this description.  Moreover, there is another di</w:t>
      </w:r>
      <w:r w:rsidRPr="00576ED7">
        <w:rPr>
          <w:szCs w:val="24"/>
        </w:rPr>
        <w:t>s</w:t>
      </w:r>
      <w:r w:rsidRPr="00576ED7">
        <w:rPr>
          <w:szCs w:val="24"/>
        </w:rPr>
        <w:t>tinction between a “trade or business” and a hobby or amusement.  The Code li</w:t>
      </w:r>
      <w:r w:rsidRPr="00576ED7">
        <w:rPr>
          <w:szCs w:val="24"/>
        </w:rPr>
        <w:t>m</w:t>
      </w:r>
      <w:r w:rsidRPr="00576ED7">
        <w:rPr>
          <w:szCs w:val="24"/>
        </w:rPr>
        <w:t>its deductions for an activity “not engaged in for profit” to the gross income d</w:t>
      </w:r>
      <w:r w:rsidRPr="00576ED7">
        <w:rPr>
          <w:szCs w:val="24"/>
        </w:rPr>
        <w:t>e</w:t>
      </w:r>
      <w:r w:rsidRPr="00576ED7">
        <w:rPr>
          <w:szCs w:val="24"/>
        </w:rPr>
        <w:t>rived from the activity.</w:t>
      </w:r>
      <w:r w:rsidRPr="00576ED7">
        <w:rPr>
          <w:rStyle w:val="FootnoteReference"/>
          <w:szCs w:val="24"/>
        </w:rPr>
        <w:footnoteReference w:id="8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extended the principles of § 162(a) to “expenses for the production of income” when it added § 212 to the Code.  However, expenses for the production of income – as contrasted with a trade or business – are not deductible “above the line.”  § 62(a)(1).  In addition, § 163(a) allows a deduction for interest paid or a</w:t>
      </w:r>
      <w:r w:rsidRPr="00576ED7">
        <w:rPr>
          <w:szCs w:val="24"/>
        </w:rPr>
        <w:t>c</w:t>
      </w:r>
      <w:r w:rsidRPr="00576ED7">
        <w:rPr>
          <w:szCs w:val="24"/>
        </w:rPr>
        <w:t>crued.  Section 165(a) allows a deduction for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 allows a deduction only for expenses of “carrying on” a trade or business.  Hence, the costs of searching for a business to purchase, pre-opening organization costs, etc. are not deductible.   § 195.  On the other hand, an existing business that incurs the same expenses in order to expand its business may deduct them.  Whether an existing business is seeking merely to expand or to enter a new trade or business “depends on the facts and circumstances of each case.”</w:t>
      </w:r>
      <w:r w:rsidRPr="00576ED7">
        <w:rPr>
          <w:rStyle w:val="FootnoteReference"/>
          <w:szCs w:val="24"/>
        </w:rPr>
        <w:footnoteReference w:id="8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purchase an input that enables him/her/it to earn income and i</w:t>
      </w:r>
      <w:r w:rsidRPr="00576ED7">
        <w:rPr>
          <w:szCs w:val="24"/>
        </w:rPr>
        <w:t>m</w:t>
      </w:r>
      <w:r w:rsidRPr="00576ED7">
        <w:rPr>
          <w:szCs w:val="24"/>
        </w:rPr>
        <w:t>mediately consume that item in the production of taxable income.  We would e</w:t>
      </w:r>
      <w:r w:rsidRPr="00576ED7">
        <w:rPr>
          <w:szCs w:val="24"/>
        </w:rPr>
        <w:t>x</w:t>
      </w:r>
      <w:r w:rsidRPr="00576ED7">
        <w:rPr>
          <w:szCs w:val="24"/>
        </w:rPr>
        <w:t>pect that such expenditures would be immediately deductible in full.  We som</w:t>
      </w:r>
      <w:r w:rsidRPr="00576ED7">
        <w:rPr>
          <w:szCs w:val="24"/>
        </w:rPr>
        <w:t>e</w:t>
      </w:r>
      <w:r w:rsidRPr="00576ED7">
        <w:rPr>
          <w:szCs w:val="24"/>
        </w:rPr>
        <w:t>times call this treatment “expensing.”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Alternatively, taxpayer may purchase an input that enables him/her/it to earn i</w:t>
      </w:r>
      <w:r w:rsidRPr="00576ED7">
        <w:rPr>
          <w:szCs w:val="24"/>
        </w:rPr>
        <w:t>n</w:t>
      </w:r>
      <w:r w:rsidRPr="00576ED7">
        <w:rPr>
          <w:szCs w:val="24"/>
        </w:rPr>
        <w:t xml:space="preserve">come for more than the current tax year.  For example, taxpayer might purchase a machine that will enable him/her/it to generate income for the next ten years.  </w:t>
      </w:r>
      <w:r w:rsidRPr="00576ED7">
        <w:rPr>
          <w:szCs w:val="24"/>
        </w:rPr>
        <w:lastRenderedPageBreak/>
        <w:t>Taxpayer has made an “investment” rather than an expenditure on an item that he/she/it immediately consumes.  A mere change in the form in which taxpayer holds wealth is not a taxable event; we implement this principle by crediting ta</w:t>
      </w:r>
      <w:r w:rsidRPr="00576ED7">
        <w:rPr>
          <w:szCs w:val="24"/>
        </w:rPr>
        <w:t>x</w:t>
      </w:r>
      <w:r w:rsidRPr="00576ED7">
        <w:rPr>
          <w:szCs w:val="24"/>
        </w:rPr>
        <w:t>payer with basis  equal to the money removed from his/her/its store of property rights in order to make the investment (i.e., purchase).  Taxpayer (might) then consume only a part of the item that he/she/it purchased in order to generate i</w:t>
      </w:r>
      <w:r w:rsidRPr="00576ED7">
        <w:rPr>
          <w:szCs w:val="24"/>
        </w:rPr>
        <w:t>n</w:t>
      </w:r>
      <w:r w:rsidRPr="00576ED7">
        <w:rPr>
          <w:szCs w:val="24"/>
        </w:rPr>
        <w:t>come, i.e., to “de-invest” it.  The Code implements in several places a scheme that (theoretically) matches such consumption with the income that the expenditure actually generates.  The Code permits a deduction for such partial consumption under the headings of depreciation, amortization, or more recently, cost recovery.  Since such consumption represents a deinvestment, taxpayer must adjust his/her/its basis in the productive asset downward.  We sometimes call this tax treatment of the purchase and use of a productive asset “capitalization.”</w:t>
      </w:r>
    </w:p>
    <w:p w:rsidR="0049128E" w:rsidRPr="00576ED7" w:rsidRDefault="0049128E" w:rsidP="00A6585D">
      <w:pPr>
        <w:widowControl w:val="0"/>
        <w:jc w:val="both"/>
        <w:rPr>
          <w:szCs w:val="24"/>
        </w:rPr>
      </w:pPr>
    </w:p>
    <w:p w:rsidR="0049128E" w:rsidRPr="00576ED7" w:rsidRDefault="00555413" w:rsidP="00555413">
      <w:pPr>
        <w:widowControl w:val="0"/>
        <w:ind w:left="720"/>
        <w:jc w:val="both"/>
        <w:rPr>
          <w:szCs w:val="24"/>
        </w:rPr>
      </w:pPr>
      <w:r>
        <w:rPr>
          <w:szCs w:val="24"/>
        </w:rPr>
        <w:t>•</w:t>
      </w:r>
      <w:r w:rsidR="0049128E" w:rsidRPr="00576ED7">
        <w:rPr>
          <w:szCs w:val="24"/>
        </w:rPr>
        <w:t>The Code also implements such a matching principle when taxpayer d</w:t>
      </w:r>
      <w:r w:rsidR="0049128E" w:rsidRPr="00576ED7">
        <w:rPr>
          <w:szCs w:val="24"/>
        </w:rPr>
        <w:t>e</w:t>
      </w:r>
      <w:r w:rsidR="0049128E" w:rsidRPr="00576ED7">
        <w:rPr>
          <w:szCs w:val="24"/>
        </w:rPr>
        <w:t>rives gross income by selling from inventory.  Taxpayer may not build up deductions by purchasing inventory in advance of the time he/she/it act</w:t>
      </w:r>
      <w:r w:rsidR="0049128E" w:rsidRPr="00576ED7">
        <w:rPr>
          <w:szCs w:val="24"/>
        </w:rPr>
        <w:t>u</w:t>
      </w:r>
      <w:r w:rsidR="0049128E" w:rsidRPr="00576ED7">
        <w:rPr>
          <w:szCs w:val="24"/>
        </w:rPr>
        <w:t>ally makes sales.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Yet another possibility is that taxpayer may purchase an input that enables him/her/it to produce income but never in fact consumes that input, e.g., land.  There should logically be no deduction – immediately or in the future – for such expenditures.  Taxpayer will have a basis in such an asset, but could only recover it for income purposes upon sale of the asset.  Some of these assets may not even be capable of sale, e.g., a legal education or other investments in human capital.  We sometimes also call this tax treatment of the purchase and use of such an asset “capitalization.”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Both the Commissioner and taxpayers are aware of the time value of money.  For this reason, taxpayer usually wants to classify purchases of inputs that enable him/her/it to generate income in a manner that permits the greatest immediate d</w:t>
      </w:r>
      <w:r w:rsidRPr="00576ED7">
        <w:rPr>
          <w:szCs w:val="24"/>
        </w:rPr>
        <w:t>e</w:t>
      </w:r>
      <w:r w:rsidRPr="00576ED7">
        <w:rPr>
          <w:szCs w:val="24"/>
        </w:rPr>
        <w:t>duction.  The Commissioner of course wants the opposite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materials ahead, we very roughly consider first the placement of particular expenditures into one group or another – whether expense or capital.  We then consider some of the basic principles and recurring issues in each of these groups.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8" w:name="_Toc375132945"/>
      <w:r w:rsidRPr="00576ED7">
        <w:lastRenderedPageBreak/>
        <w:t>I.  Expense or Capital</w:t>
      </w:r>
      <w:bookmarkEnd w:id="58"/>
      <w:r w:rsidRPr="00576ED7">
        <w:fldChar w:fldCharType="begin"/>
      </w:r>
      <w:r w:rsidRPr="00576ED7">
        <w:instrText xml:space="preserve"> TC \l1 "I.  Expense or Capital</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cases involve the proper treatment of particular expenditures to purchase income-producing assets – whether immediately deductible, deductible over their useful life, or not deductible because taxpayer never consumes the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CARDOZO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to be determined is whether payments by a taxpayer, who is in bus</w:t>
      </w:r>
      <w:r w:rsidRPr="00576ED7">
        <w:rPr>
          <w:szCs w:val="24"/>
        </w:rPr>
        <w:t>i</w:t>
      </w:r>
      <w:r w:rsidRPr="00576ED7">
        <w:rPr>
          <w:szCs w:val="24"/>
        </w:rPr>
        <w:t>ness as a commission agent, are allowable deductions in the computation of his income if made to the creditors of a bankrupt corporation in an endeavor to strengthen his own standing and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w:t>
      </w:r>
      <w:r w:rsidRPr="00576ED7">
        <w:rPr>
          <w:szCs w:val="24"/>
        </w:rPr>
        <w:t>l</w:t>
      </w:r>
      <w:r w:rsidRPr="00576ED7">
        <w:rPr>
          <w:szCs w:val="24"/>
        </w:rPr>
        <w:t>untary bankrupt, and had a discharge from its debts. Thereafter the petitioner made a contract with the Kellogg Company to purchase grain for it on a commi</w:t>
      </w:r>
      <w:r w:rsidRPr="00576ED7">
        <w:rPr>
          <w:szCs w:val="24"/>
        </w:rPr>
        <w:t>s</w:t>
      </w:r>
      <w:r w:rsidRPr="00576ED7">
        <w:rPr>
          <w:szCs w:val="24"/>
        </w:rPr>
        <w:t>sion. In order to reestablish his relations with customers whom he had known when acting for the Welch Company and to solidify his credit and standing, he decided to pay the debts of the Welch business so far as he was able. In fulfil</w:t>
      </w:r>
      <w:r w:rsidRPr="00576ED7">
        <w:rPr>
          <w:szCs w:val="24"/>
        </w:rPr>
        <w:t>l</w:t>
      </w:r>
      <w:r w:rsidRPr="00576ED7">
        <w:rPr>
          <w:szCs w:val="24"/>
        </w:rPr>
        <w:t>ment of that resolve, he made payments of substantial amounts during five su</w:t>
      </w:r>
      <w:r w:rsidRPr="00576ED7">
        <w:rPr>
          <w:szCs w:val="24"/>
        </w:rPr>
        <w:t>c</w:t>
      </w:r>
      <w:r w:rsidRPr="00576ED7">
        <w:rPr>
          <w:szCs w:val="24"/>
        </w:rPr>
        <w:t>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that the payments to creditors of the Welch Company were ne</w:t>
      </w:r>
      <w:r w:rsidRPr="00576ED7">
        <w:rPr>
          <w:szCs w:val="24"/>
        </w:rPr>
        <w:t>c</w:t>
      </w:r>
      <w:r w:rsidRPr="00576ED7">
        <w:rPr>
          <w:szCs w:val="24"/>
        </w:rPr>
        <w:t>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w:t>
      </w:r>
      <w:r w:rsidRPr="00576ED7">
        <w:rPr>
          <w:szCs w:val="24"/>
        </w:rPr>
        <w:t>y</w:t>
      </w:r>
      <w:r w:rsidRPr="00576ED7">
        <w:rPr>
          <w:szCs w:val="24"/>
        </w:rPr>
        <w:t xml:space="preserve">ments are charges upon capital. There is need to determine whether they are both necessary and ordinary. Now, what is ordinary, though there must always be a strain of constancy within it, is nonetheless a variable affected by time and place </w:t>
      </w:r>
      <w:r w:rsidRPr="00576ED7">
        <w:rPr>
          <w:szCs w:val="24"/>
        </w:rPr>
        <w:lastRenderedPageBreak/>
        <w:t>and circumstance. “Ordinary” in this context does not mean that the payments must be habitual or normal in the sense that the same taxpayer will have to make them often. A lawsuit affecting the safety of a business may happen once in a lif</w:t>
      </w:r>
      <w:r w:rsidRPr="00576ED7">
        <w:rPr>
          <w:szCs w:val="24"/>
        </w:rPr>
        <w:t>e</w:t>
      </w:r>
      <w:r w:rsidRPr="00576ED7">
        <w:rPr>
          <w:szCs w:val="24"/>
        </w:rPr>
        <w:t>time. The counsel fees may be so heavy that repetition is unlikely. Nonetheless, the expense is an ordinary one because we know from experience that payments for such a purpose, whether the amount is large or small, are the common and a</w:t>
      </w:r>
      <w:r w:rsidRPr="00576ED7">
        <w:rPr>
          <w:szCs w:val="24"/>
        </w:rPr>
        <w:t>c</w:t>
      </w:r>
      <w:r w:rsidRPr="00576ED7">
        <w:rPr>
          <w:szCs w:val="24"/>
        </w:rPr>
        <w:t xml:space="preserve">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w:t>
      </w:r>
      <w:r w:rsidRPr="00576ED7">
        <w:rPr>
          <w:szCs w:val="24"/>
        </w:rPr>
        <w:t>i</w:t>
      </w:r>
      <w:r w:rsidRPr="00576ED7">
        <w:rPr>
          <w:szCs w:val="24"/>
        </w:rPr>
        <w:t>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resorted to that standard in assessing the petitioner’s income, and found that the payments in controversy came closer to capital outlays than to ordinary and necessary expenses in the operation of a bus</w:t>
      </w:r>
      <w:r w:rsidRPr="00576ED7">
        <w:rPr>
          <w:szCs w:val="24"/>
        </w:rPr>
        <w:t>i</w:t>
      </w:r>
      <w:r w:rsidRPr="00576ED7">
        <w:rPr>
          <w:szCs w:val="24"/>
        </w:rPr>
        <w:t>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w:t>
      </w:r>
      <w:r w:rsidRPr="00576ED7">
        <w:rPr>
          <w:szCs w:val="24"/>
        </w:rPr>
        <w:t>i</w:t>
      </w:r>
      <w:r w:rsidRPr="00576ED7">
        <w:rPr>
          <w:szCs w:val="24"/>
        </w:rPr>
        <w:t>ness world, the tax must be confirmed. But nothing told us by this record or wit</w:t>
      </w:r>
      <w:r w:rsidRPr="00576ED7">
        <w:rPr>
          <w:szCs w:val="24"/>
        </w:rPr>
        <w:t>h</w:t>
      </w:r>
      <w:r w:rsidRPr="00576ED7">
        <w:rPr>
          <w:szCs w:val="24"/>
        </w:rPr>
        <w:t>in the sphere of our judicial notice permits us to give that extension to what is o</w:t>
      </w:r>
      <w:r w:rsidRPr="00576ED7">
        <w:rPr>
          <w:szCs w:val="24"/>
        </w:rPr>
        <w:t>r</w:t>
      </w:r>
      <w:r w:rsidRPr="00576ED7">
        <w:rPr>
          <w:szCs w:val="24"/>
        </w:rPr>
        <w:t>dinary and necessary. Indeed, to do so would open the door to many bizarre ana</w:t>
      </w:r>
      <w:r w:rsidRPr="00576ED7">
        <w:rPr>
          <w:szCs w:val="24"/>
        </w:rPr>
        <w:t>l</w:t>
      </w:r>
      <w:r w:rsidRPr="00576ED7">
        <w:rPr>
          <w:szCs w:val="24"/>
        </w:rPr>
        <w:t>ogies. One man has a family name that is clouded by thefts committed by an a</w:t>
      </w:r>
      <w:r w:rsidRPr="00576ED7">
        <w:rPr>
          <w:szCs w:val="24"/>
        </w:rPr>
        <w:t>n</w:t>
      </w:r>
      <w:r w:rsidRPr="00576ED7">
        <w:rPr>
          <w:szCs w:val="24"/>
        </w:rPr>
        <w:lastRenderedPageBreak/>
        <w:t>cestor. To add to his own standing he repays the stolen money, wiping off, it may be, his income for the year. The payments figure in his tax return as ordinary e</w:t>
      </w:r>
      <w:r w:rsidRPr="00576ED7">
        <w:rPr>
          <w:szCs w:val="24"/>
        </w:rPr>
        <w:t>x</w:t>
      </w:r>
      <w:r w:rsidRPr="00576ED7">
        <w:rPr>
          <w:szCs w:val="24"/>
        </w:rPr>
        <w:t>penses. Another man conceives the notion that he will be able to practice his v</w:t>
      </w:r>
      <w:r w:rsidRPr="00576ED7">
        <w:rPr>
          <w:szCs w:val="24"/>
        </w:rPr>
        <w:t>o</w:t>
      </w:r>
      <w:r w:rsidRPr="00576ED7">
        <w:rPr>
          <w:szCs w:val="24"/>
        </w:rPr>
        <w:t>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85"/>
      </w:r>
    </w:p>
    <w:p w:rsidR="00B834A0" w:rsidRPr="00576ED7" w:rsidRDefault="00B834A0" w:rsidP="00A6585D">
      <w:pPr>
        <w:widowControl w:val="0"/>
        <w:jc w:val="both"/>
        <w:rPr>
          <w:szCs w:val="24"/>
        </w:rPr>
      </w:pPr>
    </w:p>
    <w:p w:rsidR="0049128E" w:rsidRPr="00576ED7" w:rsidRDefault="0049128E" w:rsidP="00A6585D">
      <w:pPr>
        <w:widowControl w:val="0"/>
        <w:jc w:val="both"/>
        <w:rPr>
          <w:szCs w:val="24"/>
        </w:rPr>
      </w:pPr>
      <w:r w:rsidRPr="00576ED7">
        <w:rPr>
          <w:szCs w:val="24"/>
        </w:rPr>
        <w:t>The decree should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With this case, if not before, the word “ordinary” as used in the phrase “ord</w:t>
      </w:r>
      <w:r w:rsidRPr="00576ED7">
        <w:rPr>
          <w:szCs w:val="24"/>
        </w:rPr>
        <w:t>i</w:t>
      </w:r>
      <w:r w:rsidRPr="00576ED7">
        <w:rPr>
          <w:szCs w:val="24"/>
        </w:rPr>
        <w:t>nary and necessary” provides a line of demarcation between expenditures curren</w:t>
      </w:r>
      <w:r w:rsidRPr="00576ED7">
        <w:rPr>
          <w:szCs w:val="24"/>
        </w:rPr>
        <w:t>t</w:t>
      </w:r>
      <w:r w:rsidRPr="00576ED7">
        <w:rPr>
          <w:szCs w:val="24"/>
        </w:rPr>
        <w:t>ly deductible and those that are either never deductible or deductible only over time, i.e., through depreciation or amortization allowances.</w:t>
      </w:r>
    </w:p>
    <w:p w:rsidR="0049128E" w:rsidRPr="00576ED7" w:rsidRDefault="0049128E" w:rsidP="00A6585D">
      <w:pPr>
        <w:widowControl w:val="0"/>
        <w:ind w:left="720"/>
        <w:jc w:val="both"/>
        <w:rPr>
          <w:szCs w:val="24"/>
        </w:rPr>
      </w:pPr>
      <w:r w:rsidRPr="00576ED7">
        <w:rPr>
          <w:szCs w:val="24"/>
        </w:rPr>
        <w:t>•Since the expenses were not “ordinary,” the next question is whether ta</w:t>
      </w:r>
      <w:r w:rsidRPr="00576ED7">
        <w:rPr>
          <w:szCs w:val="24"/>
        </w:rPr>
        <w:t>x</w:t>
      </w:r>
      <w:r w:rsidRPr="00576ED7">
        <w:rPr>
          <w:szCs w:val="24"/>
        </w:rPr>
        <w:t>payer could deduct them over time through depreciation or amortization.</w:t>
      </w:r>
    </w:p>
    <w:p w:rsidR="0049128E" w:rsidRPr="00576ED7" w:rsidRDefault="0049128E" w:rsidP="00A6585D">
      <w:pPr>
        <w:widowControl w:val="0"/>
        <w:ind w:left="720"/>
        <w:jc w:val="both"/>
        <w:rPr>
          <w:szCs w:val="24"/>
        </w:rPr>
      </w:pPr>
      <w:r w:rsidRPr="00576ED7">
        <w:rPr>
          <w:szCs w:val="24"/>
        </w:rPr>
        <w:t>•What should be relevant in making this determination?</w:t>
      </w:r>
    </w:p>
    <w:p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w:t>
      </w:r>
      <w:r w:rsidRPr="00576ED7">
        <w:rPr>
          <w:szCs w:val="24"/>
        </w:rPr>
        <w:t>a</w:t>
      </w:r>
      <w:r w:rsidRPr="00576ED7">
        <w:rPr>
          <w:szCs w:val="24"/>
        </w:rPr>
        <w:t>ble through depreciation or amortization allowances?</w:t>
      </w:r>
    </w:p>
    <w:p w:rsidR="0049128E" w:rsidRPr="00576ED7" w:rsidRDefault="0049128E" w:rsidP="00A6585D">
      <w:pPr>
        <w:widowControl w:val="0"/>
        <w:ind w:left="720"/>
        <w:jc w:val="both"/>
        <w:rPr>
          <w:szCs w:val="24"/>
        </w:rPr>
      </w:pPr>
      <w:r w:rsidRPr="00576ED7">
        <w:rPr>
          <w:szCs w:val="24"/>
        </w:rPr>
        <w:t>•In the second paragraph of the Court’s footnote, the Court cited several cases. Which expenditures should taxpayer be able to deduct as depreci</w:t>
      </w:r>
      <w:r w:rsidRPr="00576ED7">
        <w:rPr>
          <w:szCs w:val="24"/>
        </w:rPr>
        <w:t>a</w:t>
      </w:r>
      <w:r w:rsidRPr="00576ED7">
        <w:rPr>
          <w:szCs w:val="24"/>
        </w:rPr>
        <w:t>tion or amortization, and which should taxpayer not be able deduct at all – probably ever?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rsidR="0049128E" w:rsidRPr="00576ED7" w:rsidRDefault="0049128E" w:rsidP="00A6585D">
      <w:pPr>
        <w:widowControl w:val="0"/>
        <w:ind w:left="720"/>
        <w:jc w:val="both"/>
        <w:rPr>
          <w:szCs w:val="24"/>
        </w:rPr>
      </w:pPr>
      <w:r w:rsidRPr="00576ED7">
        <w:rPr>
          <w:szCs w:val="24"/>
        </w:rPr>
        <w:t>•Bizarre: Others in Minnesota had done exactly the same thing, i.e., repay the debts of a bankrupt predecessor.</w:t>
      </w:r>
    </w:p>
    <w:p w:rsidR="0049128E" w:rsidRPr="00576ED7" w:rsidRDefault="0049128E" w:rsidP="00A6585D">
      <w:pPr>
        <w:widowControl w:val="0"/>
        <w:ind w:left="720"/>
        <w:jc w:val="both"/>
        <w:rPr>
          <w:szCs w:val="24"/>
        </w:rPr>
      </w:pPr>
      <w:r w:rsidRPr="00576ED7">
        <w:rPr>
          <w:szCs w:val="24"/>
        </w:rPr>
        <w:t>•Capital: The expenditures were no doubt capital in nature.  However, they were arguably only an investment designed to generate income for a finite period of time.  As such, the expenditures should be depreciable or amo</w:t>
      </w:r>
      <w:r w:rsidRPr="00576ED7">
        <w:rPr>
          <w:szCs w:val="24"/>
        </w:rPr>
        <w:t>r</w:t>
      </w:r>
      <w:r w:rsidRPr="00576ED7">
        <w:rPr>
          <w:szCs w:val="24"/>
        </w:rPr>
        <w:t>tizable.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By paying the debts of a bankrupt, no-longer-in-existence corporation, was </w:t>
      </w:r>
      <w:r w:rsidRPr="00576ED7">
        <w:rPr>
          <w:szCs w:val="24"/>
        </w:rPr>
        <w:lastRenderedPageBreak/>
        <w:t xml:space="preserve">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rsidR="0049128E" w:rsidRPr="00576ED7" w:rsidRDefault="0049128E" w:rsidP="00A6585D">
      <w:pPr>
        <w:widowControl w:val="0"/>
        <w:ind w:left="720"/>
        <w:jc w:val="both"/>
        <w:rPr>
          <w:szCs w:val="24"/>
        </w:rPr>
      </w:pPr>
      <w:r w:rsidRPr="00576ED7">
        <w:rPr>
          <w:szCs w:val="24"/>
        </w:rPr>
        <w:t>•Consider: Conway Twitty (actually Harold Jenkins) is a famous country music singer.  He formed a chain of fast food restaurants (“Twitty Burger, Inc.”).  He persuaded seventy-five friends in the country music business to invest with him.  The venture failed.  Twitty was concerned about the e</w:t>
      </w:r>
      <w:r w:rsidRPr="00576ED7">
        <w:rPr>
          <w:szCs w:val="24"/>
        </w:rPr>
        <w:t>f</w:t>
      </w:r>
      <w:r w:rsidRPr="00576ED7">
        <w:rPr>
          <w:szCs w:val="24"/>
        </w:rPr>
        <w:t xml:space="preserve">fect of the adverse publicity on his </w:t>
      </w:r>
      <w:r w:rsidRPr="00576ED7">
        <w:rPr>
          <w:i/>
          <w:szCs w:val="24"/>
        </w:rPr>
        <w:t>country music</w:t>
      </w:r>
      <w:r w:rsidRPr="00576ED7">
        <w:rPr>
          <w:szCs w:val="24"/>
        </w:rPr>
        <w:t xml:space="preserve"> career.  He repaid the investors himself.</w:t>
      </w:r>
    </w:p>
    <w:p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surely have been nondeductible.  Twitty Burger after all was defunct.</w:t>
      </w:r>
    </w:p>
    <w:p w:rsidR="0049128E" w:rsidRPr="00576ED7" w:rsidRDefault="0049128E" w:rsidP="00A6585D">
      <w:pPr>
        <w:widowControl w:val="0"/>
        <w:ind w:left="1440"/>
        <w:jc w:val="both"/>
        <w:rPr>
          <w:szCs w:val="24"/>
        </w:rPr>
      </w:pPr>
      <w:r w:rsidRPr="00576ED7">
        <w:rPr>
          <w:szCs w:val="24"/>
        </w:rPr>
        <w:t>•The court found as a fact that one’s reputation in the country m</w:t>
      </w:r>
      <w:r w:rsidRPr="00576ED7">
        <w:rPr>
          <w:szCs w:val="24"/>
        </w:rPr>
        <w:t>u</w:t>
      </w:r>
      <w:r w:rsidRPr="00576ED7">
        <w:rPr>
          <w:szCs w:val="24"/>
        </w:rPr>
        <w:t>sic business is very important.</w:t>
      </w:r>
    </w:p>
    <w:p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What should be the tax treatment of expenditures incurred to acquire property that has an indefinite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w:t>
      </w:r>
      <w:r w:rsidRPr="00576ED7">
        <w:rPr>
          <w:szCs w:val="24"/>
        </w:rPr>
        <w:t>a</w:t>
      </w:r>
      <w:r w:rsidRPr="00576ED7">
        <w:rPr>
          <w:szCs w:val="24"/>
        </w:rPr>
        <w:t>tion in favor of a perpetual extension of the charter. A minority stockholder voted against the extension. Iowa law requires “those stockholders voting for such r</w:t>
      </w:r>
      <w:r w:rsidRPr="00576ED7">
        <w:rPr>
          <w:szCs w:val="24"/>
        </w:rPr>
        <w:t>e</w:t>
      </w:r>
      <w:r w:rsidRPr="00576ED7">
        <w:rPr>
          <w:szCs w:val="24"/>
        </w:rPr>
        <w:t>newal . . . [to] purchase at its real value the stock voted against such renewal.” Iowa Code § 491.25 (1966).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w:t>
      </w:r>
      <w:r w:rsidRPr="00576ED7">
        <w:rPr>
          <w:szCs w:val="24"/>
        </w:rPr>
        <w:t>e</w:t>
      </w:r>
      <w:r w:rsidRPr="00576ED7">
        <w:rPr>
          <w:szCs w:val="24"/>
        </w:rPr>
        <w:t>quently, in 1962, taxpayers brought an action in state court to appraise the value of the minority stock interest. The trial court fixed a value, which was slightly r</w:t>
      </w:r>
      <w:r w:rsidRPr="00576ED7">
        <w:rPr>
          <w:szCs w:val="24"/>
        </w:rPr>
        <w:t>e</w:t>
      </w:r>
      <w:r w:rsidRPr="00576ED7">
        <w:rPr>
          <w:szCs w:val="24"/>
        </w:rPr>
        <w:lastRenderedPageBreak/>
        <w:t>duced on appeal by the Iowa Supreme Court, [citations omitted].  In July, 1965, taxpayers purchased the minority stock interest at the price fixed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w:t>
      </w:r>
      <w:r w:rsidRPr="00576ED7">
        <w:rPr>
          <w:szCs w:val="24"/>
        </w:rPr>
        <w:t>n</w:t>
      </w:r>
      <w:r w:rsidRPr="00576ED7">
        <w:rPr>
          <w:szCs w:val="24"/>
        </w:rPr>
        <w:t>agement, conservation, or maintenance of property held for the production of i</w:t>
      </w:r>
      <w:r w:rsidRPr="00576ED7">
        <w:rPr>
          <w:szCs w:val="24"/>
        </w:rPr>
        <w:t>n</w:t>
      </w:r>
      <w:r w:rsidRPr="00576ED7">
        <w:rPr>
          <w:szCs w:val="24"/>
        </w:rPr>
        <w:t>come” deductible under § 212 ... The Commissioner of Internal Revenue disa</w:t>
      </w:r>
      <w:r w:rsidRPr="00576ED7">
        <w:rPr>
          <w:szCs w:val="24"/>
        </w:rPr>
        <w:t>l</w:t>
      </w:r>
      <w:r w:rsidRPr="00576ED7">
        <w:rPr>
          <w:szCs w:val="24"/>
        </w:rPr>
        <w:t xml:space="preserve">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Pr="00576ED7">
        <w:rPr>
          <w:rStyle w:val="FootnoteReference"/>
          <w:szCs w:val="24"/>
        </w:rPr>
        <w:footnoteReference w:id="86"/>
      </w:r>
      <w:r w:rsidRPr="00576ED7">
        <w:rPr>
          <w:szCs w:val="24"/>
        </w:rPr>
        <w:t xml:space="preserve">  We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 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 162 of the Code or as an expense of “management, conservation, or maintenance” under § 212.</w:t>
      </w:r>
      <w:r w:rsidRPr="00576ED7">
        <w:rPr>
          <w:rStyle w:val="FootnoteReference"/>
          <w:szCs w:val="24"/>
        </w:rPr>
        <w:footnoteReference w:id="8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has long been recognized, as a general matter, that costs incurred in the acquis</w:t>
      </w:r>
      <w:r w:rsidRPr="00576ED7">
        <w:rPr>
          <w:szCs w:val="24"/>
        </w:rPr>
        <w:t>i</w:t>
      </w:r>
      <w:r w:rsidRPr="00576ED7">
        <w:rPr>
          <w:szCs w:val="24"/>
        </w:rPr>
        <w:t>tion or disposition of a capital asset are to be treated as capital expenditures. The most familiar example of such treatment is the capitalization of brokerage fees for the sale or purchase of securities, as explicitly provided by a longstanding Trea</w:t>
      </w:r>
      <w:r w:rsidRPr="00576ED7">
        <w:rPr>
          <w:szCs w:val="24"/>
        </w:rPr>
        <w:t>s</w:t>
      </w:r>
      <w:r w:rsidRPr="00576ED7">
        <w:rPr>
          <w:szCs w:val="24"/>
        </w:rPr>
        <w:t xml:space="preserve">ury regulation, Reg. § 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315 U.S. 626 (1942). The Court recognized that brokers’ commissions are “part of the acquis</w:t>
      </w:r>
      <w:r w:rsidRPr="00576ED7">
        <w:rPr>
          <w:szCs w:val="24"/>
        </w:rPr>
        <w:t>i</w:t>
      </w:r>
      <w:r w:rsidRPr="00576ED7">
        <w:rPr>
          <w:szCs w:val="24"/>
        </w:rPr>
        <w:lastRenderedPageBreak/>
        <w:t xml:space="preserve">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do not specify other sorts of acquisition costs, but rather provide generally that “[t]he cost of acquisition ... of ... property having a useful life su</w:t>
      </w:r>
      <w:r w:rsidRPr="00576ED7">
        <w:rPr>
          <w:szCs w:val="24"/>
        </w:rPr>
        <w:t>b</w:t>
      </w:r>
      <w:r w:rsidRPr="00576ED7">
        <w:rPr>
          <w:szCs w:val="24"/>
        </w:rPr>
        <w:t>stantially beyond the taxable year” is a capital expenditure.  Reg. § 1.263(a)-2(a). Under this general provision, the courts have held that legal, brokerage, accoun</w:t>
      </w:r>
      <w:r w:rsidRPr="00576ED7">
        <w:rPr>
          <w:szCs w:val="24"/>
        </w:rPr>
        <w:t>t</w:t>
      </w:r>
      <w:r w:rsidRPr="00576ED7">
        <w:rPr>
          <w:szCs w:val="24"/>
        </w:rPr>
        <w:t xml:space="preserve">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w:t>
      </w:r>
      <w:r w:rsidRPr="00576ED7">
        <w:rPr>
          <w:szCs w:val="24"/>
        </w:rPr>
        <w:t>n</w:t>
      </w:r>
      <w:r w:rsidRPr="00576ED7">
        <w:rPr>
          <w:szCs w:val="24"/>
        </w:rPr>
        <w:t>cillary expenses incurred in acquiring or disposing of an asset are as much part of the cost of that asset as is the price paid for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 difficult questions arise with respect to another class of capital expenditures, those incurred in “defending or perfecting title to property.” Reg. § 1.263(a)-2(c). In one sense, any lawsuit brought against a taxpayer may affect his title to prope</w:t>
      </w:r>
      <w:r w:rsidRPr="00576ED7">
        <w:rPr>
          <w:szCs w:val="24"/>
        </w:rPr>
        <w:t>r</w:t>
      </w:r>
      <w:r w:rsidRPr="00576ED7">
        <w:rPr>
          <w:szCs w:val="24"/>
        </w:rPr>
        <w:t>ty – money or other assets subject to lien. [footnote omitted] The courts, not b</w:t>
      </w:r>
      <w:r w:rsidRPr="00576ED7">
        <w:rPr>
          <w:szCs w:val="24"/>
        </w:rPr>
        <w:t>e</w:t>
      </w:r>
      <w:r w:rsidRPr="00576ED7">
        <w:rPr>
          <w:szCs w:val="24"/>
        </w:rPr>
        <w:t>lieving that Congress meant all litigation expenses to be capitalized, have created the rule that such expenses are capital in nature only where the taxpayer’s “prim</w:t>
      </w:r>
      <w:r w:rsidRPr="00576ED7">
        <w:rPr>
          <w:szCs w:val="24"/>
        </w:rPr>
        <w:t>a</w:t>
      </w:r>
      <w:r w:rsidRPr="00576ED7">
        <w:rPr>
          <w:szCs w:val="24"/>
        </w:rPr>
        <w:t xml:space="preserve">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w:t>
      </w:r>
      <w:r w:rsidRPr="00576ED7">
        <w:rPr>
          <w:szCs w:val="24"/>
        </w:rPr>
        <w:t>i</w:t>
      </w:r>
      <w:r w:rsidRPr="00576ED7">
        <w:rPr>
          <w:szCs w:val="24"/>
        </w:rPr>
        <w:t>nority stock, which all agreed was to pass to taxpayers, but rather was concerned solely with the value of that stock.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w:t>
      </w:r>
      <w:r w:rsidRPr="00576ED7">
        <w:rPr>
          <w:szCs w:val="24"/>
        </w:rPr>
        <w:lastRenderedPageBreak/>
        <w:t>can be devised to determine the tax treatment of costs incurred in litigation that may affect a taxpayer’s title to property more or less indirectly, and that thus calls for a judgment whether the taxpayer can fairly be said to be “defending or perfec</w:t>
      </w:r>
      <w:r w:rsidRPr="00576ED7">
        <w:rPr>
          <w:szCs w:val="24"/>
        </w:rPr>
        <w:t>t</w:t>
      </w:r>
      <w:r w:rsidRPr="00576ED7">
        <w:rPr>
          <w:szCs w:val="24"/>
        </w:rPr>
        <w:t>ing title.” Such uncertainty is not called for in applying the regulation that makes the “cost of acquisition” of a capital asset a capital expense. In our view, applic</w:t>
      </w:r>
      <w:r w:rsidRPr="00576ED7">
        <w:rPr>
          <w:szCs w:val="24"/>
        </w:rPr>
        <w:t>a</w:t>
      </w:r>
      <w:r w:rsidRPr="00576ED7">
        <w:rPr>
          <w:szCs w:val="24"/>
        </w:rPr>
        <w:t>tion of the latter regulation to litigation expenses involves the simpler inquiry whether the origin of the claim litigated is in the process of acquisition itself.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test based upon the taxpayer’s “purpose” in undertaking or defending a partic</w:t>
      </w:r>
      <w:r w:rsidRPr="00576ED7">
        <w:rPr>
          <w:szCs w:val="24"/>
        </w:rPr>
        <w:t>u</w:t>
      </w:r>
      <w:r w:rsidRPr="00576ED7">
        <w:rPr>
          <w:szCs w:val="24"/>
        </w:rPr>
        <w:t>lar piece of litigation would encourage resort to formalism and artificial distin</w:t>
      </w:r>
      <w:r w:rsidRPr="00576ED7">
        <w:rPr>
          <w:szCs w:val="24"/>
        </w:rPr>
        <w:t>c</w:t>
      </w:r>
      <w:r w:rsidRPr="00576ED7">
        <w:rPr>
          <w:szCs w:val="24"/>
        </w:rPr>
        <w:t xml:space="preserve">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w:t>
      </w:r>
      <w:r w:rsidRPr="00576ED7">
        <w:rPr>
          <w:szCs w:val="24"/>
        </w:rPr>
        <w:t>x</w:t>
      </w:r>
      <w:r w:rsidRPr="00576ED7">
        <w:rPr>
          <w:szCs w:val="24"/>
        </w:rPr>
        <w:t>ing the price at which the stock was to be purchased. Allowing deduction of e</w:t>
      </w:r>
      <w:r w:rsidRPr="00576ED7">
        <w:rPr>
          <w:szCs w:val="24"/>
        </w:rPr>
        <w:t>x</w:t>
      </w:r>
      <w:r w:rsidRPr="00576ED7">
        <w:rPr>
          <w:szCs w:val="24"/>
        </w:rPr>
        <w:t>penses incurred in such a proceeding, merely on the ground that title was not d</w:t>
      </w:r>
      <w:r w:rsidRPr="00576ED7">
        <w:rPr>
          <w:szCs w:val="24"/>
        </w:rPr>
        <w:t>i</w:t>
      </w:r>
      <w:r w:rsidRPr="00576ED7">
        <w:rPr>
          <w:szCs w:val="24"/>
        </w:rPr>
        <w:t>rectly put in question in the particular litigation, would be anomalous.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Further, a standard based on the origin of the claim litigated comports with this Court’s recent ruling on the characterization of litigation expenses for tax purpo</w:t>
      </w:r>
      <w:r w:rsidRPr="00576ED7">
        <w:rPr>
          <w:szCs w:val="24"/>
        </w:rPr>
        <w:t>s</w:t>
      </w:r>
      <w:r w:rsidRPr="00576ED7">
        <w:rPr>
          <w:szCs w:val="24"/>
        </w:rPr>
        <w:t xml:space="preserve">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w:t>
      </w:r>
      <w:r w:rsidRPr="00576ED7">
        <w:rPr>
          <w:szCs w:val="24"/>
        </w:rPr>
        <w:t>d</w:t>
      </w:r>
      <w:r w:rsidRPr="00576ED7">
        <w:rPr>
          <w:szCs w:val="24"/>
        </w:rPr>
        <w:t>ings, and might affect his business reputation. The Court rejected a test that looked to the consequences of the litigation, and did not even consider the taxpa</w:t>
      </w:r>
      <w:r w:rsidRPr="00576ED7">
        <w:rPr>
          <w:szCs w:val="24"/>
        </w:rPr>
        <w:t>y</w:t>
      </w:r>
      <w:r w:rsidRPr="00576ED7">
        <w:rPr>
          <w:szCs w:val="24"/>
        </w:rPr>
        <w:t>er’s motives or purposes in undertaking defense of the litigation, but rather exa</w:t>
      </w:r>
      <w:r w:rsidRPr="00576ED7">
        <w:rPr>
          <w:szCs w:val="24"/>
        </w:rPr>
        <w:t>m</w:t>
      </w:r>
      <w:r w:rsidRPr="00576ED7">
        <w:rPr>
          <w:szCs w:val="24"/>
        </w:rPr>
        <w:t>ined the origin and character of the claim against the taxpayer, and found that the claim arose out of the personal relationship of marriage.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w:t>
      </w:r>
      <w:r w:rsidRPr="00576ED7">
        <w:rPr>
          <w:szCs w:val="24"/>
        </w:rPr>
        <w:lastRenderedPageBreak/>
        <w:t>a purchase price.</w:t>
      </w:r>
      <w:r w:rsidRPr="00576ED7">
        <w:rPr>
          <w:rStyle w:val="FootnoteReference"/>
          <w:szCs w:val="24"/>
        </w:rPr>
        <w:footnoteReference w:id="88"/>
      </w:r>
      <w:r w:rsidRPr="00576ED7">
        <w:rPr>
          <w:szCs w:val="24"/>
        </w:rPr>
        <w:t xml:space="preserve"> Thus, the expenses incurred in that litigation were properly treated as part of the cost of the stock that the taxpayers acquired.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4624" behindDoc="0" locked="0" layoutInCell="0" allowOverlap="1" wp14:anchorId="26160D0A" wp14:editId="36FEF10E">
                <wp:simplePos x="0" y="0"/>
                <wp:positionH relativeFrom="margin">
                  <wp:posOffset>2078990</wp:posOffset>
                </wp:positionH>
                <wp:positionV relativeFrom="paragraph">
                  <wp:posOffset>128905</wp:posOffset>
                </wp:positionV>
                <wp:extent cx="2971800" cy="1150620"/>
                <wp:effectExtent l="0" t="0" r="0" b="0"/>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50620"/>
                        </a:xfrm>
                        <a:prstGeom prst="rect">
                          <a:avLst/>
                        </a:prstGeom>
                        <a:solidFill>
                          <a:srgbClr val="FFFFFF"/>
                        </a:solidFill>
                        <a:ln w="12192">
                          <a:solidFill>
                            <a:srgbClr val="000000"/>
                          </a:solidFill>
                          <a:miter lim="800000"/>
                          <a:headEnd/>
                          <a:tailEnd/>
                        </a:ln>
                      </wps:spPr>
                      <wps:txbx>
                        <w:txbxContent>
                          <w:p w:rsidR="00FF5E72" w:rsidRDefault="00FF5E72"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0" type="#_x0000_t202" style="position:absolute;left:0;text-align:left;margin-left:163.7pt;margin-top:10.15pt;width:234pt;height:90.6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tVKwIAAFwEAAAOAAAAZHJzL2Uyb0RvYy54bWysVNtu2zAMfR+wfxD0vviCJU2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2UlBim&#10;UaNHMQbyDkYyX0Z+BusrdHuw6BhGPEedU63e3gP/7omBTc/MTtw6B0MvWIv5FfFldvF0wvERpBk+&#10;QYtx2D5AAho7pyN5SAdBdNTpeNYm5sLxsLy+KpY5XnG8K4p5viiTehmrnp5b58MHAZrETU0dip/g&#10;2eHeh5gOq55cYjQPSrZbqVQy3K7ZKEcODBtlm75UwQs3ZciA4cviupwo+CtGnr4/YWgZsOWV1DXF&#10;gvCLTqyKxL03bdoHJtW0x5yVOTEZyZtoDGMzJtHmb+PjSHMD7RG5dTC1OI4kbnpwPykZsL1r6n/s&#10;mROUqI8G9blC+uI8XBru0mguDWY4QtU0UDJtN2Gaob11ctdjpKkjDNyipp1MbD9ndcofWziJcBq3&#10;OCOXdvJ6/imsfwEAAP//AwBQSwMEFAAGAAgAAAAhAEwnMSjdAAAACgEAAA8AAABkcnMvZG93bnJl&#10;di54bWxMj8FOwzAMhu9IvENkJG4sXccYlKYTqsR9LaDtmDWmqWic0mRreXu8Exz9+9Pvz/l2dr04&#10;4xg6TwqWiwQEUuNNR62C97fXu0cQIWoyuveECn4wwLa4vsp1ZvxEFZ7r2AouoZBpBTbGIZMyNBad&#10;Dgs/IPHu049ORx7HVppRT1zuepkmyYN0uiO+YPWApcXmqz45Bb6qyo+0/t7ty8mU7bSb43CwSt3e&#10;zC/PICLO8Q+Giz6rQ8FOR38iE0SvYJVu7hlVkCYrEAxsntYcHC/Bcg2yyOX/F4pfAAAA//8DAFBL&#10;AQItABQABgAIAAAAIQC2gziS/gAAAOEBAAATAAAAAAAAAAAAAAAAAAAAAABbQ29udGVudF9UeXBl&#10;c10ueG1sUEsBAi0AFAAGAAgAAAAhADj9If/WAAAAlAEAAAsAAAAAAAAAAAAAAAAALwEAAF9yZWxz&#10;Ly5yZWxzUEsBAi0AFAAGAAgAAAAhAH1nC1UrAgAAXAQAAA4AAAAAAAAAAAAAAAAALgIAAGRycy9l&#10;Mm9Eb2MueG1sUEsBAi0AFAAGAAgAAAAhAEwnMSjdAAAACgEAAA8AAAAAAAAAAAAAAAAAhQQAAGRy&#10;cy9kb3ducmV2LnhtbFBLBQYAAAAABAAEAPMAAACPBQAAAAA=&#10;" o:allowincell="f" strokeweight=".96pt">
                <v:textbox inset="6pt,6pt,6pt,6pt">
                  <w:txbxContent>
                    <w:p w:rsidR="00FF5E72" w:rsidRDefault="00FF5E72" w:rsidP="0021528C">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Will taxpayers be permitted to claim depreciation or amo</w:t>
      </w:r>
      <w:r w:rsidRPr="00576ED7">
        <w:rPr>
          <w:szCs w:val="24"/>
        </w:rPr>
        <w:t>r</w:t>
      </w:r>
      <w:r w:rsidRPr="00576ED7">
        <w:rPr>
          <w:szCs w:val="24"/>
        </w:rPr>
        <w:t>tization deductions for the e</w:t>
      </w:r>
      <w:r w:rsidRPr="00576ED7">
        <w:rPr>
          <w:szCs w:val="24"/>
        </w:rPr>
        <w:t>x</w:t>
      </w:r>
      <w:r w:rsidRPr="00576ED7">
        <w:rPr>
          <w:szCs w:val="24"/>
        </w:rPr>
        <w:t>penditures in question?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 owned certain real estate in Memphis, Tennessee.  In 2011, M entered into contracts to lease the properties for a term of fifty years, and in 2011 paid commissions and fees to a real estate broker and attorney for services in obtaining the contracts.</w:t>
      </w:r>
    </w:p>
    <w:p w:rsidR="0049128E" w:rsidRPr="00576ED7" w:rsidRDefault="0049128E" w:rsidP="00A6585D">
      <w:pPr>
        <w:widowControl w:val="0"/>
        <w:ind w:left="720"/>
        <w:jc w:val="both"/>
        <w:rPr>
          <w:szCs w:val="24"/>
        </w:rPr>
      </w:pPr>
      <w:r w:rsidRPr="00576ED7">
        <w:rPr>
          <w:szCs w:val="24"/>
        </w:rPr>
        <w:t>•For tax purposes, how should M treat the real estate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707AEE" w:rsidRPr="00576ED7">
        <w:rPr>
          <w:szCs w:val="24"/>
          <w:vertAlign w:val="superscript"/>
        </w:rPr>
        <w:t>rd</w:t>
      </w:r>
      <w:r w:rsidR="00707AEE" w:rsidRPr="00576ED7">
        <w:rPr>
          <w:szCs w:val="24"/>
        </w:rPr>
        <w:t xml:space="preserve"> Cir. </w:t>
      </w:r>
      <w:r w:rsidRPr="00576ED7">
        <w:rPr>
          <w:szCs w:val="24"/>
        </w:rPr>
        <w:t>1933).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 owned stock in several different companies.  He sold 100 shares of IBM stock for a nice profit and incurred a brokerage commission of $500.  For tax pu</w:t>
      </w:r>
      <w:r w:rsidRPr="00576ED7">
        <w:rPr>
          <w:szCs w:val="24"/>
        </w:rPr>
        <w:t>r</w:t>
      </w:r>
      <w:r w:rsidRPr="00576ED7">
        <w:rPr>
          <w:szCs w:val="24"/>
        </w:rPr>
        <w:t>poses, how should S treat the brokerage commissions?</w:t>
      </w:r>
    </w:p>
    <w:p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w:t>
      </w:r>
      <w:r w:rsidRPr="00576ED7">
        <w:rPr>
          <w:szCs w:val="24"/>
        </w:rPr>
        <w:t>e</w:t>
      </w:r>
      <w:r w:rsidRPr="00576ED7">
        <w:rPr>
          <w:szCs w:val="24"/>
        </w:rPr>
        <w:t>crease in his “amount realized?”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Pr="00576ED7">
        <w:rPr>
          <w:szCs w:val="24"/>
        </w:rPr>
        <w:t>, 315 U.S. 626 (1942).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4.  W purchased the IBM stock that S sold, </w:t>
      </w:r>
      <w:r w:rsidRPr="00576ED7">
        <w:rPr>
          <w:i/>
          <w:szCs w:val="24"/>
        </w:rPr>
        <w:t>supra</w:t>
      </w:r>
      <w:r w:rsidRPr="00576ED7">
        <w:rPr>
          <w:szCs w:val="24"/>
        </w:rPr>
        <w:t>.  W incurred a brokerage co</w:t>
      </w:r>
      <w:r w:rsidRPr="00576ED7">
        <w:rPr>
          <w:szCs w:val="24"/>
        </w:rPr>
        <w:t>m</w:t>
      </w:r>
      <w:r w:rsidRPr="00576ED7">
        <w:rPr>
          <w:szCs w:val="24"/>
        </w:rPr>
        <w:t>mission of $500.  For tax purposes, how should W treat the brokerage commi</w:t>
      </w:r>
      <w:r w:rsidRPr="00576ED7">
        <w:rPr>
          <w:szCs w:val="24"/>
        </w:rPr>
        <w:t>s</w:t>
      </w:r>
      <w:r w:rsidRPr="00576ED7">
        <w:rPr>
          <w:szCs w:val="24"/>
        </w:rPr>
        <w:t>sions?</w:t>
      </w:r>
    </w:p>
    <w:p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w:t>
      </w:r>
      <w:r w:rsidRPr="00576ED7">
        <w:rPr>
          <w:szCs w:val="24"/>
        </w:rPr>
        <w:t>n</w:t>
      </w:r>
      <w:r w:rsidRPr="00576ED7">
        <w:rPr>
          <w:szCs w:val="24"/>
        </w:rPr>
        <w:t>crease in his basis?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w:t>
      </w:r>
      <w:r w:rsidRPr="00576ED7">
        <w:rPr>
          <w:szCs w:val="24"/>
        </w:rPr>
        <w:t>e</w:t>
      </w:r>
      <w:r w:rsidRPr="00576ED7">
        <w:rPr>
          <w:szCs w:val="24"/>
        </w:rPr>
        <w:t>tween such activity and the tax treatment we accord imputed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sole issue whether, for federal income tax purposes, a ta</w:t>
      </w:r>
      <w:r w:rsidRPr="00576ED7">
        <w:rPr>
          <w:szCs w:val="24"/>
        </w:rPr>
        <w:t>x</w:t>
      </w:r>
      <w:r w:rsidRPr="00576ED7">
        <w:rPr>
          <w:szCs w:val="24"/>
        </w:rPr>
        <w:t>payer is entitled to a deduction from gross income, under [I.R.C.] § 167(a) ...</w:t>
      </w:r>
      <w:r w:rsidRPr="00576ED7">
        <w:rPr>
          <w:rStyle w:val="FootnoteReference"/>
          <w:szCs w:val="24"/>
        </w:rPr>
        <w:footnoteReference w:id="89"/>
      </w:r>
      <w:r w:rsidRPr="00576ED7">
        <w:rPr>
          <w:szCs w:val="24"/>
        </w:rPr>
        <w:t xml:space="preserve"> ... for depreciation on equipment the taxpayer owns and uses in the construction of its own capital facilities, or whether the capitalization provision of § 263(a)(1) of the Code</w:t>
      </w:r>
      <w:r w:rsidRPr="00576ED7">
        <w:rPr>
          <w:rStyle w:val="FootnoteReference"/>
          <w:szCs w:val="24"/>
        </w:rPr>
        <w:footnoteReference w:id="90"/>
      </w:r>
      <w:r w:rsidRPr="00576ED7">
        <w:rPr>
          <w:szCs w:val="24"/>
        </w:rPr>
        <w:t xml:space="preserve"> ..., bars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w:t>
      </w:r>
      <w:r w:rsidRPr="00576ED7">
        <w:rPr>
          <w:szCs w:val="24"/>
        </w:rPr>
        <w:t>x</w:t>
      </w:r>
      <w:r w:rsidRPr="00576ED7">
        <w:rPr>
          <w:szCs w:val="24"/>
        </w:rPr>
        <w:t>payer keeps its books and files its federal income tax returns on the calendar year accrual basis. The tax years at issue are 1962 and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w:t>
      </w:r>
      <w:r w:rsidRPr="00576ED7">
        <w:rPr>
          <w:szCs w:val="24"/>
        </w:rPr>
        <w:t>i</w:t>
      </w:r>
      <w:r w:rsidRPr="00576ED7">
        <w:rPr>
          <w:szCs w:val="24"/>
        </w:rPr>
        <w:t>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w:t>
      </w:r>
      <w:r w:rsidRPr="00576ED7">
        <w:rPr>
          <w:szCs w:val="24"/>
        </w:rPr>
        <w:t>s</w:t>
      </w:r>
      <w:r w:rsidRPr="00576ED7">
        <w:rPr>
          <w:szCs w:val="24"/>
        </w:rPr>
        <w:t>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816F85" w:rsidRPr="00576ED7" w:rsidRDefault="00816F85" w:rsidP="00A6585D">
      <w:pPr>
        <w:widowControl w:val="0"/>
        <w:jc w:val="both"/>
        <w:rPr>
          <w:szCs w:val="24"/>
        </w:rPr>
      </w:pPr>
    </w:p>
    <w:p w:rsidR="0049128E" w:rsidRPr="00576ED7" w:rsidRDefault="0049128E" w:rsidP="00A6585D">
      <w:pPr>
        <w:widowControl w:val="0"/>
        <w:jc w:val="both"/>
        <w:rPr>
          <w:szCs w:val="24"/>
        </w:rPr>
      </w:pPr>
      <w:r w:rsidRPr="00576ED7">
        <w:rPr>
          <w:szCs w:val="24"/>
        </w:rPr>
        <w:t>... [O]n its books, in accordance with Federal Power Commission-Idaho Public Utilities Commission prescribed methods, the taxpayer capitalized the constru</w:t>
      </w:r>
      <w:r w:rsidRPr="00576ED7">
        <w:rPr>
          <w:szCs w:val="24"/>
        </w:rPr>
        <w:t>c</w:t>
      </w:r>
      <w:r w:rsidRPr="00576ED7">
        <w:rPr>
          <w:szCs w:val="24"/>
        </w:rPr>
        <w:t>tion-related depreciation, but, for income tax purposes, that depreciation incr</w:t>
      </w:r>
      <w:r w:rsidRPr="00576ED7">
        <w:rPr>
          <w:szCs w:val="24"/>
        </w:rPr>
        <w:t>e</w:t>
      </w:r>
      <w:r w:rsidRPr="00576ED7">
        <w:rPr>
          <w:szCs w:val="24"/>
        </w:rPr>
        <w:t>ment was [computed on a composite life of ten years under straight-line and d</w:t>
      </w:r>
      <w:r w:rsidRPr="00576ED7">
        <w:rPr>
          <w:szCs w:val="24"/>
        </w:rPr>
        <w:t>e</w:t>
      </w:r>
      <w:r w:rsidRPr="00576ED7">
        <w:rPr>
          <w:szCs w:val="24"/>
        </w:rPr>
        <w:t>clining balance methods, and] claimed as a deduction under § 167(a).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Upon audit, the Commissioner ... disallowed the deduction for the construction-related depreciation. He ruled that that depreciation was a nondeductible capital expenditure to which § 263(a)(1) had application. He added the amount of the d</w:t>
      </w:r>
      <w:r w:rsidRPr="00576ED7">
        <w:rPr>
          <w:szCs w:val="24"/>
        </w:rPr>
        <w:t>e</w:t>
      </w:r>
      <w:r w:rsidRPr="00576ED7">
        <w:rPr>
          <w:szCs w:val="24"/>
        </w:rPr>
        <w:lastRenderedPageBreak/>
        <w:t>preciation so disallowed to the taxpayer’s adjusted basis in its capital facilities, and then allowed a deduction for an appropriate amount of depreciation on the addition, computed over the useful life (30 years or more) of the property co</w:t>
      </w:r>
      <w:r w:rsidRPr="00576ED7">
        <w:rPr>
          <w:szCs w:val="24"/>
        </w:rPr>
        <w:t>n</w:t>
      </w:r>
      <w:r w:rsidRPr="00576ED7">
        <w:rPr>
          <w:szCs w:val="24"/>
        </w:rPr>
        <w:t>structed. A deduction for depreciation of the transportation equipment to the e</w:t>
      </w:r>
      <w:r w:rsidRPr="00576ED7">
        <w:rPr>
          <w:szCs w:val="24"/>
        </w:rPr>
        <w:t>x</w:t>
      </w:r>
      <w:r w:rsidRPr="00576ED7">
        <w:rPr>
          <w:szCs w:val="24"/>
        </w:rPr>
        <w:t>tent of its use in day-to-day operation and maintenance was also allowed. The r</w:t>
      </w:r>
      <w:r w:rsidRPr="00576ED7">
        <w:rPr>
          <w:szCs w:val="24"/>
        </w:rPr>
        <w:t>e</w:t>
      </w:r>
      <w:r w:rsidRPr="00576ED7">
        <w:rPr>
          <w:szCs w:val="24"/>
        </w:rPr>
        <w:t>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agreed with the [Commissioner.]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w:t>
      </w:r>
      <w:r w:rsidRPr="00576ED7">
        <w:rPr>
          <w:szCs w:val="24"/>
        </w:rPr>
        <w:t>o</w:t>
      </w:r>
      <w:r w:rsidRPr="00576ED7">
        <w:rPr>
          <w:szCs w:val="24"/>
        </w:rPr>
        <w:t>vision for replacement. The court concluded that a deduction expressly enumera</w:t>
      </w:r>
      <w:r w:rsidRPr="00576ED7">
        <w:rPr>
          <w:szCs w:val="24"/>
        </w:rPr>
        <w:t>t</w:t>
      </w:r>
      <w:r w:rsidRPr="00576ED7">
        <w:rPr>
          <w:szCs w:val="24"/>
        </w:rPr>
        <w:t>ed in the Code, such as that for depreciation, may properly be taken, and that “no exception is made should it relate to a capital item.” Section 263(a)(1) ... was found not to be applicable, because depreciation is not an “amount paid out,” as required by that section.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asserts that its transportation equipment is used in its “trade or bus</w:t>
      </w:r>
      <w:r w:rsidRPr="00576ED7">
        <w:rPr>
          <w:szCs w:val="24"/>
        </w:rPr>
        <w:t>i</w:t>
      </w:r>
      <w:r w:rsidRPr="00576ED7">
        <w:rPr>
          <w:szCs w:val="24"/>
        </w:rPr>
        <w:t>ness,” and that depreciation thereon is therefore deductible under § 167(a)(1) ... The Commissioner concedes that § 167 may be said to have a literal application to depreciation on equipment used in capital construction,</w:t>
      </w:r>
      <w:r w:rsidRPr="00576ED7">
        <w:rPr>
          <w:rStyle w:val="FootnoteReference"/>
          <w:szCs w:val="24"/>
        </w:rPr>
        <w:footnoteReference w:id="91"/>
      </w:r>
      <w:r w:rsidRPr="00576ED7">
        <w:rPr>
          <w:szCs w:val="24"/>
        </w:rPr>
        <w:t xml:space="preserve">  but contends that the provision must be read in light of § 263(a)(1), which specifically disallows any deduction for an amount “paid out for new buildings or for permanent improv</w:t>
      </w:r>
      <w:r w:rsidRPr="00576ED7">
        <w:rPr>
          <w:szCs w:val="24"/>
        </w:rPr>
        <w:t>e</w:t>
      </w:r>
      <w:r w:rsidRPr="00576ED7">
        <w:rPr>
          <w:szCs w:val="24"/>
        </w:rPr>
        <w:t>ments or betterments.” He argues that § 263 takes precedence over § 167 by vi</w:t>
      </w:r>
      <w:r w:rsidRPr="00576ED7">
        <w:rPr>
          <w:szCs w:val="24"/>
        </w:rPr>
        <w:t>r</w:t>
      </w:r>
      <w:r w:rsidRPr="00576ED7">
        <w:rPr>
          <w:szCs w:val="24"/>
        </w:rPr>
        <w:t xml:space="preserve">tue of what he calls the “priority-ordering” terms (and what the taxpayer describes </w:t>
      </w:r>
      <w:r w:rsidRPr="00576ED7">
        <w:rPr>
          <w:szCs w:val="24"/>
        </w:rPr>
        <w:lastRenderedPageBreak/>
        <w:t>as “housekeeping” provisions) of § 161 of the Code</w:t>
      </w:r>
      <w:r w:rsidRPr="00576ED7">
        <w:rPr>
          <w:rStyle w:val="FootnoteReference"/>
          <w:szCs w:val="24"/>
        </w:rPr>
        <w:footnoteReference w:id="92"/>
      </w:r>
      <w:r w:rsidRPr="00576ED7">
        <w:rPr>
          <w:szCs w:val="24"/>
        </w:rPr>
        <w:t xml:space="preserve"> ... and that sound principles of accounting and taxation mandate the capitalization of this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worth noting the various items that are not at issue here. ... There is no dis</w:t>
      </w:r>
      <w:r w:rsidRPr="00576ED7">
        <w:rPr>
          <w:szCs w:val="24"/>
        </w:rPr>
        <w:t>a</w:t>
      </w:r>
      <w:r w:rsidRPr="00576ED7">
        <w:rPr>
          <w:szCs w:val="24"/>
        </w:rPr>
        <w:t>greement as to the allocation of depreciation between construction and maint</w:t>
      </w:r>
      <w:r w:rsidRPr="00576ED7">
        <w:rPr>
          <w:szCs w:val="24"/>
        </w:rPr>
        <w:t>e</w:t>
      </w:r>
      <w:r w:rsidRPr="00576ED7">
        <w:rPr>
          <w:szCs w:val="24"/>
        </w:rPr>
        <w:t>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Our primary concern is with the necessity to treat construction-related depreci</w:t>
      </w:r>
      <w:r w:rsidRPr="00576ED7">
        <w:rPr>
          <w:szCs w:val="24"/>
        </w:rPr>
        <w:t>a</w:t>
      </w:r>
      <w:r w:rsidRPr="00576ED7">
        <w:rPr>
          <w:szCs w:val="24"/>
        </w:rPr>
        <w:t>tion in a manner that comports with accounting and taxation realities. Over a per</w:t>
      </w:r>
      <w:r w:rsidRPr="00576ED7">
        <w:rPr>
          <w:szCs w:val="24"/>
        </w:rPr>
        <w:t>i</w:t>
      </w:r>
      <w:r w:rsidRPr="00576ED7">
        <w:rPr>
          <w:szCs w:val="24"/>
        </w:rPr>
        <w:t>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3"/>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w:t>
      </w:r>
      <w:r w:rsidRPr="00576ED7">
        <w:rPr>
          <w:szCs w:val="24"/>
        </w:rPr>
        <w:t>i</w:t>
      </w:r>
      <w:r w:rsidRPr="00576ED7">
        <w:rPr>
          <w:szCs w:val="24"/>
        </w:rPr>
        <w:t xml:space="preserve">ods of benefit usually correlate with the production of income. Thus, to the extent </w:t>
      </w:r>
      <w:r w:rsidRPr="00576ED7">
        <w:rPr>
          <w:szCs w:val="24"/>
        </w:rPr>
        <w:lastRenderedPageBreak/>
        <w:t>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w:t>
      </w:r>
      <w:r w:rsidRPr="00576ED7">
        <w:rPr>
          <w:szCs w:val="24"/>
        </w:rPr>
        <w:t>m</w:t>
      </w:r>
      <w:r w:rsidRPr="00576ED7">
        <w:rPr>
          <w:szCs w:val="24"/>
        </w:rPr>
        <w:t>selves. In this latter situation, the cost represented by depreciation does not corr</w:t>
      </w:r>
      <w:r w:rsidRPr="00576ED7">
        <w:rPr>
          <w:szCs w:val="24"/>
        </w:rPr>
        <w:t>e</w:t>
      </w:r>
      <w:r w:rsidRPr="00576ED7">
        <w:rPr>
          <w:szCs w:val="24"/>
        </w:rPr>
        <w:t>late with production of current income. Rather, the cost, although certainly pre</w:t>
      </w:r>
      <w:r w:rsidRPr="00576ED7">
        <w:rPr>
          <w:szCs w:val="24"/>
        </w:rPr>
        <w:t>s</w:t>
      </w:r>
      <w:r w:rsidRPr="00576ED7">
        <w:rPr>
          <w:szCs w:val="24"/>
        </w:rPr>
        <w:t>ently incurred, is related to the future and is appropriately allocated as part of the cost of acquiring an income-producing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319 U.S. 98, 101 (1943), endorse a theory of replacement through “a fund to restore the property.” Although tax-free replacement of a d</w:t>
      </w:r>
      <w:r w:rsidRPr="00576ED7">
        <w:rPr>
          <w:szCs w:val="24"/>
        </w:rPr>
        <w:t>e</w:t>
      </w:r>
      <w:r w:rsidRPr="00576ED7">
        <w:rPr>
          <w:szCs w:val="24"/>
        </w:rPr>
        <w:t xml:space="preserv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rsidR="0049128E" w:rsidRPr="00576ED7" w:rsidRDefault="0049128E" w:rsidP="00A6585D">
      <w:pPr>
        <w:widowControl w:val="0"/>
        <w:jc w:val="both"/>
        <w:rPr>
          <w:szCs w:val="24"/>
        </w:rPr>
      </w:pPr>
    </w:p>
    <w:p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rsidR="00355EF3" w:rsidRDefault="00355EF3" w:rsidP="00355EF3">
      <w:pPr>
        <w:widowControl w:val="0"/>
        <w:ind w:left="720"/>
        <w:jc w:val="both"/>
        <w:rPr>
          <w:szCs w:val="24"/>
        </w:rPr>
      </w:pPr>
    </w:p>
    <w:p w:rsidR="0049128E" w:rsidRPr="00576ED7" w:rsidRDefault="0049128E" w:rsidP="00355EF3">
      <w:pPr>
        <w:widowControl w:val="0"/>
        <w:jc w:val="both"/>
        <w:rPr>
          <w:szCs w:val="24"/>
        </w:rPr>
      </w:pPr>
      <w:r w:rsidRPr="00576ED7">
        <w:rPr>
          <w:szCs w:val="24"/>
        </w:rPr>
        <w:t>Even were we to look to replacement, it is the replacement of the constructed f</w:t>
      </w:r>
      <w:r w:rsidRPr="00576ED7">
        <w:rPr>
          <w:szCs w:val="24"/>
        </w:rPr>
        <w:t>a</w:t>
      </w:r>
      <w:r w:rsidRPr="00576ED7">
        <w:rPr>
          <w:szCs w:val="24"/>
        </w:rPr>
        <w:t>cilities, not the equipment used to build them, with which we would be concerned. If the taxpayer now were to decide not to construct any more capital facilities with its own equipment and employees, it, in theory, would have no occasion to r</w:t>
      </w:r>
      <w:r w:rsidRPr="00576ED7">
        <w:rPr>
          <w:szCs w:val="24"/>
        </w:rPr>
        <w:t>e</w:t>
      </w:r>
      <w:r w:rsidRPr="00576ED7">
        <w:rPr>
          <w:szCs w:val="24"/>
        </w:rPr>
        <w:t>place its equipment to the extent that it was consumed in prior construction.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94"/>
      </w:r>
      <w:r w:rsidRPr="00576ED7">
        <w:rPr>
          <w:szCs w:val="24"/>
        </w:rPr>
        <w:t xml:space="preserve"> and established tax principles require the capital</w:t>
      </w:r>
      <w:r w:rsidRPr="00576ED7">
        <w:rPr>
          <w:szCs w:val="24"/>
        </w:rPr>
        <w:t>i</w:t>
      </w:r>
      <w:r w:rsidRPr="00576ED7">
        <w:rPr>
          <w:szCs w:val="24"/>
        </w:rPr>
        <w:lastRenderedPageBreak/>
        <w:t xml:space="preserve">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w:t>
      </w:r>
      <w:r w:rsidRPr="00576ED7">
        <w:rPr>
          <w:szCs w:val="24"/>
        </w:rPr>
        <w:t>n</w:t>
      </w:r>
      <w:r w:rsidRPr="00576ED7">
        <w:rPr>
          <w:szCs w:val="24"/>
        </w:rPr>
        <w:t>eral matter, that costs incurred in the acquisition ... of a capital asset are to be treated as capital expenditures.</w:t>
      </w:r>
      <w:r w:rsidR="00355EF3">
        <w:rPr>
          <w:szCs w:val="24"/>
        </w:rPr>
        <w:t xml:space="preserve">”  </w:t>
      </w:r>
      <w:r w:rsidRPr="00576ED7">
        <w:rPr>
          <w:szCs w:val="24"/>
        </w:rPr>
        <w:t>This principle has obvious application to the a</w:t>
      </w:r>
      <w:r w:rsidRPr="00576ED7">
        <w:rPr>
          <w:szCs w:val="24"/>
        </w:rPr>
        <w:t>c</w:t>
      </w:r>
      <w:r w:rsidRPr="00576ED7">
        <w:rPr>
          <w:szCs w:val="24"/>
        </w:rPr>
        <w:t>quisition of a capital asset by purchase, but it has been applied, as well, to the costs incurred in a taxpayer’s construction of capital facilities. [citations omitted].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 But when wages are paid in co</w:t>
      </w:r>
      <w:r w:rsidRPr="00576ED7">
        <w:rPr>
          <w:szCs w:val="24"/>
        </w:rPr>
        <w:t>n</w:t>
      </w:r>
      <w:r w:rsidRPr="00576ED7">
        <w:rPr>
          <w:szCs w:val="24"/>
        </w:rPr>
        <w:t>nection with the construction or acquisition of a capital asset, they must be cap</w:t>
      </w:r>
      <w:r w:rsidRPr="00576ED7">
        <w:rPr>
          <w:szCs w:val="24"/>
        </w:rPr>
        <w:t>i</w:t>
      </w:r>
      <w:r w:rsidRPr="00576ED7">
        <w:rPr>
          <w:szCs w:val="24"/>
        </w:rPr>
        <w:t>talized, and are then entitled to be amortized over the life of the capital asset so acquired.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Construction-related depreciation is not unlike expenditures for wages for co</w:t>
      </w:r>
      <w:r w:rsidRPr="00576ED7">
        <w:rPr>
          <w:szCs w:val="24"/>
        </w:rPr>
        <w:t>n</w:t>
      </w:r>
      <w:r w:rsidRPr="00576ED7">
        <w:rPr>
          <w:szCs w:val="24"/>
        </w:rPr>
        <w:t>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w:t>
      </w:r>
      <w:r w:rsidRPr="00576ED7">
        <w:rPr>
          <w:szCs w:val="24"/>
        </w:rPr>
        <w:t>p</w:t>
      </w:r>
      <w:r w:rsidRPr="00576ED7">
        <w:rPr>
          <w:szCs w:val="24"/>
        </w:rPr>
        <w:t>ment is not an expense to the taxpayer of its day-to-day business. It is, however, appropriately recognized as a part of the taxpayer’s cost or investment in the cap</w:t>
      </w:r>
      <w:r w:rsidRPr="00576ED7">
        <w:rPr>
          <w:szCs w:val="24"/>
        </w:rPr>
        <w:t>i</w:t>
      </w:r>
      <w:r w:rsidRPr="00576ED7">
        <w:rPr>
          <w:szCs w:val="24"/>
        </w:rPr>
        <w:t>tal asset. ... By the same token, this capitalization prevents the distortion of i</w:t>
      </w:r>
      <w:r w:rsidRPr="00576ED7">
        <w:rPr>
          <w:szCs w:val="24"/>
        </w:rPr>
        <w:t>n</w:t>
      </w:r>
      <w:r w:rsidRPr="00576ED7">
        <w:rPr>
          <w:szCs w:val="24"/>
        </w:rPr>
        <w:t>come that would otherwise occur if depreciation properly allocable to asset acqu</w:t>
      </w:r>
      <w:r w:rsidRPr="00576ED7">
        <w:rPr>
          <w:szCs w:val="24"/>
        </w:rPr>
        <w:t>i</w:t>
      </w:r>
      <w:r w:rsidRPr="00576ED7">
        <w:rPr>
          <w:szCs w:val="24"/>
        </w:rPr>
        <w:t>sition were deducted from gross income currently realized.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additional pertinent factor is that capitalization of construction-related depr</w:t>
      </w:r>
      <w:r w:rsidRPr="00576ED7">
        <w:rPr>
          <w:szCs w:val="24"/>
        </w:rPr>
        <w:t>e</w:t>
      </w:r>
      <w:r w:rsidRPr="00576ED7">
        <w:rPr>
          <w:szCs w:val="24"/>
        </w:rPr>
        <w:t>ciation by the taxpayer who does its own construction work maintains tax parity with the taxpayer who has its construction work done by an independent contra</w:t>
      </w:r>
      <w:r w:rsidRPr="00576ED7">
        <w:rPr>
          <w:szCs w:val="24"/>
        </w:rPr>
        <w:t>c</w:t>
      </w:r>
      <w:r w:rsidRPr="00576ED7">
        <w:rPr>
          <w:szCs w:val="24"/>
        </w:rPr>
        <w:t>tor. The depreciation on the contractor’s equipment incurred during the perfo</w:t>
      </w:r>
      <w:r w:rsidRPr="00576ED7">
        <w:rPr>
          <w:szCs w:val="24"/>
        </w:rPr>
        <w:t>r</w:t>
      </w:r>
      <w:r w:rsidRPr="00576ED7">
        <w:rPr>
          <w:szCs w:val="24"/>
        </w:rPr>
        <w:t>mance of the job will be an element of cost charged by the contractor for his co</w:t>
      </w:r>
      <w:r w:rsidRPr="00576ED7">
        <w:rPr>
          <w:szCs w:val="24"/>
        </w:rPr>
        <w:t>n</w:t>
      </w:r>
      <w:r w:rsidRPr="00576ED7">
        <w:rPr>
          <w:szCs w:val="24"/>
        </w:rPr>
        <w:t>struction services, and the entire cost, of course, must be capitalized by the ta</w:t>
      </w:r>
      <w:r w:rsidRPr="00576ED7">
        <w:rPr>
          <w:szCs w:val="24"/>
        </w:rPr>
        <w:t>x</w:t>
      </w:r>
      <w:r w:rsidRPr="00576ED7">
        <w:rPr>
          <w:szCs w:val="24"/>
        </w:rPr>
        <w:t xml:space="preserve">payer having the construction work performed. The Court of Appeals’ holding would lead to disparate treatment among taxpayers, because it would allow the </w:t>
      </w:r>
      <w:r w:rsidRPr="00576ED7">
        <w:rPr>
          <w:szCs w:val="24"/>
        </w:rPr>
        <w:lastRenderedPageBreak/>
        <w:t>firm with sufficient resources to construct its own facilities and to obtain a current deduction, whereas another firm without such resources would be required to ca</w:t>
      </w:r>
      <w:r w:rsidRPr="00576ED7">
        <w:rPr>
          <w:szCs w:val="24"/>
        </w:rPr>
        <w:t>p</w:t>
      </w:r>
      <w:r w:rsidRPr="00576ED7">
        <w:rPr>
          <w:szCs w:val="24"/>
        </w:rPr>
        <w:t>italize its entire cost, including depreciation charged to it by the contractor.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argued that the language of § 263(a)(1), which denies a current dedu</w:t>
      </w:r>
      <w:r w:rsidRPr="00576ED7">
        <w:rPr>
          <w:szCs w:val="24"/>
        </w:rPr>
        <w:t>c</w:t>
      </w:r>
      <w:r w:rsidRPr="00576ED7">
        <w:rPr>
          <w:szCs w:val="24"/>
        </w:rPr>
        <w:t>tion for “new buildings or for permanent improvements or betterments,” only a</w:t>
      </w:r>
      <w:r w:rsidRPr="00576ED7">
        <w:rPr>
          <w:szCs w:val="24"/>
        </w:rPr>
        <w:t>p</w:t>
      </w:r>
      <w:r w:rsidRPr="00576ED7">
        <w:rPr>
          <w:szCs w:val="24"/>
        </w:rPr>
        <w:t>plies when taxpayer has “paid out” an “amount.”  Depreciation, taxpayer argued, represented a decrease in value – not an “amount ... paid out.”  The Court rejected this limitation on § 263's applicability.  Instead, the Court accepted the IRS’s a</w:t>
      </w:r>
      <w:r w:rsidRPr="00576ED7">
        <w:rPr>
          <w:szCs w:val="24"/>
        </w:rPr>
        <w:t>d</w:t>
      </w:r>
      <w:r w:rsidRPr="00576ED7">
        <w:rPr>
          <w:szCs w:val="24"/>
        </w:rPr>
        <w:t xml:space="preserve">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priority-ordering directive of § 161 – or, for that matter, ... § 261</w:t>
      </w:r>
      <w:r w:rsidRPr="00576ED7">
        <w:rPr>
          <w:rStyle w:val="FootnoteReference"/>
          <w:szCs w:val="24"/>
        </w:rPr>
        <w:footnoteReference w:id="95"/>
      </w:r>
      <w:r w:rsidRPr="00576ED7">
        <w:rPr>
          <w:szCs w:val="24"/>
        </w:rPr>
        <w:t xml:space="preserve"> – requires that the capitalization provision of § 263(a) take precedence, on the facts here, over § 167(a). Section 161 provides that deductions specified in Part VI of Subchapter B of the Income Tax Subtitle of the Code are “subject to the exce</w:t>
      </w:r>
      <w:r w:rsidRPr="00576ED7">
        <w:rPr>
          <w:szCs w:val="24"/>
        </w:rPr>
        <w:t>p</w:t>
      </w:r>
      <w:r w:rsidRPr="00576ED7">
        <w:rPr>
          <w:szCs w:val="24"/>
        </w:rPr>
        <w:t>tions provided in part IX.” Part VI includes § 167, and Part IX includes § 263. The clear import of § 161 is that, with stated exceptions set forth either in § 263 itself or provided for elsewhere (as, for example, in § 404, relating to pension contributions), none of which is applicable here, an expenditure incurred in a</w:t>
      </w:r>
      <w:r w:rsidRPr="00576ED7">
        <w:rPr>
          <w:szCs w:val="24"/>
        </w:rPr>
        <w:t>c</w:t>
      </w:r>
      <w:r w:rsidRPr="00576ED7">
        <w:rPr>
          <w:szCs w:val="24"/>
        </w:rPr>
        <w:t>quiring capital assets must be capitalized even when the expenditure otherwise might be deemed deductible under Part VI.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concluded, without reference to § 161, that § 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 161. To the extent </w:t>
      </w:r>
      <w:r w:rsidRPr="00576ED7">
        <w:rPr>
          <w:szCs w:val="24"/>
        </w:rPr>
        <w:lastRenderedPageBreak/>
        <w:t>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w:t>
      </w:r>
      <w:r w:rsidRPr="00576ED7">
        <w:rPr>
          <w:szCs w:val="24"/>
        </w:rPr>
        <w:t>t</w:t>
      </w:r>
      <w:r w:rsidRPr="00576ED7">
        <w:rPr>
          <w:szCs w:val="24"/>
        </w:rPr>
        <w:t xml:space="preserve">ing.” </w:t>
      </w:r>
      <w:r w:rsidRPr="00576ED7">
        <w:rPr>
          <w:i/>
          <w:szCs w:val="24"/>
        </w:rPr>
        <w:t>Id</w:t>
      </w:r>
      <w:r w:rsidRPr="00576ED7">
        <w:rPr>
          <w:szCs w:val="24"/>
        </w:rPr>
        <w:t>. at 24. To be sure, the 1954 Code provided for new and accelerated met</w:t>
      </w:r>
      <w:r w:rsidRPr="00576ED7">
        <w:rPr>
          <w:szCs w:val="24"/>
        </w:rPr>
        <w:t>h</w:t>
      </w:r>
      <w:r w:rsidRPr="00576ED7">
        <w:rPr>
          <w:szCs w:val="24"/>
        </w:rPr>
        <w:t>ods for depreciation, resulting in the greater depreciation deductions currently available. These changes, however, relate primarily to computation of depreci</w:t>
      </w:r>
      <w:r w:rsidRPr="00576ED7">
        <w:rPr>
          <w:szCs w:val="24"/>
        </w:rPr>
        <w:t>a</w:t>
      </w:r>
      <w:r w:rsidRPr="00576ED7">
        <w:rPr>
          <w:szCs w:val="24"/>
        </w:rPr>
        <w:t>tion. Congress certainly did not intend that provisions for accelerated depreciation should be construed as enlarging the class of depreciable assets to which § 167(a) has application or as lessening the reach of § 263(a).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5648" behindDoc="0" locked="0" layoutInCell="0" allowOverlap="1" wp14:anchorId="6D72774E" wp14:editId="5B57E7A4">
                <wp:simplePos x="0" y="0"/>
                <wp:positionH relativeFrom="margin">
                  <wp:posOffset>2058670</wp:posOffset>
                </wp:positionH>
                <wp:positionV relativeFrom="paragraph">
                  <wp:posOffset>635</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162.1pt;margin-top:.05pt;width:234pt;height:104.6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CC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ZjKtrEQaS5gfaI3DqYWhxHEoUe3HdKBmzvmvpve+YE&#10;Jeq9wfpcLXB6cB4uFXepNJcKMxyhahoomcRNmGZob53c9ehp6ggDt1jTTia2n6M6xY8tnIpwGrc4&#10;I5d6snr+FNY/AAAA//8DAFBLAwQUAAYACAAAACEAWd6tWtoAAAAIAQAADwAAAGRycy9kb3ducmV2&#10;LnhtbEyPwU7DMBBE70j8g7VI3KiDqYCGOBWKxL0JRXB04yWOiNchdpvw92xPcBy90ezbYrv4QZxw&#10;in0gDberDARSG2xPnYb968vNI4iYDFkzBEINPxhhW15eFCa3YaYaT03qBI9QzI0Gl9KYSxlbh97E&#10;VRiRmH2GyZvEceqknczM436QKsvupTc98QVnRqwctl/N0WsIdV29qeZ7917Nturm3ZLGD6f19dXy&#10;/AQi4ZL+ynDWZ3Uo2ekQjmSjGDTcqbXi6hkIxg8bxfGgQWWbNciykP8fKH8BAAD//wMAUEsBAi0A&#10;FAAGAAgAAAAhALaDOJL+AAAA4QEAABMAAAAAAAAAAAAAAAAAAAAAAFtDb250ZW50X1R5cGVzXS54&#10;bWxQSwECLQAUAAYACAAAACEAOP0h/9YAAACUAQAACwAAAAAAAAAAAAAAAAAvAQAAX3JlbHMvLnJl&#10;bHNQSwECLQAUAAYACAAAACEArhGAgioCAABcBAAADgAAAAAAAAAAAAAAAAAuAgAAZHJzL2Uyb0Rv&#10;Yy54bWxQSwECLQAUAAYACAAAACEAWd6tWtoAAAAIAQAADwAAAAAAAAAAAAAAAACEBAAAZHJzL2Rv&#10;d25yZXYueG1sUEsFBgAAAAAEAAQA8wAAAIsFA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w:t>
                      </w:r>
                      <w:r>
                        <w:rPr>
                          <w:rFonts w:ascii="Tw Cen MT" w:hAnsi="Tw Cen MT"/>
                        </w:rPr>
                        <w:t>d</w:t>
                      </w:r>
                      <w:r>
                        <w:rPr>
                          <w:rFonts w:ascii="Tw Cen MT" w:hAnsi="Tw Cen MT"/>
                        </w:rPr>
                        <w:t>eral income tax purposes”).  For what purpo</w:t>
                      </w:r>
                      <w:r>
                        <w:rPr>
                          <w:rFonts w:ascii="Tw Cen MT" w:hAnsi="Tw Cen MT"/>
                        </w:rPr>
                        <w:t>s</w:t>
                      </w:r>
                      <w:r>
                        <w:rPr>
                          <w:rFonts w:ascii="Tw Cen MT" w:hAnsi="Tw Cen MT"/>
                        </w:rPr>
                        <w:t>es does taxpayer keep each set of books? Do you think that they would ever be different? Why or why not?</w:t>
                      </w:r>
                    </w:p>
                  </w:txbxContent>
                </v:textbox>
                <w10:wrap type="square" side="largest" anchorx="margin"/>
              </v:shape>
            </w:pict>
          </mc:Fallback>
        </mc:AlternateContent>
      </w:r>
      <w:r w:rsidR="0049128E" w:rsidRPr="00576ED7">
        <w:rPr>
          <w:szCs w:val="24"/>
        </w:rPr>
        <w:t>1.  The Court noted that the net of taxpayer’s disallowed d</w:t>
      </w:r>
      <w:r w:rsidR="0049128E" w:rsidRPr="00576ED7">
        <w:rPr>
          <w:szCs w:val="24"/>
        </w:rPr>
        <w:t>e</w:t>
      </w:r>
      <w:r w:rsidR="0049128E" w:rsidRPr="00576ED7">
        <w:rPr>
          <w:szCs w:val="24"/>
        </w:rPr>
        <w:t>preciation deductions were  $140,429.75 and $96,811.95 for 1962 and 1963 respectiv</w:t>
      </w:r>
      <w:r w:rsidR="0049128E" w:rsidRPr="00576ED7">
        <w:rPr>
          <w:szCs w:val="24"/>
        </w:rPr>
        <w:t>e</w:t>
      </w:r>
      <w:r w:rsidR="0049128E" w:rsidRPr="00576ED7">
        <w:rPr>
          <w:szCs w:val="24"/>
        </w:rPr>
        <w:t>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do we allow deductions for depreciation? Is it that –</w:t>
      </w:r>
    </w:p>
    <w:p w:rsidR="0049128E" w:rsidRPr="00576ED7" w:rsidRDefault="0049128E" w:rsidP="00A6585D">
      <w:pPr>
        <w:widowControl w:val="0"/>
        <w:ind w:left="720"/>
        <w:jc w:val="both"/>
        <w:rPr>
          <w:szCs w:val="24"/>
        </w:rPr>
      </w:pPr>
      <w:r w:rsidRPr="00576ED7">
        <w:rPr>
          <w:szCs w:val="24"/>
        </w:rPr>
        <w:t>•”capital assets used in business should not be exhausted without prov</w:t>
      </w:r>
      <w:r w:rsidRPr="00576ED7">
        <w:rPr>
          <w:szCs w:val="24"/>
        </w:rPr>
        <w:t>i</w:t>
      </w:r>
      <w:r w:rsidRPr="00576ED7">
        <w:rPr>
          <w:szCs w:val="24"/>
        </w:rPr>
        <w:t>sion for replacement”?</w:t>
      </w:r>
    </w:p>
    <w:p w:rsidR="0049128E" w:rsidRPr="00576ED7" w:rsidRDefault="0049128E" w:rsidP="00A6585D">
      <w:pPr>
        <w:widowControl w:val="0"/>
        <w:ind w:left="720"/>
        <w:jc w:val="both"/>
        <w:rPr>
          <w:szCs w:val="24"/>
        </w:rPr>
      </w:pPr>
      <w:r w:rsidRPr="00576ED7">
        <w:rPr>
          <w:szCs w:val="24"/>
        </w:rPr>
        <w:t xml:space="preserve">•physical consumption of a capital asset reduces its value and utility and </w:t>
      </w:r>
      <w:r w:rsidRPr="00576ED7">
        <w:rPr>
          <w:szCs w:val="24"/>
        </w:rPr>
        <w:lastRenderedPageBreak/>
        <w:t>allowing a depreciation deduction is implicit recognition of this fact?</w:t>
      </w:r>
    </w:p>
    <w:p w:rsidR="0049128E" w:rsidRPr="00576ED7" w:rsidRDefault="0049128E" w:rsidP="00A6585D">
      <w:pPr>
        <w:widowControl w:val="0"/>
        <w:ind w:left="1440"/>
        <w:jc w:val="both"/>
        <w:rPr>
          <w:szCs w:val="24"/>
        </w:rPr>
      </w:pPr>
      <w:r w:rsidRPr="00576ED7">
        <w:rPr>
          <w:szCs w:val="24"/>
        </w:rPr>
        <w:t>•obsolescence may reduce the usefulness of an asset, even if the asset could still function, e.g., a twenty-year old personal compu</w:t>
      </w:r>
      <w:r w:rsidRPr="00576ED7">
        <w:rPr>
          <w:szCs w:val="24"/>
        </w:rPr>
        <w:t>t</w:t>
      </w:r>
      <w:r w:rsidRPr="00576ED7">
        <w:rPr>
          <w:szCs w:val="24"/>
        </w:rPr>
        <w:t>er?</w:t>
      </w:r>
      <w:r w:rsidR="006A4724">
        <w:rPr>
          <w:szCs w:val="24"/>
        </w:rPr>
        <w:t xml:space="preserve"> </w:t>
      </w:r>
      <w:r w:rsidR="006A4724" w:rsidRPr="006A4724">
        <w:rPr>
          <w:i/>
          <w:szCs w:val="24"/>
        </w:rPr>
        <w:t>See</w:t>
      </w:r>
      <w:r w:rsidR="006A4724">
        <w:rPr>
          <w:szCs w:val="24"/>
        </w:rPr>
        <w:t xml:space="preserve"> the Court’s fifth footnote.</w:t>
      </w:r>
    </w:p>
    <w:p w:rsidR="0049128E" w:rsidRPr="00576ED7" w:rsidRDefault="0049128E" w:rsidP="00A6585D">
      <w:pPr>
        <w:widowControl w:val="0"/>
        <w:ind w:left="720"/>
        <w:jc w:val="both"/>
        <w:rPr>
          <w:szCs w:val="24"/>
        </w:rPr>
      </w:pPr>
      <w:r w:rsidRPr="00576ED7">
        <w:rPr>
          <w:szCs w:val="24"/>
        </w:rPr>
        <w:t>•it is necessary ”to allocate the expense of using an asset to the various p</w:t>
      </w:r>
      <w:r w:rsidRPr="00576ED7">
        <w:rPr>
          <w:szCs w:val="24"/>
        </w:rPr>
        <w:t>e</w:t>
      </w:r>
      <w:r w:rsidRPr="00576ED7">
        <w:rPr>
          <w:szCs w:val="24"/>
        </w:rPr>
        <w:t>riods which are benefitted by that asset”?</w:t>
      </w:r>
    </w:p>
    <w:p w:rsidR="0049128E" w:rsidRPr="00576ED7" w:rsidRDefault="0049128E" w:rsidP="00A6585D">
      <w:pPr>
        <w:widowControl w:val="0"/>
        <w:ind w:left="1440"/>
        <w:jc w:val="both"/>
        <w:rPr>
          <w:szCs w:val="24"/>
        </w:rPr>
      </w:pPr>
      <w:r w:rsidRPr="00576ED7">
        <w:rPr>
          <w:szCs w:val="24"/>
        </w:rPr>
        <w:t>•How does your view of depreciation apply to a case where ta</w:t>
      </w:r>
      <w:r w:rsidRPr="00576ED7">
        <w:rPr>
          <w:szCs w:val="24"/>
        </w:rPr>
        <w:t>x</w:t>
      </w:r>
      <w:r w:rsidRPr="00576ED7">
        <w:rPr>
          <w:szCs w:val="24"/>
        </w:rPr>
        <w:t>payer consumes depreciable assets in the construction of income-producing capital assets?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6672" behindDoc="0" locked="0" layoutInCell="0" allowOverlap="1" wp14:anchorId="565E659A" wp14:editId="7E6CBBC7">
                <wp:simplePos x="0" y="0"/>
                <wp:positionH relativeFrom="margin">
                  <wp:posOffset>2108200</wp:posOffset>
                </wp:positionH>
                <wp:positionV relativeFrom="paragraph">
                  <wp:posOffset>530860</wp:posOffset>
                </wp:positionV>
                <wp:extent cx="2971800" cy="866775"/>
                <wp:effectExtent l="0" t="0" r="0" b="0"/>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677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left:0;text-align:left;margin-left:166pt;margin-top:41.8pt;width:234pt;height:68.2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KQIAAFsEAAAOAAAAZHJzL2Uyb0RvYy54bWysVNtu2zAMfR+wfxD0vtgJUCc14hRdugwD&#10;unVAuw+QZdkWJomapMTOvn6UnKbZ7WWYHwRRog4PD0mvb0atyEE4L8FUdD7LKRGGQyNNV9EvT7s3&#10;K0p8YKZhCoyo6FF4erN5/Wo92FIsoAfVCEcQxPhysBXtQ7BllnneC838DKwweNmC0yyg6bqscWxA&#10;dK2yRZ4X2QCusQ648B5P76ZLukn4bSt4eGhbLwJRFUVuIa0urXVcs82alZ1jtpf8RIP9AwvNpMGg&#10;Z6g7FhjZO/kblJbcgYc2zDjoDNpWcpFywGzm+S/ZPPbMipQLiuPtWSb//2D5p8NnR2RT0QLlMUxj&#10;jZ7EGMhbGAkeoT6D9SW6PVp0DCOeY51Trt7eA//qiYFtz0wnbp2DoResQX7z+DK7eDrh+AhSDx+h&#10;wThsHyABja3TUTyUgyA6EjmeaxO5cDxcXC/nqxyvON6timK5vEohWPn82jof3gvQJG4q6rD2CZ0d&#10;7n2IbFj57BKDeVCy2UmlkuG6eqscOTDsk136Tug/uSlDBsxtMb9eTAr8FSNP358wtAzY8UpqTOPs&#10;xMqo2zvTpH4MTKppj5yVOQkZtZtUDGM9pppdFTFCVLmG5ojSOpg6HCcSNz2475QM2N0V9d/2zAlK&#10;1AeD5VkWODw4DpeGuzTqS4MZjlAVDZRM222YRmhvnex6jDQ1hIFbLGkrk9ovrE78sYNTEU7TFkfk&#10;0k5eL/+EzQ8AAAD//wMAUEsDBBQABgAIAAAAIQC0LHTf3QAAAAoBAAAPAAAAZHJzL2Rvd25yZXYu&#10;eG1sTI/BTsMwEETvSPyDtUjcqF1HqqIQp6oicW8CiB7d2MRR43WI3Sb8PcsJjrMzmn1T7lc/spud&#10;4xBQwXYjgFnsghmwV/D2+vKUA4tJo9FjQKvg20bYV/d3pS5MWLCxtzb1jEowFlqBS2kqOI+ds17H&#10;TZgskvcZZq8TybnnZtYLlfuRSyF23OsB6YPTk62d7S7t1SsITVO/y/br+FEvpu6X45qmk1Pq8WE9&#10;PANLdk1/YfjFJ3SoiOkcrmgiGxVkmaQtSUGe7YBRIBeCDmcFUoot8Krk/ydUPwAAAP//AwBQSwEC&#10;LQAUAAYACAAAACEAtoM4kv4AAADhAQAAEwAAAAAAAAAAAAAAAAAAAAAAW0NvbnRlbnRfVHlwZXNd&#10;LnhtbFBLAQItABQABgAIAAAAIQA4/SH/1gAAAJQBAAALAAAAAAAAAAAAAAAAAC8BAABfcmVscy8u&#10;cmVsc1BLAQItABQABgAIAAAAIQDUF+aDKQIAAFsEAAAOAAAAAAAAAAAAAAAAAC4CAABkcnMvZTJv&#10;RG9jLnhtbFBLAQItABQABgAIAAAAIQC0LHTf3QAAAAoBAAAPAAAAAAAAAAAAAAAAAIM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Sections 161 and 261</w:t>
                      </w:r>
                      <w:r>
                        <w:rPr>
                          <w:rFonts w:ascii="Tw Cen MT" w:hAnsi="Tw Cen MT"/>
                        </w:rPr>
                        <w:t>: How does the la</w:t>
                      </w:r>
                      <w:r>
                        <w:rPr>
                          <w:rFonts w:ascii="Tw Cen MT" w:hAnsi="Tw Cen MT"/>
                        </w:rPr>
                        <w:t>n</w:t>
                      </w:r>
                      <w:r>
                        <w:rPr>
                          <w:rFonts w:ascii="Tw Cen MT" w:hAnsi="Tw Cen MT"/>
                        </w:rPr>
                        <w:t>guage of §§ 161 and 261 create an ordering rule? What deductions do §§ 262 to 280H create?</w:t>
                      </w:r>
                    </w:p>
                  </w:txbxContent>
                </v:textbox>
                <w10:wrap type="square" side="largest" anchorx="margin"/>
              </v:shape>
            </w:pict>
          </mc:Fallback>
        </mc:AlternateContent>
      </w:r>
      <w:r w:rsidR="0049128E" w:rsidRPr="00576ED7">
        <w:rPr>
          <w:szCs w:val="24"/>
        </w:rPr>
        <w:t>3.  Aside from the Code’s mandate in § 1016(a)(2), why must a taxpayer reduce its adjusted basis in an asset subject to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How did the Court’s trea</w:t>
      </w:r>
      <w:r w:rsidRPr="00576ED7">
        <w:rPr>
          <w:szCs w:val="24"/>
        </w:rPr>
        <w:t>t</w:t>
      </w:r>
      <w:r w:rsidRPr="00576ED7">
        <w:rPr>
          <w:szCs w:val="24"/>
        </w:rPr>
        <w:t>ment of depreciation in this case prevent the distortion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case demonstrates again how important the time value of money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Why might Congress </w:t>
      </w:r>
      <w:r w:rsidRPr="00576ED7">
        <w:rPr>
          <w:i/>
          <w:szCs w:val="24"/>
        </w:rPr>
        <w:t>want</w:t>
      </w:r>
      <w:r w:rsidRPr="00576ED7">
        <w:rPr>
          <w:szCs w:val="24"/>
        </w:rPr>
        <w:t xml:space="preserve"> to mismatch the timing of income and expenses  and thereby distort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rsidR="006A4724" w:rsidRDefault="006A4724" w:rsidP="00A6585D">
      <w:pPr>
        <w:widowControl w:val="0"/>
        <w:jc w:val="both"/>
        <w:rPr>
          <w:szCs w:val="24"/>
        </w:rPr>
      </w:pPr>
    </w:p>
    <w:p w:rsidR="006A4724" w:rsidRDefault="0049128E" w:rsidP="00A6585D">
      <w:pPr>
        <w:widowControl w:val="0"/>
        <w:jc w:val="both"/>
        <w:rPr>
          <w:szCs w:val="24"/>
        </w:rPr>
      </w:pPr>
      <w:r w:rsidRPr="00576ED7">
        <w:rPr>
          <w:szCs w:val="24"/>
        </w:rPr>
        <w:t>JUSTICE BLACKMUN delivered the opinion of the Court.</w:t>
      </w:r>
    </w:p>
    <w:p w:rsidR="006A4724" w:rsidRDefault="006A4724"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this case we must decide whether certain professional expenses incurred by a </w:t>
      </w:r>
      <w:r w:rsidRPr="00576ED7">
        <w:rPr>
          <w:szCs w:val="24"/>
        </w:rPr>
        <w:lastRenderedPageBreak/>
        <w:t>target corporation in the course of a friendly takeover are deductible by that co</w:t>
      </w:r>
      <w:r w:rsidRPr="00576ED7">
        <w:rPr>
          <w:szCs w:val="24"/>
        </w:rPr>
        <w:t>r</w:t>
      </w:r>
      <w:r w:rsidRPr="00576ED7">
        <w:rPr>
          <w:szCs w:val="24"/>
        </w:rPr>
        <w:t>poration as “ordinary and necessary” business expenses under § 162(a) of the I</w:t>
      </w:r>
      <w:r w:rsidRPr="00576ED7">
        <w:rPr>
          <w:szCs w:val="24"/>
        </w:rPr>
        <w:t>n</w:t>
      </w:r>
      <w:r w:rsidRPr="00576ED7">
        <w:rPr>
          <w:szCs w:val="24"/>
        </w:rPr>
        <w:t>ternal Revenue Code.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Petitioner INDOPCO, Inc., formerly named National Starch and Chemical Corporation and hereinafter referred to as National Starch, ... manufactures and sells adhesives, starches, and specialty chemical products. In October 1977, repr</w:t>
      </w:r>
      <w:r w:rsidRPr="00576ED7">
        <w:rPr>
          <w:szCs w:val="24"/>
        </w:rPr>
        <w:t>e</w:t>
      </w:r>
      <w:r w:rsidRPr="00576ED7">
        <w:rPr>
          <w:szCs w:val="24"/>
        </w:rPr>
        <w:t>sentatives of Unilever United States, Inc., ... (Unilever), [footnote omitted] e</w:t>
      </w:r>
      <w:r w:rsidRPr="00576ED7">
        <w:rPr>
          <w:szCs w:val="24"/>
        </w:rPr>
        <w:t>x</w:t>
      </w:r>
      <w:r w:rsidRPr="00576ED7">
        <w:rPr>
          <w:szCs w:val="24"/>
        </w:rPr>
        <w:t>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w:t>
      </w:r>
      <w:r w:rsidRPr="00576ED7">
        <w:rPr>
          <w:szCs w:val="24"/>
        </w:rPr>
        <w:t>m</w:t>
      </w:r>
      <w:r w:rsidRPr="00576ED7">
        <w:rPr>
          <w:szCs w:val="24"/>
        </w:rPr>
        <w:t>mon. The Greenwalls, getting along in years and concerned about their estate plans, indicated that they would transfer their shares to Unilever only if a transa</w:t>
      </w:r>
      <w:r w:rsidRPr="00576ED7">
        <w:rPr>
          <w:szCs w:val="24"/>
        </w:rPr>
        <w:t>c</w:t>
      </w:r>
      <w:r w:rsidRPr="00576ED7">
        <w:rPr>
          <w:szCs w:val="24"/>
        </w:rPr>
        <w:t>tion tax free for them could be arranged.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w:t>
      </w:r>
      <w:r w:rsidRPr="00576ED7">
        <w:rPr>
          <w:szCs w:val="24"/>
        </w:rPr>
        <w:t>e</w:t>
      </w:r>
      <w:r w:rsidRPr="00576ED7">
        <w:rPr>
          <w:szCs w:val="24"/>
        </w:rPr>
        <w:t>ated – National Starch and Chemical Holding Corp. (Holding), a subsidiary of Unilever, and NSC Merger, Inc., a subsidiary of Holding that would have only a transitory existence.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November 1977, National Starch’s directors were formally advised of Unil</w:t>
      </w:r>
      <w:r w:rsidRPr="00576ED7">
        <w:rPr>
          <w:szCs w:val="24"/>
        </w:rPr>
        <w:t>e</w:t>
      </w:r>
      <w:r w:rsidRPr="00576ED7">
        <w:rPr>
          <w:szCs w:val="24"/>
        </w:rPr>
        <w:t>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w:t>
      </w:r>
      <w:r w:rsidRPr="00576ED7">
        <w:rPr>
          <w:szCs w:val="24"/>
        </w:rPr>
        <w:t>x</w:t>
      </w:r>
      <w:r w:rsidRPr="00576ED7">
        <w:rPr>
          <w:szCs w:val="24"/>
        </w:rPr>
        <w:t xml:space="preserve">changed their stock for Holding preferred, the transaction was consummated in </w:t>
      </w:r>
      <w:r w:rsidRPr="00576ED7">
        <w:rPr>
          <w:szCs w:val="24"/>
        </w:rPr>
        <w:lastRenderedPageBreak/>
        <w:t>August 1978.</w:t>
      </w:r>
      <w:r w:rsidRPr="00576ED7">
        <w:rPr>
          <w:rStyle w:val="FootnoteReference"/>
          <w:szCs w:val="24"/>
        </w:rPr>
        <w:footnoteReference w:id="9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w:t>
      </w:r>
      <w:r w:rsidRPr="00576ED7">
        <w:rPr>
          <w:szCs w:val="24"/>
        </w:rPr>
        <w:t>s</w:t>
      </w:r>
      <w:r w:rsidRPr="00576ED7">
        <w:rPr>
          <w:szCs w:val="24"/>
        </w:rPr>
        <w:t>es. National Starch also incurred expenses aggregating $150,962 for miscellan</w:t>
      </w:r>
      <w:r w:rsidRPr="00576ED7">
        <w:rPr>
          <w:szCs w:val="24"/>
        </w:rPr>
        <w:t>e</w:t>
      </w:r>
      <w:r w:rsidRPr="00576ED7">
        <w:rPr>
          <w:szCs w:val="24"/>
        </w:rPr>
        <w:t>ous items – such as accounting, printing, proxy solicitation, and Securities and Exchange Commission fees – in connection with the transaction. No issue is raised as to the propriety or reasonableness of these charges.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its federal income tax return ... National Starch claimed a deduction for the $2,225,586 paid to Morgan Stanley, but did not deduct the $505,069 paid to Debevoise or the other expenses. Upon audit, the Commissioner of Internal Rev</w:t>
      </w:r>
      <w:r w:rsidRPr="00576ED7">
        <w:rPr>
          <w:szCs w:val="24"/>
        </w:rPr>
        <w:t>e</w:t>
      </w:r>
      <w:r w:rsidRPr="00576ED7">
        <w:rPr>
          <w:szCs w:val="24"/>
        </w:rPr>
        <w:t>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in an unreviewed decision, ruled that the expenditures were cap</w:t>
      </w:r>
      <w:r w:rsidRPr="00576ED7">
        <w:rPr>
          <w:szCs w:val="24"/>
        </w:rPr>
        <w:t>i</w:t>
      </w:r>
      <w:r w:rsidRPr="00576ED7">
        <w:rPr>
          <w:szCs w:val="24"/>
        </w:rPr>
        <w:t>tal in nature and therefore not deductible under § 162(a) in the 1978 return as “o</w:t>
      </w:r>
      <w:r w:rsidRPr="00576ED7">
        <w:rPr>
          <w:szCs w:val="24"/>
        </w:rPr>
        <w:t>r</w:t>
      </w:r>
      <w:r w:rsidRPr="00576ED7">
        <w:rPr>
          <w:szCs w:val="24"/>
        </w:rPr>
        <w:t>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w:t>
      </w:r>
      <w:r w:rsidRPr="00576ED7">
        <w:rPr>
          <w:szCs w:val="24"/>
        </w:rPr>
        <w:t>a</w:t>
      </w:r>
      <w:r w:rsidRPr="00576ED7">
        <w:rPr>
          <w:szCs w:val="24"/>
        </w:rPr>
        <w:t>tional Starch.” In so doing, the Court of Appeals rejected National Starch’s co</w:t>
      </w:r>
      <w:r w:rsidRPr="00576ED7">
        <w:rPr>
          <w:szCs w:val="24"/>
        </w:rPr>
        <w:t>n</w:t>
      </w:r>
      <w:r w:rsidRPr="00576ED7">
        <w:rPr>
          <w:szCs w:val="24"/>
        </w:rPr>
        <w:t>tention that, because the disputed expenses did not “create or enhance ... a sep</w:t>
      </w:r>
      <w:r w:rsidRPr="00576ED7">
        <w:rPr>
          <w:szCs w:val="24"/>
        </w:rPr>
        <w:t>a</w:t>
      </w:r>
      <w:r w:rsidRPr="00576ED7">
        <w:rPr>
          <w:szCs w:val="24"/>
        </w:rPr>
        <w:t xml:space="preserve">rate and distinct additional asset,” see </w:t>
      </w:r>
      <w:r w:rsidRPr="00576ED7">
        <w:rPr>
          <w:i/>
          <w:szCs w:val="24"/>
        </w:rPr>
        <w:t>Commissioner v. Lincoln Savings &amp; Loan Assn.</w:t>
      </w:r>
      <w:r w:rsidRPr="00576ED7">
        <w:rPr>
          <w:szCs w:val="24"/>
        </w:rPr>
        <w:t>, 403 U.S. 345, 354 (1971), they could not be capitalized and therefore were deductible under § 162(a). We granted certiorari to resolve a perceived conflict on the issue among the Courts of Appeals.</w:t>
      </w:r>
      <w:r w:rsidRPr="00576ED7">
        <w:rPr>
          <w:rStyle w:val="FootnoteReference"/>
          <w:szCs w:val="24"/>
        </w:rPr>
        <w:footnoteReference w:id="97"/>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Section 162(a) ... allows the deduction of “all the ordinary and necessary expenses paid or incurred during the taxable year in carrying on any trade or business.” In contrast, § 263 ... allows no deduction for a capital expenditure – an “amount paid out for new buildings or for permanent improvements or betterments made to i</w:t>
      </w:r>
      <w:r w:rsidRPr="00576ED7">
        <w:rPr>
          <w:szCs w:val="24"/>
        </w:rPr>
        <w:t>n</w:t>
      </w:r>
      <w:r w:rsidRPr="00576ED7">
        <w:rPr>
          <w:szCs w:val="24"/>
        </w:rPr>
        <w:t xml:space="preserve">crease the value of any property or estate.” § 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 167(a) and 336(a); Reg. § 1.167(a) (1991). Through provisions such as these, the Code endeavors to match expenses with the revenues of the taxable period to which they are properly attributable, thereby resulting in a more accurate calcul</w:t>
      </w:r>
      <w:r w:rsidRPr="00576ED7">
        <w:rPr>
          <w:szCs w:val="24"/>
        </w:rPr>
        <w:t>a</w:t>
      </w:r>
      <w:r w:rsidRPr="00576ED7">
        <w:rPr>
          <w:szCs w:val="24"/>
        </w:rPr>
        <w:t xml:space="preserve">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292 U.S. 435, 440 (1934). The notion that deductions are exce</w:t>
      </w:r>
      <w:r w:rsidRPr="00576ED7">
        <w:rPr>
          <w:szCs w:val="24"/>
        </w:rPr>
        <w:t>p</w:t>
      </w:r>
      <w:r w:rsidRPr="00576ED7">
        <w:rPr>
          <w:szCs w:val="24"/>
        </w:rPr>
        <w:t xml:space="preserve">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 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403 U.S. at 358, § 263 serves as a general means of distinguishing capital expenditures from cu</w:t>
      </w:r>
      <w:r w:rsidRPr="00576ED7">
        <w:rPr>
          <w:szCs w:val="24"/>
        </w:rPr>
        <w:t>r</w:t>
      </w:r>
      <w:r w:rsidRPr="00576ED7">
        <w:rPr>
          <w:szCs w:val="24"/>
        </w:rPr>
        <w:t xml:space="preserve">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 xml:space="preserve">Deputy </w:t>
      </w:r>
      <w:r w:rsidRPr="00576ED7">
        <w:rPr>
          <w:i/>
          <w:szCs w:val="24"/>
        </w:rPr>
        <w:lastRenderedPageBreak/>
        <w:t>v. Du Pont</w:t>
      </w:r>
      <w:r w:rsidRPr="00576ED7">
        <w:rPr>
          <w:szCs w:val="24"/>
        </w:rPr>
        <w:t>, 308 U.S., at 493.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also has examined the interrelationship between the Code’s business expense and capital expenditure provisions. [footnote omitted.]  In so doing, it has had occasion to parse § 162(a) and explore certain of its requirements. For exa</w:t>
      </w:r>
      <w:r w:rsidRPr="00576ED7">
        <w:rPr>
          <w:szCs w:val="24"/>
        </w:rPr>
        <w:t>m</w:t>
      </w:r>
      <w:r w:rsidRPr="00576ED7">
        <w:rPr>
          <w:szCs w:val="24"/>
        </w:rPr>
        <w:t xml:space="preserve">ple, in </w:t>
      </w:r>
      <w:r w:rsidRPr="00576ED7">
        <w:rPr>
          <w:i/>
          <w:szCs w:val="24"/>
        </w:rPr>
        <w:t>Lincoln Savings</w:t>
      </w:r>
      <w:r w:rsidRPr="00576ED7">
        <w:rPr>
          <w:szCs w:val="24"/>
        </w:rPr>
        <w:t>, we determined that, to qualify for deduction under § 162(a), “an item must (1) be ‘paid or incurred during the taxable year,’ (2) be for ‘carrying on any trade or business,’ (3) be an ‘expense,’ (4) be a ‘necessary’ e</w:t>
      </w:r>
      <w:r w:rsidRPr="00576ED7">
        <w:rPr>
          <w:szCs w:val="24"/>
        </w:rPr>
        <w:t>x</w:t>
      </w:r>
      <w:r w:rsidRPr="00576ED7">
        <w:rPr>
          <w:szCs w:val="24"/>
        </w:rPr>
        <w:t xml:space="preserve">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383 U.S. 687, 689 (1966) (the term “necessary” imposes “only the mi</w:t>
      </w:r>
      <w:r w:rsidRPr="00576ED7">
        <w:rPr>
          <w:szCs w:val="24"/>
        </w:rPr>
        <w:t>n</w:t>
      </w:r>
      <w:r w:rsidRPr="00576ED7">
        <w:rPr>
          <w:szCs w:val="24"/>
        </w:rPr>
        <w:t>imal requirement that the expense be ‘appropriate and helpful’ for ‘the develo</w:t>
      </w:r>
      <w:r w:rsidRPr="00576ED7">
        <w:rPr>
          <w:szCs w:val="24"/>
        </w:rPr>
        <w:t>p</w:t>
      </w:r>
      <w:r w:rsidRPr="00576ED7">
        <w:rPr>
          <w:szCs w:val="24"/>
        </w:rPr>
        <w:t xml:space="preserve">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308 U.S. at 495 (to qualify as “ordinary,” the e</w:t>
      </w:r>
      <w:r w:rsidRPr="00576ED7">
        <w:rPr>
          <w:szCs w:val="24"/>
        </w:rPr>
        <w:t>x</w:t>
      </w:r>
      <w:r w:rsidRPr="00576ED7">
        <w:rPr>
          <w:szCs w:val="24"/>
        </w:rPr>
        <w:t>pense must relate to a transaction “of common or frequent occurrence in the type of business involved”). The Court has recognized, however, that the “decisive di</w:t>
      </w:r>
      <w:r w:rsidRPr="00576ED7">
        <w:rPr>
          <w:szCs w:val="24"/>
        </w:rPr>
        <w:t>s</w:t>
      </w:r>
      <w:r w:rsidRPr="00576ED7">
        <w:rPr>
          <w:szCs w:val="24"/>
        </w:rPr>
        <w:t xml:space="preserve">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308 U.S. at 496, the cases som</w:t>
      </w:r>
      <w:r w:rsidRPr="00576ED7">
        <w:rPr>
          <w:szCs w:val="24"/>
        </w:rPr>
        <w:t>e</w:t>
      </w:r>
      <w:r w:rsidRPr="00576ED7">
        <w:rPr>
          <w:szCs w:val="24"/>
        </w:rPr>
        <w:t xml:space="preserv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w:t>
      </w:r>
      <w:r w:rsidRPr="00576ED7">
        <w:rPr>
          <w:szCs w:val="24"/>
        </w:rPr>
        <w:t>a</w:t>
      </w:r>
      <w:r w:rsidRPr="00576ED7">
        <w:rPr>
          <w:szCs w:val="24"/>
        </w:rPr>
        <w:t>miliar backdrops and announced an exclusive test for identifying capital expend</w:t>
      </w:r>
      <w:r w:rsidRPr="00576ED7">
        <w:rPr>
          <w:szCs w:val="24"/>
        </w:rPr>
        <w:t>i</w:t>
      </w:r>
      <w:r w:rsidRPr="00576ED7">
        <w:rPr>
          <w:szCs w:val="24"/>
        </w:rPr>
        <w:t>tures, a test in which “creation or enhancement of an asset” is a prerequisite to capitalization, and deductibility under § 162(a) is the rule rather than the exce</w:t>
      </w:r>
      <w:r w:rsidRPr="00576ED7">
        <w:rPr>
          <w:szCs w:val="24"/>
        </w:rPr>
        <w:t>p</w:t>
      </w:r>
      <w:r w:rsidRPr="00576ED7">
        <w:rPr>
          <w:szCs w:val="24"/>
        </w:rPr>
        <w:t xml:space="preserve">tion. We do not agree, for we conclude that National Starch has overread </w:t>
      </w:r>
      <w:r w:rsidRPr="00576ED7">
        <w:rPr>
          <w:i/>
          <w:szCs w:val="24"/>
        </w:rPr>
        <w:t>Lincoln Savings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we were asked to decide whether certain premiums, required by federal statute to be paid by a savings and loan association to the Federal Sa</w:t>
      </w:r>
      <w:r w:rsidRPr="00576ED7">
        <w:rPr>
          <w:szCs w:val="24"/>
        </w:rPr>
        <w:t>v</w:t>
      </w:r>
      <w:r w:rsidRPr="00576ED7">
        <w:rPr>
          <w:szCs w:val="24"/>
        </w:rPr>
        <w:t>ings and Loan Insurance Corporation (FSLIC), were ordinary and necessary e</w:t>
      </w:r>
      <w:r w:rsidRPr="00576ED7">
        <w:rPr>
          <w:szCs w:val="24"/>
        </w:rPr>
        <w:t>x</w:t>
      </w:r>
      <w:r w:rsidRPr="00576ED7">
        <w:rPr>
          <w:szCs w:val="24"/>
        </w:rPr>
        <w:t xml:space="preserve">penses under § 162(a), as Lincoln Savings argued and the Court of Appeals had held, or capital expenditures under § 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 162(a).” </w:t>
      </w:r>
      <w:r w:rsidRPr="00576ED7">
        <w:rPr>
          <w:i/>
          <w:szCs w:val="24"/>
        </w:rPr>
        <w:t>Ibid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Lincoln Savings</w:t>
      </w:r>
      <w:r w:rsidRPr="00576ED7">
        <w:rPr>
          <w:szCs w:val="24"/>
        </w:rPr>
        <w:t xml:space="preserve"> stands for the simple proposition that a taxpayer’s expenditure that “serves to create or enhance ... a separate and distinct” asset should be cap</w:t>
      </w:r>
      <w:r w:rsidRPr="00576ED7">
        <w:rPr>
          <w:szCs w:val="24"/>
        </w:rPr>
        <w:t>i</w:t>
      </w:r>
      <w:r w:rsidRPr="00576ED7">
        <w:rPr>
          <w:szCs w:val="24"/>
        </w:rPr>
        <w:t xml:space="preserve">talized under § 263. It by no means follows, however, that only expenditures that create or enhance separate and distinct assets are to be capitalized under § 263. We had no occasion in </w:t>
      </w:r>
      <w:r w:rsidRPr="00576ED7">
        <w:rPr>
          <w:i/>
          <w:szCs w:val="24"/>
        </w:rPr>
        <w:t>Lincoln Savings</w:t>
      </w:r>
      <w:r w:rsidRPr="00576ED7">
        <w:rPr>
          <w:szCs w:val="24"/>
        </w:rPr>
        <w:t xml:space="preserve"> to consider the tax treatment of expend</w:t>
      </w:r>
      <w:r w:rsidRPr="00576ED7">
        <w:rPr>
          <w:szCs w:val="24"/>
        </w:rPr>
        <w:t>i</w:t>
      </w:r>
      <w:r w:rsidRPr="00576ED7">
        <w:rPr>
          <w:szCs w:val="24"/>
        </w:rPr>
        <w:t>tures that, unlike the additional premiums at issue there, did not create or enhance a specific asset, and thus the case cannot be read to preclude capitalization in ot</w:t>
      </w:r>
      <w:r w:rsidRPr="00576ED7">
        <w:rPr>
          <w:szCs w:val="24"/>
        </w:rPr>
        <w:t>h</w:t>
      </w:r>
      <w:r w:rsidRPr="00576ED7">
        <w:rPr>
          <w:szCs w:val="24"/>
        </w:rPr>
        <w:t xml:space="preserve">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w:t>
      </w:r>
      <w:r w:rsidRPr="00576ED7">
        <w:rPr>
          <w:szCs w:val="24"/>
        </w:rPr>
        <w:t>i</w:t>
      </w:r>
      <w:r w:rsidRPr="00576ED7">
        <w:rPr>
          <w:szCs w:val="24"/>
        </w:rPr>
        <w:t xml:space="preserve">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326 F.2d 712, 716 (CA8) (although expenditures may not “resul[t] in the acquis</w:t>
      </w:r>
      <w:r w:rsidRPr="00576ED7">
        <w:rPr>
          <w:szCs w:val="24"/>
        </w:rPr>
        <w:t>i</w:t>
      </w:r>
      <w:r w:rsidRPr="00576ED7">
        <w:rPr>
          <w:szCs w:val="24"/>
        </w:rPr>
        <w:t xml:space="preserve">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w:t>
      </w:r>
      <w:r w:rsidRPr="00576ED7">
        <w:rPr>
          <w:szCs w:val="24"/>
        </w:rPr>
        <w:t>x</w:t>
      </w:r>
      <w:r w:rsidRPr="00576ED7">
        <w:rPr>
          <w:szCs w:val="24"/>
        </w:rPr>
        <w:t>pense from a capital expenditure.</w:t>
      </w:r>
      <w:r w:rsidRPr="00576ED7">
        <w:rPr>
          <w:rStyle w:val="FootnoteReference"/>
          <w:szCs w:val="24"/>
        </w:rPr>
        <w:footnoteReference w:id="98"/>
      </w:r>
      <w:r w:rsidRPr="00576ED7">
        <w:rPr>
          <w:szCs w:val="24"/>
        </w:rPr>
        <w:t xml:space="preserve"> Although the mere presence of an incidental future benefit – “some future aspect” – may not warrant capitalization, a taxpa</w:t>
      </w:r>
      <w:r w:rsidRPr="00576ED7">
        <w:rPr>
          <w:szCs w:val="24"/>
        </w:rPr>
        <w:t>y</w:t>
      </w:r>
      <w:r w:rsidRPr="00576ED7">
        <w:rPr>
          <w:szCs w:val="24"/>
        </w:rPr>
        <w:t>er’s realization of benefits beyond the year in which the expenditure is incurred is undeniably important in determining whether the appropriate tax treatment is i</w:t>
      </w:r>
      <w:r w:rsidRPr="00576ED7">
        <w:rPr>
          <w:szCs w:val="24"/>
        </w:rPr>
        <w:t>m</w:t>
      </w:r>
      <w:r w:rsidRPr="00576ED7">
        <w:rPr>
          <w:szCs w:val="24"/>
        </w:rPr>
        <w:t xml:space="preserve">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405 U.S. 298, 310 (1972) (expense that “is of value in more than one tax</w:t>
      </w:r>
      <w:r w:rsidRPr="00576ED7">
        <w:rPr>
          <w:szCs w:val="24"/>
        </w:rPr>
        <w:t>a</w:t>
      </w:r>
      <w:r w:rsidRPr="00576ED7">
        <w:rPr>
          <w:szCs w:val="24"/>
        </w:rPr>
        <w:t xml:space="preserve">ble year” is a nondeductible capital expenditure); </w:t>
      </w:r>
      <w:r w:rsidRPr="00576ED7">
        <w:rPr>
          <w:i/>
          <w:szCs w:val="24"/>
        </w:rPr>
        <w:t>Central Texas Savings &amp; Loan Assn. v. United States</w:t>
      </w:r>
      <w:r w:rsidRPr="00576ED7">
        <w:rPr>
          <w:szCs w:val="24"/>
        </w:rPr>
        <w:t>, 731 F.2d 1181, 1183 (CA5 1984) (“While the period of the benefits may not be controlling in all cases, it nonetheless remains a prominent, if not predominant, characteristic of a capital item”). Indeed, the text of the Code’s capitalization provision, § 263(a)(1), which refers to “permanent improvements or betterments,” itself envisions an inquiry into the duration and extent of the ben</w:t>
      </w:r>
      <w:r w:rsidRPr="00576ED7">
        <w:rPr>
          <w:szCs w:val="24"/>
        </w:rPr>
        <w:t>e</w:t>
      </w:r>
      <w:r w:rsidRPr="00576ED7">
        <w:rPr>
          <w:szCs w:val="24"/>
        </w:rPr>
        <w:t>fits realized by the taxpayer.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lastRenderedPageBreak/>
        <w:t>In applying the foregoing principles to the specific expenditures at issue in this case, we conclude that National Starch has not demonstrated that the investment banking, legal, and other costs it incurred in connection with Unilever’s acquis</w:t>
      </w:r>
      <w:r w:rsidRPr="00576ED7">
        <w:rPr>
          <w:szCs w:val="24"/>
        </w:rPr>
        <w:t>i</w:t>
      </w:r>
      <w:r w:rsidRPr="00576ED7">
        <w:rPr>
          <w:szCs w:val="24"/>
        </w:rPr>
        <w:t>tion of its shares are deductible as ordinary and necessary business expenses u</w:t>
      </w:r>
      <w:r w:rsidRPr="00576ED7">
        <w:rPr>
          <w:szCs w:val="24"/>
        </w:rPr>
        <w:t>n</w:t>
      </w:r>
      <w:r w:rsidRPr="00576ED7">
        <w:rPr>
          <w:szCs w:val="24"/>
        </w:rPr>
        <w:t>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petitioner attempts to dismiss the benefits that accrued to National Starch from the Unilever acquisition as “entirely speculative” or “merely inc</w:t>
      </w:r>
      <w:r w:rsidRPr="00576ED7">
        <w:rPr>
          <w:szCs w:val="24"/>
        </w:rPr>
        <w:t>i</w:t>
      </w:r>
      <w:r w:rsidRPr="00576ED7">
        <w:rPr>
          <w:szCs w:val="24"/>
        </w:rPr>
        <w:t>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w:t>
      </w:r>
      <w:r w:rsidRPr="00576ED7">
        <w:rPr>
          <w:szCs w:val="24"/>
        </w:rPr>
        <w:t>a</w:t>
      </w:r>
      <w:r w:rsidRPr="00576ED7">
        <w:rPr>
          <w:szCs w:val="24"/>
        </w:rPr>
        <w:t>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w:t>
      </w:r>
      <w:r w:rsidRPr="00576ED7">
        <w:rPr>
          <w:szCs w:val="24"/>
        </w:rPr>
        <w:t>a</w:t>
      </w:r>
      <w:r w:rsidRPr="00576ED7">
        <w:rPr>
          <w:szCs w:val="24"/>
        </w:rPr>
        <w:t>tion incurs, including reporting and disclosure obligations, proxy battles, and d</w:t>
      </w:r>
      <w:r w:rsidRPr="00576ED7">
        <w:rPr>
          <w:szCs w:val="24"/>
        </w:rPr>
        <w:t>e</w:t>
      </w:r>
      <w:r w:rsidRPr="00576ED7">
        <w:rPr>
          <w:szCs w:val="24"/>
        </w:rPr>
        <w:t>rivative suits. The acquisition also allowed National Starch, in the interests of a</w:t>
      </w:r>
      <w:r w:rsidRPr="00576ED7">
        <w:rPr>
          <w:szCs w:val="24"/>
        </w:rPr>
        <w:t>d</w:t>
      </w:r>
      <w:r w:rsidRPr="00576ED7">
        <w:rPr>
          <w:szCs w:val="24"/>
        </w:rPr>
        <w:t>ministrative convenience and simplicity, to eliminate previously authorized but unissued shares of preferred and to reduce the total number of authorized shares of common from 8,000,000 to 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long have recognized that expenses such as these, “‘incurred for the pu</w:t>
      </w:r>
      <w:r w:rsidRPr="00576ED7">
        <w:rPr>
          <w:szCs w:val="24"/>
        </w:rPr>
        <w:t>r</w:t>
      </w:r>
      <w:r w:rsidRPr="00576ED7">
        <w:rPr>
          <w:szCs w:val="24"/>
        </w:rPr>
        <w:t xml:space="preserve">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F. 2d,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 xml:space="preserve">B. </w:t>
      </w:r>
      <w:r w:rsidRPr="00576ED7">
        <w:rPr>
          <w:smallCaps/>
          <w:szCs w:val="24"/>
        </w:rPr>
        <w:lastRenderedPageBreak/>
        <w:t>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 162(a)). Deductions for professional expenses thus have been disallowed in a wide variety of cases concerning changes in corporate structure.</w:t>
      </w:r>
      <w:r w:rsidRPr="00576ED7">
        <w:rPr>
          <w:rStyle w:val="FootnoteReference"/>
          <w:szCs w:val="24"/>
        </w:rPr>
        <w:footnoteReference w:id="99"/>
      </w:r>
      <w:r w:rsidRPr="00576ED7">
        <w:rPr>
          <w:szCs w:val="24"/>
        </w:rPr>
        <w:t xml:space="preserve"> Although support for these decisions can be found in the specific terms of § 162(a), which require that deductible expenses be “ordinary and necessary” and incurred “in carrying on any trade or business,”</w:t>
      </w:r>
      <w:r w:rsidRPr="00576ED7">
        <w:rPr>
          <w:rStyle w:val="FootnoteReference"/>
          <w:szCs w:val="24"/>
        </w:rPr>
        <w:footnoteReference w:id="100"/>
      </w:r>
      <w:r w:rsidRPr="00576ED7">
        <w:rPr>
          <w:szCs w:val="24"/>
        </w:rPr>
        <w:t xml:space="preserve"> courts more frequently have characterized an expenditure as capital in nature because “the purpose for which the expenditure is made has to do with the corporation’s operations and bette</w:t>
      </w:r>
      <w:r w:rsidRPr="00576ED7">
        <w:rPr>
          <w:szCs w:val="24"/>
        </w:rPr>
        <w:t>r</w:t>
      </w:r>
      <w:r w:rsidRPr="00576ED7">
        <w:rPr>
          <w:szCs w:val="24"/>
        </w:rPr>
        <w:t xml:space="preserve">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F. 2d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The expenses that National Starch incurred in Unilever’s friendly takeover do not qualify for deduction as “ordinary and necessary” business expenses under § 162(a). The fact that the expenditures do not create or enhance a separate and di</w:t>
      </w:r>
      <w:r w:rsidRPr="00576ED7">
        <w:rPr>
          <w:szCs w:val="24"/>
        </w:rPr>
        <w:t>s</w:t>
      </w:r>
      <w:r w:rsidRPr="00576ED7">
        <w:rPr>
          <w:szCs w:val="24"/>
        </w:rPr>
        <w:t>tinct additional asset is not controlling; the acquisition-related expenses bear the indicia of capital expenditures and are to be treated as such.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judgment of the Court of Appeals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  Why not?</w:t>
      </w:r>
    </w:p>
    <w:p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it purchased? – over what period of time?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Capitalization of expenditures to construct a tangible asset followed by depr</w:t>
      </w:r>
      <w:r w:rsidRPr="00576ED7">
        <w:rPr>
          <w:szCs w:val="24"/>
        </w:rPr>
        <w:t>e</w:t>
      </w:r>
      <w:r w:rsidRPr="00576ED7">
        <w:rPr>
          <w:szCs w:val="24"/>
        </w:rPr>
        <w:t>ciation, amortization, or cost recovery works more predictably than when expen</w:t>
      </w:r>
      <w:r w:rsidRPr="00576ED7">
        <w:rPr>
          <w:szCs w:val="24"/>
        </w:rPr>
        <w:t>d</w:t>
      </w:r>
      <w:r w:rsidRPr="00576ED7">
        <w:rPr>
          <w:szCs w:val="24"/>
        </w:rPr>
        <w:t>itures are directed towards the “construction” of an intangible asset.  Why do you think that this is so?</w:t>
      </w:r>
    </w:p>
    <w:p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marketing campaign requires current and future expenditures, but the “asset” it creates (consumer loyalty? brand recognition?) should endure past the end of the campaign.  It is not even possible to know when this asset no longer generates income – as would be the case with an asset as tangible as, say, a building.  A rational approach to depreciation, amortiz</w:t>
      </w:r>
      <w:r w:rsidRPr="00576ED7">
        <w:rPr>
          <w:szCs w:val="24"/>
        </w:rPr>
        <w:t>a</w:t>
      </w:r>
      <w:r w:rsidRPr="00576ED7">
        <w:rPr>
          <w:szCs w:val="24"/>
        </w:rPr>
        <w:t>tion, or cost recovery requires that we not only be able to recognize when an expenditure no longer generates income, but also be able to predict how long that would be.</w:t>
      </w:r>
    </w:p>
    <w:p w:rsidR="0049128E" w:rsidRPr="00576ED7" w:rsidRDefault="0049128E" w:rsidP="00A6585D">
      <w:pPr>
        <w:widowControl w:val="0"/>
        <w:ind w:left="1440"/>
        <w:jc w:val="both"/>
        <w:rPr>
          <w:szCs w:val="24"/>
        </w:rPr>
      </w:pPr>
      <w:r w:rsidRPr="00576ED7">
        <w:rPr>
          <w:szCs w:val="24"/>
        </w:rPr>
        <w:t>•Consider expenditures for advertising.  Not only do these pro</w:t>
      </w:r>
      <w:r w:rsidRPr="00576ED7">
        <w:rPr>
          <w:szCs w:val="24"/>
        </w:rPr>
        <w:t>b</w:t>
      </w:r>
      <w:r w:rsidRPr="00576ED7">
        <w:rPr>
          <w:szCs w:val="24"/>
        </w:rPr>
        <w:t>lems emerge, but answers would be different from one taxpayer to the next.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 compliance costs of a rule that requires taxpayer to capitalize expenditures that generate income into the future can be enormous.  At least one case was litigated all the way to the Supreme Court.  </w:t>
      </w:r>
      <w:r w:rsidRPr="00576ED7">
        <w:rPr>
          <w:i/>
          <w:szCs w:val="24"/>
        </w:rPr>
        <w:t>Cf.</w:t>
      </w:r>
      <w:r w:rsidRPr="00576ED7">
        <w:rPr>
          <w:szCs w:val="24"/>
        </w:rPr>
        <w:t xml:space="preserve"> </w:t>
      </w:r>
      <w:r w:rsidRPr="00576ED7">
        <w:rPr>
          <w:i/>
          <w:szCs w:val="24"/>
        </w:rPr>
        <w:t>Newark Morning Ledger Co. v. United States</w:t>
      </w:r>
      <w:r w:rsidRPr="00576ED7">
        <w:rPr>
          <w:szCs w:val="24"/>
        </w:rPr>
        <w:t>, 507 U.S. 546 (1993) (at-will subscription list is not goodwill and purchaser of newspaper permitted to depreciate it upon proof of value and us</w:t>
      </w:r>
      <w:r w:rsidRPr="00576ED7">
        <w:rPr>
          <w:szCs w:val="24"/>
        </w:rPr>
        <w:t>e</w:t>
      </w:r>
      <w:r w:rsidRPr="00576ED7">
        <w:rPr>
          <w:szCs w:val="24"/>
        </w:rPr>
        <w:t>ful life).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•In light of these considerations, perhaps there is something to be said for </w:t>
      </w:r>
      <w:r w:rsidRPr="00576ED7">
        <w:rPr>
          <w:szCs w:val="24"/>
        </w:rPr>
        <w:lastRenderedPageBreak/>
        <w:t>National Starch’s contention that capitalization required the  “creation or enhancement of a separate and distinct asset.”  Moreover, its statement in the second footnote (“absent a separate-and-distinct-asset requirement for capitalization, a taxpayer will have no ‘principled basis’ upon which to differentiate business expenses from capital expenditures”) just might be accurate.  The Court dismissed this argument in the next sentence of the footnote by observing that its position essentially is no worse than taxpa</w:t>
      </w:r>
      <w:r w:rsidRPr="00576ED7">
        <w:rPr>
          <w:szCs w:val="24"/>
        </w:rPr>
        <w:t>y</w:t>
      </w:r>
      <w:r w:rsidRPr="00576ED7">
        <w:rPr>
          <w:szCs w:val="24"/>
        </w:rPr>
        <w:t>er’s.</w:t>
      </w:r>
    </w:p>
    <w:p w:rsidR="0049128E" w:rsidRPr="00576ED7" w:rsidRDefault="0049128E" w:rsidP="00A6585D">
      <w:pPr>
        <w:widowControl w:val="0"/>
        <w:ind w:left="1440"/>
        <w:jc w:val="both"/>
        <w:rPr>
          <w:szCs w:val="24"/>
        </w:rPr>
      </w:pPr>
      <w:r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Pr="00576ED7">
        <w:rPr>
          <w:i/>
          <w:szCs w:val="24"/>
        </w:rPr>
        <w:t xml:space="preserve">The Story of </w:t>
      </w:r>
      <w:r w:rsidRPr="00576ED7">
        <w:rPr>
          <w:szCs w:val="24"/>
        </w:rPr>
        <w:t>INDOPCO</w:t>
      </w:r>
      <w:r w:rsidRPr="00576ED7">
        <w:rPr>
          <w:i/>
          <w:szCs w:val="24"/>
        </w:rPr>
        <w:t>: What Went Wrong in the Capitalization v. Deduction Debate</w:t>
      </w:r>
      <w:r w:rsidRPr="00576ED7">
        <w:rPr>
          <w:szCs w:val="24"/>
        </w:rPr>
        <w:t xml:space="preserve">, in </w:t>
      </w:r>
      <w:r w:rsidRPr="00576ED7">
        <w:rPr>
          <w:smallCaps/>
          <w:szCs w:val="24"/>
        </w:rPr>
        <w:t>Tax Stories</w:t>
      </w:r>
      <w:r w:rsidRPr="00576ED7">
        <w:rPr>
          <w:szCs w:val="24"/>
        </w:rPr>
        <w:t xml:space="preserve"> 228 (Paul Caron ed., 2d ed. 2009).</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•”Deduction also becomes more likely for expenses that are recu</w:t>
      </w:r>
      <w:r w:rsidRPr="00576ED7">
        <w:rPr>
          <w:szCs w:val="24"/>
        </w:rPr>
        <w:t>r</w:t>
      </w:r>
      <w:r w:rsidRPr="00576ED7">
        <w:rPr>
          <w:szCs w:val="24"/>
        </w:rPr>
        <w:t>ring, or fit within a commonsense definition of ordinary and nece</w:t>
      </w:r>
      <w:r w:rsidRPr="00576ED7">
        <w:rPr>
          <w:szCs w:val="24"/>
        </w:rPr>
        <w:t>s</w:t>
      </w:r>
      <w:r w:rsidRPr="00576ED7">
        <w:rPr>
          <w:szCs w:val="24"/>
        </w:rPr>
        <w:t xml:space="preserve">sary.”  </w:t>
      </w: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•Lower courts gradually began to read </w:t>
      </w:r>
      <w:r w:rsidRPr="00576ED7">
        <w:rPr>
          <w:i/>
          <w:szCs w:val="24"/>
        </w:rPr>
        <w:t>Lincoln Savings</w:t>
      </w:r>
      <w:r w:rsidRPr="00576ED7">
        <w:rPr>
          <w:szCs w:val="24"/>
        </w:rPr>
        <w:t xml:space="preserve"> as </w:t>
      </w:r>
      <w:r w:rsidRPr="00576ED7">
        <w:rPr>
          <w:i/>
          <w:szCs w:val="24"/>
        </w:rPr>
        <w:t>requi</w:t>
      </w:r>
      <w:r w:rsidRPr="00576ED7">
        <w:rPr>
          <w:i/>
          <w:szCs w:val="24"/>
        </w:rPr>
        <w:t>r</w:t>
      </w:r>
      <w:r w:rsidRPr="00576ED7">
        <w:rPr>
          <w:i/>
          <w:szCs w:val="24"/>
        </w:rPr>
        <w:t>ing</w:t>
      </w:r>
      <w:r w:rsidRPr="00576ED7">
        <w:rPr>
          <w:szCs w:val="24"/>
        </w:rPr>
        <w:t xml:space="preserve"> the creation or enhancement of a separate and distinct asset.  </w:t>
      </w:r>
      <w:r w:rsidRPr="00576ED7">
        <w:rPr>
          <w:i/>
          <w:szCs w:val="24"/>
        </w:rPr>
        <w:t>Id.</w:t>
      </w:r>
      <w:r w:rsidRPr="00576ED7">
        <w:rPr>
          <w:szCs w:val="24"/>
        </w:rPr>
        <w:t xml:space="preserve"> at 233.</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rsidR="006A4724" w:rsidRPr="00576ED7" w:rsidRDefault="006A4724" w:rsidP="00A6585D">
      <w:pPr>
        <w:widowControl w:val="0"/>
        <w:ind w:left="720"/>
        <w:jc w:val="both"/>
        <w:rPr>
          <w:szCs w:val="24"/>
        </w:rPr>
      </w:pPr>
    </w:p>
    <w:p w:rsidR="0049128E" w:rsidRPr="00576ED7" w:rsidRDefault="0049128E" w:rsidP="00A6585D">
      <w:pPr>
        <w:widowControl w:val="0"/>
        <w:ind w:left="720"/>
        <w:jc w:val="both"/>
        <w:rPr>
          <w:szCs w:val="24"/>
        </w:rPr>
      </w:pPr>
      <w:r w:rsidRPr="00576ED7">
        <w:rPr>
          <w:szCs w:val="24"/>
        </w:rPr>
        <w:t>•On the other hand, does the Court announce that the presence of “some future benefit” is a sufficient condition to classification as a capital e</w:t>
      </w:r>
      <w:r w:rsidRPr="00576ED7">
        <w:rPr>
          <w:szCs w:val="24"/>
        </w:rPr>
        <w:t>x</w:t>
      </w:r>
      <w:r w:rsidRPr="00576ED7">
        <w:rPr>
          <w:szCs w:val="24"/>
        </w:rPr>
        <w:t>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w:t>
      </w:r>
      <w:r w:rsidRPr="00576ED7">
        <w:rPr>
          <w:i/>
          <w:szCs w:val="24"/>
        </w:rPr>
        <w:t>INDOPCO</w:t>
      </w:r>
      <w:r w:rsidRPr="00576ED7">
        <w:rPr>
          <w:szCs w:val="24"/>
        </w:rPr>
        <w:t xml:space="preserve"> holding called into question many long-standing positions that taxpayers had felt comfortable in taking.  The cost of complete and literal compl</w:t>
      </w:r>
      <w:r w:rsidRPr="00576ED7">
        <w:rPr>
          <w:szCs w:val="24"/>
        </w:rPr>
        <w:t>i</w:t>
      </w:r>
      <w:r w:rsidRPr="00576ED7">
        <w:rPr>
          <w:szCs w:val="24"/>
        </w:rPr>
        <w:t>ance with every ramification of the holding would have been enormous.  The IRS produced some (favorable to the taxpayer) clarifications in revenue rulings co</w:t>
      </w:r>
      <w:r w:rsidRPr="00576ED7">
        <w:rPr>
          <w:szCs w:val="24"/>
        </w:rPr>
        <w:t>n</w:t>
      </w:r>
      <w:r w:rsidRPr="00576ED7">
        <w:rPr>
          <w:szCs w:val="24"/>
        </w:rPr>
        <w:t xml:space="preserve">cerning the deductibility of particular expenditures.  </w:t>
      </w:r>
      <w:r w:rsidRPr="00576ED7">
        <w:rPr>
          <w:i/>
          <w:szCs w:val="24"/>
        </w:rPr>
        <w:t>See</w:t>
      </w:r>
      <w:r w:rsidRPr="00576ED7">
        <w:rPr>
          <w:szCs w:val="24"/>
        </w:rPr>
        <w:t xml:space="preserve"> Joseph Bankman, </w:t>
      </w:r>
      <w:r w:rsidRPr="00576ED7">
        <w:rPr>
          <w:i/>
          <w:szCs w:val="24"/>
        </w:rPr>
        <w:t xml:space="preserve">The Story of </w:t>
      </w:r>
      <w:r w:rsidRPr="00576ED7">
        <w:rPr>
          <w:szCs w:val="24"/>
        </w:rPr>
        <w:t>INDOPCO</w:t>
      </w:r>
      <w:r w:rsidRPr="00576ED7">
        <w:rPr>
          <w:i/>
          <w:szCs w:val="24"/>
        </w:rPr>
        <w:t>: What Went Wrong in the Capitalization v. Deduction D</w:t>
      </w:r>
      <w:r w:rsidRPr="00576ED7">
        <w:rPr>
          <w:i/>
          <w:szCs w:val="24"/>
        </w:rPr>
        <w:t>e</w:t>
      </w:r>
      <w:r w:rsidRPr="00576ED7">
        <w:rPr>
          <w:i/>
          <w:szCs w:val="24"/>
        </w:rPr>
        <w:t>bate</w:t>
      </w:r>
      <w:r w:rsidRPr="00576ED7">
        <w:rPr>
          <w:szCs w:val="24"/>
        </w:rPr>
        <w:t xml:space="preserve">, in </w:t>
      </w:r>
      <w:r w:rsidRPr="00576ED7">
        <w:rPr>
          <w:smallCaps/>
          <w:szCs w:val="24"/>
        </w:rPr>
        <w:t>Tax Stories</w:t>
      </w:r>
      <w:r w:rsidRPr="00576ED7">
        <w:rPr>
          <w:szCs w:val="24"/>
        </w:rPr>
        <w:t xml:space="preserve"> 244-45 (Paul Caron ed., 2d ed. 2009).  In 2004, the IRS </w:t>
      </w:r>
      <w:r w:rsidRPr="00576ED7">
        <w:rPr>
          <w:szCs w:val="24"/>
        </w:rPr>
        <w:lastRenderedPageBreak/>
        <w:t xml:space="preserve">published final regulations.   </w:t>
      </w:r>
      <w:r w:rsidRPr="00576ED7">
        <w:rPr>
          <w:i/>
          <w:szCs w:val="24"/>
        </w:rPr>
        <w:t>Guidance Regarding Deduction and Capitalization of Expenditures</w:t>
      </w:r>
      <w:r w:rsidRPr="00576ED7">
        <w:rPr>
          <w:szCs w:val="24"/>
        </w:rPr>
        <w:t>, 69 Fed. Reg. 436 (Jan. 5, 2004).  The regulations represented an IRS effort to allay fears and/or provide predictability to the application of capita</w:t>
      </w:r>
      <w:r w:rsidRPr="00576ED7">
        <w:rPr>
          <w:szCs w:val="24"/>
        </w:rPr>
        <w:t>l</w:t>
      </w:r>
      <w:r w:rsidRPr="00576ED7">
        <w:rPr>
          <w:szCs w:val="24"/>
        </w:rPr>
        <w:t>ization rules.  In its “Explanation and Summary of Comments Concerning § 1.263(a)-4,” the IRS wrote: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final regulations identify categories of intangibles for which capital</w:t>
      </w:r>
      <w:r w:rsidRPr="00576ED7">
        <w:rPr>
          <w:szCs w:val="24"/>
        </w:rPr>
        <w:t>i</w:t>
      </w:r>
      <w:r w:rsidRPr="00576ED7">
        <w:rPr>
          <w:szCs w:val="24"/>
        </w:rPr>
        <w:t>zation is required. ... [T]he final regulations provide that an amount paid to acquire or create an intangible not otherwise required to be capitalized by the regulations is not required to be capitalized on the ground that it pr</w:t>
      </w:r>
      <w:r w:rsidRPr="00576ED7">
        <w:rPr>
          <w:szCs w:val="24"/>
        </w:rPr>
        <w:t>o</w:t>
      </w:r>
      <w:r w:rsidRPr="00576ED7">
        <w:rPr>
          <w:szCs w:val="24"/>
        </w:rPr>
        <w:t>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436.  This positivist approach severely limits application of the “significant future benefits” theory to require capitalization of untold numbers of expend</w:t>
      </w:r>
      <w:r w:rsidRPr="00576ED7">
        <w:rPr>
          <w:szCs w:val="24"/>
        </w:rPr>
        <w:t>i</w:t>
      </w:r>
      <w:r w:rsidRPr="00576ED7">
        <w:rPr>
          <w:szCs w:val="24"/>
        </w:rPr>
        <w:t xml:space="preserve">tures.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“capitalization list” appears in Regs. §§ 1.263(a)-4(b)(1) and 1.263(a)-5(a).</w:t>
      </w:r>
    </w:p>
    <w:p w:rsidR="0049128E" w:rsidRPr="00576ED7" w:rsidRDefault="0049128E" w:rsidP="00A6585D">
      <w:pPr>
        <w:widowControl w:val="0"/>
        <w:ind w:left="720"/>
        <w:jc w:val="both"/>
        <w:rPr>
          <w:szCs w:val="24"/>
        </w:rPr>
      </w:pPr>
      <w:r w:rsidRPr="00576ED7">
        <w:rPr>
          <w:szCs w:val="24"/>
        </w:rPr>
        <w:t>•an amount paid to another party to acquire an intangible;</w:t>
      </w:r>
    </w:p>
    <w:p w:rsidR="0049128E" w:rsidRPr="00576ED7" w:rsidRDefault="0049128E" w:rsidP="00A6585D">
      <w:pPr>
        <w:widowControl w:val="0"/>
        <w:ind w:left="720"/>
        <w:jc w:val="both"/>
        <w:rPr>
          <w:szCs w:val="24"/>
        </w:rPr>
      </w:pPr>
      <w:r w:rsidRPr="00576ED7">
        <w:rPr>
          <w:szCs w:val="24"/>
        </w:rPr>
        <w:t>•an amount paid to create an intangible specifically named in Reg. § 1.263(a)-4(d);</w:t>
      </w:r>
    </w:p>
    <w:p w:rsidR="0049128E" w:rsidRPr="00576ED7" w:rsidRDefault="0049128E" w:rsidP="00A6585D">
      <w:pPr>
        <w:widowControl w:val="0"/>
        <w:ind w:left="720"/>
        <w:jc w:val="both"/>
        <w:rPr>
          <w:szCs w:val="24"/>
        </w:rPr>
      </w:pPr>
      <w:r w:rsidRPr="00576ED7">
        <w:rPr>
          <w:szCs w:val="24"/>
        </w:rPr>
        <w:t>•an amount paid to create or enhance a separate and distinct intangible a</w:t>
      </w:r>
      <w:r w:rsidRPr="00576ED7">
        <w:rPr>
          <w:szCs w:val="24"/>
        </w:rPr>
        <w:t>s</w:t>
      </w:r>
      <w:r w:rsidRPr="00576ED7">
        <w:rPr>
          <w:szCs w:val="24"/>
        </w:rPr>
        <w:t>set;</w:t>
      </w:r>
    </w:p>
    <w:p w:rsidR="0049128E" w:rsidRPr="00576ED7" w:rsidRDefault="0049128E" w:rsidP="00A6585D">
      <w:pPr>
        <w:widowControl w:val="0"/>
        <w:ind w:left="720"/>
        <w:jc w:val="both"/>
        <w:rPr>
          <w:szCs w:val="24"/>
        </w:rPr>
      </w:pPr>
      <w:r w:rsidRPr="00576ED7">
        <w:rPr>
          <w:szCs w:val="24"/>
        </w:rPr>
        <w:t>•an amount paid to create or enhance a future benefit that the IRS has sp</w:t>
      </w:r>
      <w:r w:rsidRPr="00576ED7">
        <w:rPr>
          <w:szCs w:val="24"/>
        </w:rPr>
        <w:t>e</w:t>
      </w:r>
      <w:r w:rsidRPr="00576ED7">
        <w:rPr>
          <w:szCs w:val="24"/>
        </w:rPr>
        <w:t>cifically identified in published guidance;</w:t>
      </w:r>
    </w:p>
    <w:p w:rsidR="0049128E" w:rsidRPr="00576ED7" w:rsidRDefault="0049128E" w:rsidP="00A6585D">
      <w:pPr>
        <w:widowControl w:val="0"/>
        <w:ind w:left="720"/>
        <w:jc w:val="both"/>
        <w:rPr>
          <w:szCs w:val="24"/>
        </w:rPr>
      </w:pPr>
      <w:r w:rsidRPr="00576ED7">
        <w:rPr>
          <w:szCs w:val="24"/>
        </w:rPr>
        <w:t>•an amount paid to “facilitate” (as that term is specifically defined) an a</w:t>
      </w:r>
      <w:r w:rsidRPr="00576ED7">
        <w:rPr>
          <w:szCs w:val="24"/>
        </w:rPr>
        <w:t>c</w:t>
      </w:r>
      <w:r w:rsidRPr="00576ED7">
        <w:rPr>
          <w:szCs w:val="24"/>
        </w:rPr>
        <w:t>quisition or creation of any of the above-named intangibles; and</w:t>
      </w:r>
    </w:p>
    <w:p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Moreover, Reg. § 1.263(a)-4(f)(1) states a 12-month rule, i.e., that</w:t>
      </w:r>
    </w:p>
    <w:p w:rsidR="0049128E" w:rsidRPr="00576ED7" w:rsidRDefault="0049128E" w:rsidP="00A6585D">
      <w:pPr>
        <w:widowControl w:val="0"/>
        <w:ind w:left="720"/>
        <w:jc w:val="both"/>
        <w:rPr>
          <w:szCs w:val="24"/>
        </w:rPr>
      </w:pPr>
      <w:r w:rsidRPr="00576ED7">
        <w:rPr>
          <w:szCs w:val="24"/>
        </w:rPr>
        <w:t>a taxpayer is not required to capitalize ... any right or benefit for the ta</w:t>
      </w:r>
      <w:r w:rsidRPr="00576ED7">
        <w:rPr>
          <w:szCs w:val="24"/>
        </w:rPr>
        <w:t>x</w:t>
      </w:r>
      <w:r w:rsidRPr="00576ED7">
        <w:rPr>
          <w:szCs w:val="24"/>
        </w:rPr>
        <w:t>payer that does not extend beyond the earlier of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(i) 12 months after the first date on which the taxpayer realizes the </w:t>
      </w:r>
      <w:r w:rsidRPr="00576ED7">
        <w:rPr>
          <w:szCs w:val="24"/>
        </w:rPr>
        <w:lastRenderedPageBreak/>
        <w:t>right or benefit; or</w:t>
      </w:r>
    </w:p>
    <w:p w:rsidR="0049128E" w:rsidRPr="00576ED7" w:rsidRDefault="0049128E" w:rsidP="00A6585D">
      <w:pPr>
        <w:widowControl w:val="0"/>
        <w:ind w:left="1440"/>
        <w:jc w:val="both"/>
        <w:rPr>
          <w:szCs w:val="24"/>
        </w:rPr>
      </w:pPr>
      <w:r w:rsidRPr="00576ED7">
        <w:rPr>
          <w:szCs w:val="24"/>
        </w:rPr>
        <w:t>(ii) The end of the taxable year following the taxable year in which the payment is made.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When taxpayers incur recurring expenses intended to provide future benefits – notably advertising – what is gained by strict adherence to capitalization princ</w:t>
      </w:r>
      <w:r w:rsidRPr="00576ED7">
        <w:rPr>
          <w:szCs w:val="24"/>
        </w:rPr>
        <w:t>i</w:t>
      </w:r>
      <w:r w:rsidRPr="00576ED7">
        <w:rPr>
          <w:szCs w:val="24"/>
        </w:rPr>
        <w:t>ples?</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w:t>
      </w:r>
      <w:r w:rsidRPr="00576ED7">
        <w:rPr>
          <w:szCs w:val="24"/>
        </w:rPr>
        <w:t>i</w:t>
      </w:r>
      <w:r w:rsidRPr="00576ED7">
        <w:rPr>
          <w:szCs w:val="24"/>
        </w:rPr>
        <w:t>ture is made, the result will be to force the capitalization of virtua</w:t>
      </w:r>
      <w:r w:rsidRPr="00576ED7">
        <w:rPr>
          <w:szCs w:val="24"/>
        </w:rPr>
        <w:t>l</w:t>
      </w:r>
      <w:r w:rsidRPr="00576ED7">
        <w:rPr>
          <w:szCs w:val="24"/>
        </w:rPr>
        <w:t>ly every business expense. It is a result courts naturally shy away from. [citation omitted]. It would require capitalizing every sale</w:t>
      </w:r>
      <w:r w:rsidRPr="00576ED7">
        <w:rPr>
          <w:szCs w:val="24"/>
        </w:rPr>
        <w:t>s</w:t>
      </w:r>
      <w:r w:rsidRPr="00576ED7">
        <w:rPr>
          <w:szCs w:val="24"/>
        </w:rPr>
        <w:t>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w:t>
      </w:r>
      <w:r w:rsidRPr="00576ED7">
        <w:rPr>
          <w:szCs w:val="24"/>
        </w:rPr>
        <w:t>r</w:t>
      </w:r>
      <w:r w:rsidRPr="00576ED7">
        <w:rPr>
          <w:szCs w:val="24"/>
        </w:rPr>
        <w:t>haps serviceable demarcation between those capital expenditures that can feasibly be capitalized and those that cannot be.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(Note 6, continued):  Imagine: An author spends $5 every year for on pen and paper with which the author will write books.  Each book will generate income for the author for 5 years.  Let’s assume that “the rules” permit such a taxpayer to deduct $1 of that $5 expenditure in each of the succeeding five years.  This tax treatment matches the author’s expenses with his income.  The following table demonstrates that this taxpayer will (eventually) be deducting $5 every year.</w:t>
      </w:r>
    </w:p>
    <w:p w:rsidR="0049128E" w:rsidRPr="00576ED7" w:rsidRDefault="0049128E"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 xml:space="preserve">year # </w:t>
            </w:r>
            <w:r w:rsidRPr="00576ED7">
              <w:rPr>
                <w:rFonts w:ascii="MS Mincho" w:eastAsia="MS Mincho" w:hAnsi="MS Mincho" w:cs="MS Mincho" w:hint="eastAsia"/>
                <w:szCs w:val="24"/>
              </w:rPr>
              <w:t>☞</w:t>
            </w:r>
          </w:p>
          <w:p w:rsidR="0049128E" w:rsidRPr="00576ED7" w:rsidRDefault="0049128E" w:rsidP="00A6585D">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Beginning in year 5, how much does the year by year total change? Does this t</w:t>
      </w:r>
      <w:r w:rsidRPr="00576ED7">
        <w:rPr>
          <w:szCs w:val="24"/>
        </w:rPr>
        <w:t>a</w:t>
      </w:r>
      <w:r w:rsidRPr="00576ED7">
        <w:rPr>
          <w:szCs w:val="24"/>
        </w:rPr>
        <w:t>ble suggest that there is an easier way to handle recurring capital expenditures than to require taxpayer to capitalize and depreciate each and every such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You are expected to recognize a capitalization of intangibles issue – but the details of the regulations are left to a more advanced tax course.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006292" w:rsidRDefault="0049128E" w:rsidP="00A6585D">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 166(a) and (d) of the ... Code</w:t>
      </w:r>
      <w:r w:rsidRPr="00576ED7">
        <w:rPr>
          <w:rStyle w:val="FootnoteReference"/>
          <w:szCs w:val="24"/>
        </w:rPr>
        <w:footnoteReference w:id="101"/>
      </w:r>
      <w:r w:rsidRPr="00576ED7">
        <w:rPr>
          <w:szCs w:val="24"/>
        </w:rPr>
        <w:t xml:space="preserve"> and of the implementing Regulations § 1.166-5.</w:t>
      </w:r>
      <w:r w:rsidRPr="00576ED7">
        <w:rPr>
          <w:rStyle w:val="FootnoteReference"/>
          <w:szCs w:val="24"/>
        </w:rPr>
        <w:footnoteReference w:id="102"/>
      </w:r>
    </w:p>
    <w:p w:rsidR="00006292"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The issue’s resolution is important for the taxpayer. If the obligation was a bus</w:t>
      </w:r>
      <w:r w:rsidRPr="00576ED7">
        <w:rPr>
          <w:szCs w:val="24"/>
        </w:rPr>
        <w:t>i</w:t>
      </w:r>
      <w:r w:rsidRPr="00576ED7">
        <w:rPr>
          <w:szCs w:val="24"/>
        </w:rPr>
        <w:t>ness debt, he may use it to offset ordinary income and for carryback purposes u</w:t>
      </w:r>
      <w:r w:rsidRPr="00576ED7">
        <w:rPr>
          <w:szCs w:val="24"/>
        </w:rPr>
        <w:t>n</w:t>
      </w:r>
      <w:r w:rsidRPr="00576ED7">
        <w:rPr>
          <w:szCs w:val="24"/>
        </w:rPr>
        <w:t>der § 172 of the Code ... On the other hand, if the obligation is a nonbusiness debt, it is to be treated as a short-term capital loss subject to the restrictions imposed on such losses by § 166(d)(1)(B) and §§ 1211 and 1212, and its use for carryback purposes is restricted by § 172(d)(4). The debt is one or the other in its entirety, for the Code does not provide for its allocation in part to business and in part to nonbusiness.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w:t>
      </w:r>
      <w:r w:rsidRPr="00576ED7">
        <w:rPr>
          <w:szCs w:val="24"/>
        </w:rPr>
        <w:t>n</w:t>
      </w:r>
      <w:r w:rsidRPr="00576ED7">
        <w:rPr>
          <w:szCs w:val="24"/>
        </w:rPr>
        <w:t>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w:t>
      </w:r>
      <w:r w:rsidRPr="00576ED7">
        <w:rPr>
          <w:szCs w:val="24"/>
        </w:rPr>
        <w:t>y</w:t>
      </w:r>
      <w:r w:rsidRPr="00576ED7">
        <w:rPr>
          <w:szCs w:val="24"/>
        </w:rPr>
        <w:t>er, or is a “significant” motivation sufficient?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w:t>
      </w:r>
      <w:r w:rsidRPr="00576ED7">
        <w:rPr>
          <w:szCs w:val="24"/>
        </w:rPr>
        <w:t>a</w:t>
      </w:r>
      <w:r w:rsidRPr="00576ED7">
        <w:rPr>
          <w:szCs w:val="24"/>
        </w:rPr>
        <w:t>tion was equal. The enterprise proved successful. In 1954, Kelly Generes Co</w:t>
      </w:r>
      <w:r w:rsidRPr="00576ED7">
        <w:rPr>
          <w:szCs w:val="24"/>
        </w:rPr>
        <w:t>n</w:t>
      </w:r>
      <w:r w:rsidRPr="00576ED7">
        <w:rPr>
          <w:szCs w:val="24"/>
        </w:rPr>
        <w:t>struction Co., Inc., was organized as the corporate successor to the partnership. It engaged in the heavy-construction business, primarily on public works projects.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w:t>
      </w:r>
      <w:r w:rsidRPr="00576ED7">
        <w:rPr>
          <w:szCs w:val="24"/>
        </w:rPr>
        <w:t>n</w:t>
      </w:r>
      <w:r w:rsidRPr="00576ED7">
        <w:rPr>
          <w:szCs w:val="24"/>
        </w:rPr>
        <w:t>ing 12% of the stock was owned by a son of the taxpayer and by another son-in law. Mr. Generes was president of the corporation, and received from it an annual salary of $12,000. Mr. Kelly was executive vice-president, and received an annual salary of $15,000.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w:t>
      </w:r>
      <w:r w:rsidRPr="00576ED7">
        <w:rPr>
          <w:szCs w:val="24"/>
        </w:rPr>
        <w:t>c</w:t>
      </w:r>
      <w:r w:rsidRPr="00576ED7">
        <w:rPr>
          <w:szCs w:val="24"/>
        </w:rPr>
        <w:t>tion operations. Generes, on the other hand, devoted no more than six to eight hours a week to the enterprise. He reviewed bids and jobs, made cost estimates, sought and obtained bank financing, and assisted in securing the bid and perfo</w:t>
      </w:r>
      <w:r w:rsidRPr="00576ED7">
        <w:rPr>
          <w:szCs w:val="24"/>
        </w:rPr>
        <w:t>r</w:t>
      </w:r>
      <w:r w:rsidRPr="00576ED7">
        <w:rPr>
          <w:szCs w:val="24"/>
        </w:rPr>
        <w:t>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w:t>
      </w:r>
      <w:r w:rsidRPr="00576ED7">
        <w:rPr>
          <w:szCs w:val="24"/>
        </w:rPr>
        <w:t>m</w:t>
      </w:r>
      <w:r w:rsidRPr="00576ED7">
        <w:rPr>
          <w:szCs w:val="24"/>
        </w:rPr>
        <w:t xml:space="preserve">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w:t>
      </w:r>
      <w:r w:rsidRPr="00576ED7">
        <w:rPr>
          <w:szCs w:val="24"/>
        </w:rPr>
        <w:lastRenderedPageBreak/>
        <w:t>had over $14,000,000 gross business for the period 1954 through 1962.</w:t>
      </w:r>
    </w:p>
    <w:p w:rsidR="00F91D20" w:rsidRPr="00576ED7" w:rsidRDefault="00F91D20" w:rsidP="00A6585D">
      <w:pPr>
        <w:widowControl w:val="0"/>
        <w:jc w:val="both"/>
        <w:rPr>
          <w:szCs w:val="24"/>
        </w:rPr>
      </w:pPr>
    </w:p>
    <w:p w:rsidR="0049128E" w:rsidRPr="00576ED7" w:rsidRDefault="0049128E" w:rsidP="00A6585D">
      <w:pPr>
        <w:widowControl w:val="0"/>
        <w:jc w:val="both"/>
        <w:rPr>
          <w:szCs w:val="24"/>
        </w:rPr>
      </w:pPr>
      <w:r w:rsidRPr="00576ED7">
        <w:rPr>
          <w:szCs w:val="24"/>
        </w:rPr>
        <w:t>In 1962, the corporation seriously underbid two projects and defaulted in its pe</w:t>
      </w:r>
      <w:r w:rsidRPr="00576ED7">
        <w:rPr>
          <w:szCs w:val="24"/>
        </w:rPr>
        <w:t>r</w:t>
      </w:r>
      <w:r w:rsidRPr="00576ED7">
        <w:rPr>
          <w:szCs w:val="24"/>
        </w:rPr>
        <w:t>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w:t>
      </w:r>
      <w:r w:rsidRPr="00576ED7">
        <w:rPr>
          <w:szCs w:val="24"/>
        </w:rPr>
        <w:t>a</w:t>
      </w:r>
      <w:r w:rsidRPr="00576ED7">
        <w:rPr>
          <w:szCs w:val="24"/>
        </w:rPr>
        <w:t>tion loss as a business bad debt and deducted it against ordinary income.</w:t>
      </w:r>
      <w:r w:rsidRPr="00576ED7">
        <w:rPr>
          <w:rStyle w:val="FootnoteReference"/>
          <w:szCs w:val="24"/>
        </w:rPr>
        <w:footnoteReference w:id="103"/>
      </w:r>
      <w:r w:rsidRPr="00576ED7">
        <w:rPr>
          <w:szCs w:val="24"/>
        </w:rPr>
        <w:t xml:space="preserve">  Later, he filed claims for refund for 1959-1961, asserting net operating loss carrybacks under § 172 to those years for the portion, unused in 1962, of the claimed bus</w:t>
      </w:r>
      <w:r w:rsidRPr="00576ED7">
        <w:rPr>
          <w:szCs w:val="24"/>
        </w:rPr>
        <w:t>i</w:t>
      </w:r>
      <w:r w:rsidRPr="00576ED7">
        <w:rPr>
          <w:szCs w:val="24"/>
        </w:rPr>
        <w:t>ness bad debt deduction.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w:t>
      </w:r>
      <w:r w:rsidRPr="00576ED7">
        <w:rPr>
          <w:szCs w:val="24"/>
        </w:rPr>
        <w:t>i</w:t>
      </w:r>
      <w:r w:rsidRPr="00576ED7">
        <w:rPr>
          <w:szCs w:val="24"/>
        </w:rPr>
        <w:t>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04"/>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05"/>
      </w:r>
    </w:p>
    <w:p w:rsidR="00006292" w:rsidRPr="00576ED7"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w:t>
      </w:r>
      <w:r w:rsidRPr="00576ED7">
        <w:rPr>
          <w:szCs w:val="24"/>
        </w:rPr>
        <w:t>a</w:t>
      </w:r>
      <w:r w:rsidRPr="00576ED7">
        <w:rPr>
          <w:szCs w:val="24"/>
        </w:rPr>
        <w:t>tion. Judgment on this verdict was then entered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Fifth Circuit majority approved the significant motivation standard so spec</w:t>
      </w:r>
      <w:r w:rsidRPr="00576ED7">
        <w:rPr>
          <w:szCs w:val="24"/>
        </w:rPr>
        <w:t>i</w:t>
      </w:r>
      <w:r w:rsidRPr="00576ED7">
        <w:rPr>
          <w:szCs w:val="24"/>
        </w:rPr>
        <w:t xml:space="preserve">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w:t>
      </w:r>
      <w:r w:rsidRPr="00576ED7">
        <w:rPr>
          <w:szCs w:val="24"/>
        </w:rPr>
        <w:t>x</w:t>
      </w:r>
      <w:r w:rsidRPr="00576ED7">
        <w:rPr>
          <w:szCs w:val="24"/>
        </w:rPr>
        <w:t>pectative, and would flow not from personal effort, but from investment earnings and appreciation. On the other hand, Generes’ status as an employee was a bus</w:t>
      </w:r>
      <w:r w:rsidRPr="00576ED7">
        <w:rPr>
          <w:szCs w:val="24"/>
        </w:rPr>
        <w:t>i</w:t>
      </w:r>
      <w:r w:rsidRPr="00576ED7">
        <w:rPr>
          <w:szCs w:val="24"/>
        </w:rPr>
        <w:t>ness interest. Its nature centered in personal effort and labor, and salary for that endeavor would be received. The salary would consist of pre-tax dollars.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w:t>
      </w:r>
      <w:r w:rsidRPr="00576ED7">
        <w:rPr>
          <w:szCs w:val="24"/>
        </w:rPr>
        <w:t>e</w:t>
      </w:r>
      <w:r w:rsidRPr="00576ED7">
        <w:rPr>
          <w:szCs w:val="24"/>
        </w:rPr>
        <w:lastRenderedPageBreak/>
        <w:t>holder paid out money to or on behalf of his corporation and then was unable to obtain reimbursement from it. In each, he claimed a deduction assertable against ordinary income. In each, he was unsuccessful in this quest: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w:t>
      </w:r>
      <w:r w:rsidRPr="00576ED7">
        <w:rPr>
          <w:szCs w:val="24"/>
        </w:rPr>
        <w:t>i</w:t>
      </w:r>
      <w:r w:rsidRPr="00576ED7">
        <w:rPr>
          <w:szCs w:val="24"/>
        </w:rPr>
        <w:t>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w:t>
      </w:r>
      <w:r w:rsidRPr="00576ED7">
        <w:rPr>
          <w:szCs w:val="24"/>
        </w:rPr>
        <w:t>p</w:t>
      </w:r>
      <w:r w:rsidRPr="00576ED7">
        <w:rPr>
          <w:szCs w:val="24"/>
        </w:rPr>
        <w:t>proval of the Regulations’ proximate relation test:</w:t>
      </w:r>
    </w:p>
    <w:p w:rsidR="0049128E" w:rsidRPr="00576ED7" w:rsidRDefault="0049128E" w:rsidP="00A6585D">
      <w:pPr>
        <w:widowControl w:val="0"/>
        <w:jc w:val="both"/>
        <w:rPr>
          <w:szCs w:val="24"/>
        </w:rPr>
      </w:pPr>
    </w:p>
    <w:p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rsidR="00006292" w:rsidRDefault="00006292" w:rsidP="00006292">
      <w:pPr>
        <w:widowControl w:val="0"/>
        <w:ind w:left="720"/>
        <w:jc w:val="both"/>
        <w:rPr>
          <w:szCs w:val="24"/>
        </w:rPr>
      </w:pPr>
    </w:p>
    <w:p w:rsidR="0049128E" w:rsidRPr="00576ED7" w:rsidRDefault="0049128E" w:rsidP="00006292">
      <w:pPr>
        <w:widowControl w:val="0"/>
        <w:jc w:val="both"/>
        <w:rPr>
          <w:szCs w:val="24"/>
        </w:rPr>
      </w:pPr>
      <w:r w:rsidRPr="00576ED7">
        <w:rPr>
          <w:szCs w:val="24"/>
        </w:rPr>
        <w:t>The Court also carefully noted the distinction between the business and the no</w:t>
      </w:r>
      <w:r w:rsidRPr="00576ED7">
        <w:rPr>
          <w:szCs w:val="24"/>
        </w:rPr>
        <w:t>n</w:t>
      </w:r>
      <w:r w:rsidRPr="00576ED7">
        <w:rPr>
          <w:szCs w:val="24"/>
        </w:rPr>
        <w:t>business bad debt for one who is both an employee and a shareholder.</w:t>
      </w:r>
      <w:r w:rsidRPr="00576ED7">
        <w:rPr>
          <w:rStyle w:val="FootnoteReference"/>
          <w:szCs w:val="24"/>
        </w:rPr>
        <w:footnoteReference w:id="10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These two cases approach, but do not govern, the present one. They indicate, </w:t>
      </w:r>
      <w:r w:rsidRPr="00576ED7">
        <w:rPr>
          <w:szCs w:val="24"/>
        </w:rPr>
        <w:lastRenderedPageBreak/>
        <w:t xml:space="preserve">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We conclude that, 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w:t>
      </w:r>
      <w:r w:rsidRPr="00576ED7">
        <w:rPr>
          <w:szCs w:val="24"/>
        </w:rPr>
        <w:t>m</w:t>
      </w:r>
      <w:r w:rsidRPr="00576ED7">
        <w:rPr>
          <w:szCs w:val="24"/>
        </w:rPr>
        <w:t>ber of reasons: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The Code itself carefully distinguishes between business and nonbusiness items. It does so, for example, in § 165 with respect to losses, in § 166 with r</w:t>
      </w:r>
      <w:r w:rsidRPr="00576ED7">
        <w:rPr>
          <w:szCs w:val="24"/>
        </w:rPr>
        <w:t>e</w:t>
      </w:r>
      <w:r w:rsidRPr="00576ED7">
        <w:rPr>
          <w:szCs w:val="24"/>
        </w:rPr>
        <w:t>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w:t>
      </w:r>
      <w:r w:rsidRPr="00576ED7">
        <w:rPr>
          <w:szCs w:val="24"/>
        </w:rPr>
        <w:t>d</w:t>
      </w:r>
      <w:r w:rsidRPr="00576ED7">
        <w:rPr>
          <w:szCs w:val="24"/>
        </w:rPr>
        <w:t>verse in financial consequence to the taxpayer as are the former. But this distin</w:t>
      </w:r>
      <w:r w:rsidRPr="00576ED7">
        <w:rPr>
          <w:szCs w:val="24"/>
        </w:rPr>
        <w:t>c</w:t>
      </w:r>
      <w:r w:rsidRPr="00576ED7">
        <w:rPr>
          <w:szCs w:val="24"/>
        </w:rPr>
        <w:t>tion has been a policy of the income tax structure ever since the Revenue Act of 1916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w:t>
      </w:r>
      <w:r w:rsidRPr="00576ED7">
        <w:rPr>
          <w:szCs w:val="24"/>
        </w:rPr>
        <w:t>i</w:t>
      </w:r>
      <w:r w:rsidRPr="00576ED7">
        <w:rPr>
          <w:szCs w:val="24"/>
        </w:rPr>
        <w:t>ness bad debt with the nonbusiness bad debt. We think that emphasis upon the significant rather, than upon the dominant, would have a tendency to do just that.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Application of the significant motivation standard would also tend to unde</w:t>
      </w:r>
      <w:r w:rsidRPr="00576ED7">
        <w:rPr>
          <w:szCs w:val="24"/>
        </w:rPr>
        <w:t>r</w:t>
      </w:r>
      <w:r w:rsidRPr="00576ED7">
        <w:rPr>
          <w:szCs w:val="24"/>
        </w:rPr>
        <w:t xml:space="preserve">mine and circumscribe the Court’s holding in </w:t>
      </w:r>
      <w:r w:rsidRPr="00576ED7">
        <w:rPr>
          <w:i/>
          <w:szCs w:val="24"/>
        </w:rPr>
        <w:t>Whipple</w:t>
      </w:r>
      <w:r w:rsidRPr="00576ED7">
        <w:rPr>
          <w:szCs w:val="24"/>
        </w:rPr>
        <w:t>, and the emphasis there that a shareholder’s mere activity in a corporation’s affairs is not a trade or bus</w:t>
      </w:r>
      <w:r w:rsidRPr="00576ED7">
        <w:rPr>
          <w:szCs w:val="24"/>
        </w:rPr>
        <w:t>i</w:t>
      </w:r>
      <w:r w:rsidRPr="00576ED7">
        <w:rPr>
          <w:szCs w:val="24"/>
        </w:rPr>
        <w:t>ness. As Chief Judge Lumbard pointed out in his separate and disagreeing concu</w:t>
      </w:r>
      <w:r w:rsidRPr="00576ED7">
        <w:rPr>
          <w:szCs w:val="24"/>
        </w:rPr>
        <w:t>r</w:t>
      </w:r>
      <w:r w:rsidRPr="00576ED7">
        <w:rPr>
          <w:szCs w:val="24"/>
        </w:rPr>
        <w:t xml:space="preserve">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w:t>
      </w:r>
      <w:r w:rsidRPr="00576ED7">
        <w:rPr>
          <w:szCs w:val="24"/>
        </w:rPr>
        <w:t>n</w:t>
      </w:r>
      <w:r w:rsidRPr="00576ED7">
        <w:rPr>
          <w:szCs w:val="24"/>
        </w:rPr>
        <w:t>quiry whether employee status provides a significant motivation will always pr</w:t>
      </w:r>
      <w:r w:rsidRPr="00576ED7">
        <w:rPr>
          <w:szCs w:val="24"/>
        </w:rPr>
        <w:t>o</w:t>
      </w:r>
      <w:r w:rsidRPr="00576ED7">
        <w:rPr>
          <w:szCs w:val="24"/>
        </w:rPr>
        <w:t>duce an affirmative answer and result in a judgment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 The dominant motivation standard has the attribute of workability. It provides a guideline of certainty for the trier of fact. The trier then may compare the risk against the potential reward and give proper emphasis to the objective, rather than </w:t>
      </w:r>
      <w:r w:rsidRPr="00576ED7">
        <w:rPr>
          <w:szCs w:val="24"/>
        </w:rPr>
        <w:lastRenderedPageBreak/>
        <w:t>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w:t>
      </w:r>
      <w:r w:rsidRPr="00576ED7">
        <w:rPr>
          <w:szCs w:val="24"/>
        </w:rPr>
        <w:t>e</w:t>
      </w:r>
      <w:r w:rsidRPr="00576ED7">
        <w:rPr>
          <w:szCs w:val="24"/>
        </w:rPr>
        <w:t>vents the mere presence of a business motive, however small and however insi</w:t>
      </w:r>
      <w:r w:rsidRPr="00576ED7">
        <w:rPr>
          <w:szCs w:val="24"/>
        </w:rPr>
        <w:t>g</w:t>
      </w:r>
      <w:r w:rsidRPr="00576ED7">
        <w:rPr>
          <w:szCs w:val="24"/>
        </w:rPr>
        <w:t>nificant, from controlling the tax result at the taxpayer’s convenience. This is of particular importance in a tax system that is so largely dependent on voluntary compliance.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 The dominant motivation test strengthens, and is consistent with, the mandate of § 262 of the Code, ... that “no deduction shall be allowed for personal, living, or family expenses” except as otherwise provided. It prevents personal consider</w:t>
      </w:r>
      <w:r w:rsidRPr="00576ED7">
        <w:rPr>
          <w:szCs w:val="24"/>
        </w:rPr>
        <w:t>a</w:t>
      </w:r>
      <w:r w:rsidRPr="00576ED7">
        <w:rPr>
          <w:szCs w:val="24"/>
        </w:rPr>
        <w:t>tions from circumventing this provision.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 The dominant motivation approach to § 166(d) is consistent with that given the loss provisions in § 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 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 The Regulations’ use of the word “proximate” perhaps is not the most fort</w:t>
      </w:r>
      <w:r w:rsidRPr="00576ED7">
        <w:rPr>
          <w:szCs w:val="24"/>
        </w:rPr>
        <w:t>u</w:t>
      </w:r>
      <w:r w:rsidRPr="00576ED7">
        <w:rPr>
          <w:szCs w:val="24"/>
        </w:rPr>
        <w:t>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w:t>
      </w:r>
      <w:r w:rsidRPr="00576ED7">
        <w:rPr>
          <w:szCs w:val="24"/>
        </w:rPr>
        <w:t>n</w:t>
      </w:r>
      <w:r w:rsidRPr="00576ED7">
        <w:rPr>
          <w:szCs w:val="24"/>
        </w:rPr>
        <w:t>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w:t>
      </w:r>
      <w:r w:rsidRPr="00576ED7">
        <w:rPr>
          <w:szCs w:val="24"/>
        </w:rPr>
        <w:t>e</w:t>
      </w:r>
      <w:r w:rsidRPr="00576ED7">
        <w:rPr>
          <w:szCs w:val="24"/>
        </w:rPr>
        <w:t>res may well have reached a federal income tax bracket of 40% or more for a joint return in 1958-1962.  §§ 1 and 2 of the 1954 Code ... The $12,000 salary thus would produce for him only about $7,000 net after federal tax and before any state income tax. This is the figure, and not $12,000, that has any possible signif</w:t>
      </w:r>
      <w:r w:rsidRPr="00576ED7">
        <w:rPr>
          <w:szCs w:val="24"/>
        </w:rPr>
        <w:t>i</w:t>
      </w:r>
      <w:r w:rsidRPr="00576ED7">
        <w:rPr>
          <w:szCs w:val="24"/>
        </w:rPr>
        <w:t>cance for motivation purposes, and it is less than 1/5 of the original stock inves</w:t>
      </w:r>
      <w:r w:rsidRPr="00576ED7">
        <w:rPr>
          <w:szCs w:val="24"/>
        </w:rPr>
        <w:t>t</w:t>
      </w:r>
      <w:r w:rsidRPr="00576ED7">
        <w:rPr>
          <w:szCs w:val="24"/>
        </w:rPr>
        <w:t>ment.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w:t>
      </w:r>
      <w:r w:rsidRPr="00576ED7">
        <w:rPr>
          <w:szCs w:val="24"/>
        </w:rPr>
        <w:t>a</w:t>
      </w:r>
      <w:r w:rsidRPr="00576ED7">
        <w:rPr>
          <w:szCs w:val="24"/>
        </w:rPr>
        <w:t>tion directed to the preservation of the taxpayer’s salary as president of Kelly G</w:t>
      </w:r>
      <w:r w:rsidRPr="00576ED7">
        <w:rPr>
          <w:szCs w:val="24"/>
        </w:rPr>
        <w:t>e</w:t>
      </w:r>
      <w:r w:rsidRPr="00576ED7">
        <w:rPr>
          <w:szCs w:val="24"/>
        </w:rPr>
        <w:t>neres Construction Co.,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concurring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WHITE, with whom MR. JUSTICE BRENNAN joins.</w:t>
      </w:r>
    </w:p>
    <w:p w:rsidR="0049128E" w:rsidRPr="00576ED7" w:rsidRDefault="0049128E" w:rsidP="00A6585D">
      <w:pPr>
        <w:widowControl w:val="0"/>
        <w:jc w:val="both"/>
        <w:rPr>
          <w:szCs w:val="24"/>
        </w:rPr>
      </w:pPr>
      <w:r w:rsidRPr="00576ED7">
        <w:rPr>
          <w:szCs w:val="24"/>
        </w:rPr>
        <w:lastRenderedPageBreak/>
        <w:t>While I join Parts I, II, and III of the Court’s opinion and its judgment of reversal, I would remand the case to the District Court with directions to hold a hearing on the issue of whether a jury question still exists as to whether taxpayer’s motiv</w:t>
      </w:r>
      <w:r w:rsidRPr="00576ED7">
        <w:rPr>
          <w:szCs w:val="24"/>
        </w:rPr>
        <w:t>a</w:t>
      </w:r>
      <w:r w:rsidRPr="00576ED7">
        <w:rPr>
          <w:szCs w:val="24"/>
        </w:rPr>
        <w:t>tion was “dominantly” a business one in the relevant transactions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What were the stakes in the outcome of the case? </w:t>
      </w:r>
      <w:r w:rsidRPr="00576ED7">
        <w:rPr>
          <w:i/>
          <w:szCs w:val="24"/>
        </w:rPr>
        <w:t>See</w:t>
      </w:r>
      <w:r w:rsidRPr="00576ED7">
        <w:rPr>
          <w:szCs w:val="24"/>
        </w:rPr>
        <w:t xml:space="preserve"> §§ 1211(b) ($1000 limit at the time the Court decided </w:t>
      </w:r>
      <w:r w:rsidRPr="00576ED7">
        <w:rPr>
          <w:i/>
          <w:szCs w:val="24"/>
        </w:rPr>
        <w:t>Generes</w:t>
      </w:r>
      <w:r w:rsidRPr="00576ED7">
        <w:rPr>
          <w:szCs w:val="24"/>
        </w:rPr>
        <w:t>), 1212(b).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rsidR="0049128E" w:rsidRDefault="0049128E" w:rsidP="00A6585D">
      <w:pPr>
        <w:widowControl w:val="0"/>
        <w:jc w:val="both"/>
        <w:rPr>
          <w:szCs w:val="24"/>
        </w:rPr>
      </w:pPr>
    </w:p>
    <w:p w:rsidR="00EB6069" w:rsidRDefault="00EB6069" w:rsidP="00EB6069">
      <w:pPr>
        <w:widowControl w:val="0"/>
        <w:jc w:val="both"/>
        <w:rPr>
          <w:szCs w:val="24"/>
        </w:rPr>
      </w:pPr>
      <w:r>
        <w:rPr>
          <w:szCs w:val="24"/>
        </w:rPr>
        <w:t>When reading the following materials do not forget some basic points.  Section 263(a) denies a deduction for “[a]ny amount paid out for new buildings or for permanent improvements or betterments made to increase the value of any pro</w:t>
      </w:r>
      <w:r>
        <w:rPr>
          <w:szCs w:val="24"/>
        </w:rPr>
        <w:t>p</w:t>
      </w:r>
      <w:r>
        <w:rPr>
          <w:szCs w:val="24"/>
        </w:rPr>
        <w:t>erty” and for “[a]ny amount expended in restoring property or in making good the exhaustion thereof for which an allowance is or has been made.”  The expend</w:t>
      </w:r>
      <w:r>
        <w:rPr>
          <w:szCs w:val="24"/>
        </w:rPr>
        <w:t>i</w:t>
      </w:r>
      <w:r>
        <w:rPr>
          <w:szCs w:val="24"/>
        </w:rPr>
        <w:t>tures that are the subject of this section could be ordinary and necessary trade or business expenditures and so deductible under § 162, but §§ 161 and 261 make § 162 subject to and subordinate to § 263.  Reg. § 1.162-4(a) restates this prioritiz</w:t>
      </w:r>
      <w:r>
        <w:rPr>
          <w:szCs w:val="24"/>
        </w:rPr>
        <w:t>a</w:t>
      </w:r>
      <w:r>
        <w:rPr>
          <w:szCs w:val="24"/>
        </w:rPr>
        <w:t>tion; it provides in part that “[a] taxpayer may deduct amounts paid for repairs and maintenance to tangible property if the amounts paid are not otherwise required to be capitalized.”  The scope of what is affirmatively covered by § 263 preempts what § 162 might allow as an immediate deduction.  The line between deductibi</w:t>
      </w:r>
      <w:r>
        <w:rPr>
          <w:szCs w:val="24"/>
        </w:rPr>
        <w:t>l</w:t>
      </w:r>
      <w:r>
        <w:rPr>
          <w:szCs w:val="24"/>
        </w:rPr>
        <w:t>ity and capitalization has been the subject of dispute between taxpayers and the government in the context of a taxpayer’s trade or business.  More recently, the IRS and Treasury have undertaken through regulations to articulate workable standards and procedures to assure more taxpayers predictable treatment.  We will explore the high points of the portions of these regulations most relevant to this topic.</w:t>
      </w:r>
    </w:p>
    <w:p w:rsidR="00EB6069" w:rsidRDefault="00EB6069" w:rsidP="00EB6069">
      <w:pPr>
        <w:widowControl w:val="0"/>
        <w:jc w:val="both"/>
        <w:rPr>
          <w:szCs w:val="24"/>
        </w:rPr>
      </w:pPr>
    </w:p>
    <w:p w:rsidR="00EB6069" w:rsidRPr="00576ED7" w:rsidRDefault="00EB6069" w:rsidP="00A6585D">
      <w:pPr>
        <w:widowControl w:val="0"/>
        <w:jc w:val="both"/>
        <w:rPr>
          <w:szCs w:val="24"/>
        </w:rPr>
      </w:pPr>
    </w:p>
    <w:p w:rsidR="0049128E" w:rsidRPr="00576ED7" w:rsidRDefault="0049128E" w:rsidP="00A6585D">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ARUNDELL,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issue in this case is whether an expenditure for a concrete lining in petitio</w:t>
      </w:r>
      <w:r w:rsidRPr="00576ED7">
        <w:rPr>
          <w:szCs w:val="24"/>
        </w:rPr>
        <w:t>n</w:t>
      </w:r>
      <w:r w:rsidRPr="00576ED7">
        <w:rPr>
          <w:szCs w:val="24"/>
        </w:rPr>
        <w:t>er’s basement to oilproof it against an oil nuisance created by a neighboring refi</w:t>
      </w:r>
      <w:r w:rsidRPr="00576ED7">
        <w:rPr>
          <w:szCs w:val="24"/>
        </w:rPr>
        <w:t>n</w:t>
      </w:r>
      <w:r w:rsidRPr="00576ED7">
        <w:rPr>
          <w:szCs w:val="24"/>
        </w:rPr>
        <w:t>ery is deductible as an ordinary and necessary expense under § [162(a)] ... on the theory it was an expenditure for a repair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07"/>
      </w:r>
      <w:r w:rsidRPr="00576ED7">
        <w:rPr>
          <w:szCs w:val="24"/>
        </w:rPr>
        <w:t>] is helpful in disti</w:t>
      </w:r>
      <w:r w:rsidRPr="00576ED7">
        <w:rPr>
          <w:szCs w:val="24"/>
        </w:rPr>
        <w:t>n</w:t>
      </w:r>
      <w:r w:rsidRPr="00576ED7">
        <w:rPr>
          <w:szCs w:val="24"/>
        </w:rPr>
        <w:t xml:space="preserve">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will be noted that the first sentence of the [regulation] ... relates to r</w:t>
      </w:r>
      <w:r w:rsidRPr="00576ED7">
        <w:rPr>
          <w:szCs w:val="24"/>
        </w:rPr>
        <w:t>e</w:t>
      </w:r>
      <w:r w:rsidRPr="00576ED7">
        <w:rPr>
          <w:szCs w:val="24"/>
        </w:rPr>
        <w:t>pairs, while the second sentence deals in effect with replacements. In d</w:t>
      </w:r>
      <w:r w:rsidRPr="00576ED7">
        <w:rPr>
          <w:szCs w:val="24"/>
        </w:rPr>
        <w:t>e</w:t>
      </w:r>
      <w:r w:rsidRPr="00576ED7">
        <w:rPr>
          <w:szCs w:val="24"/>
        </w:rPr>
        <w:t xml:space="preserv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w:t>
      </w:r>
      <w:r w:rsidRPr="00576ED7">
        <w:rPr>
          <w:szCs w:val="24"/>
        </w:rPr>
        <w:lastRenderedPageBreak/>
        <w:t>the purpose of keeping the property in an ordinarily efficient operating condition. It does not add to the value of the property nor does it appreci</w:t>
      </w:r>
      <w:r w:rsidRPr="00576ED7">
        <w:rPr>
          <w:szCs w:val="24"/>
        </w:rPr>
        <w:t>a</w:t>
      </w:r>
      <w:r w:rsidRPr="00576ED7">
        <w:rPr>
          <w:szCs w:val="24"/>
        </w:rPr>
        <w:t>bly prolong its life. It merely keeps the property in an operating condition over its probable useful life for the uses for which it was acquired. E</w:t>
      </w:r>
      <w:r w:rsidRPr="00576ED7">
        <w:rPr>
          <w:szCs w:val="24"/>
        </w:rPr>
        <w:t>x</w:t>
      </w:r>
      <w:r w:rsidRPr="00576ED7">
        <w:rPr>
          <w:szCs w:val="24"/>
        </w:rPr>
        <w:t>penditures for that purpose are distinguishable from those for replac</w:t>
      </w:r>
      <w:r w:rsidRPr="00576ED7">
        <w:rPr>
          <w:szCs w:val="24"/>
        </w:rPr>
        <w:t>e</w:t>
      </w:r>
      <w:r w:rsidRPr="00576ED7">
        <w:rPr>
          <w:szCs w:val="24"/>
        </w:rPr>
        <w:t>ments, alterations, improvements, or additions which prolong the life of the property, increase its value, or make it adaptable to a different use. The one is a maintenance charge, while the others are additions to capital i</w:t>
      </w:r>
      <w:r w:rsidRPr="00576ED7">
        <w:rPr>
          <w:szCs w:val="24"/>
        </w:rPr>
        <w:t>n</w:t>
      </w:r>
      <w:r w:rsidRPr="00576ED7">
        <w:rPr>
          <w:szCs w:val="24"/>
        </w:rPr>
        <w:t>vestment which should not be applied against current earnings.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[F]or some 25 years prior to the taxable year [(1943)] petitioner [Midland E</w:t>
      </w:r>
      <w:r w:rsidRPr="00576ED7">
        <w:rPr>
          <w:szCs w:val="24"/>
        </w:rPr>
        <w:t>m</w:t>
      </w:r>
      <w:r w:rsidRPr="00576ED7">
        <w:rPr>
          <w:szCs w:val="24"/>
        </w:rPr>
        <w:t>pire] had used the basement rooms of its plant [situated in Billings near the Ye</w:t>
      </w:r>
      <w:r w:rsidRPr="00576ED7">
        <w:rPr>
          <w:szCs w:val="24"/>
        </w:rPr>
        <w:t>l</w:t>
      </w:r>
      <w:r w:rsidRPr="00576ED7">
        <w:rPr>
          <w:szCs w:val="24"/>
        </w:rPr>
        <w:t>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w:t>
      </w:r>
      <w:r w:rsidRPr="00576ED7">
        <w:rPr>
          <w:szCs w:val="24"/>
        </w:rPr>
        <w:t>t</w:t>
      </w:r>
      <w:r w:rsidRPr="00576ED7">
        <w:rPr>
          <w:szCs w:val="24"/>
        </w:rPr>
        <w:t>ed the air of the entire plant, and the fumes from the oil created a fire hazard. It appears that the oil which came from a nearby refinery [of the Yale Oil Corpor</w:t>
      </w:r>
      <w:r w:rsidRPr="00576ED7">
        <w:rPr>
          <w:szCs w:val="24"/>
        </w:rPr>
        <w:t>a</w:t>
      </w:r>
      <w:r w:rsidRPr="00576ED7">
        <w:rPr>
          <w:szCs w:val="24"/>
        </w:rPr>
        <w:t>tion] had also gotten into the water wells which served to furnish water for pet</w:t>
      </w:r>
      <w:r w:rsidRPr="00576ED7">
        <w:rPr>
          <w:szCs w:val="24"/>
        </w:rPr>
        <w:t>i</w:t>
      </w:r>
      <w:r w:rsidRPr="00576ED7">
        <w:rPr>
          <w:szCs w:val="24"/>
        </w:rPr>
        <w:t>tioner’s plant, and as a result of this whole condition the Federal meat inspectors advised petitioner that it must discontinue the use of the water from the wells and oilproof the basement, or else shut down its plant.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$4,868.81,] which it seeks to deduct as a repair. The bas</w:t>
      </w:r>
      <w:r w:rsidRPr="00576ED7">
        <w:rPr>
          <w:szCs w:val="24"/>
        </w:rPr>
        <w:t>e</w:t>
      </w:r>
      <w:r w:rsidRPr="00576ED7">
        <w:rPr>
          <w:szCs w:val="24"/>
        </w:rPr>
        <w:t>ment was not enlarged by this work [and in fact petitioner’s operating space co</w:t>
      </w:r>
      <w:r w:rsidRPr="00576ED7">
        <w:rPr>
          <w:szCs w:val="24"/>
        </w:rPr>
        <w:t>n</w:t>
      </w:r>
      <w:r w:rsidRPr="00576ED7">
        <w:rPr>
          <w:szCs w:val="24"/>
        </w:rPr>
        <w:t>tracted], nor did the oilproofing serve to make it more desirable for the purpose for which it had been used through the years prior to the time that the oil nuisance had occurred. The evidence is that the expenditure did not add to the value or pr</w:t>
      </w:r>
      <w:r w:rsidRPr="00576ED7">
        <w:rPr>
          <w:szCs w:val="24"/>
        </w:rPr>
        <w:t>o</w:t>
      </w:r>
      <w:r w:rsidRPr="00576ED7">
        <w:rPr>
          <w:szCs w:val="24"/>
        </w:rPr>
        <w:t>long the expected life of the property over what they were before the event o</w:t>
      </w:r>
      <w:r w:rsidRPr="00576ED7">
        <w:rPr>
          <w:szCs w:val="24"/>
        </w:rPr>
        <w:t>c</w:t>
      </w:r>
      <w:r w:rsidRPr="00576ED7">
        <w:rPr>
          <w:szCs w:val="24"/>
        </w:rPr>
        <w:t>curred which made the repairs necessary. It is true that after the work was done the seepage of water, as well as oil, was stopped, but, as already stated, the pre</w:t>
      </w:r>
      <w:r w:rsidRPr="00576ED7">
        <w:rPr>
          <w:szCs w:val="24"/>
        </w:rPr>
        <w:t>s</w:t>
      </w:r>
      <w:r w:rsidRPr="00576ED7">
        <w:rPr>
          <w:szCs w:val="24"/>
        </w:rPr>
        <w:t xml:space="preserve">ence of the water had never been found objectionable. The repairs merely served to keep the property in an operating condition over its probable useful life for the </w:t>
      </w:r>
      <w:r w:rsidRPr="00576ED7">
        <w:rPr>
          <w:szCs w:val="24"/>
        </w:rPr>
        <w:lastRenderedPageBreak/>
        <w:t>purpose for which it was used.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[Midland charged the $4,868.81 to repair expense on its regular books and d</w:t>
      </w:r>
      <w:r w:rsidRPr="00576ED7">
        <w:rPr>
          <w:szCs w:val="24"/>
        </w:rPr>
        <w:t>e</w:t>
      </w:r>
      <w:r w:rsidRPr="00576ED7">
        <w:rPr>
          <w:szCs w:val="24"/>
        </w:rPr>
        <w:t>ducted that amount on its tax returns as an ordinary and necessary business e</w:t>
      </w:r>
      <w:r w:rsidRPr="00576ED7">
        <w:rPr>
          <w:szCs w:val="24"/>
        </w:rPr>
        <w:t>x</w:t>
      </w:r>
      <w:r w:rsidRPr="00576ED7">
        <w:rPr>
          <w:szCs w:val="24"/>
        </w:rPr>
        <w:t>pense for the fiscal year 1943. The Commissioner, in his notice of deficiency, d</w:t>
      </w:r>
      <w:r w:rsidRPr="00576ED7">
        <w:rPr>
          <w:szCs w:val="24"/>
        </w:rPr>
        <w:t>e</w:t>
      </w:r>
      <w:r w:rsidRPr="00576ED7">
        <w:rPr>
          <w:szCs w:val="24"/>
        </w:rPr>
        <w:t>termined that the cost of oilproofing was not deductible ... as an ordinary and ne</w:t>
      </w:r>
      <w:r w:rsidRPr="00576ED7">
        <w:rPr>
          <w:szCs w:val="24"/>
        </w:rPr>
        <w:t>c</w:t>
      </w:r>
      <w:r w:rsidRPr="00576ED7">
        <w:rPr>
          <w:szCs w:val="24"/>
        </w:rPr>
        <w:t>essary expense ... in 1943.]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w:t>
      </w:r>
      <w:r w:rsidRPr="00576ED7">
        <w:rPr>
          <w:szCs w:val="24"/>
        </w:rPr>
        <w:t>i</w:t>
      </w:r>
      <w:r w:rsidRPr="00576ED7">
        <w:rPr>
          <w:szCs w:val="24"/>
        </w:rPr>
        <w:t>tioner had not theretofore been called upon to make a similar expenditure to pr</w:t>
      </w:r>
      <w:r w:rsidRPr="00576ED7">
        <w:rPr>
          <w:szCs w:val="24"/>
        </w:rPr>
        <w:t>e</w:t>
      </w:r>
      <w:r w:rsidRPr="00576ED7">
        <w:rPr>
          <w:szCs w:val="24"/>
        </w:rPr>
        <w:t>vent damage and disaster to its property does not remove that expense from the classification of ‘ordinary’ ... Steps to protect a business building from the see</w:t>
      </w:r>
      <w:r w:rsidRPr="00576ED7">
        <w:rPr>
          <w:szCs w:val="24"/>
        </w:rPr>
        <w:t>p</w:t>
      </w:r>
      <w:r w:rsidRPr="00576ED7">
        <w:rPr>
          <w:szCs w:val="24"/>
        </w:rPr>
        <w:t>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w:t>
      </w:r>
      <w:r w:rsidRPr="00576ED7">
        <w:rPr>
          <w:szCs w:val="24"/>
        </w:rPr>
        <w:t>c</w:t>
      </w:r>
      <w:r w:rsidRPr="00576ED7">
        <w:rPr>
          <w:szCs w:val="24"/>
        </w:rPr>
        <w:t>essary business expense.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court said: “It is none too easy to determine on which side of the line ce</w:t>
      </w:r>
      <w:r w:rsidRPr="00576ED7">
        <w:rPr>
          <w:szCs w:val="24"/>
        </w:rPr>
        <w:t>r</w:t>
      </w:r>
      <w:r w:rsidRPr="00576ED7">
        <w:rPr>
          <w:szCs w:val="24"/>
        </w:rPr>
        <w:t>tain expenditures fall so that they may be accorded their proper treatment for tax purposes.”</w:t>
      </w:r>
    </w:p>
    <w:p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rsidR="0049128E" w:rsidRPr="00576ED7" w:rsidRDefault="0049128E" w:rsidP="00A6585D">
      <w:pPr>
        <w:widowControl w:val="0"/>
        <w:jc w:val="both"/>
        <w:rPr>
          <w:szCs w:val="24"/>
        </w:rPr>
      </w:pPr>
    </w:p>
    <w:p w:rsidR="0049128E" w:rsidRPr="00576ED7" w:rsidRDefault="00555413" w:rsidP="00A6585D">
      <w:pPr>
        <w:widowControl w:val="0"/>
        <w:jc w:val="both"/>
        <w:rPr>
          <w:szCs w:val="24"/>
        </w:rPr>
      </w:pPr>
      <w:r>
        <w:rPr>
          <w:szCs w:val="24"/>
        </w:rPr>
        <w:t>2</w:t>
      </w:r>
      <w:r w:rsidR="0049128E" w:rsidRPr="00576ED7">
        <w:rPr>
          <w:szCs w:val="24"/>
        </w:rPr>
        <w:t>.  In the fifth-to-last paragraph of the case, the court stated conclusions taken a</w:t>
      </w:r>
      <w:r w:rsidR="0049128E" w:rsidRPr="00576ED7">
        <w:rPr>
          <w:szCs w:val="24"/>
        </w:rPr>
        <w:t>l</w:t>
      </w:r>
      <w:r w:rsidR="0049128E" w:rsidRPr="00576ED7">
        <w:rPr>
          <w:szCs w:val="24"/>
        </w:rPr>
        <w:t>most verbatim from the regulation.  Does this give you any idea of the type of e</w:t>
      </w:r>
      <w:r w:rsidR="0049128E" w:rsidRPr="00576ED7">
        <w:rPr>
          <w:szCs w:val="24"/>
        </w:rPr>
        <w:t>v</w:t>
      </w:r>
      <w:r w:rsidR="0049128E" w:rsidRPr="00576ED7">
        <w:rPr>
          <w:szCs w:val="24"/>
        </w:rPr>
        <w:t>idence that taxpayer must have presented and its relation to Reg. § 1.162-4?</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7696" behindDoc="0" locked="0" layoutInCell="0" allowOverlap="1" wp14:anchorId="2C6CC4A5" wp14:editId="63C0B173">
                <wp:simplePos x="0" y="0"/>
                <wp:positionH relativeFrom="margin">
                  <wp:posOffset>2059940</wp:posOffset>
                </wp:positionH>
                <wp:positionV relativeFrom="paragraph">
                  <wp:posOffset>0</wp:posOffset>
                </wp:positionV>
                <wp:extent cx="2971800" cy="1021715"/>
                <wp:effectExtent l="0" t="0" r="19050" b="26035"/>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171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left:0;text-align:left;margin-left:162.2pt;margin-top:0;width:234pt;height:80.4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EbKgIAAFwEAAAOAAAAZHJzL2Uyb0RvYy54bWysVM1u2zAMvg/YOwi6L7YDNGmMOEWXLsOA&#10;bh3Q7gFkWbaFSaImKbGzpx8lp2n2dxnmg0CK1EfyI+n1zagVOQjnJZiKFrOcEmE4NNJ0Ff3ytHtz&#10;TYkPzDRMgREVPQpPbzavX60HW4o59KAa4QiCGF8OtqJ9CLbMMs97oZmfgRUGjS04zQKqrssaxwZE&#10;1yqb5/kiG8A11gEX3uPt3WSkm4TftoKHh7b1IhBVUcwtpNOls45ntlmzsnPM9pKf0mD/kIVm0mDQ&#10;M9QdC4zsnfwNSkvuwEMbZhx0Bm0ruUg1YDVF/ks1jz2zItWC5Hh7psn/P1j+6fDZEdlU9GpFiWEa&#10;e/QkxkDewkgWReRnsL5Et0eLjmHEe+xzqtXbe+BfPTGw7ZnpxK1zMPSCNZhfepldPJ1wfASph4/Q&#10;YBy2D5CAxtbpSB7SQRAd+3Q89ybmwvFyvloW1zmaONqKfF4si6uYXcbK5+fW+fBegCZRqKjD5id4&#10;drj3YXJ9donRPCjZ7KRSSXFdvVWOHBgOyi59J/Sf3JQhA4afF6v5RMFfMfL0/QlDy4Ajr6SuKBaE&#10;X3RiZSTunWmSHJhUk4zlKYNVRiYjeRONYazHqWnL+Dgaa2iOyK2DacRxJVHowX2nZMDxrqj/tmdO&#10;UKI+GOzPcoHbg/twqbhLpb5UmOEIVdFAySRuw7RDe+tk12OkaSIM3GJPW5nYfsnqlD+OcOrXad3i&#10;jlzqyevlp7D5AQAA//8DAFBLAwQUAAYACAAAACEAHiIqltsAAAAIAQAADwAAAGRycy9kb3ducmV2&#10;LnhtbEyPwU7DMBBE70j9B2srcaNOQ1VoiFOhSNybUARHN17iiHidxm4T/p7lBMfRjGbe5PvZ9eKK&#10;Y+g8KVivEhBIjTcdtQqOry93jyBC1GR07wkVfGOAfbG4yXVm/EQVXuvYCi6hkGkFNsYhkzI0Fp0O&#10;Kz8gsffpR6cjy7GVZtQTl7tepkmylU53xAtWD1habL7qi1Pgq6p8S+vz4b2cTNlOhzkOH1ap2+X8&#10;/AQi4hz/wvCLz+hQMNPJX8gE0Su4TzcbjirgR2w/7FKWJ85tkx3IIpf/DxQ/AAAA//8DAFBLAQIt&#10;ABQABgAIAAAAIQC2gziS/gAAAOEBAAATAAAAAAAAAAAAAAAAAAAAAABbQ29udGVudF9UeXBlc10u&#10;eG1sUEsBAi0AFAAGAAgAAAAhADj9If/WAAAAlAEAAAsAAAAAAAAAAAAAAAAALwEAAF9yZWxzLy5y&#10;ZWxzUEsBAi0AFAAGAAgAAAAhAKeewRsqAgAAXAQAAA4AAAAAAAAAAAAAAAAALgIAAGRycy9lMm9E&#10;b2MueG1sUEsBAi0AFAAGAAgAAAAhAB4iKpbbAAAACAEAAA8AAAAAAAAAAAAAAAAAhAQAAGRycy9k&#10;b3ducmV2LnhtbFBLBQYAAAAABAAEAPMAAACMBQ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w:t>
                      </w:r>
                      <w:r>
                        <w:rPr>
                          <w:rFonts w:ascii="Tw Cen MT" w:hAnsi="Tw Cen MT"/>
                        </w:rPr>
                        <w:t>m</w:t>
                      </w:r>
                      <w:r>
                        <w:rPr>
                          <w:rFonts w:ascii="Tw Cen MT" w:hAnsi="Tw Cen MT"/>
                        </w:rPr>
                        <w:t>portant matter?</w:t>
                      </w:r>
                    </w:p>
                  </w:txbxContent>
                </v:textbox>
                <w10:wrap type="square" side="largest" anchorx="margin"/>
              </v:shape>
            </w:pict>
          </mc:Fallback>
        </mc:AlternateContent>
      </w:r>
      <w:r w:rsidR="00555413">
        <w:rPr>
          <w:szCs w:val="24"/>
        </w:rPr>
        <w:t>3</w:t>
      </w:r>
      <w:r w:rsidR="0049128E" w:rsidRPr="00576ED7">
        <w:rPr>
          <w:szCs w:val="24"/>
        </w:rPr>
        <w:t>.  The Yale Oil Corporation owned a nearby oil-refining plant and storage area and its discharges caused the pro</w:t>
      </w:r>
      <w:r w:rsidR="0049128E" w:rsidRPr="00576ED7">
        <w:rPr>
          <w:szCs w:val="24"/>
        </w:rPr>
        <w:t>b</w:t>
      </w:r>
      <w:r w:rsidR="0049128E" w:rsidRPr="00576ED7">
        <w:rPr>
          <w:szCs w:val="24"/>
        </w:rPr>
        <w:t xml:space="preserve">lems that Midland Empire had to address.  Yale Oil made a payment to Midland Empire to settle the nuisance suit brought against it.  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w:t>
      </w:r>
      <w:r w:rsidR="0049128E" w:rsidRPr="00576ED7">
        <w:rPr>
          <w:i/>
          <w:szCs w:val="24"/>
        </w:rPr>
        <w:t>n</w:t>
      </w:r>
      <w:r w:rsidR="0049128E" w:rsidRPr="00576ED7">
        <w:rPr>
          <w:i/>
          <w:szCs w:val="24"/>
        </w:rPr>
        <w:t>fra</w:t>
      </w:r>
      <w:r w:rsidR="0049128E" w:rsidRPr="00576ED7">
        <w:rPr>
          <w:szCs w:val="24"/>
        </w:rPr>
        <w:t>?</w:t>
      </w:r>
    </w:p>
    <w:p w:rsidR="0049128E" w:rsidRPr="00576ED7" w:rsidRDefault="0049128E" w:rsidP="00A6585D">
      <w:pPr>
        <w:widowControl w:val="0"/>
        <w:ind w:left="720"/>
        <w:jc w:val="both"/>
        <w:rPr>
          <w:szCs w:val="24"/>
        </w:rPr>
      </w:pPr>
      <w:r w:rsidRPr="00576ED7">
        <w:rPr>
          <w:szCs w:val="24"/>
        </w:rPr>
        <w:t>•What tax treatment should Midland accord the $11,659.49 payment it r</w:t>
      </w:r>
      <w:r w:rsidRPr="00576ED7">
        <w:rPr>
          <w:szCs w:val="24"/>
        </w:rPr>
        <w:t>e</w:t>
      </w:r>
      <w:r w:rsidRPr="00576ED7">
        <w:rPr>
          <w:szCs w:val="24"/>
        </w:rPr>
        <w:t>ceived from Yale?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(CA6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1947 petitioner purchased 13 acres of farm land located on the outskirts of Flint, Michigan, upon which it proceeded to construct a drive-in or outdoor the</w:t>
      </w:r>
      <w:r w:rsidRPr="00576ED7">
        <w:rPr>
          <w:szCs w:val="24"/>
        </w:rPr>
        <w:t>a</w:t>
      </w:r>
      <w:r w:rsidRPr="00576ED7">
        <w:rPr>
          <w:szCs w:val="24"/>
        </w:rPr>
        <w:t>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w:t>
      </w:r>
      <w:r w:rsidRPr="00576ED7">
        <w:rPr>
          <w:szCs w:val="24"/>
        </w:rPr>
        <w:t>r</w:t>
      </w:r>
      <w:r w:rsidRPr="00576ED7">
        <w:rPr>
          <w:szCs w:val="24"/>
        </w:rPr>
        <w:t xml:space="preserve">chased by petitioner was well known to petitioner at the time it was purchased and </w:t>
      </w:r>
      <w:r w:rsidRPr="00576ED7">
        <w:rPr>
          <w:szCs w:val="24"/>
        </w:rPr>
        <w:lastRenderedPageBreak/>
        <w:t>developed. The petitioner did not change the general slope of its land in construc</w:t>
      </w:r>
      <w:r w:rsidRPr="00576ED7">
        <w:rPr>
          <w:szCs w:val="24"/>
        </w:rPr>
        <w:t>t</w:t>
      </w:r>
      <w:r w:rsidRPr="00576ED7">
        <w:rPr>
          <w:szCs w:val="24"/>
        </w:rPr>
        <w: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w:t>
      </w:r>
      <w:r w:rsidRPr="00576ED7">
        <w:rPr>
          <w:szCs w:val="24"/>
        </w:rPr>
        <w:t>n</w:t>
      </w:r>
      <w:r w:rsidRPr="00576ED7">
        <w:rPr>
          <w:szCs w:val="24"/>
        </w:rPr>
        <w:t>centration of the flow of water which drained from the petitioner’s property onto the Nickolas’ land causing damage to their crops and roadways. On or about O</w:t>
      </w:r>
      <w:r w:rsidRPr="00576ED7">
        <w:rPr>
          <w:szCs w:val="24"/>
        </w:rPr>
        <w:t>c</w:t>
      </w:r>
      <w:r w:rsidRPr="00576ED7">
        <w:rPr>
          <w:szCs w:val="24"/>
        </w:rPr>
        <w:t>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w:t>
      </w:r>
      <w:r w:rsidRPr="00576ED7">
        <w:rPr>
          <w:szCs w:val="24"/>
        </w:rPr>
        <w:t>e</w:t>
      </w:r>
      <w:r w:rsidRPr="00576ED7">
        <w:rPr>
          <w:szCs w:val="24"/>
        </w:rPr>
        <w:t>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w:t>
      </w:r>
      <w:r w:rsidRPr="00576ED7">
        <w:rPr>
          <w:szCs w:val="24"/>
        </w:rPr>
        <w:t>n</w:t>
      </w:r>
      <w:r w:rsidRPr="00576ED7">
        <w:rPr>
          <w:szCs w:val="24"/>
        </w:rPr>
        <w:t>ers, who were in a position to seriously interfere with the petitioner’s use of its property for outdoor theatre purposes. A settlement based on a monetary payment for past damages, the petitioner believed, would not remove the threat of claims for future damages.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On its 1950 income and excess profits tax return the petitioner claimed a dedu</w:t>
      </w:r>
      <w:r w:rsidRPr="00576ED7">
        <w:rPr>
          <w:szCs w:val="24"/>
        </w:rPr>
        <w:t>c</w:t>
      </w:r>
      <w:r w:rsidRPr="00576ED7">
        <w:rPr>
          <w:szCs w:val="24"/>
        </w:rPr>
        <w:t>tion of $822.40 for depreciation of the drainage system for the period July 1, 1950, to December 31, 1950. The Commissioner disallowed without itemization $5,514.60 of a total depreciation expense deduction of $19,326.41 claimed by the petitioner. In its petition the petitioner asserted that the entire amount spent to construct the drainage system was fully deductible in 1950 as an ordinary and necessary business expense incurred in the settlement of a lawsuit, or, in the alte</w:t>
      </w:r>
      <w:r w:rsidRPr="00576ED7">
        <w:rPr>
          <w:szCs w:val="24"/>
        </w:rPr>
        <w:t>r</w:t>
      </w:r>
      <w:r w:rsidRPr="00576ED7">
        <w:rPr>
          <w:szCs w:val="24"/>
        </w:rPr>
        <w:t>native, as a loss, and claimed a refund of part of the $10,591.56 of income and excess profits tax paid by it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KERN,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w:t>
      </w:r>
      <w:r w:rsidRPr="00576ED7">
        <w:rPr>
          <w:szCs w:val="24"/>
        </w:rPr>
        <w:t>i</w:t>
      </w:r>
      <w:r w:rsidRPr="00576ED7">
        <w:rPr>
          <w:szCs w:val="24"/>
        </w:rPr>
        <w:t>nal construction plans an expenditure for a proper drainage system no one could doubt that such an expenditure would have been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w:t>
      </w:r>
      <w:r w:rsidRPr="00576ED7">
        <w:rPr>
          <w:szCs w:val="24"/>
        </w:rPr>
        <w:t>i</w:t>
      </w:r>
      <w:r w:rsidRPr="00576ED7">
        <w:rPr>
          <w:szCs w:val="24"/>
        </w:rPr>
        <w:t>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was no sudden catastrophic loss caused by a ‘physical fault’ undetected by </w:t>
      </w:r>
      <w:r w:rsidRPr="00576ED7">
        <w:rPr>
          <w:szCs w:val="24"/>
        </w:rPr>
        <w:lastRenderedPageBreak/>
        <w:t>the taxpayer in spite of due precautions taken by it at the time of its original co</w:t>
      </w:r>
      <w:r w:rsidRPr="00576ED7">
        <w:rPr>
          <w:szCs w:val="24"/>
        </w:rPr>
        <w:t>n</w:t>
      </w:r>
      <w:r w:rsidRPr="00576ED7">
        <w:rPr>
          <w:szCs w:val="24"/>
        </w:rPr>
        <w:t xml:space="preserve">struction work as in </w:t>
      </w:r>
      <w:r w:rsidRPr="00576ED7">
        <w:rPr>
          <w:i/>
          <w:szCs w:val="24"/>
        </w:rPr>
        <w:t>American Bemberg Corporation</w:t>
      </w:r>
      <w:r w:rsidRPr="00576ED7">
        <w:rPr>
          <w:szCs w:val="24"/>
        </w:rPr>
        <w:t>, 10 T.C. 361; no unforese</w:t>
      </w:r>
      <w:r w:rsidRPr="00576ED7">
        <w:rPr>
          <w:szCs w:val="24"/>
        </w:rPr>
        <w:t>e</w:t>
      </w:r>
      <w:r w:rsidRPr="00576ED7">
        <w:rPr>
          <w:szCs w:val="24"/>
        </w:rPr>
        <w:t xml:space="preserv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w:t>
      </w:r>
      <w:r w:rsidRPr="00576ED7">
        <w:rPr>
          <w:szCs w:val="24"/>
        </w:rPr>
        <w:t>e</w:t>
      </w:r>
      <w:r w:rsidRPr="00576ED7">
        <w:rPr>
          <w:szCs w:val="24"/>
        </w:rPr>
        <w:t>quired to properly dispose of the natural precipitation normally to be expected, and that until this was accomplished, petitioner’s capital investment was inco</w:t>
      </w:r>
      <w:r w:rsidRPr="00576ED7">
        <w:rPr>
          <w:szCs w:val="24"/>
        </w:rPr>
        <w:t>m</w:t>
      </w:r>
      <w:r w:rsidRPr="00576ED7">
        <w:rPr>
          <w:szCs w:val="24"/>
        </w:rPr>
        <w:t>plete. In addition, it should be emphasized that here there was no mere restoration or rearrangement of the original capital asset, but there was the acquisition and construction of a capital asset which petitioner had not previously had, namely, a new drainage system.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this drainage system was acquired and constructed and that payments ther</w:t>
      </w:r>
      <w:r w:rsidRPr="00576ED7">
        <w:rPr>
          <w:szCs w:val="24"/>
        </w:rPr>
        <w:t>e</w:t>
      </w:r>
      <w:r w:rsidRPr="00576ED7">
        <w:rPr>
          <w:szCs w:val="24"/>
        </w:rPr>
        <w:t xml:space="preserv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RAUM, J.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[I]f provision had been made in the original plans for the construction of a drainage system there could hardly be any question that its cost would have been treated as a capital outlay. The character of the expenditure is not changed merely because it is made at a subsequent time, and I think it wholly irrelevant whether the necessity for the drainage system could have been foreseen, or whether the payment therefor was made as a result of the pressure of a law suit.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FISHER, J., agrees with this concurring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RICE,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expenditure which petitioner made was an ordinary and necessary bus</w:t>
      </w:r>
      <w:r w:rsidRPr="00576ED7">
        <w:rPr>
          <w:szCs w:val="24"/>
        </w:rPr>
        <w:t>i</w:t>
      </w:r>
      <w:r w:rsidRPr="00576ED7">
        <w:rPr>
          <w:szCs w:val="24"/>
        </w:rPr>
        <w:t>ness expense, which did not improve, better, extend, increase, or prolong the us</w:t>
      </w:r>
      <w:r w:rsidRPr="00576ED7">
        <w:rPr>
          <w:szCs w:val="24"/>
        </w:rPr>
        <w:t>e</w:t>
      </w:r>
      <w:r w:rsidRPr="00576ED7">
        <w:rPr>
          <w:szCs w:val="24"/>
        </w:rPr>
        <w:t>ful life of its property. The expenditure did not cure the original geological defect of the natural drainage onto the Nickolas’ land, but only dealt with the intermed</w:t>
      </w:r>
      <w:r w:rsidRPr="00576ED7">
        <w:rPr>
          <w:szCs w:val="24"/>
        </w:rPr>
        <w:t>i</w:t>
      </w:r>
      <w:r w:rsidRPr="00576ED7">
        <w:rPr>
          <w:szCs w:val="24"/>
        </w:rPr>
        <w:t>ate consequence thereof. ... I cannot agree with the majority that the expenditure here was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OPPER, JOHNSON, BRUCE, and MULRONEY, JJ., agree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802ED1">
        <w:rPr>
          <w:szCs w:val="24"/>
        </w:rPr>
        <w:t xml:space="preserve">the three opinions </w:t>
      </w:r>
      <w:r>
        <w:rPr>
          <w:szCs w:val="24"/>
        </w:rPr>
        <w:t xml:space="preserve">in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rsidR="00555413" w:rsidRDefault="00555413" w:rsidP="00555413">
      <w:pPr>
        <w:widowControl w:val="0"/>
        <w:ind w:left="720"/>
        <w:jc w:val="both"/>
        <w:rPr>
          <w:szCs w:val="24"/>
        </w:rPr>
      </w:pPr>
      <w:r>
        <w:rPr>
          <w:szCs w:val="24"/>
        </w:rPr>
        <w:t>•The magnitude of what was done to the properties in the two cases was probably comparable.</w:t>
      </w:r>
    </w:p>
    <w:p w:rsidR="00555413" w:rsidRDefault="00555413" w:rsidP="00555413">
      <w:pPr>
        <w:widowControl w:val="0"/>
        <w:ind w:left="720"/>
        <w:jc w:val="both"/>
        <w:rPr>
          <w:szCs w:val="24"/>
        </w:rPr>
      </w:pPr>
      <w:r>
        <w:rPr>
          <w:szCs w:val="24"/>
        </w:rPr>
        <w:t>•Neither taxpayer could continue in business without making the expend</w:t>
      </w:r>
      <w:r>
        <w:rPr>
          <w:szCs w:val="24"/>
        </w:rPr>
        <w:t>i</w:t>
      </w:r>
      <w:r>
        <w:rPr>
          <w:szCs w:val="24"/>
        </w:rPr>
        <w:t>ture.</w:t>
      </w:r>
    </w:p>
    <w:p w:rsidR="00555413" w:rsidRDefault="00555413" w:rsidP="00555413">
      <w:pPr>
        <w:widowControl w:val="0"/>
        <w:ind w:left="720"/>
        <w:jc w:val="both"/>
        <w:rPr>
          <w:szCs w:val="24"/>
        </w:rPr>
      </w:pPr>
      <w:r>
        <w:rPr>
          <w:szCs w:val="24"/>
        </w:rPr>
        <w:t>•Both taxpayers had operational businesses before making the necessary expenditures.</w:t>
      </w:r>
    </w:p>
    <w:p w:rsidR="00555413" w:rsidRDefault="00555413" w:rsidP="00555413">
      <w:pPr>
        <w:widowControl w:val="0"/>
        <w:ind w:left="720"/>
        <w:jc w:val="both"/>
        <w:rPr>
          <w:szCs w:val="24"/>
        </w:rPr>
      </w:pPr>
      <w:r>
        <w:rPr>
          <w:szCs w:val="24"/>
        </w:rPr>
        <w:t>•Is “foreseeability” really the distinction between these two cases? “For</w:t>
      </w:r>
      <w:r>
        <w:rPr>
          <w:szCs w:val="24"/>
        </w:rPr>
        <w:t>e</w:t>
      </w:r>
      <w:r>
        <w:rPr>
          <w:szCs w:val="24"/>
        </w:rPr>
        <w:t>seeability” of course is a very malleable term.</w:t>
      </w:r>
    </w:p>
    <w:p w:rsidR="00555413" w:rsidRPr="00A11B09" w:rsidRDefault="00555413" w:rsidP="00555413">
      <w:pPr>
        <w:widowControl w:val="0"/>
        <w:ind w:left="720"/>
        <w:jc w:val="both"/>
        <w:rPr>
          <w:szCs w:val="24"/>
        </w:rPr>
      </w:pPr>
      <w:r>
        <w:rPr>
          <w:szCs w:val="24"/>
        </w:rPr>
        <w:t xml:space="preserve">•Isn’t what Judge Raum wrote equally applicable to the facts of </w:t>
      </w:r>
      <w:r w:rsidRPr="00A11B09">
        <w:rPr>
          <w:i/>
          <w:szCs w:val="24"/>
        </w:rPr>
        <w:t>Midland Empire</w:t>
      </w:r>
      <w:r>
        <w:rPr>
          <w:szCs w:val="24"/>
        </w:rPr>
        <w:t>? Why the difference in result?</w:t>
      </w:r>
    </w:p>
    <w:p w:rsidR="00555413" w:rsidRDefault="00555413" w:rsidP="00555413">
      <w:pPr>
        <w:widowControl w:val="0"/>
        <w:spacing w:before="240"/>
        <w:jc w:val="both"/>
        <w:rPr>
          <w:szCs w:val="24"/>
        </w:rPr>
      </w:pPr>
      <w:r>
        <w:rPr>
          <w:szCs w:val="24"/>
        </w:rPr>
        <w:t xml:space="preserve">2.  Does “quantitative” eventually becomes “qualitative?” 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rsidR="00555413" w:rsidRPr="00BB31E5" w:rsidRDefault="00555413" w:rsidP="00555413">
      <w:pPr>
        <w:widowControl w:val="0"/>
        <w:spacing w:before="240"/>
        <w:ind w:left="720"/>
        <w:jc w:val="both"/>
        <w:rPr>
          <w:szCs w:val="24"/>
        </w:rPr>
      </w:pPr>
      <w:r>
        <w:rPr>
          <w:szCs w:val="24"/>
        </w:rPr>
        <w:t>In the continuing quest for formularization, the courts have superimposed upon the criteria in the repair regulation an overriding precept that an e</w:t>
      </w:r>
      <w:r>
        <w:rPr>
          <w:szCs w:val="24"/>
        </w:rPr>
        <w:t>x</w:t>
      </w:r>
      <w:r>
        <w:rPr>
          <w:szCs w:val="24"/>
        </w:rPr>
        <w:t>penditure made for an item which is part of a “general plan” of rehabilit</w:t>
      </w:r>
      <w:r>
        <w:rPr>
          <w:szCs w:val="24"/>
        </w:rPr>
        <w:t>a</w:t>
      </w:r>
      <w:r>
        <w:rPr>
          <w:szCs w:val="24"/>
        </w:rPr>
        <w:t>tion, modernization, and improvement of the property, must be capita</w:t>
      </w:r>
      <w:r>
        <w:rPr>
          <w:szCs w:val="24"/>
        </w:rPr>
        <w:t>l</w:t>
      </w:r>
      <w:r>
        <w:rPr>
          <w:szCs w:val="24"/>
        </w:rPr>
        <w:t xml:space="preserve">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w:t>
      </w:r>
      <w:r w:rsidRPr="00BB31E5">
        <w:rPr>
          <w:szCs w:val="24"/>
        </w:rPr>
        <w:t>d</w:t>
      </w:r>
      <w:r w:rsidRPr="00BB31E5">
        <w:rPr>
          <w:szCs w:val="24"/>
        </w:rPr>
        <w:t>er based upon a realistic appraisal of all the surrounding facts and circu</w:t>
      </w:r>
      <w:r w:rsidRPr="00BB31E5">
        <w:rPr>
          <w:szCs w:val="24"/>
        </w:rPr>
        <w:t>m</w:t>
      </w:r>
      <w:r w:rsidRPr="00BB31E5">
        <w:rPr>
          <w:szCs w:val="24"/>
        </w:rPr>
        <w:t>stances, including, but not limited to, the purpose, nature, extent, and va</w:t>
      </w:r>
      <w:r w:rsidRPr="00BB31E5">
        <w:rPr>
          <w:szCs w:val="24"/>
        </w:rPr>
        <w:t>l</w:t>
      </w:r>
      <w:r w:rsidRPr="00BB31E5">
        <w:rPr>
          <w:szCs w:val="24"/>
        </w:rPr>
        <w:lastRenderedPageBreak/>
        <w:t>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rsidR="00555413" w:rsidRPr="00887C7F" w:rsidRDefault="00555413" w:rsidP="00555413">
      <w:pPr>
        <w:widowControl w:val="0"/>
        <w:jc w:val="both"/>
        <w:rPr>
          <w:szCs w:val="24"/>
        </w:rPr>
      </w:pPr>
    </w:p>
    <w:p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 xml:space="preserve">(citations and footnotes omitted).  Quantity does eventually become quality.  Application of the standard of </w:t>
      </w:r>
      <w:r w:rsidRPr="006B20EC">
        <w:rPr>
          <w:i/>
          <w:szCs w:val="24"/>
        </w:rPr>
        <w:t>Wehrli</w:t>
      </w:r>
      <w:r>
        <w:rPr>
          <w:szCs w:val="24"/>
        </w:rPr>
        <w:t xml:space="preserve"> will certainly lead to disputes b</w:t>
      </w:r>
      <w:r>
        <w:rPr>
          <w:szCs w:val="24"/>
        </w:rPr>
        <w:t>e</w:t>
      </w:r>
      <w:r>
        <w:rPr>
          <w:szCs w:val="24"/>
        </w:rPr>
        <w:t>tween taxpayers and the IRS.  Generalized standards can inherently be unpredic</w:t>
      </w:r>
      <w:r>
        <w:rPr>
          <w:szCs w:val="24"/>
        </w:rPr>
        <w:t>t</w:t>
      </w:r>
      <w:r>
        <w:rPr>
          <w:szCs w:val="24"/>
        </w:rPr>
        <w:t>able in application.  The IRS and Treasury have worked to provide more predict</w:t>
      </w:r>
      <w:r>
        <w:rPr>
          <w:szCs w:val="24"/>
        </w:rPr>
        <w:t>a</w:t>
      </w:r>
      <w:r>
        <w:rPr>
          <w:szCs w:val="24"/>
        </w:rPr>
        <w:t>bility in this area through a revenue ruling and most recently rulemaking.  As o</w:t>
      </w:r>
      <w:r>
        <w:rPr>
          <w:szCs w:val="24"/>
        </w:rPr>
        <w:t>f</w:t>
      </w:r>
      <w:r>
        <w:rPr>
          <w:szCs w:val="24"/>
        </w:rPr>
        <w:t>ten happens, the difficulty that the IRS and Treasury faced in drafting regulations was to make them general enough to be applicable to a broad range of situations and a great number of taxpayers, yet specific enough to provide meaningful gui</w:t>
      </w:r>
      <w:r>
        <w:rPr>
          <w:szCs w:val="24"/>
        </w:rPr>
        <w:t>d</w:t>
      </w:r>
      <w:r>
        <w:rPr>
          <w:szCs w:val="24"/>
        </w:rPr>
        <w:t>ance.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w:t>
      </w:r>
      <w:r>
        <w:rPr>
          <w:i/>
          <w:iCs/>
          <w:szCs w:val="24"/>
        </w:rPr>
        <w:t>m</w:t>
      </w:r>
      <w:r>
        <w:rPr>
          <w:i/>
          <w:iCs/>
          <w:szCs w:val="24"/>
        </w:rPr>
        <w:t>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adaptable to a different use.”  On the other hand, “[a]</w:t>
      </w:r>
      <w:r w:rsidRPr="00802ED1">
        <w:rPr>
          <w:szCs w:val="24"/>
        </w:rPr>
        <w:t xml:space="preserve"> repair is an expenditure for the purpose of keeping the property in an ordinarily efficient operating condition.</w:t>
      </w:r>
      <w:r>
        <w:rPr>
          <w:szCs w:val="24"/>
        </w:rPr>
        <w:t xml:space="preserve">”  </w:t>
      </w:r>
      <w:r>
        <w:rPr>
          <w:i/>
          <w:iCs/>
          <w:szCs w:val="24"/>
        </w:rPr>
        <w:t>Id.</w:t>
      </w:r>
      <w:r>
        <w:rPr>
          <w:szCs w:val="24"/>
        </w:rPr>
        <w:t xml:space="preserve">  Consider some routine (?) maintenance procedures for an automobile.  If the taxpayer uses the automobile in a trade or business, should taxpayer treat them as repairs or as expenditures to be capitalized?</w:t>
      </w:r>
    </w:p>
    <w:p w:rsidR="00555413" w:rsidRDefault="00555413" w:rsidP="00555413">
      <w:pPr>
        <w:widowControl w:val="0"/>
        <w:ind w:left="720"/>
        <w:jc w:val="both"/>
        <w:rPr>
          <w:szCs w:val="24"/>
        </w:rPr>
      </w:pPr>
      <w:r>
        <w:rPr>
          <w:szCs w:val="24"/>
        </w:rPr>
        <w:t>•changing the oil; this will certainly prolong the life of the automobile, for failure to do so will destroy the engine;</w:t>
      </w:r>
    </w:p>
    <w:p w:rsidR="00555413" w:rsidRDefault="00555413" w:rsidP="00555413">
      <w:pPr>
        <w:widowControl w:val="0"/>
        <w:ind w:left="720"/>
        <w:jc w:val="both"/>
        <w:rPr>
          <w:szCs w:val="24"/>
        </w:rPr>
      </w:pPr>
      <w:r>
        <w:rPr>
          <w:szCs w:val="24"/>
        </w:rPr>
        <w:t>•replacing the tires warranted for 20,000 miles with tires warranted for 60,000 miles;</w:t>
      </w:r>
    </w:p>
    <w:p w:rsidR="00555413" w:rsidRDefault="00555413" w:rsidP="00555413">
      <w:pPr>
        <w:widowControl w:val="0"/>
        <w:ind w:left="720"/>
        <w:jc w:val="both"/>
        <w:rPr>
          <w:szCs w:val="24"/>
        </w:rPr>
      </w:pPr>
      <w:r>
        <w:rPr>
          <w:szCs w:val="24"/>
        </w:rPr>
        <w:t>•equipping the automobile with a trailer hitch so that taxpayer can attach a flatbed trailer and transport large items;</w:t>
      </w:r>
    </w:p>
    <w:p w:rsidR="00555413" w:rsidRDefault="00555413" w:rsidP="00555413">
      <w:pPr>
        <w:widowControl w:val="0"/>
        <w:ind w:left="720"/>
        <w:jc w:val="both"/>
        <w:rPr>
          <w:szCs w:val="24"/>
        </w:rPr>
      </w:pPr>
      <w:r>
        <w:rPr>
          <w:szCs w:val="24"/>
        </w:rPr>
        <w:t>•flushing the radiator and filling it with antifreeze;</w:t>
      </w:r>
    </w:p>
    <w:p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4.  In Rev. Rul. 2001-4, the IRS reviewed the statements of several courts.  The following is an excerpt:</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Any properly performed repair, no matter how routine, could be consi</w:t>
      </w:r>
      <w:r>
        <w:rPr>
          <w:szCs w:val="24"/>
        </w:rPr>
        <w:t>d</w:t>
      </w:r>
      <w:r>
        <w:rPr>
          <w:szCs w:val="24"/>
        </w:rPr>
        <w:t>ered to prolong the useful life and increase the value of the property if it is compared with the situation existing immediately prior to the repair.  Co</w:t>
      </w:r>
      <w:r>
        <w:rPr>
          <w:szCs w:val="24"/>
        </w:rPr>
        <w:t>n</w:t>
      </w:r>
      <w:r>
        <w:rPr>
          <w:szCs w:val="24"/>
        </w:rPr>
        <w:lastRenderedPageBreak/>
        <w:t>sequently, courts have articulated a number of ways to distinguish b</w:t>
      </w:r>
      <w:r>
        <w:rPr>
          <w:szCs w:val="24"/>
        </w:rPr>
        <w:t>e</w:t>
      </w:r>
      <w:r>
        <w:rPr>
          <w:szCs w:val="24"/>
        </w:rPr>
        <w:t xml:space="preserve">tween deductible repairs and non-deductible capital improvements.  For example, in </w:t>
      </w:r>
      <w:r>
        <w:rPr>
          <w:i/>
          <w:iCs/>
          <w:szCs w:val="24"/>
        </w:rPr>
        <w:t>Illinois Merchants Trust Co. v. Commissioner</w:t>
      </w:r>
      <w:r>
        <w:rPr>
          <w:szCs w:val="24"/>
        </w:rPr>
        <w:t xml:space="preserve">, 4 B.T.A. 103, 106 (1926), </w:t>
      </w:r>
      <w:r w:rsidRPr="003B1736">
        <w:rPr>
          <w:i/>
          <w:iCs/>
          <w:szCs w:val="24"/>
        </w:rPr>
        <w:t>acq</w:t>
      </w:r>
      <w:r>
        <w:rPr>
          <w:szCs w:val="24"/>
        </w:rPr>
        <w:t>., V-2 C.B. 2, the court explained that repair and maint</w:t>
      </w:r>
      <w:r>
        <w:rPr>
          <w:szCs w:val="24"/>
        </w:rPr>
        <w:t>e</w:t>
      </w:r>
      <w:r>
        <w:rPr>
          <w:szCs w:val="24"/>
        </w:rPr>
        <w:t>nance expenses are incurred for the purpose of keeping the property in an ordinarily efficient operating condition over its probable useful life for the uses for which the property was acquired.  Capital expenditures, in co</w:t>
      </w:r>
      <w:r>
        <w:rPr>
          <w:szCs w:val="24"/>
        </w:rPr>
        <w:t>n</w:t>
      </w:r>
      <w:r>
        <w:rPr>
          <w:szCs w:val="24"/>
        </w:rPr>
        <w:t>trast, are for replacements, alterations, improvements, or additions that a</w:t>
      </w:r>
      <w:r>
        <w:rPr>
          <w:szCs w:val="24"/>
        </w:rPr>
        <w:t>p</w:t>
      </w:r>
      <w:r>
        <w:rPr>
          <w:szCs w:val="24"/>
        </w:rPr>
        <w:t xml:space="preserve">preciably prolong the life of the property, materially increase its value, or make it adaptable to a different use.  In </w:t>
      </w:r>
      <w:r w:rsidRPr="005267BE">
        <w:rPr>
          <w:i/>
          <w:iCs/>
          <w:szCs w:val="24"/>
        </w:rPr>
        <w:t>Estate of Walling v. Commissio</w:t>
      </w:r>
      <w:r w:rsidRPr="005267BE">
        <w:rPr>
          <w:i/>
          <w:iCs/>
          <w:szCs w:val="24"/>
        </w:rPr>
        <w:t>n</w:t>
      </w:r>
      <w:r w:rsidRPr="005267BE">
        <w:rPr>
          <w:i/>
          <w:iCs/>
          <w:szCs w:val="24"/>
        </w:rPr>
        <w:t>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w:t>
      </w:r>
      <w:r>
        <w:rPr>
          <w:szCs w:val="24"/>
        </w:rPr>
        <w:t>x</w:t>
      </w:r>
      <w:r>
        <w:rPr>
          <w:szCs w:val="24"/>
        </w:rPr>
        <w:t>penditures were made to “put” or “keep” property in ordinary efficient o</w:t>
      </w:r>
      <w:r>
        <w:rPr>
          <w:szCs w:val="24"/>
        </w:rPr>
        <w:t>p</w:t>
      </w:r>
      <w:r>
        <w:rPr>
          <w:szCs w:val="24"/>
        </w:rPr>
        <w:t xml:space="preserve">erating condition.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w:t>
      </w:r>
      <w:r>
        <w:rPr>
          <w:szCs w:val="24"/>
        </w:rPr>
        <w:t>e</w:t>
      </w:r>
      <w:r>
        <w:rPr>
          <w:szCs w:val="24"/>
        </w:rPr>
        <w:t>ment in the longevity, utility, or worth of the property. …</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w:t>
      </w:r>
      <w:r>
        <w:rPr>
          <w:szCs w:val="24"/>
        </w:rPr>
        <w:t>r</w:t>
      </w:r>
      <w:r>
        <w:rPr>
          <w:szCs w:val="24"/>
        </w:rPr>
        <w:t>tion of the asset is replaced with new and improved materials.  [citation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w:t>
      </w:r>
      <w:r>
        <w:rPr>
          <w:szCs w:val="24"/>
        </w:rPr>
        <w:t>o</w:t>
      </w:r>
      <w:r>
        <w:rPr>
          <w:szCs w:val="24"/>
        </w:rPr>
        <w:t>longs its useful life, or adapts it to a new use.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The characterization of any cost as a deductible repair or capital improv</w:t>
      </w:r>
      <w:r>
        <w:rPr>
          <w:szCs w:val="24"/>
        </w:rPr>
        <w:t>e</w:t>
      </w:r>
      <w:r>
        <w:rPr>
          <w:szCs w:val="24"/>
        </w:rPr>
        <w:t xml:space="preserve">ment depends on the context in which the cost is incurred.  Specifically, where an expenditure is made as part of a general plan of rehabilitation, modernization, and improvement of the property, the expenditure must be capitalized, even though, standing alone, the item may be classified as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Pr>
          <w:szCs w:val="24"/>
        </w:rPr>
        <w:t xml:space="preserve"> Cir. 1968).  Whether a general plan of rehabilitation exists, and whether a particular repair or maintenance item is part of it, are questions of fact to be determined based upon all the surrounding facts and circumstances, i</w:t>
      </w:r>
      <w:r>
        <w:rPr>
          <w:szCs w:val="24"/>
        </w:rPr>
        <w:t>n</w:t>
      </w:r>
      <w:r>
        <w:rPr>
          <w:szCs w:val="24"/>
        </w:rPr>
        <w:t xml:space="preserve">cluding, but not limited to, the purpose, nature, extent, and value of the work done.  </w:t>
      </w:r>
      <w:r w:rsidRPr="00CA0E16">
        <w:rPr>
          <w:i/>
          <w:iCs/>
          <w:szCs w:val="24"/>
        </w:rPr>
        <w:t>Id</w:t>
      </w:r>
      <w:r>
        <w:rPr>
          <w:szCs w:val="24"/>
        </w:rPr>
        <w:t>. at 690.  The existence of a written plan, by itself, is not sufficient to trigger the plan of rehabilitation doctrine.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general, the courts have applied the plan of rehabilitation doctrine to r</w:t>
      </w:r>
      <w:r>
        <w:rPr>
          <w:szCs w:val="24"/>
        </w:rPr>
        <w:t>e</w:t>
      </w:r>
      <w:r>
        <w:rPr>
          <w:szCs w:val="24"/>
        </w:rPr>
        <w:t>quire a taxpayer to capitalize otherwise deductible repair and maintenance costs where the taxpayer has  a plan to make substantial capital improv</w:t>
      </w:r>
      <w:r>
        <w:rPr>
          <w:szCs w:val="24"/>
        </w:rPr>
        <w:t>e</w:t>
      </w:r>
      <w:r>
        <w:rPr>
          <w:szCs w:val="24"/>
        </w:rPr>
        <w:t>ments to property and the repairs are incidental to that plan.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w:t>
      </w:r>
      <w:r>
        <w:rPr>
          <w:szCs w:val="24"/>
        </w:rPr>
        <w:t>n</w:t>
      </w:r>
      <w:r>
        <w:rPr>
          <w:szCs w:val="24"/>
        </w:rPr>
        <w:t>tial capital improvements and repairs to the same asset, the plan primarily involved repair and maintenance items, or the work was performed merely to keep the property in an ordinarily efficient operating condition.  [cit</w:t>
      </w:r>
      <w:r>
        <w:rPr>
          <w:szCs w:val="24"/>
        </w:rPr>
        <w:t>a</w:t>
      </w:r>
      <w:r>
        <w:rPr>
          <w:szCs w:val="24"/>
        </w:rPr>
        <w:t>tions omitted].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5.   Consider again our servicing of an automobile.</w:t>
      </w:r>
    </w:p>
    <w:p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  It does not prolong the life of the automobile, materially increase its value, or make it adaptable to a different use.  Deduct as repair.</w:t>
      </w:r>
    </w:p>
    <w:p w:rsidR="00555413" w:rsidRDefault="00555413" w:rsidP="00555413">
      <w:pPr>
        <w:widowControl w:val="0"/>
        <w:ind w:left="720"/>
        <w:jc w:val="both"/>
        <w:rPr>
          <w:szCs w:val="24"/>
        </w:rPr>
      </w:pPr>
      <w:r>
        <w:rPr>
          <w:szCs w:val="24"/>
        </w:rPr>
        <w:lastRenderedPageBreak/>
        <w:t>•replacing worn out tires with better tires has not appreciably prolonged the life of the automobile or made it more useful.  However, it may have increased the value of the automobile to more than it was, even when the 20,000 tires were new.  Capitalize.</w:t>
      </w:r>
    </w:p>
    <w:p w:rsidR="00555413" w:rsidRDefault="00555413" w:rsidP="00555413">
      <w:pPr>
        <w:widowControl w:val="0"/>
        <w:ind w:left="720"/>
        <w:jc w:val="both"/>
        <w:rPr>
          <w:szCs w:val="24"/>
        </w:rPr>
      </w:pPr>
      <w:r>
        <w:rPr>
          <w:szCs w:val="24"/>
        </w:rPr>
        <w:t>•equipping the automobile with a trailer hitch may have adapted the aut</w:t>
      </w:r>
      <w:r>
        <w:rPr>
          <w:szCs w:val="24"/>
        </w:rPr>
        <w:t>o</w:t>
      </w:r>
      <w:r>
        <w:rPr>
          <w:szCs w:val="24"/>
        </w:rPr>
        <w:t>mobile to a different use than transporting passengers and made the aut</w:t>
      </w:r>
      <w:r>
        <w:rPr>
          <w:szCs w:val="24"/>
        </w:rPr>
        <w:t>o</w:t>
      </w:r>
      <w:r>
        <w:rPr>
          <w:szCs w:val="24"/>
        </w:rPr>
        <w:t>mobile more useful.  Capitalize.</w:t>
      </w:r>
    </w:p>
    <w:p w:rsidR="00555413" w:rsidRDefault="00555413" w:rsidP="00555413">
      <w:pPr>
        <w:widowControl w:val="0"/>
        <w:ind w:left="720"/>
        <w:jc w:val="both"/>
        <w:rPr>
          <w:szCs w:val="24"/>
        </w:rPr>
      </w:pPr>
      <w:r>
        <w:rPr>
          <w:szCs w:val="24"/>
        </w:rPr>
        <w:t>•flushing the radiator and filling it with antifreeze should probably be treated in the same manner as changing the oil.  Deduct as repair.</w:t>
      </w:r>
    </w:p>
    <w:p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These answers are all obvious, right?</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 xml:space="preserve">6.  This revenue ruling did not put an end to disputes between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Pr>
          <w:szCs w:val="24"/>
        </w:rPr>
        <w:t xml:space="preserve"> Cir. 2005).  In </w:t>
      </w:r>
      <w:r w:rsidRPr="00B229CC">
        <w:rPr>
          <w:i/>
          <w:iCs/>
          <w:szCs w:val="24"/>
        </w:rPr>
        <w:t>Fedex</w:t>
      </w:r>
      <w:r>
        <w:rPr>
          <w:szCs w:val="24"/>
        </w:rPr>
        <w:t xml:space="preserve">, the court determined that an entire aircraft rather than one of its engines on which work was performed was the appropriate unit of property to distinguish between a repair and an improvement.  </w:t>
      </w:r>
      <w:r w:rsidRPr="00B229CC">
        <w:rPr>
          <w:i/>
          <w:iCs/>
          <w:szCs w:val="24"/>
        </w:rPr>
        <w:t>Id</w:t>
      </w:r>
      <w:r>
        <w:rPr>
          <w:szCs w:val="24"/>
        </w:rPr>
        <w:t>. at 712.  The court considered four factors in making this determination:</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can function without each other.  Finally, … whether the component part can be and is maintained while affixed to the larger unit of property.</w:t>
      </w:r>
    </w:p>
    <w:p w:rsidR="00555413" w:rsidRDefault="00555413" w:rsidP="00555413">
      <w:pPr>
        <w:widowControl w:val="0"/>
        <w:jc w:val="both"/>
        <w:rPr>
          <w:szCs w:val="24"/>
        </w:rPr>
      </w:pPr>
    </w:p>
    <w:p w:rsidR="00555413" w:rsidRDefault="00555413" w:rsidP="00555413">
      <w:pPr>
        <w:widowControl w:val="0"/>
        <w:jc w:val="both"/>
        <w:rPr>
          <w:szCs w:val="24"/>
        </w:rPr>
      </w:pPr>
      <w:r w:rsidRPr="00B229CC">
        <w:rPr>
          <w:i/>
          <w:iCs/>
          <w:szCs w:val="24"/>
        </w:rPr>
        <w:t>Id</w:t>
      </w:r>
      <w:r>
        <w:rPr>
          <w:szCs w:val="24"/>
        </w:rPr>
        <w:t>. at 710.  The court also addressed the problem that all repairs prolong the us</w:t>
      </w:r>
      <w:r>
        <w:rPr>
          <w:szCs w:val="24"/>
        </w:rPr>
        <w:t>e</w:t>
      </w:r>
      <w:r>
        <w:rPr>
          <w:szCs w:val="24"/>
        </w:rPr>
        <w:t>ful life of an asset in the sense that but for certain repairs, the unit of property b</w:t>
      </w:r>
      <w:r>
        <w:rPr>
          <w:szCs w:val="24"/>
        </w:rPr>
        <w:t>e</w:t>
      </w:r>
      <w:r>
        <w:rPr>
          <w:szCs w:val="24"/>
        </w:rPr>
        <w:t>comes inoperable.  Rather than compare the condition of the property immediat</w:t>
      </w:r>
      <w:r>
        <w:rPr>
          <w:szCs w:val="24"/>
        </w:rPr>
        <w:t>e</w:t>
      </w:r>
      <w:r>
        <w:rPr>
          <w:szCs w:val="24"/>
        </w:rPr>
        <w:t>ly before and immediately after the repair as the government had urged (</w:t>
      </w:r>
      <w:r w:rsidRPr="00F64D45">
        <w:rPr>
          <w:i/>
          <w:iCs/>
          <w:szCs w:val="24"/>
        </w:rPr>
        <w:t>id.</w:t>
      </w:r>
      <w:r>
        <w:rPr>
          <w:szCs w:val="24"/>
        </w:rPr>
        <w:t xml:space="preserve"> at 714), the court compared the condition of the property immediately after the r</w:t>
      </w:r>
      <w:r>
        <w:rPr>
          <w:szCs w:val="24"/>
        </w:rPr>
        <w:t>e</w:t>
      </w:r>
      <w:r>
        <w:rPr>
          <w:szCs w:val="24"/>
        </w:rPr>
        <w:lastRenderedPageBreak/>
        <w:t xml:space="preserve">pair with its condition immediately after the last such repair.  </w:t>
      </w:r>
      <w:r w:rsidRPr="00F64D45">
        <w:rPr>
          <w:i/>
          <w:iCs/>
          <w:szCs w:val="24"/>
        </w:rPr>
        <w:t>Id</w:t>
      </w:r>
      <w:r>
        <w:rPr>
          <w:szCs w:val="24"/>
        </w:rPr>
        <w:t>. at 716.</w:t>
      </w:r>
      <w:r>
        <w:rPr>
          <w:rStyle w:val="FootnoteReference"/>
          <w:szCs w:val="24"/>
        </w:rPr>
        <w:footnoteReference w:id="108"/>
      </w:r>
      <w:r>
        <w:rPr>
          <w:szCs w:val="24"/>
        </w:rPr>
        <w:t xml:space="preserve">  The court found that the airplane was not worth more than it was immediately after the last servicing of the engine.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7.  The IRS and the Treasury Department announced an intention to propose reg</w:t>
      </w:r>
      <w:r>
        <w:rPr>
          <w:szCs w:val="24"/>
        </w:rPr>
        <w:t>u</w:t>
      </w:r>
      <w:r>
        <w:rPr>
          <w:szCs w:val="24"/>
        </w:rPr>
        <w:t>lations to provide guidance in this area.  Notice 2004-6, 2004-3 I.R.B. 308.  The IRS and the Treasury Department announced proposed rules in 2006</w:t>
      </w:r>
      <w:r>
        <w:rPr>
          <w:rStyle w:val="FootnoteReference"/>
          <w:szCs w:val="24"/>
        </w:rPr>
        <w:footnoteReference w:id="109"/>
      </w:r>
      <w:r>
        <w:rPr>
          <w:szCs w:val="24"/>
        </w:rPr>
        <w:t xml:space="preserve"> and 2008.</w:t>
      </w:r>
      <w:r>
        <w:rPr>
          <w:rStyle w:val="FootnoteReference"/>
          <w:szCs w:val="24"/>
        </w:rPr>
        <w:footnoteReference w:id="110"/>
      </w:r>
      <w:r>
        <w:rPr>
          <w:szCs w:val="24"/>
        </w:rPr>
        <w:t xml:space="preserve">  In 2011, they issued temporary and proposed regulations.</w:t>
      </w:r>
      <w:r>
        <w:rPr>
          <w:rStyle w:val="FootnoteReference"/>
          <w:szCs w:val="24"/>
        </w:rPr>
        <w:footnoteReference w:id="111"/>
      </w:r>
      <w:r>
        <w:rPr>
          <w:szCs w:val="24"/>
        </w:rPr>
        <w:t xml:space="preserve">  Finally, in September 2013, the IRS and the Treasury Department announced final rules and regulations concerning taxpayer treatment of the costs of acquisition, production, or improvement of tangible property.</w:t>
      </w:r>
      <w:r>
        <w:rPr>
          <w:rStyle w:val="FootnoteReference"/>
          <w:szCs w:val="24"/>
        </w:rPr>
        <w:footnoteReference w:id="112"/>
      </w:r>
      <w:r>
        <w:rPr>
          <w:szCs w:val="24"/>
        </w:rPr>
        <w:t xml:space="preserve">  Except for the treatment of expenditures for “materials and supplies,” the focus of the regulations is to identify those e</w:t>
      </w:r>
      <w:r>
        <w:rPr>
          <w:szCs w:val="24"/>
        </w:rPr>
        <w:t>x</w:t>
      </w:r>
      <w:r>
        <w:rPr>
          <w:szCs w:val="24"/>
        </w:rPr>
        <w:t xml:space="preserve">penditures that taxpayer must capitalize.  This is different than regulations that define deductible “repairs” by identifying the characteristics of repairs.  </w:t>
      </w:r>
      <w:r w:rsidRPr="00AD3E36">
        <w:rPr>
          <w:i/>
          <w:szCs w:val="24"/>
        </w:rPr>
        <w:t>Cf.</w:t>
      </w:r>
      <w:r>
        <w:rPr>
          <w:szCs w:val="24"/>
        </w:rPr>
        <w:t xml:space="preserve"> Reg. § 1.162-4 (2011, </w:t>
      </w:r>
      <w:r w:rsidRPr="00AD3E36">
        <w:rPr>
          <w:i/>
          <w:szCs w:val="24"/>
        </w:rPr>
        <w:t>superseded</w:t>
      </w:r>
      <w:r>
        <w:rPr>
          <w:szCs w:val="24"/>
        </w:rPr>
        <w:t xml:space="preserve">) ((quoted </w:t>
      </w:r>
      <w:r w:rsidRPr="00FD0432">
        <w:rPr>
          <w:i/>
          <w:szCs w:val="24"/>
        </w:rPr>
        <w:t>supra</w:t>
      </w:r>
      <w:r>
        <w:rPr>
          <w:szCs w:val="24"/>
        </w:rPr>
        <w:t>) language closely resembling regul</w:t>
      </w:r>
      <w:r>
        <w:rPr>
          <w:szCs w:val="24"/>
        </w:rPr>
        <w:t>a</w:t>
      </w:r>
      <w:r>
        <w:rPr>
          <w:szCs w:val="24"/>
        </w:rPr>
        <w:t xml:space="preserve">tion that Tax Court quoted in first footnote in </w:t>
      </w:r>
      <w:r w:rsidRPr="00FD0432">
        <w:rPr>
          <w:i/>
          <w:szCs w:val="24"/>
        </w:rPr>
        <w:t>Midland Empire</w:t>
      </w:r>
      <w:r>
        <w:rPr>
          <w:szCs w:val="24"/>
        </w:rPr>
        <w:t>).  As exceptions to such capitalizations, the regulations create so-called safe harbors; taxpayer co</w:t>
      </w:r>
      <w:r>
        <w:rPr>
          <w:szCs w:val="24"/>
        </w:rPr>
        <w:t>n</w:t>
      </w:r>
      <w:r>
        <w:rPr>
          <w:szCs w:val="24"/>
        </w:rPr>
        <w:t>formance to the rules of these safe harbors assures them of a certain tax treatment.  The regulations also provide that taxpayers may treat “routine maintenance” as a deductible expenditure.  In many instances, taxpayers may follow their own a</w:t>
      </w:r>
      <w:r>
        <w:rPr>
          <w:szCs w:val="24"/>
        </w:rPr>
        <w:t>c</w:t>
      </w:r>
      <w:r>
        <w:rPr>
          <w:szCs w:val="24"/>
        </w:rPr>
        <w:t>counting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8.  </w:t>
      </w:r>
      <w:r w:rsidRPr="00A03243">
        <w:rPr>
          <w:i/>
          <w:iCs/>
          <w:szCs w:val="24"/>
        </w:rPr>
        <w:t>New buildings or permanent improvements or betterments to increase value</w:t>
      </w:r>
      <w:r>
        <w:rPr>
          <w:szCs w:val="24"/>
        </w:rPr>
        <w:t xml:space="preserve">:  Reg. § 1.263(a)-1(a) denies deductions for amounts paid for new buildings or for permanent improvements or betterments to increase the value of any property or </w:t>
      </w:r>
      <w:r>
        <w:rPr>
          <w:szCs w:val="24"/>
        </w:rPr>
        <w:lastRenderedPageBreak/>
        <w:t>estate.  It also denies deductions for amounts paid to restore property or to make good the exhaustion of property for which an allowance has been made.</w:t>
      </w:r>
    </w:p>
    <w:p w:rsidR="00555413" w:rsidRDefault="00555413" w:rsidP="00555413">
      <w:pPr>
        <w:widowControl w:val="0"/>
        <w:ind w:left="720"/>
        <w:jc w:val="both"/>
        <w:rPr>
          <w:szCs w:val="24"/>
        </w:rPr>
      </w:pPr>
      <w:r>
        <w:rPr>
          <w:szCs w:val="24"/>
        </w:rPr>
        <w:t>•Reg. § 1.263(a)-1(f)(1)(i) now provides an elective de minimis safe ha</w:t>
      </w:r>
      <w:r>
        <w:rPr>
          <w:szCs w:val="24"/>
        </w:rPr>
        <w:t>r</w:t>
      </w:r>
      <w:r>
        <w:rPr>
          <w:szCs w:val="24"/>
        </w:rPr>
        <w:t>bor under which taxpayers with “applicable financial statements” may d</w:t>
      </w:r>
      <w:r>
        <w:rPr>
          <w:szCs w:val="24"/>
        </w:rPr>
        <w:t>e</w:t>
      </w:r>
      <w:r>
        <w:rPr>
          <w:szCs w:val="24"/>
        </w:rPr>
        <w:t>duct expenditures of up to $5000 per invoice that it treats as an expense on its “applicable financial statement” and in accord with its written accoun</w:t>
      </w:r>
      <w:r>
        <w:rPr>
          <w:szCs w:val="24"/>
        </w:rPr>
        <w:t>t</w:t>
      </w:r>
      <w:r>
        <w:rPr>
          <w:szCs w:val="24"/>
        </w:rPr>
        <w:t>ing procedures.  There is no limit to the number of times taxpayer may r</w:t>
      </w:r>
      <w:r>
        <w:rPr>
          <w:szCs w:val="24"/>
        </w:rPr>
        <w:t>e</w:t>
      </w:r>
      <w:r>
        <w:rPr>
          <w:szCs w:val="24"/>
        </w:rPr>
        <w:t>ly on this safe harbor during a tax year.</w:t>
      </w:r>
    </w:p>
    <w:p w:rsidR="00555413" w:rsidRDefault="00555413" w:rsidP="00555413">
      <w:pPr>
        <w:widowControl w:val="0"/>
        <w:ind w:left="1440"/>
        <w:jc w:val="both"/>
        <w:rPr>
          <w:szCs w:val="24"/>
        </w:rPr>
      </w:pPr>
      <w:r>
        <w:rPr>
          <w:szCs w:val="24"/>
        </w:rPr>
        <w:t>•An “applicable financial statement” is – in order of preference – (1) a financial statement that taxpayer must file with the SEC, (2) a certified audited financial statement that taxpayer uses for credit purposes, reports to shareholders or the like, or for any other su</w:t>
      </w:r>
      <w:r>
        <w:rPr>
          <w:szCs w:val="24"/>
        </w:rPr>
        <w:t>b</w:t>
      </w:r>
      <w:r>
        <w:rPr>
          <w:szCs w:val="24"/>
        </w:rPr>
        <w:t>stantial non-tax purpose, and (3) a financial statement that taxpayer must provide to a federal or state government agency other than the SEC or the IRS.  Reg. § 1.263-1(f)(4).</w:t>
      </w:r>
    </w:p>
    <w:p w:rsidR="00555413" w:rsidRDefault="00555413" w:rsidP="00555413">
      <w:pPr>
        <w:widowControl w:val="0"/>
        <w:ind w:left="720"/>
        <w:jc w:val="both"/>
        <w:rPr>
          <w:szCs w:val="24"/>
        </w:rPr>
      </w:pPr>
      <w:r>
        <w:rPr>
          <w:szCs w:val="24"/>
        </w:rPr>
        <w:t>•Taxpayers without an applicable financial statement, but who maintain throughout the year accounting procedures that treat an item as an expense for non-tax purposes, may expense up to $500 per invoice.  Reg. § 1.263(a)-1(f)(1)(ii).</w:t>
      </w:r>
    </w:p>
    <w:p w:rsidR="00555413" w:rsidRDefault="00555413" w:rsidP="00555413">
      <w:pPr>
        <w:widowControl w:val="0"/>
        <w:ind w:left="720"/>
        <w:jc w:val="both"/>
        <w:rPr>
          <w:szCs w:val="24"/>
        </w:rPr>
      </w:pPr>
      <w:r>
        <w:rPr>
          <w:szCs w:val="24"/>
        </w:rPr>
        <w:t>•Taxpayers with both an applicable financial statement and a non-qualifying financial statement must meet the requirements applicable to taxpayers with an applicable financial statement in order to qualify for the elective de minimis safe harbor.  Reg. § 1.263(a)-1(f)(1)(iii).</w:t>
      </w:r>
    </w:p>
    <w:p w:rsidR="00555413" w:rsidRDefault="00555413" w:rsidP="00555413">
      <w:pPr>
        <w:widowControl w:val="0"/>
        <w:ind w:left="720"/>
        <w:jc w:val="both"/>
        <w:rPr>
          <w:szCs w:val="24"/>
        </w:rPr>
      </w:pPr>
      <w:r>
        <w:rPr>
          <w:szCs w:val="24"/>
        </w:rPr>
        <w:t>•These de minimis amounts may be exceeded.  “[I]f examining agents and a taxpayer agree that certain amounts in excess of the de minimis safe ha</w:t>
      </w:r>
      <w:r>
        <w:rPr>
          <w:szCs w:val="24"/>
        </w:rPr>
        <w:t>r</w:t>
      </w:r>
      <w:r>
        <w:rPr>
          <w:szCs w:val="24"/>
        </w:rPr>
        <w:t>bor limitations are not material or otherwise should not be subject to r</w:t>
      </w:r>
      <w:r>
        <w:rPr>
          <w:szCs w:val="24"/>
        </w:rPr>
        <w:t>e</w:t>
      </w:r>
      <w:r>
        <w:rPr>
          <w:szCs w:val="24"/>
        </w:rPr>
        <w:t xml:space="preserve">view, that agreement should be respected.”  </w:t>
      </w:r>
      <w:r w:rsidRPr="004873FE">
        <w:rPr>
          <w:i/>
          <w:iCs/>
          <w:szCs w:val="24"/>
        </w:rPr>
        <w:t>Guidance Regarding Dedu</w:t>
      </w:r>
      <w:r w:rsidRPr="004873FE">
        <w:rPr>
          <w:i/>
          <w:iCs/>
          <w:szCs w:val="24"/>
        </w:rPr>
        <w:t>c</w:t>
      </w:r>
      <w:r w:rsidRPr="004873FE">
        <w:rPr>
          <w:i/>
          <w:iCs/>
          <w:szCs w:val="24"/>
        </w:rPr>
        <w:t>tion and Capitalization of Expenditures Related to Tangible Property</w:t>
      </w:r>
      <w:r>
        <w:rPr>
          <w:szCs w:val="24"/>
        </w:rPr>
        <w:t>, 78 Fed. Reg. 57686, 57690 (2013).</w:t>
      </w:r>
    </w:p>
    <w:p w:rsidR="00555413" w:rsidRDefault="00555413" w:rsidP="00555413">
      <w:pPr>
        <w:widowControl w:val="0"/>
        <w:ind w:left="720"/>
        <w:jc w:val="both"/>
        <w:rPr>
          <w:szCs w:val="24"/>
        </w:rPr>
      </w:pPr>
      <w:r>
        <w:rPr>
          <w:szCs w:val="24"/>
        </w:rPr>
        <w:t>•There are exceptions to this safe harbor for amounts paid for inventory, land, and certain spare parts.  Reg. § 1.263(a)-1(f)(2).</w:t>
      </w:r>
    </w:p>
    <w:p w:rsidR="00555413" w:rsidRDefault="00555413" w:rsidP="00555413">
      <w:pPr>
        <w:widowControl w:val="0"/>
        <w:ind w:left="720"/>
        <w:jc w:val="both"/>
        <w:rPr>
          <w:szCs w:val="24"/>
        </w:rPr>
      </w:pPr>
      <w:r>
        <w:rPr>
          <w:szCs w:val="24"/>
        </w:rPr>
        <w:t xml:space="preserve">•Taxpayer makes the election annually when filing his/her/its tax return, Reg. § 1.263(a)-1(f)(5), and must make it for all of the property eligible for such treatment.  </w:t>
      </w:r>
      <w:r w:rsidRPr="00615794">
        <w:rPr>
          <w:i/>
          <w:iCs/>
          <w:szCs w:val="24"/>
        </w:rPr>
        <w:t>Id.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 importance of this safe harbor is that it eases the accounting burdens of ta</w:t>
      </w:r>
      <w:r>
        <w:rPr>
          <w:szCs w:val="24"/>
        </w:rPr>
        <w:t>x</w:t>
      </w:r>
      <w:r>
        <w:rPr>
          <w:szCs w:val="24"/>
        </w:rPr>
        <w:t>payers – both by not requiring capitalization of de minimis amounts and by allo</w:t>
      </w:r>
      <w:r>
        <w:rPr>
          <w:szCs w:val="24"/>
        </w:rPr>
        <w:t>w</w:t>
      </w:r>
      <w:r>
        <w:rPr>
          <w:szCs w:val="24"/>
        </w:rPr>
        <w:t>ing taxpayer to use the same accounting information that it uses for certain parties other than the IRS.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  </w:t>
      </w:r>
      <w:r w:rsidRPr="00A3488A">
        <w:rPr>
          <w:i/>
          <w:iCs/>
          <w:szCs w:val="24"/>
        </w:rPr>
        <w:t>Unit of property</w:t>
      </w:r>
      <w:r>
        <w:rPr>
          <w:szCs w:val="24"/>
        </w:rPr>
        <w:t>:  The new regulations provide a definition of a “unit of pro</w:t>
      </w:r>
      <w:r>
        <w:rPr>
          <w:szCs w:val="24"/>
        </w:rPr>
        <w:t>p</w:t>
      </w:r>
      <w:r>
        <w:rPr>
          <w:szCs w:val="24"/>
        </w:rPr>
        <w:t xml:space="preserve">erty,” </w:t>
      </w:r>
      <w:r w:rsidR="004020EF">
        <w:rPr>
          <w:szCs w:val="24"/>
        </w:rPr>
        <w:t>i.e., “all</w:t>
      </w:r>
      <w:r>
        <w:rPr>
          <w:szCs w:val="24"/>
        </w:rPr>
        <w:t xml:space="preserve"> the components that are functionally interdependent comprise a single unit of property.  Components of property are functionally interdependent if the placing in service of one component by the taxpayer is dependent on the placing in service of the other component by the taxpayer.”  Reg. 1.263-3(e)(3)(i).</w:t>
      </w:r>
    </w:p>
    <w:p w:rsidR="00555413" w:rsidRDefault="00555413" w:rsidP="00555413">
      <w:pPr>
        <w:widowControl w:val="0"/>
        <w:ind w:left="720"/>
        <w:jc w:val="both"/>
        <w:rPr>
          <w:szCs w:val="24"/>
        </w:rPr>
      </w:pPr>
      <w:r>
        <w:rPr>
          <w:szCs w:val="24"/>
        </w:rPr>
        <w:t>•There as some exceptions.</w:t>
      </w:r>
    </w:p>
    <w:p w:rsidR="00555413" w:rsidRDefault="00555413" w:rsidP="00555413">
      <w:pPr>
        <w:widowControl w:val="0"/>
        <w:ind w:left="720"/>
        <w:jc w:val="both"/>
        <w:rPr>
          <w:szCs w:val="24"/>
        </w:rPr>
      </w:pPr>
      <w:r>
        <w:rPr>
          <w:szCs w:val="24"/>
        </w:rPr>
        <w:t>•Focus on a “unit of property” often goes far to resolve questions of d</w:t>
      </w:r>
      <w:r>
        <w:rPr>
          <w:szCs w:val="24"/>
        </w:rPr>
        <w:t>e</w:t>
      </w:r>
      <w:r>
        <w:rPr>
          <w:szCs w:val="24"/>
        </w:rPr>
        <w:t xml:space="preserv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9a.  </w:t>
      </w:r>
      <w:r w:rsidRPr="00A702D4">
        <w:rPr>
          <w:i/>
          <w:iCs/>
          <w:szCs w:val="24"/>
        </w:rPr>
        <w:t>Buildings as units of property</w:t>
      </w:r>
      <w:r>
        <w:rPr>
          <w:szCs w:val="24"/>
        </w:rPr>
        <w:t>:  The regulations provide that each building and each structural component are separate single units of property.  Reg. § 1.263(a)-3(e)(2)(i).  The structural components of a building include HVAC sy</w:t>
      </w:r>
      <w:r>
        <w:rPr>
          <w:szCs w:val="24"/>
        </w:rPr>
        <w:t>s</w:t>
      </w:r>
      <w:r>
        <w:rPr>
          <w:szCs w:val="24"/>
        </w:rPr>
        <w:t>tems, plumbing systems, electrical systems, all escalators, all elevators, fire-protection and alarm systems, security systems, gas distribution systems, and ot</w:t>
      </w:r>
      <w:r>
        <w:rPr>
          <w:szCs w:val="24"/>
        </w:rPr>
        <w:t>h</w:t>
      </w:r>
      <w:r>
        <w:rPr>
          <w:szCs w:val="24"/>
        </w:rPr>
        <w:t>er components identified in published guidance in the Federal Register or the I</w:t>
      </w:r>
      <w:r>
        <w:rPr>
          <w:szCs w:val="24"/>
        </w:rPr>
        <w:t>n</w:t>
      </w:r>
      <w:r>
        <w:rPr>
          <w:szCs w:val="24"/>
        </w:rPr>
        <w:t>ternal Revenue Bulletin.  Reg. § 1.263(a)-3(e)(2)(B).</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10.   </w:t>
      </w:r>
      <w:r w:rsidRPr="00A03243">
        <w:rPr>
          <w:i/>
          <w:iCs/>
          <w:szCs w:val="24"/>
        </w:rPr>
        <w:t>Acquired or produced tangible property</w:t>
      </w:r>
      <w:r>
        <w:rPr>
          <w:szCs w:val="24"/>
        </w:rPr>
        <w:t>:  Reg. § 1.263(a)-2(d) provides in part: “Acquired or produced tangible property – (1) Requirement to capitalize.  Except [for maintenance and supplies and for the de minimis safe harbor,] a ta</w:t>
      </w:r>
      <w:r>
        <w:rPr>
          <w:szCs w:val="24"/>
        </w:rPr>
        <w:t>x</w:t>
      </w:r>
      <w:r>
        <w:rPr>
          <w:szCs w:val="24"/>
        </w:rPr>
        <w:t>payer must capitalize amounts paid to acquire or produce a unit of real or personal property … including leasehold improvements, land and land improvements, buildings, machinery and equipment, and furniture and fixtures.  …  Amounts paid to acquire or produce a unit of real or personal property include the invoice price, transaction costs …, and costs for work performed prior to the date that the unit of property is placed in service by the taxpayer (without regard to any appl</w:t>
      </w:r>
      <w:r>
        <w:rPr>
          <w:szCs w:val="24"/>
        </w:rPr>
        <w:t>i</w:t>
      </w:r>
      <w:r>
        <w:rPr>
          <w:szCs w:val="24"/>
        </w:rPr>
        <w:t>cable convention under section 168(d).  A taxpayer also must capitalize amounts paid to acquire real or personal property for resale.”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  </w:t>
      </w:r>
      <w:r w:rsidRPr="00093807">
        <w:rPr>
          <w:i/>
          <w:iCs/>
          <w:szCs w:val="24"/>
        </w:rPr>
        <w:t>Improvements</w:t>
      </w:r>
      <w:r>
        <w:rPr>
          <w:szCs w:val="24"/>
        </w:rPr>
        <w:t>.  Reg. § 1.263(a)-3(d) provides in part:  “Requirement to cap</w:t>
      </w:r>
      <w:r>
        <w:rPr>
          <w:szCs w:val="24"/>
        </w:rPr>
        <w:t>i</w:t>
      </w:r>
      <w:r>
        <w:rPr>
          <w:szCs w:val="24"/>
        </w:rPr>
        <w:t>talize amounts paid for improvements.  Except [for “small taxpayers,” reliance on taxpayer’s own accounting treatment of expenditures, and de minimis expend</w:t>
      </w:r>
      <w:r>
        <w:rPr>
          <w:szCs w:val="24"/>
        </w:rPr>
        <w:t>i</w:t>
      </w:r>
      <w:r>
        <w:rPr>
          <w:szCs w:val="24"/>
        </w:rPr>
        <w:t>tures,] … a taxpayer generally must capitalize the related amounts …paid to i</w:t>
      </w:r>
      <w:r>
        <w:rPr>
          <w:szCs w:val="24"/>
        </w:rPr>
        <w:t>m</w:t>
      </w:r>
      <w:r>
        <w:rPr>
          <w:szCs w:val="24"/>
        </w:rPr>
        <w:lastRenderedPageBreak/>
        <w:t xml:space="preserve">prove a unit of property owned by the taxpayer.  … For purposes of this section, a unit of property is improved if the amounts paid for activities performed after the property is placed in service by the taxpayer – </w:t>
      </w:r>
    </w:p>
    <w:p w:rsidR="00555413" w:rsidRDefault="00555413" w:rsidP="00555413">
      <w:pPr>
        <w:widowControl w:val="0"/>
        <w:ind w:left="720"/>
        <w:jc w:val="both"/>
        <w:rPr>
          <w:szCs w:val="24"/>
        </w:rPr>
      </w:pPr>
      <w:r>
        <w:rPr>
          <w:szCs w:val="24"/>
        </w:rPr>
        <w:t>(1) Are for a betterment to the unit of property …;</w:t>
      </w:r>
    </w:p>
    <w:p w:rsidR="00555413" w:rsidRDefault="00555413" w:rsidP="00555413">
      <w:pPr>
        <w:widowControl w:val="0"/>
        <w:ind w:left="720"/>
        <w:jc w:val="both"/>
        <w:rPr>
          <w:szCs w:val="24"/>
        </w:rPr>
      </w:pPr>
      <w:r>
        <w:rPr>
          <w:szCs w:val="24"/>
        </w:rPr>
        <w:t>(2) Restore the unit of property ...; or</w:t>
      </w:r>
    </w:p>
    <w:p w:rsidR="00555413" w:rsidRDefault="00555413" w:rsidP="00555413">
      <w:pPr>
        <w:widowControl w:val="0"/>
        <w:ind w:left="720"/>
        <w:jc w:val="both"/>
        <w:rPr>
          <w:szCs w:val="24"/>
        </w:rPr>
      </w:pPr>
      <w:r>
        <w:rPr>
          <w:szCs w:val="24"/>
        </w:rPr>
        <w:t>(3) Adapt the unit of property to a new or different use …”</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11a.  A “betterment”</w:t>
      </w:r>
    </w:p>
    <w:p w:rsidR="00555413" w:rsidRDefault="00555413" w:rsidP="00555413">
      <w:pPr>
        <w:widowControl w:val="0"/>
        <w:ind w:left="720"/>
        <w:jc w:val="both"/>
        <w:rPr>
          <w:szCs w:val="24"/>
        </w:rPr>
      </w:pPr>
      <w:r>
        <w:rPr>
          <w:szCs w:val="24"/>
        </w:rPr>
        <w:t>“(i) Ameliorates a material condition or defect that either existed prior to the taxpayer’s acquisition of the unit of property or arose during the pr</w:t>
      </w:r>
      <w:r>
        <w:rPr>
          <w:szCs w:val="24"/>
        </w:rPr>
        <w:t>o</w:t>
      </w:r>
      <w:r>
        <w:rPr>
          <w:szCs w:val="24"/>
        </w:rPr>
        <w:t>duction of the unit of property, whether or not the taxpayer was aware of the condition or defect at the time of acquisition or production;</w:t>
      </w:r>
    </w:p>
    <w:p w:rsidR="00555413" w:rsidRDefault="00555413" w:rsidP="00555413">
      <w:pPr>
        <w:widowControl w:val="0"/>
        <w:ind w:left="72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rsidR="00555413" w:rsidRDefault="00555413" w:rsidP="00555413">
      <w:pPr>
        <w:widowControl w:val="0"/>
        <w:ind w:left="720"/>
        <w:jc w:val="both"/>
        <w:rPr>
          <w:szCs w:val="24"/>
        </w:rPr>
      </w:pPr>
      <w:r>
        <w:rPr>
          <w:szCs w:val="24"/>
        </w:rPr>
        <w:t>(iii) Is reasonably expected to materially increase the productivity, eff</w:t>
      </w:r>
      <w:r>
        <w:rPr>
          <w:szCs w:val="24"/>
        </w:rPr>
        <w:t>i</w:t>
      </w:r>
      <w:r>
        <w:rPr>
          <w:szCs w:val="24"/>
        </w:rPr>
        <w:t>ciency, strength, quality, or output of the unit of property.”</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Reg. § 1.263(a)-3(j)(1).  Would the improvement in </w:t>
      </w:r>
      <w:r w:rsidRPr="003E7AED">
        <w:rPr>
          <w:i/>
          <w:szCs w:val="24"/>
        </w:rPr>
        <w:t>Mr. Morris Drive-In</w:t>
      </w:r>
      <w:r>
        <w:rPr>
          <w:szCs w:val="24"/>
        </w:rPr>
        <w:t xml:space="preserve"> be a be</w:t>
      </w:r>
      <w:r>
        <w:rPr>
          <w:szCs w:val="24"/>
        </w:rPr>
        <w:t>t</w:t>
      </w:r>
      <w:r>
        <w:rPr>
          <w:szCs w:val="24"/>
        </w:rPr>
        <w:t>terment?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11b.  A “restoration”</w:t>
      </w:r>
    </w:p>
    <w:p w:rsidR="00555413" w:rsidRDefault="00555413" w:rsidP="00555413">
      <w:pPr>
        <w:widowControl w:val="0"/>
        <w:ind w:left="720"/>
        <w:jc w:val="both"/>
        <w:rPr>
          <w:szCs w:val="24"/>
        </w:rPr>
      </w:pPr>
      <w:r>
        <w:rPr>
          <w:szCs w:val="24"/>
        </w:rPr>
        <w:t>“(i) Is for the replacement of a component of a unit of property for which the taxpayer has properly deducted a loss for that component, other than  a casualty loss …;</w:t>
      </w:r>
    </w:p>
    <w:p w:rsidR="00555413" w:rsidRDefault="00555413" w:rsidP="00555413">
      <w:pPr>
        <w:widowControl w:val="0"/>
        <w:ind w:left="72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rsidR="00555413" w:rsidRDefault="00555413" w:rsidP="00555413">
      <w:pPr>
        <w:widowControl w:val="0"/>
        <w:ind w:left="720"/>
        <w:jc w:val="both"/>
        <w:rPr>
          <w:szCs w:val="24"/>
        </w:rPr>
      </w:pPr>
      <w:r>
        <w:rPr>
          <w:szCs w:val="24"/>
        </w:rPr>
        <w:t>(iii) Is for the restoration of damage to a unit of property for which the taxpayer is required to take a basis adjustment as a result of a casualty loss … or relating to a casualty event …;</w:t>
      </w:r>
    </w:p>
    <w:p w:rsidR="00555413" w:rsidRDefault="00555413" w:rsidP="00555413">
      <w:pPr>
        <w:widowControl w:val="0"/>
        <w:ind w:left="720"/>
        <w:jc w:val="both"/>
        <w:rPr>
          <w:szCs w:val="24"/>
        </w:rPr>
      </w:pPr>
      <w:r>
        <w:rPr>
          <w:szCs w:val="24"/>
        </w:rPr>
        <w:t>(iv) Returns the unit to its ordinarily efficient operating condition if the property has deteriorated to a state of disrepair and is no longer functional for its intended use;</w:t>
      </w:r>
    </w:p>
    <w:p w:rsidR="00555413" w:rsidRDefault="00555413" w:rsidP="00555413">
      <w:pPr>
        <w:widowControl w:val="0"/>
        <w:ind w:left="720"/>
        <w:jc w:val="both"/>
        <w:rPr>
          <w:szCs w:val="24"/>
        </w:rPr>
      </w:pPr>
      <w:r>
        <w:rPr>
          <w:szCs w:val="24"/>
        </w:rPr>
        <w:t>(v) Results in the rebuilding of the unit of property to a like-new condition after the end of its class life …; or</w:t>
      </w:r>
    </w:p>
    <w:p w:rsidR="00555413" w:rsidRDefault="00555413" w:rsidP="00555413">
      <w:pPr>
        <w:widowControl w:val="0"/>
        <w:ind w:left="720"/>
        <w:jc w:val="both"/>
        <w:rPr>
          <w:szCs w:val="24"/>
        </w:rPr>
      </w:pPr>
      <w:r>
        <w:rPr>
          <w:szCs w:val="24"/>
        </w:rPr>
        <w:t xml:space="preserve">(vi) Is for the replacement of a part or a combination of parts that comprise </w:t>
      </w:r>
      <w:r>
        <w:rPr>
          <w:szCs w:val="24"/>
        </w:rPr>
        <w:lastRenderedPageBreak/>
        <w:t>a major component or a substantial structural part of a unit of property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w:t>
      </w:r>
      <w:r>
        <w:rPr>
          <w:szCs w:val="24"/>
        </w:rPr>
        <w:t>g</w:t>
      </w:r>
      <w:r>
        <w:rPr>
          <w:szCs w:val="24"/>
        </w:rPr>
        <w:t>nificance of the part or combination of parts in relation to the unit of property.”  Reg. § 1.263(a)-3(k)(6)(i).  Application of this regulation will require distinguis</w:t>
      </w:r>
      <w:r>
        <w:rPr>
          <w:szCs w:val="24"/>
        </w:rPr>
        <w:t>h</w:t>
      </w:r>
      <w:r>
        <w:rPr>
          <w:szCs w:val="24"/>
        </w:rPr>
        <w:t>ing between parts that are “a major component or a substantial structural part of a unit of property” and those that are not.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11c.  An adaptation adapts “a unit of property to a new or different use if the a</w:t>
      </w:r>
      <w:r>
        <w:rPr>
          <w:szCs w:val="24"/>
        </w:rPr>
        <w:t>d</w:t>
      </w:r>
      <w:r>
        <w:rPr>
          <w:szCs w:val="24"/>
        </w:rPr>
        <w:t>aptation is not consistent with the taxpayer’s ordinary use of the unit of property at the time originally placed in service by the taxpayer.”  Reg. § 1.263(a)-3(</w:t>
      </w:r>
      <w:r w:rsidRPr="0045255E">
        <w:rPr>
          <w:i/>
          <w:iCs/>
          <w:szCs w:val="24"/>
        </w:rPr>
        <w:t>l</w:t>
      </w:r>
      <w:r>
        <w:rPr>
          <w:szCs w:val="24"/>
        </w:rPr>
        <w:t>)(1).  In the case of a building, the adaptation adapts the building to a “new or different use.”  Reg. § 1.263(a)-3(</w:t>
      </w:r>
      <w:r w:rsidRPr="0045255E">
        <w:rPr>
          <w:i/>
          <w:iCs/>
          <w:szCs w:val="24"/>
        </w:rPr>
        <w:t>l</w:t>
      </w:r>
      <w:r>
        <w:rPr>
          <w:szCs w:val="24"/>
        </w:rPr>
        <w:t>)(2).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11d.  The regulations provide some safe harbors to the regulation governing i</w:t>
      </w:r>
      <w:r>
        <w:rPr>
          <w:szCs w:val="24"/>
        </w:rPr>
        <w:t>m</w:t>
      </w:r>
      <w:r>
        <w:rPr>
          <w:szCs w:val="24"/>
        </w:rPr>
        <w:t>provements.</w:t>
      </w:r>
    </w:p>
    <w:p w:rsidR="00555413" w:rsidRDefault="00555413" w:rsidP="00555413">
      <w:pPr>
        <w:widowControl w:val="0"/>
        <w:ind w:left="720"/>
        <w:jc w:val="both"/>
        <w:rPr>
          <w:szCs w:val="24"/>
        </w:rPr>
      </w:pPr>
      <w:r>
        <w:rPr>
          <w:szCs w:val="24"/>
        </w:rPr>
        <w:t>•A “small taxpayer” – one whose average gross receipts for the three pr</w:t>
      </w:r>
      <w:r>
        <w:rPr>
          <w:szCs w:val="24"/>
        </w:rPr>
        <w:t>e</w:t>
      </w:r>
      <w:r>
        <w:rPr>
          <w:szCs w:val="24"/>
        </w:rPr>
        <w:t>ceding taxable years does not exceed $10M – may elect not to apply the improvements provision to building property “if the total amount paid du</w:t>
      </w:r>
      <w:r>
        <w:rPr>
          <w:szCs w:val="24"/>
        </w:rPr>
        <w:t>r</w:t>
      </w:r>
      <w:r>
        <w:rPr>
          <w:szCs w:val="24"/>
        </w:rPr>
        <w:t>ing the taxable year for repairs, maintenance, improvements, and similar activities performed on the … building property does not exceed the lesser of” 2% of the unadjusted basis [of $1M or less] of the building property or $10,000.  Reg. § 1.263(a)-3(h)(1, 3, and 4).</w:t>
      </w:r>
    </w:p>
    <w:p w:rsidR="00555413" w:rsidRDefault="00555413" w:rsidP="00555413">
      <w:pPr>
        <w:widowControl w:val="0"/>
        <w:ind w:left="720"/>
        <w:jc w:val="both"/>
        <w:rPr>
          <w:szCs w:val="24"/>
        </w:rPr>
      </w:pPr>
      <w:r>
        <w:rPr>
          <w:szCs w:val="24"/>
        </w:rPr>
        <w:t>•“Routine maintenance” does not improve property.  Reg. § 1.263(a)-3(i)(1).  “Routine maintenance” is recurring activities that a taxpayer e</w:t>
      </w:r>
      <w:r>
        <w:rPr>
          <w:szCs w:val="24"/>
        </w:rPr>
        <w:t>x</w:t>
      </w:r>
      <w:r>
        <w:rPr>
          <w:szCs w:val="24"/>
        </w:rPr>
        <w:t>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 1.263(a)-3(i)(i, ii).</w:t>
      </w:r>
    </w:p>
    <w:p w:rsidR="00555413" w:rsidRDefault="00555413" w:rsidP="00555413">
      <w:pPr>
        <w:widowControl w:val="0"/>
        <w:ind w:left="720"/>
        <w:jc w:val="both"/>
        <w:rPr>
          <w:szCs w:val="24"/>
        </w:rPr>
      </w:pPr>
      <w:r>
        <w:rPr>
          <w:szCs w:val="24"/>
        </w:rPr>
        <w:t>•A taxpayer may elect to capitalize all repair and maintenance costs as i</w:t>
      </w:r>
      <w:r>
        <w:rPr>
          <w:szCs w:val="24"/>
        </w:rPr>
        <w:t>m</w:t>
      </w:r>
      <w:r>
        <w:rPr>
          <w:szCs w:val="24"/>
        </w:rPr>
        <w:t>provements consistent with the manner in which it keeps its own books and records.  § 1.263(a)-3(n)(1).  This permits taxpayers who conserv</w:t>
      </w:r>
      <w:r>
        <w:rPr>
          <w:szCs w:val="24"/>
        </w:rPr>
        <w:t>a</w:t>
      </w:r>
      <w:r>
        <w:rPr>
          <w:szCs w:val="24"/>
        </w:rPr>
        <w:t>tively capitalized all repair and maintenance costs to elect not to undertake the burden of changing their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12.  Reg. § 1.162-4(a) permits expensing of residual amounts as “repairs and maintenance.”  Additionally, Reg. § 1.162-3 establishes rules for the timing and deductibility of incidental and non-incidental “materials and supplies.”  “Mater</w:t>
      </w:r>
      <w:r>
        <w:rPr>
          <w:szCs w:val="24"/>
        </w:rPr>
        <w:t>i</w:t>
      </w:r>
      <w:r>
        <w:rPr>
          <w:szCs w:val="24"/>
        </w:rPr>
        <w:t>als and supplies” are tangible property that taxpayer uses or consumes in its ope</w:t>
      </w:r>
      <w:r>
        <w:rPr>
          <w:szCs w:val="24"/>
        </w:rPr>
        <w:t>r</w:t>
      </w:r>
      <w:r>
        <w:rPr>
          <w:szCs w:val="24"/>
        </w:rPr>
        <w:t xml:space="preserve">ations that is not inventory that </w:t>
      </w:r>
    </w:p>
    <w:p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rsidR="00555413" w:rsidRDefault="00555413" w:rsidP="00555413">
      <w:pPr>
        <w:widowControl w:val="0"/>
        <w:ind w:left="720"/>
        <w:jc w:val="both"/>
        <w:rPr>
          <w:szCs w:val="24"/>
        </w:rPr>
      </w:pPr>
      <w:r>
        <w:rPr>
          <w:szCs w:val="24"/>
        </w:rPr>
        <w:t>•is a unit of property with an “economic useful life” (i.e., the period over which taxpayer may reasonably expect the property to be useful and rel</w:t>
      </w:r>
      <w:r>
        <w:rPr>
          <w:szCs w:val="24"/>
        </w:rPr>
        <w:t>y</w:t>
      </w:r>
      <w:r>
        <w:rPr>
          <w:szCs w:val="24"/>
        </w:rPr>
        <w:t>ing on taxpayer’s assessment in its “applicable financial statement” if it has one, Reg. § 1.162-3(c)(4)) of 12 months or less, beginning when the taxpayer uses or consumes the item in its operations,</w:t>
      </w:r>
    </w:p>
    <w:p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rsidR="00555413" w:rsidRDefault="00555413" w:rsidP="00555413">
      <w:pPr>
        <w:widowControl w:val="0"/>
        <w:ind w:left="720"/>
        <w:jc w:val="both"/>
        <w:rPr>
          <w:szCs w:val="24"/>
        </w:rPr>
      </w:pPr>
      <w:r>
        <w:rPr>
          <w:szCs w:val="24"/>
        </w:rPr>
        <w:t>•is identified in the Federal Register or the Internal Revenue Bulletin as “materials and supplies.”</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Reg. §1.162-3(c)(1).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“Incidental materials and supplies” are those that taxpayer keeps on hand and of which taxpayer keeps no record of consumption or takes no physical inventory at the beginning and end of the taxable year.  Taxpayer may deduct the costs of “i</w:t>
      </w:r>
      <w:r>
        <w:rPr>
          <w:szCs w:val="24"/>
        </w:rPr>
        <w:t>n</w:t>
      </w:r>
      <w:r>
        <w:rPr>
          <w:szCs w:val="24"/>
        </w:rPr>
        <w:t>cidental materials and supplies” in the year in which it pays for them, provided that its income is clearly reflected.  Reg. § 1.162-3(a)(2).  “Non-incidental mater</w:t>
      </w:r>
      <w:r>
        <w:rPr>
          <w:szCs w:val="24"/>
        </w:rPr>
        <w:t>i</w:t>
      </w:r>
      <w:r>
        <w:rPr>
          <w:szCs w:val="24"/>
        </w:rPr>
        <w:t>als and supplies” are, presumably, all other materials and supplies.  Taxpayer may deduct their costs when it first uses or consumes them in its operations.  Reg. § 1.162-3(a)(1).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“Materials and supplies” are neither a capital asset under § 1221 nor “property used in the trade or business” under § 1231.  Reg. § 1.162-3(g).  There is no pr</w:t>
      </w:r>
      <w:r>
        <w:rPr>
          <w:szCs w:val="24"/>
        </w:rPr>
        <w:t>o</w:t>
      </w:r>
      <w:r>
        <w:rPr>
          <w:szCs w:val="24"/>
        </w:rPr>
        <w:t>vision to capitalize “materials and supplies” except for rotable spare parts, temp</w:t>
      </w:r>
      <w:r>
        <w:rPr>
          <w:szCs w:val="24"/>
        </w:rPr>
        <w:t>o</w:t>
      </w:r>
      <w:r>
        <w:rPr>
          <w:szCs w:val="24"/>
        </w:rPr>
        <w:t>rary spare parts, and standby emergency spare parts.   Taxpayer must deduct e</w:t>
      </w:r>
      <w:r>
        <w:rPr>
          <w:szCs w:val="24"/>
        </w:rPr>
        <w:t>x</w:t>
      </w:r>
      <w:r>
        <w:rPr>
          <w:szCs w:val="24"/>
        </w:rPr>
        <w:t>penditures for other “materials and supplies” at the appropriate time.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The regulation provides special rules for “rotable spare parts,” “temporary spare parts,” and “standby emergency spare parts.”  Such parts are all deemed to be “materials and supplies.”  Reg. § 1.162-3(c)(2, 3).</w:t>
      </w:r>
    </w:p>
    <w:p w:rsidR="00555413" w:rsidRDefault="00555413" w:rsidP="00555413">
      <w:pPr>
        <w:widowControl w:val="0"/>
        <w:ind w:left="720"/>
        <w:jc w:val="both"/>
        <w:rPr>
          <w:szCs w:val="24"/>
        </w:rPr>
      </w:pPr>
      <w:r>
        <w:rPr>
          <w:szCs w:val="24"/>
        </w:rPr>
        <w:t>•“Rotable spare parts” are parts that taxpayer acquires for installation on a unit of property.  They are removable and subject to repair and improv</w:t>
      </w:r>
      <w:r>
        <w:rPr>
          <w:szCs w:val="24"/>
        </w:rPr>
        <w:t>e</w:t>
      </w:r>
      <w:r>
        <w:rPr>
          <w:szCs w:val="24"/>
        </w:rPr>
        <w:t>ment.  Taxpayer may either reinstall the parts or store them for later insta</w:t>
      </w:r>
      <w:r>
        <w:rPr>
          <w:szCs w:val="24"/>
        </w:rPr>
        <w:t>l</w:t>
      </w:r>
      <w:r>
        <w:rPr>
          <w:szCs w:val="24"/>
        </w:rPr>
        <w:t>lation.  Reg. § 1.162-3(c)(2).</w:t>
      </w:r>
    </w:p>
    <w:p w:rsidR="00555413" w:rsidRDefault="00555413" w:rsidP="00555413">
      <w:pPr>
        <w:widowControl w:val="0"/>
        <w:ind w:left="720"/>
        <w:jc w:val="both"/>
        <w:rPr>
          <w:szCs w:val="24"/>
        </w:rPr>
      </w:pPr>
      <w:r>
        <w:rPr>
          <w:szCs w:val="24"/>
        </w:rPr>
        <w:t>•“Temporary spare parts” are parts that taxpayer acquires for temporary use until a new or repaired part can be installed.  The temporary spare part is removed and stored for later installation.  Reg. § 1.162-3(c)(2).</w:t>
      </w:r>
    </w:p>
    <w:p w:rsidR="00555413" w:rsidRDefault="00555413" w:rsidP="00555413">
      <w:pPr>
        <w:widowControl w:val="0"/>
        <w:ind w:left="720"/>
        <w:jc w:val="both"/>
        <w:rPr>
          <w:szCs w:val="24"/>
        </w:rPr>
      </w:pPr>
      <w:r>
        <w:rPr>
          <w:szCs w:val="24"/>
        </w:rPr>
        <w:t>•“Standby emergency spare parts” are parts that taxpayer acquires for pa</w:t>
      </w:r>
      <w:r>
        <w:rPr>
          <w:szCs w:val="24"/>
        </w:rPr>
        <w:t>r</w:t>
      </w:r>
      <w:r>
        <w:rPr>
          <w:szCs w:val="24"/>
        </w:rPr>
        <w:t>ticular machinery or equipment that it sets aside to avoid substantial time lost due to emergencies.  Taxpayer keeps such parts near the site of the machinery or equipment to which they directly relate so that they are rea</w:t>
      </w:r>
      <w:r>
        <w:rPr>
          <w:szCs w:val="24"/>
        </w:rPr>
        <w:t>d</w:t>
      </w:r>
      <w:r>
        <w:rPr>
          <w:szCs w:val="24"/>
        </w:rPr>
        <w:t>ily available.  The parts are normally expensive and available only on sp</w:t>
      </w:r>
      <w:r>
        <w:rPr>
          <w:szCs w:val="24"/>
        </w:rPr>
        <w:t>e</w:t>
      </w:r>
      <w:r>
        <w:rPr>
          <w:szCs w:val="24"/>
        </w:rPr>
        <w:t>cial order.  The parts are not subject to normal periodic replacement.  The parts are not interchangeable with the parts in other machines and equi</w:t>
      </w:r>
      <w:r>
        <w:rPr>
          <w:szCs w:val="24"/>
        </w:rPr>
        <w:t>p</w:t>
      </w:r>
      <w:r>
        <w:rPr>
          <w:szCs w:val="24"/>
        </w:rPr>
        <w:t>ment.  Taxpayer does not acquire them in quantity and does not repair or reuse them.  Reg. § 1.162-3(c)(3).</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In the case of rotable and temporary spare parts, taxpayer’s first use or consum</w:t>
      </w:r>
      <w:r>
        <w:rPr>
          <w:szCs w:val="24"/>
        </w:rPr>
        <w:t>p</w:t>
      </w:r>
      <w:r>
        <w:rPr>
          <w:szCs w:val="24"/>
        </w:rPr>
        <w:t>tion is deemed to be the taxable year of disposal of the parts.  Reg. § 1.162-3(a)(3).  Disposal of rotable and temporary spare parts is an event that may be far into the future for a taxpayer, and taxpayers should hope that they never have to use or consume emergency spare parts.  The regulations give taxpayer the option of electing to capitalize and depreciate such assets.  The election applies to the taxable year in which taxpayer acquired or produced such parts.  Reg. § 1.162-3(d).</w:t>
      </w:r>
    </w:p>
    <w:p w:rsidR="00555413" w:rsidRDefault="00555413" w:rsidP="00555413">
      <w:pPr>
        <w:widowControl w:val="0"/>
        <w:ind w:left="720"/>
        <w:jc w:val="both"/>
        <w:rPr>
          <w:szCs w:val="24"/>
        </w:rPr>
      </w:pPr>
      <w:r>
        <w:rPr>
          <w:szCs w:val="24"/>
        </w:rPr>
        <w:t>•Such an election is not available to the taxpayer if the part’s reasonably expected useful life is 12 months or less beginning with the taxpayer’s use or consumption of the item, if the part’s production or acquisition cost is $200 or less, or if guidance in the Federal Register or in the Internal Rev</w:t>
      </w:r>
      <w:r>
        <w:rPr>
          <w:szCs w:val="24"/>
        </w:rPr>
        <w:t>e</w:t>
      </w:r>
      <w:r>
        <w:rPr>
          <w:szCs w:val="24"/>
        </w:rPr>
        <w:t>nue Bulletin provides that the item is materials and supplies.  Reg. § 1.162-3(d).  An election also is not available if the part is a component a</w:t>
      </w:r>
      <w:r>
        <w:rPr>
          <w:szCs w:val="24"/>
        </w:rPr>
        <w:t>c</w:t>
      </w:r>
      <w:r>
        <w:rPr>
          <w:szCs w:val="24"/>
        </w:rPr>
        <w:t>quired to maintain, repair, or improve a unit of tangible property that ta</w:t>
      </w:r>
      <w:r>
        <w:rPr>
          <w:szCs w:val="24"/>
        </w:rPr>
        <w:t>x</w:t>
      </w:r>
      <w:r>
        <w:rPr>
          <w:szCs w:val="24"/>
        </w:rPr>
        <w:t>payer owns, leases, or services and not as part of any single unit of tang</w:t>
      </w:r>
      <w:r>
        <w:rPr>
          <w:szCs w:val="24"/>
        </w:rPr>
        <w:t>i</w:t>
      </w:r>
      <w:r>
        <w:rPr>
          <w:szCs w:val="24"/>
        </w:rPr>
        <w:t xml:space="preserve">ble property.  </w:t>
      </w:r>
      <w:r w:rsidRPr="00FD51F0">
        <w:rPr>
          <w:i/>
          <w:iCs/>
          <w:szCs w:val="24"/>
        </w:rPr>
        <w:t>Id</w:t>
      </w:r>
      <w:r>
        <w:rPr>
          <w:szCs w:val="24"/>
        </w:rPr>
        <w:t>.</w:t>
      </w:r>
    </w:p>
    <w:p w:rsidR="00555413" w:rsidRDefault="00555413" w:rsidP="00555413">
      <w:pPr>
        <w:widowControl w:val="0"/>
        <w:ind w:left="720"/>
        <w:jc w:val="both"/>
        <w:rPr>
          <w:szCs w:val="24"/>
        </w:rPr>
      </w:pPr>
      <w:r>
        <w:rPr>
          <w:szCs w:val="24"/>
        </w:rPr>
        <w:t>•Taxpayer makes the election when filing a tax return for the taxable year in which the asset was placed in service.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With respect to rotable and temporary spare parts, taxpayer may use an optional method of accounting.  Under the optional method, taxpayer deducts the amount paid to acquire or produce the part in the taxable year that the part is first installed on a unit of property for use in taxpayer’s operations.  Reg. § 1.162-3(e)(2)(i).  Upon removal of the part, taxpayer must recapture as gross income the deduction, and the recaptured income subject to tax becomes the basis of the part.  Reg. § 1.162-3(e)(2)(ii).  Taxpayer must add repair and maintenance expenses of the part to the part’s basis.  Reg. § 1.162-3(e)(2)(iii).  Upon reinstallation, taxpayer d</w:t>
      </w:r>
      <w:r>
        <w:rPr>
          <w:szCs w:val="24"/>
        </w:rPr>
        <w:t>e</w:t>
      </w:r>
      <w:r>
        <w:rPr>
          <w:szCs w:val="24"/>
        </w:rPr>
        <w:t>ducts both the costs of reinstallation and the basis of the part.  Reg. § 1.162-3(e)(2)(iv).  Upon disposal of the part, taxpayer deducts any remaining basis in the part.  Reg. § 1.162-3(e)(2)(v).  A taxpayer who uses the optional method must use it for all of its pools of rotable and temporary spare parts in the same trade or business and consistently with taxpayer’s accounting method for its own books and records.  Reg. § 1.162-3(e)(1).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  Examples and hypotheticals: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13a.  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w:t>
      </w:r>
      <w:r>
        <w:rPr>
          <w:szCs w:val="24"/>
        </w:rPr>
        <w:t>e</w:t>
      </w:r>
      <w:r>
        <w:rPr>
          <w:szCs w:val="24"/>
        </w:rPr>
        <w:t xml:space="preserve">duct the cost of the printers? </w:t>
      </w:r>
      <w:r w:rsidRPr="008C6342">
        <w:rPr>
          <w:i/>
          <w:iCs/>
          <w:szCs w:val="24"/>
        </w:rPr>
        <w:t>See</w:t>
      </w:r>
      <w:r>
        <w:rPr>
          <w:szCs w:val="24"/>
        </w:rPr>
        <w:t xml:space="preserve"> Reg. § 1.263(a)-1(i)(7), Example 1.</w:t>
      </w:r>
    </w:p>
    <w:p w:rsidR="00555413" w:rsidRDefault="00555413" w:rsidP="00555413">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1.263(a)-1(i)(7), Example 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13b.  A purchases new cash registers for use in its retail store located in leased space in a shopping mall that cost $6000 each.  Assume each cash register is a unit of property and is not a material or supply.  May A deduct the cost of the cash registers? </w:t>
      </w:r>
      <w:r w:rsidRPr="0073232F">
        <w:rPr>
          <w:i/>
          <w:szCs w:val="24"/>
        </w:rPr>
        <w:t>See</w:t>
      </w:r>
      <w:r>
        <w:rPr>
          <w:szCs w:val="24"/>
        </w:rPr>
        <w:t xml:space="preserve"> Reg. § 1.263(a)-2(d)(2),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13c.  H owns locomotives that it uses in its railroad business.  Each locomotive consists of various components, such as an engine, generators, batteries, and trucks.  H acquired a locomotive with all its components.  Is the locomotive a si</w:t>
      </w:r>
      <w:r>
        <w:rPr>
          <w:szCs w:val="24"/>
        </w:rPr>
        <w:t>n</w:t>
      </w:r>
      <w:r>
        <w:rPr>
          <w:szCs w:val="24"/>
        </w:rPr>
        <w:t xml:space="preserve">gle unit of property? </w:t>
      </w:r>
      <w:r w:rsidRPr="006960CF">
        <w:rPr>
          <w:i/>
          <w:iCs/>
          <w:szCs w:val="24"/>
        </w:rPr>
        <w:t>See</w:t>
      </w:r>
      <w:r>
        <w:rPr>
          <w:szCs w:val="24"/>
        </w:rPr>
        <w:t xml:space="preserve"> Reg. § 1.263(a)-3(e)(6), Example 8.</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13d.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13e.  E is a towboat operator that owns and leases a fleet of towboats.   Each to</w:t>
      </w:r>
      <w:r>
        <w:rPr>
          <w:szCs w:val="24"/>
        </w:rPr>
        <w:t>w</w:t>
      </w:r>
      <w:r>
        <w:rPr>
          <w:szCs w:val="24"/>
        </w:rPr>
        <w:t>boat is equipped with two diesel-powered engines.  Assume that each towboat, including its engines, is the unit of property and that a towboat has a class life of 18 years.  At the time that E places its towboats into service, E is aware that a</w:t>
      </w:r>
      <w:r>
        <w:rPr>
          <w:szCs w:val="24"/>
        </w:rPr>
        <w:t>p</w:t>
      </w:r>
      <w:r>
        <w:rPr>
          <w:szCs w:val="24"/>
        </w:rPr>
        <w:t>proximately every three to four years E will need to perform scheduled maint</w:t>
      </w:r>
      <w:r>
        <w:rPr>
          <w:szCs w:val="24"/>
        </w:rPr>
        <w:t>e</w:t>
      </w:r>
      <w:r>
        <w:rPr>
          <w:szCs w:val="24"/>
        </w:rPr>
        <w:t>nance on the two towboat engines to keep the engines in their ordinarily efficient operating condition.  This maintenance is completed while the engines are a</w:t>
      </w:r>
      <w:r>
        <w:rPr>
          <w:szCs w:val="24"/>
        </w:rPr>
        <w:t>t</w:t>
      </w:r>
      <w:r>
        <w:rPr>
          <w:szCs w:val="24"/>
        </w:rPr>
        <w:t>tached to the towboat and involves the cleaning and inspecting of the engines to determine which parts are within acceptable operating tolerances and can  conti</w:t>
      </w:r>
      <w:r>
        <w:rPr>
          <w:szCs w:val="24"/>
        </w:rPr>
        <w:t>n</w:t>
      </w:r>
      <w:r>
        <w:rPr>
          <w:szCs w:val="24"/>
        </w:rPr>
        <w:t>ue to be used, which parts must be reconditioned to be brought back to acceptable tolerances, and which parts must be replaced.  Engine parts replaced during these procedures are replaced with comparable and commercially available replacement parts.    Assume the towboat engines are not rotable spare parts.  In Year 1, E a</w:t>
      </w:r>
      <w:r>
        <w:rPr>
          <w:szCs w:val="24"/>
        </w:rPr>
        <w:t>c</w:t>
      </w:r>
      <w:r>
        <w:rPr>
          <w:szCs w:val="24"/>
        </w:rPr>
        <w:t>quired a new towboat, including its two engines, and placed the towboat into se</w:t>
      </w:r>
      <w:r>
        <w:rPr>
          <w:szCs w:val="24"/>
        </w:rPr>
        <w:t>r</w:t>
      </w:r>
      <w:r>
        <w:rPr>
          <w:szCs w:val="24"/>
        </w:rPr>
        <w:t>vice.  In Year 5, E pays amounts to perform scheduled maintenance on both e</w:t>
      </w:r>
      <w:r>
        <w:rPr>
          <w:szCs w:val="24"/>
        </w:rPr>
        <w:t>n</w:t>
      </w:r>
      <w:r>
        <w:rPr>
          <w:szCs w:val="24"/>
        </w:rPr>
        <w:t>gines in the towboat.  Should E be permitted to deduct these expenses as routine maintenance? See Reg. § 1.263(a)-3(i)(6), Example 9.</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13f.  </w:t>
      </w:r>
      <w:r w:rsidRPr="00802ED1">
        <w:rPr>
          <w:szCs w:val="24"/>
        </w:rPr>
        <w:t xml:space="preserve">Consider the following:  In </w:t>
      </w:r>
      <w:r>
        <w:rPr>
          <w:szCs w:val="24"/>
        </w:rPr>
        <w:t xml:space="preserve">Year 1, </w:t>
      </w:r>
      <w:r w:rsidRPr="00802ED1">
        <w:rPr>
          <w:szCs w:val="24"/>
        </w:rPr>
        <w:t>X purchased a store located on a parcel of land that contained underground gasoline storage tanks left by prior occupants. Assume that the parcel of land is the unit of property. The tanks had leaked, cau</w:t>
      </w:r>
      <w:r w:rsidRPr="00802ED1">
        <w:rPr>
          <w:szCs w:val="24"/>
        </w:rPr>
        <w:t>s</w:t>
      </w:r>
      <w:r w:rsidRPr="00802ED1">
        <w:rPr>
          <w:szCs w:val="24"/>
        </w:rPr>
        <w:t>ing soil contamination. X was not aware of the contamination at the time of pu</w:t>
      </w:r>
      <w:r w:rsidRPr="00802ED1">
        <w:rPr>
          <w:szCs w:val="24"/>
        </w:rPr>
        <w:t>r</w:t>
      </w:r>
      <w:r w:rsidRPr="00802ED1">
        <w:rPr>
          <w:szCs w:val="24"/>
        </w:rPr>
        <w:t xml:space="preserve">chase. In </w:t>
      </w:r>
      <w:r>
        <w:rPr>
          <w:szCs w:val="24"/>
        </w:rPr>
        <w:t xml:space="preserve">Year </w:t>
      </w:r>
      <w:r w:rsidRPr="00802ED1">
        <w:rPr>
          <w:szCs w:val="24"/>
        </w:rPr>
        <w:t xml:space="preserve">2, X discovered the contamination and incurred costs to remediate the soil. </w:t>
      </w:r>
      <w:r>
        <w:rPr>
          <w:szCs w:val="24"/>
        </w:rPr>
        <w:t xml:space="preserve"> </w:t>
      </w:r>
      <w:r w:rsidRPr="00802ED1">
        <w:rPr>
          <w:szCs w:val="24"/>
        </w:rPr>
        <w:t>May X deduct the expenses of soil remediation,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13g.  </w:t>
      </w:r>
      <w:r w:rsidRPr="00802ED1">
        <w:rPr>
          <w:szCs w:val="24"/>
        </w:rPr>
        <w:t>X own</w:t>
      </w:r>
      <w:r>
        <w:rPr>
          <w:szCs w:val="24"/>
        </w:rPr>
        <w:t>s</w:t>
      </w:r>
      <w:r w:rsidRPr="00802ED1">
        <w:rPr>
          <w:szCs w:val="24"/>
        </w:rPr>
        <w:t xml:space="preserve"> a</w:t>
      </w:r>
      <w:r>
        <w:rPr>
          <w:szCs w:val="24"/>
        </w:rPr>
        <w:t>n office</w:t>
      </w:r>
      <w:r w:rsidRPr="00802ED1">
        <w:rPr>
          <w:szCs w:val="24"/>
        </w:rPr>
        <w:t xml:space="preserve"> building that was constructed with insulation that co</w:t>
      </w:r>
      <w:r w:rsidRPr="00802ED1">
        <w:rPr>
          <w:szCs w:val="24"/>
        </w:rPr>
        <w:t>n</w:t>
      </w:r>
      <w:r w:rsidRPr="00802ED1">
        <w:rPr>
          <w:szCs w:val="24"/>
        </w:rPr>
        <w:t xml:space="preserve">tained asbestos. The health dangers of asbestos were not widely known when the building was constructed. </w:t>
      </w:r>
      <w:r>
        <w:rPr>
          <w:szCs w:val="24"/>
        </w:rPr>
        <w:t>Several years after X places the building into service, B determines that</w:t>
      </w:r>
      <w:r w:rsidRPr="00802ED1">
        <w:rPr>
          <w:szCs w:val="24"/>
        </w:rPr>
        <w:t xml:space="preserve"> certain areas of asbestos-containing insulation had begun to det</w:t>
      </w:r>
      <w:r w:rsidRPr="00802ED1">
        <w:rPr>
          <w:szCs w:val="24"/>
        </w:rPr>
        <w:t>e</w:t>
      </w:r>
      <w:r w:rsidRPr="00802ED1">
        <w:rPr>
          <w:szCs w:val="24"/>
        </w:rPr>
        <w:t xml:space="preserve">riorate and could eventually pose a health risk to employees. Therefore, X decided to remove the asbestos-containing insulation from the building and replace it with new insulation that was safer to employees, but no more efficient or effective than </w:t>
      </w:r>
      <w:r w:rsidRPr="00802ED1">
        <w:rPr>
          <w:szCs w:val="24"/>
        </w:rPr>
        <w:lastRenderedPageBreak/>
        <w:t>the asbestos insulation.</w:t>
      </w:r>
      <w:r>
        <w:rPr>
          <w:szCs w:val="24"/>
        </w:rPr>
        <w:t xml:space="preserve">  </w:t>
      </w:r>
      <w:r w:rsidRPr="00802ED1">
        <w:rPr>
          <w:szCs w:val="24"/>
        </w:rPr>
        <w:t>May X deduct the expenses of removal of the asbestos and replacement with safer insulation, or must X capitalize the expenditure?</w:t>
      </w:r>
      <w:r>
        <w:rPr>
          <w:szCs w:val="24"/>
        </w:rPr>
        <w:t xml:space="preserve"> </w:t>
      </w:r>
      <w:r w:rsidRPr="00802ED1">
        <w:rPr>
          <w:i/>
          <w:iCs/>
          <w:szCs w:val="24"/>
        </w:rPr>
        <w:t>See</w:t>
      </w:r>
      <w:r w:rsidRPr="00802ED1">
        <w:rPr>
          <w:szCs w:val="24"/>
        </w:rPr>
        <w:t xml:space="preserve"> Reg. 1.263(a)-3(</w:t>
      </w:r>
      <w:r>
        <w:rPr>
          <w:szCs w:val="24"/>
        </w:rPr>
        <w:t>j</w:t>
      </w:r>
      <w:r w:rsidRPr="00802ED1">
        <w:rPr>
          <w:szCs w:val="24"/>
        </w:rPr>
        <w:t>)(3), Example 2.</w:t>
      </w:r>
    </w:p>
    <w:p w:rsidR="00555413" w:rsidRDefault="00555413" w:rsidP="00555413">
      <w:pPr>
        <w:widowControl w:val="0"/>
        <w:jc w:val="both"/>
        <w:rPr>
          <w:szCs w:val="24"/>
        </w:rPr>
      </w:pPr>
    </w:p>
    <w:p w:rsidR="00555413" w:rsidRPr="00802ED1" w:rsidRDefault="00555413" w:rsidP="00555413">
      <w:pPr>
        <w:widowControl w:val="0"/>
        <w:jc w:val="both"/>
        <w:rPr>
          <w:szCs w:val="24"/>
        </w:rPr>
      </w:pPr>
      <w:r>
        <w:rPr>
          <w:szCs w:val="24"/>
        </w:rPr>
        <w:t xml:space="preserve">13h.  </w:t>
      </w:r>
      <w:r w:rsidRPr="00802ED1">
        <w:rPr>
          <w:szCs w:val="24"/>
        </w:rPr>
        <w:t>X acquire</w:t>
      </w:r>
      <w:r>
        <w:rPr>
          <w:szCs w:val="24"/>
        </w:rPr>
        <w:t>s</w:t>
      </w:r>
      <w:r w:rsidRPr="00802ED1">
        <w:rPr>
          <w:szCs w:val="24"/>
        </w:rPr>
        <w:t xml:space="preserve"> a building for use in its business of providing assisted living se</w:t>
      </w:r>
      <w:r w:rsidRPr="00802ED1">
        <w:rPr>
          <w:szCs w:val="24"/>
        </w:rPr>
        <w:t>r</w:t>
      </w:r>
      <w:r w:rsidRPr="00802ED1">
        <w:rPr>
          <w:szCs w:val="24"/>
        </w:rPr>
        <w:t>vices. Before and after the purchase, the building functioned as an assisted living facility. However, at the time of the purchase, X was aware that the building was in a condition below the standards that it requires for facilities used in its bus</w:t>
      </w:r>
      <w:r w:rsidRPr="00802ED1">
        <w:rPr>
          <w:szCs w:val="24"/>
        </w:rPr>
        <w:t>i</w:t>
      </w:r>
      <w:r w:rsidRPr="00802ED1">
        <w:rPr>
          <w:szCs w:val="24"/>
        </w:rPr>
        <w:t xml:space="preserve">ness. </w:t>
      </w:r>
      <w:r>
        <w:rPr>
          <w:szCs w:val="24"/>
        </w:rPr>
        <w:t xml:space="preserve">Immediately after the acquisition and during the following two years, </w:t>
      </w:r>
      <w:r w:rsidRPr="00802ED1">
        <w:rPr>
          <w:szCs w:val="24"/>
        </w:rPr>
        <w:t xml:space="preserve">while X continued to use the building as an assisted living facility, X incurred costs for </w:t>
      </w:r>
      <w:r>
        <w:rPr>
          <w:szCs w:val="24"/>
        </w:rPr>
        <w:t>extensive repairs and</w:t>
      </w:r>
      <w:r w:rsidRPr="00802ED1">
        <w:rPr>
          <w:szCs w:val="24"/>
        </w:rPr>
        <w:t xml:space="preserve"> maintenance, and the acquisition of new property to bring the facility into the high-quality condition for which X’s facilities are known. The work included </w:t>
      </w:r>
      <w:r>
        <w:rPr>
          <w:szCs w:val="24"/>
        </w:rPr>
        <w:t xml:space="preserve">repairing damaged drywall; </w:t>
      </w:r>
      <w:r w:rsidRPr="00802ED1">
        <w:rPr>
          <w:szCs w:val="24"/>
        </w:rPr>
        <w:t>repainting</w:t>
      </w:r>
      <w:r>
        <w:rPr>
          <w:szCs w:val="24"/>
        </w:rPr>
        <w:t xml:space="preserve"> and re-wallpapering</w:t>
      </w:r>
      <w:r w:rsidRPr="00802ED1">
        <w:rPr>
          <w:szCs w:val="24"/>
        </w:rPr>
        <w:t>; repla</w:t>
      </w:r>
      <w:r w:rsidRPr="00802ED1">
        <w:rPr>
          <w:szCs w:val="24"/>
        </w:rPr>
        <w:t>c</w:t>
      </w:r>
      <w:r w:rsidRPr="00802ED1">
        <w:rPr>
          <w:szCs w:val="24"/>
        </w:rPr>
        <w:t>ing flooring materials, windows, and tiling and fixtures in bathrooms; replacing window treatments, furniture, and cabinets; and repairing or replacing roofing m</w:t>
      </w:r>
      <w:r w:rsidRPr="00802ED1">
        <w:rPr>
          <w:szCs w:val="24"/>
        </w:rPr>
        <w:t>a</w:t>
      </w:r>
      <w:r w:rsidRPr="00802ED1">
        <w:rPr>
          <w:szCs w:val="24"/>
        </w:rPr>
        <w:t>terials, heating and cooling systems.</w:t>
      </w:r>
      <w:r>
        <w:rPr>
          <w:szCs w:val="24"/>
        </w:rPr>
        <w:t xml:space="preserve">  </w:t>
      </w:r>
      <w:r w:rsidRPr="00802ED1">
        <w:rPr>
          <w:szCs w:val="24"/>
        </w:rPr>
        <w:t>May X deduct the expenses of bringing the facility into high-quality condition, or must X capitalize the expenditure?</w:t>
      </w:r>
      <w:r>
        <w:rPr>
          <w:szCs w:val="24"/>
        </w:rPr>
        <w:t xml:space="preserve"> </w:t>
      </w:r>
      <w:r w:rsidRPr="00802ED1">
        <w:rPr>
          <w:i/>
          <w:iCs/>
          <w:szCs w:val="24"/>
        </w:rPr>
        <w:t>See</w:t>
      </w:r>
      <w:r>
        <w:rPr>
          <w:szCs w:val="24"/>
        </w:rPr>
        <w:t xml:space="preserve"> </w:t>
      </w:r>
      <w:r w:rsidRPr="00802ED1">
        <w:rPr>
          <w:szCs w:val="24"/>
        </w:rPr>
        <w:t>Reg. 1.263(a)-3(</w:t>
      </w:r>
      <w:r>
        <w:rPr>
          <w:szCs w:val="24"/>
        </w:rPr>
        <w:t>j</w:t>
      </w:r>
      <w:r w:rsidRPr="00802ED1">
        <w:rPr>
          <w:szCs w:val="24"/>
        </w:rPr>
        <w:t>)(3), Example 5 (i and ii).</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13i.  G is a common carrier that owns a fleet of petroleum hauling trucks.  G pays amounts to replace the existing engine, cab, and petroleum tank with a new e</w:t>
      </w:r>
      <w:r>
        <w:rPr>
          <w:szCs w:val="24"/>
        </w:rPr>
        <w:t>n</w:t>
      </w:r>
      <w:r>
        <w:rPr>
          <w:szCs w:val="24"/>
        </w:rPr>
        <w:t>gine, cab, and tank.  Assume the tractor of the truck (which includes the cab and the engine) is a single unit of property and that the trailer (which contains the p</w:t>
      </w:r>
      <w:r>
        <w:rPr>
          <w:szCs w:val="24"/>
        </w:rPr>
        <w:t>e</w:t>
      </w:r>
      <w:r>
        <w:rPr>
          <w:szCs w:val="24"/>
        </w:rPr>
        <w:t>troleum tank) is a separate unit of property.  May G deduct the expenses of repla</w:t>
      </w:r>
      <w:r>
        <w:rPr>
          <w:szCs w:val="24"/>
        </w:rPr>
        <w:t>c</w:t>
      </w:r>
      <w:r>
        <w:rPr>
          <w:szCs w:val="24"/>
        </w:rPr>
        <w:t xml:space="preserve">ing the existing engine, cab, and petroleum tank with a new engine, cab, and tank? </w:t>
      </w:r>
      <w:r w:rsidRPr="00BC08B3">
        <w:rPr>
          <w:i/>
          <w:iCs/>
          <w:szCs w:val="24"/>
        </w:rPr>
        <w:t>See</w:t>
      </w:r>
      <w:r>
        <w:rPr>
          <w:szCs w:val="24"/>
        </w:rPr>
        <w:t xml:space="preserve"> § 1.263(a)-3(k)(7), Example 10.</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13j.  D owns a parcel of land on which it previously operated a manufacturing f</w:t>
      </w:r>
      <w:r>
        <w:rPr>
          <w:szCs w:val="24"/>
        </w:rPr>
        <w:t>a</w:t>
      </w:r>
      <w:r>
        <w:rPr>
          <w:szCs w:val="24"/>
        </w:rPr>
        <w:t>cility.  Assume that the land is the unit of property.  During the course of D’s o</w:t>
      </w:r>
      <w:r>
        <w:rPr>
          <w:szCs w:val="24"/>
        </w:rPr>
        <w:t>p</w:t>
      </w:r>
      <w:r>
        <w:rPr>
          <w:szCs w:val="24"/>
        </w:rPr>
        <w:t xml:space="preserve">eration of the manufacturing facility, the land became contaminated with wastes from its manufacturing processes.  D discontinues manufacturing operations at the site and decides to develop the property for residential housing.  In anticipation of building residential property, D pays an amount to remediate the contamination caused by D’s manufacturing process.  In addition, D pays an amount to regrade the land so that it can be used for residential purposes.  May D deduct the amounts it paid to clean up the waste? What about the amounts it paid to regrade the land?  </w:t>
      </w:r>
      <w:r w:rsidRPr="00391332">
        <w:rPr>
          <w:i/>
          <w:iCs/>
          <w:szCs w:val="24"/>
        </w:rPr>
        <w:t>See</w:t>
      </w:r>
      <w:r>
        <w:rPr>
          <w:szCs w:val="24"/>
        </w:rPr>
        <w:t xml:space="preserve"> Reg. § 1.263(a)-3(</w:t>
      </w:r>
      <w:r w:rsidRPr="00391332">
        <w:rPr>
          <w:i/>
          <w:iCs/>
          <w:szCs w:val="24"/>
        </w:rPr>
        <w:t>l</w:t>
      </w:r>
      <w:r>
        <w:rPr>
          <w:szCs w:val="24"/>
        </w:rPr>
        <w:t>)(3), Example 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59" w:name="_Toc375132946"/>
      <w:r w:rsidRPr="00576ED7">
        <w:lastRenderedPageBreak/>
        <w:t>II.  Deductibility Under §§ 162 or 212</w:t>
      </w:r>
      <w:bookmarkEnd w:id="59"/>
      <w:r w:rsidRPr="00576ED7">
        <w:fldChar w:fldCharType="begin"/>
      </w:r>
      <w:r w:rsidRPr="00576ED7">
        <w:instrText xml:space="preserve"> TC \l1 "II.  Deductibility Under §§ 162 or 212</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 162 (and § 212), coupled with § 274 define and delimit the precise scope of expenses of generating income that taxpayer may deduct.  Read § 162(a).  How many types of trade or business expenses are deductible?</w:t>
      </w:r>
    </w:p>
    <w:p w:rsidR="0049128E" w:rsidRPr="00576ED7" w:rsidRDefault="0049128E" w:rsidP="00A6585D">
      <w:pPr>
        <w:widowControl w:val="0"/>
        <w:ind w:left="720"/>
        <w:jc w:val="both"/>
        <w:rPr>
          <w:szCs w:val="24"/>
        </w:rPr>
      </w:pPr>
      <w:r w:rsidRPr="00576ED7">
        <w:rPr>
          <w:szCs w:val="24"/>
        </w:rPr>
        <w:t>•We will consider several § 162 issues, but we will not consider them in the sequence in which they appear in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MURPHY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a problem as to the meaning and application of the provision of § [162(a)(2)] of the Internal Revenue Code, [footnote omitted] allowing a dedu</w:t>
      </w:r>
      <w:r w:rsidRPr="00576ED7">
        <w:rPr>
          <w:szCs w:val="24"/>
        </w:rPr>
        <w:t>c</w:t>
      </w:r>
      <w:r w:rsidRPr="00576ED7">
        <w:rPr>
          <w:szCs w:val="24"/>
        </w:rPr>
        <w:t>tion for income tax purposes of “traveling expenses (including the entire amount expended for meals and lodging) while away from home in the pursuit of a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w:t>
      </w:r>
      <w:r w:rsidRPr="00576ED7">
        <w:rPr>
          <w:szCs w:val="24"/>
        </w:rPr>
        <w:t>o</w:t>
      </w:r>
      <w:r w:rsidRPr="00576ED7">
        <w:rPr>
          <w:szCs w:val="24"/>
        </w:rPr>
        <w:t>cial and religious connections. He built a house in Jackson nearly thirty years ago, and at all times has maintained it for himself and his family. He has been connec</w:t>
      </w:r>
      <w:r w:rsidRPr="00576ED7">
        <w:rPr>
          <w:szCs w:val="24"/>
        </w:rPr>
        <w:t>t</w:t>
      </w:r>
      <w:r w:rsidRPr="00576ED7">
        <w:rPr>
          <w:szCs w:val="24"/>
        </w:rPr>
        <w:t>ed with several law firms in Jackson, one of which he formed and which has borne his name since 1922.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w:t>
      </w:r>
      <w:r w:rsidRPr="00576ED7">
        <w:rPr>
          <w:szCs w:val="24"/>
        </w:rPr>
        <w:lastRenderedPageBreak/>
        <w:t>1940, when the properties of the predecessor company and another railroad were merged and he was elected vice-president and general counsel of the newly formed Gulf, Mobile &amp; Ohio Railroad.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w:t>
      </w:r>
      <w:r w:rsidRPr="00576ED7">
        <w:rPr>
          <w:szCs w:val="24"/>
        </w:rPr>
        <w:t>s</w:t>
      </w:r>
      <w:r w:rsidRPr="00576ED7">
        <w:rPr>
          <w:szCs w:val="24"/>
        </w:rPr>
        <w:t>sionally and personally, and was not desirous of moving away. As a result, an a</w:t>
      </w:r>
      <w:r w:rsidRPr="00576ED7">
        <w:rPr>
          <w:szCs w:val="24"/>
        </w:rPr>
        <w:t>r</w:t>
      </w:r>
      <w:r w:rsidRPr="00576ED7">
        <w:rPr>
          <w:szCs w:val="24"/>
        </w:rPr>
        <w:t>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w:t>
      </w:r>
      <w:r w:rsidRPr="00576ED7">
        <w:rPr>
          <w:szCs w:val="24"/>
        </w:rPr>
        <w:t>o</w:t>
      </w:r>
      <w:r w:rsidRPr="00576ED7">
        <w:rPr>
          <w:szCs w:val="24"/>
        </w:rPr>
        <w:t>ry only, and was no different from his participation in the railroad’s legal business in other areas.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principal post of business was at the main office in Mobile. Ho</w:t>
      </w:r>
      <w:r w:rsidRPr="00576ED7">
        <w:rPr>
          <w:szCs w:val="24"/>
        </w:rPr>
        <w:t>w</w:t>
      </w:r>
      <w:r w:rsidRPr="00576ED7">
        <w:rPr>
          <w:szCs w:val="24"/>
        </w:rPr>
        <w:t>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w:t>
      </w:r>
      <w:r w:rsidRPr="00576ED7">
        <w:rPr>
          <w:szCs w:val="24"/>
        </w:rPr>
        <w:t>a</w:t>
      </w:r>
      <w:r w:rsidRPr="00576ED7">
        <w:rPr>
          <w:szCs w:val="24"/>
        </w:rPr>
        <w:t>tion in the federal court in Jackson, and the taxpayer participated in that litigation.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1939, he spent 203 days in Jackson and 66 in Mobile, making 33 trips b</w:t>
      </w:r>
      <w:r w:rsidRPr="00576ED7">
        <w:rPr>
          <w:szCs w:val="24"/>
        </w:rPr>
        <w:t>e</w:t>
      </w:r>
      <w:r w:rsidRPr="00576ED7">
        <w:rPr>
          <w:szCs w:val="24"/>
        </w:rPr>
        <w:t>tween the two cities. During 1940, he spent 168 days in Jackson and 102 in M</w:t>
      </w:r>
      <w:r w:rsidRPr="00576ED7">
        <w:rPr>
          <w:szCs w:val="24"/>
        </w:rPr>
        <w:t>o</w:t>
      </w:r>
      <w:r w:rsidRPr="00576ED7">
        <w:rPr>
          <w:szCs w:val="24"/>
        </w:rPr>
        <w:t xml:space="preserve">bile, making 40 trips between the two cities. The railroad paid all of his traveling expenses when he went on business trips to points other than Jackson or Mobile. But it paid none of his expenses in traveling between these two points or while he </w:t>
      </w:r>
      <w:r w:rsidRPr="00576ED7">
        <w:rPr>
          <w:szCs w:val="24"/>
        </w:rPr>
        <w:lastRenderedPageBreak/>
        <w:t>was at either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3"/>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rsidR="0049128E" w:rsidRPr="00576ED7" w:rsidRDefault="0049128E" w:rsidP="00A6585D">
      <w:pPr>
        <w:widowControl w:val="0"/>
        <w:jc w:val="both"/>
        <w:rPr>
          <w:szCs w:val="24"/>
        </w:rPr>
      </w:pPr>
    </w:p>
    <w:p w:rsidR="0049128E" w:rsidRPr="00576ED7" w:rsidRDefault="0049128E" w:rsidP="00A77CCA">
      <w:pPr>
        <w:widowControl w:val="0"/>
        <w:jc w:val="both"/>
        <w:rPr>
          <w:szCs w:val="24"/>
        </w:rPr>
      </w:pPr>
      <w:r w:rsidRPr="00576ED7">
        <w:rPr>
          <w:szCs w:val="24"/>
        </w:rPr>
        <w:t>The portion of § [162(a)(2)] authorizing the deduction of “traveling expenses (i</w:t>
      </w:r>
      <w:r w:rsidRPr="00576ED7">
        <w:rPr>
          <w:szCs w:val="24"/>
        </w:rPr>
        <w:t>n</w:t>
      </w:r>
      <w:r w:rsidRPr="00576ED7">
        <w:rPr>
          <w:szCs w:val="24"/>
        </w:rPr>
        <w:t>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 [262(a)] of the Internal Revenue Code, disallowing any deductions for “personal, living, or family expenses.” ... In pertinent part, [the a</w:t>
      </w:r>
      <w:r w:rsidRPr="00576ED7">
        <w:rPr>
          <w:szCs w:val="24"/>
        </w:rPr>
        <w:t>p</w:t>
      </w:r>
      <w:r w:rsidRPr="00576ED7">
        <w:rPr>
          <w:szCs w:val="24"/>
        </w:rPr>
        <w:t>plicable regulation] states that</w:t>
      </w:r>
      <w:r w:rsidR="00A77CCA">
        <w:rPr>
          <w:szCs w:val="24"/>
        </w:rPr>
        <w:t xml:space="preserve"> </w:t>
      </w:r>
      <w:r w:rsidRPr="00576ED7">
        <w:rPr>
          <w:szCs w:val="24"/>
        </w:rPr>
        <w:t>“Traveling expenses, as ordinarily understood, i</w:t>
      </w:r>
      <w:r w:rsidRPr="00576ED7">
        <w:rPr>
          <w:szCs w:val="24"/>
        </w:rPr>
        <w:t>n</w:t>
      </w:r>
      <w:r w:rsidRPr="00576ED7">
        <w:rPr>
          <w:szCs w:val="24"/>
        </w:rPr>
        <w:t>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w:t>
      </w:r>
      <w:r w:rsidRPr="00576ED7">
        <w:rPr>
          <w:szCs w:val="24"/>
        </w:rPr>
        <w:t>m</w:t>
      </w:r>
      <w:r w:rsidRPr="00576ED7">
        <w:rPr>
          <w:szCs w:val="24"/>
        </w:rPr>
        <w:t>muters’ fares are not considered as business expenses, and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Three conditions must thus be satisfied before a traveling expense deduction may be made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expense must be incurred “while away from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(3) The expense must be incurred in pursuit of business. This means that there must be a direct connection between the expenditure and the carrying on of the trade or business of the taxpayer or of his employer. Moreover, such an expend</w:t>
      </w:r>
      <w:r w:rsidRPr="00576ED7">
        <w:rPr>
          <w:szCs w:val="24"/>
        </w:rPr>
        <w:t>i</w:t>
      </w:r>
      <w:r w:rsidRPr="00576ED7">
        <w:rPr>
          <w:szCs w:val="24"/>
        </w:rPr>
        <w:t>ture must be necessary or appropriate to the development and pursuit of the bus</w:t>
      </w:r>
      <w:r w:rsidRPr="00576ED7">
        <w:rPr>
          <w:szCs w:val="24"/>
        </w:rPr>
        <w:t>i</w:t>
      </w:r>
      <w:r w:rsidRPr="00576ED7">
        <w:rPr>
          <w:szCs w:val="24"/>
        </w:rPr>
        <w:t>ness or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w:t>
      </w:r>
      <w:r w:rsidRPr="00576ED7">
        <w:rPr>
          <w:i/>
          <w:szCs w:val="24"/>
        </w:rPr>
        <w:t>m</w:t>
      </w:r>
      <w:r w:rsidRPr="00576ED7">
        <w:rPr>
          <w:i/>
          <w:szCs w:val="24"/>
        </w:rPr>
        <w:t>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w:t>
      </w:r>
      <w:r w:rsidRPr="00576ED7">
        <w:rPr>
          <w:szCs w:val="24"/>
        </w:rPr>
        <w:t>o</w:t>
      </w:r>
      <w:r w:rsidRPr="00576ED7">
        <w:rPr>
          <w:szCs w:val="24"/>
        </w:rPr>
        <w:t>ry to himself, he resides in another.”</w:t>
      </w:r>
      <w:r w:rsidR="00A77CCA">
        <w:rPr>
          <w:szCs w:val="24"/>
        </w:rPr>
        <w:t xml:space="preserve">  </w:t>
      </w:r>
      <w:r w:rsidRPr="00576ED7">
        <w:rPr>
          <w:szCs w:val="24"/>
        </w:rPr>
        <w:t>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meaning of the word “home” in § [162(a)(2)]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 25.82. The </w:t>
      </w:r>
      <w:r w:rsidRPr="00576ED7">
        <w:rPr>
          <w:szCs w:val="24"/>
        </w:rPr>
        <w:lastRenderedPageBreak/>
        <w:t>Tax Court [footnote omitted] and the administrative rulings</w:t>
      </w:r>
      <w:r w:rsidRPr="00576ED7">
        <w:rPr>
          <w:rStyle w:val="FootnoteReference"/>
          <w:szCs w:val="24"/>
        </w:rPr>
        <w:footnoteReference w:id="114"/>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w:t>
      </w:r>
      <w:r w:rsidRPr="00576ED7">
        <w:rPr>
          <w:szCs w:val="24"/>
        </w:rPr>
        <w:t>i</w:t>
      </w:r>
      <w:r w:rsidRPr="00576ED7">
        <w:rPr>
          <w:szCs w:val="24"/>
        </w:rPr>
        <w:t>tion was erroneous, its judgment must be sustained here if it properly concluded that the necessary relationship between the expenditures and the railroad’s bus</w:t>
      </w:r>
      <w:r w:rsidRPr="00576ED7">
        <w:rPr>
          <w:szCs w:val="24"/>
        </w:rPr>
        <w:t>i</w:t>
      </w:r>
      <w:r w:rsidRPr="00576ED7">
        <w:rPr>
          <w:szCs w:val="24"/>
        </w:rPr>
        <w:t>ness was lacking. Failure to satisfy any one of the three conditions destroys the traveling expense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Turning our attention to the third condition, this case is disposed of quickly.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w:t>
      </w:r>
      <w:r w:rsidRPr="00576ED7">
        <w:rPr>
          <w:szCs w:val="24"/>
        </w:rPr>
        <w:t>u</w:t>
      </w:r>
      <w:r w:rsidRPr="00576ED7">
        <w:rPr>
          <w:szCs w:val="24"/>
        </w:rPr>
        <w:t>tion of the business. The character of such expenses is unaltered by the circu</w:t>
      </w:r>
      <w:r w:rsidRPr="00576ED7">
        <w:rPr>
          <w:szCs w:val="24"/>
        </w:rPr>
        <w:t>m</w:t>
      </w:r>
      <w:r w:rsidRPr="00576ED7">
        <w:rPr>
          <w:szCs w:val="24"/>
        </w:rPr>
        <w:t>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added costs in issue, moreover, were as unnecessary and inappropriate to the </w:t>
      </w:r>
      <w:r w:rsidRPr="00576ED7">
        <w:rPr>
          <w:szCs w:val="24"/>
        </w:rPr>
        <w:lastRenderedPageBreak/>
        <w:t>development of the railroad’s business as were his personal and living costs in Jackson. They were incurred solely as the result of the taxpayer’s desire to mai</w:t>
      </w:r>
      <w:r w:rsidRPr="00576ED7">
        <w:rPr>
          <w:szCs w:val="24"/>
        </w:rPr>
        <w:t>n</w:t>
      </w:r>
      <w:r w:rsidRPr="00576ED7">
        <w:rPr>
          <w:szCs w:val="24"/>
        </w:rPr>
        <w:t>tain a home in Jackson while working in Mobile, a factor irrelevant to the maint</w:t>
      </w:r>
      <w:r w:rsidRPr="00576ED7">
        <w:rPr>
          <w:szCs w:val="24"/>
        </w:rPr>
        <w:t>e</w:t>
      </w:r>
      <w:r w:rsidRPr="00576ED7">
        <w:rPr>
          <w:szCs w:val="24"/>
        </w:rPr>
        <w:t>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w:t>
      </w:r>
      <w:r w:rsidRPr="00576ED7">
        <w:rPr>
          <w:szCs w:val="24"/>
        </w:rPr>
        <w:t>e</w:t>
      </w:r>
      <w:r w:rsidRPr="00576ED7">
        <w:rPr>
          <w:szCs w:val="24"/>
        </w:rPr>
        <w:t>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w:t>
      </w:r>
      <w:r w:rsidRPr="00576ED7">
        <w:rPr>
          <w:szCs w:val="24"/>
        </w:rPr>
        <w:t>e</w:t>
      </w:r>
      <w:r w:rsidRPr="00576ED7">
        <w:rPr>
          <w:szCs w:val="24"/>
        </w:rPr>
        <w:t>tween the two cities and incurred extra living expenses in Mobile, while doing much of his work in Jackson, was occasioned solely by his personal propensities. The railroad gained nothing from this arrangement except the personal satisfa</w:t>
      </w:r>
      <w:r w:rsidRPr="00576ED7">
        <w:rPr>
          <w:szCs w:val="24"/>
        </w:rPr>
        <w:t>c</w:t>
      </w:r>
      <w:r w:rsidRPr="00576ED7">
        <w:rPr>
          <w:szCs w:val="24"/>
        </w:rPr>
        <w:t>tion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w:t>
      </w:r>
      <w:r w:rsidRPr="00576ED7">
        <w:rPr>
          <w:szCs w:val="24"/>
        </w:rPr>
        <w:t>c</w:t>
      </w:r>
      <w:r w:rsidRPr="00576ED7">
        <w:rPr>
          <w:szCs w:val="24"/>
        </w:rPr>
        <w:t>tors. Such was not the case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follows that the court below erred in reversing the judgment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JACKSON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RUTLEDGE,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think the judgment of the Court of Appeals should be affirmed. When Congress used the word “home” in § [162] of the Code, I do not believe it meant “business headquarters.” And, in my opinion, this case presents no other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allowed the deduction for “traveling expenses (including the entire amount expended for meals and lodging) while away from home in the pursuit of </w:t>
      </w:r>
      <w:r w:rsidRPr="00576ED7">
        <w:rPr>
          <w:szCs w:val="24"/>
        </w:rPr>
        <w:lastRenderedPageBreak/>
        <w:t>a trade or business.” [A Treasury Regulation] also provides: “Commuters’ fares are not considered as business expenses and are not deductible.” By this decision, the latter regulation is allowed, in effect, to swallow up the deduction for many situations where the regulation has no fit application.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Pr>
          <w:szCs w:val="24"/>
        </w:rPr>
        <w:t xml:space="preserve">… </w:t>
      </w:r>
      <w:r w:rsidR="0049128E" w:rsidRPr="00576ED7">
        <w:rPr>
          <w:szCs w:val="24"/>
        </w:rPr>
        <w:t>It seems questionable whether ... the Tax Court has not confused the taxpayer’s principal place of employment with his employer’s. For, on the facts, Jackson, rather than Mobile, would seem more appropriately to be found his business headquarters.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treats taxpayer as a commuter.  The word “commuter”] has limit</w:t>
      </w:r>
      <w:r w:rsidRPr="00576ED7">
        <w:rPr>
          <w:szCs w:val="24"/>
        </w:rPr>
        <w:t>a</w:t>
      </w:r>
      <w:r w:rsidRPr="00576ED7">
        <w:rPr>
          <w:szCs w:val="24"/>
        </w:rPr>
        <w:t>tions unless it also is made a tool for rewriting the Act. The ordinary, usual co</w:t>
      </w:r>
      <w:r w:rsidRPr="00576ED7">
        <w:rPr>
          <w:szCs w:val="24"/>
        </w:rPr>
        <w:t>n</w:t>
      </w:r>
      <w:r w:rsidRPr="00576ED7">
        <w:rPr>
          <w:szCs w:val="24"/>
        </w:rPr>
        <w:t>notation, [citation omitted], does not include irregular, although frequent journeys of 350 miles, requiring Pullman accommodations and some twelve to fifteen hours, one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1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Administrative construction should have some bounds. It exceeds what are legi</w:t>
      </w:r>
      <w:r w:rsidRPr="00576ED7">
        <w:rPr>
          <w:szCs w:val="24"/>
        </w:rPr>
        <w:t>t</w:t>
      </w:r>
      <w:r w:rsidRPr="00576ED7">
        <w:rPr>
          <w:szCs w:val="24"/>
        </w:rPr>
        <w:t>imate when it reconstructs the statute to nullify or contradict the plain meaning of nontechnical terms not artfully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construing “home” as “business headquarters;” by reading “temporarily” as </w:t>
      </w:r>
      <w:r w:rsidRPr="00576ED7">
        <w:rPr>
          <w:szCs w:val="24"/>
        </w:rPr>
        <w:lastRenderedPageBreak/>
        <w:t>“very temporarily” into § [162]; by bringing down “ordinary and necessary” from its first sentence into its second;</w:t>
      </w:r>
      <w:r w:rsidRPr="00576ED7">
        <w:rPr>
          <w:rStyle w:val="FootnoteReference"/>
          <w:szCs w:val="24"/>
        </w:rPr>
        <w:footnoteReference w:id="116"/>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w:t>
      </w:r>
      <w:r w:rsidRPr="00576ED7">
        <w:rPr>
          <w:szCs w:val="24"/>
        </w:rPr>
        <w:t>g</w:t>
      </w:r>
      <w:r w:rsidRPr="00576ED7">
        <w:rPr>
          <w:szCs w:val="24"/>
        </w:rPr>
        <w:t>lish into highly technical tax jargon.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Reg. § 1.162-2 is now the regulation covering “traveling expenses” whose provisions have not materially changed those quoted by the Court in </w:t>
      </w:r>
      <w:r w:rsidRPr="00576ED7">
        <w:rPr>
          <w:i/>
          <w:szCs w:val="24"/>
        </w:rPr>
        <w:t>Flowers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78720" behindDoc="0" locked="0" layoutInCell="0" allowOverlap="1" wp14:anchorId="72647BDD" wp14:editId="13F0CD7E">
                <wp:simplePos x="0" y="0"/>
                <wp:positionH relativeFrom="margin">
                  <wp:posOffset>2058670</wp:posOffset>
                </wp:positionH>
                <wp:positionV relativeFrom="paragraph">
                  <wp:posOffset>26035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left:0;text-align:left;margin-left:162.1pt;margin-top:2.05pt;width:234pt;height:116.45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diKgIAAFwEAAAOAAAAZHJzL2Uyb0RvYy54bWysVNuO2yAQfa/Uf0C8N76om4sVZ7XNNlWl&#10;7UXa7QdgjG1UzFAgsdOv74CTbHp7qeoHxMBwZuacGa9vx16Rg7BOgi5pNkspEZpDLXVb0i9Pu1dL&#10;SpxnumYKtCjpUTh6u3n5Yj2YQuTQgaqFJQiiXTGYknbemyJJHO9Ez9wMjNB42YDtmUfTtklt2YDo&#10;vUryNJ0nA9jaWODCOTy9ny7pJuI3jeD+U9M44YkqKebm42rjWoU12axZ0VpmOslPabB/yKJnUmPQ&#10;C9Q984zsrfwNqpfcgoPGzzj0CTSN5CLWgNVk6S/VPHbMiFgLkuPMhSb3/2D5x8NnS2Rd0htUSrMe&#10;NXoSoydvYCTzPPAzGFeg26NBRz/iOeoca3XmAfhXRzRsO6ZbcWctDJ1gNeaXhZfJ1dMJxwWQavgA&#10;NcZhew8RaGxsH8hDOgiio07HizYhF46H+WqRLVO84niXvV4sV9lNjMGK83NjnX8noCdhU1KL4kd4&#10;dnhwPqTDirNLiOZAyXonlYqGbautsuTAsFF28Tuh/+SmNBkwfJ6t8omCv2Kk8fsTRi89trySfUmx&#10;IPyCEysCcW91HfeeSTXtMWelT0wG8iYa/ViNZ9HwQaC5gvqI3FqYWhxHEjcd2O+UDNjeJXXf9swK&#10;StR7jfos5jg9OA/Xhr02qmuDaY5QJfWUTNutn2Zob6xsO4w0dYSGO9S0kZHt56xO+WMLRxFO4xZm&#10;5NqOXs8/hc0PAAAA//8DAFBLAwQUAAYACAAAACEA2DZrItwAAAAJAQAADwAAAGRycy9kb3ducmV2&#10;LnhtbEyPwU7DMBBE70j8g7VI3KhTt6IQ4lQoEvcmgODoxkscEa9D7Dbh71lOcBzNaOZNsV/8IM44&#10;xT6QhvUqA4HUBttTp+Hl+enmDkRMhqwZAqGGb4ywLy8vCpPbMFON5yZ1gkso5kaDS2nMpYytQ2/i&#10;KoxI7H2EyZvEcuqknczM5X6QKstupTc98YIzI1YO28/m5DWEuq5eVfN1eKtmW3XzYUnju9P6+mp5&#10;fACRcEl/YfjFZ3QomekYTmSjGDRs1FZxVMN2DYL93b1ifdSgNrsMZFnI/w/KHwAAAP//AwBQSwEC&#10;LQAUAAYACAAAACEAtoM4kv4AAADhAQAAEwAAAAAAAAAAAAAAAAAAAAAAW0NvbnRlbnRfVHlwZXNd&#10;LnhtbFBLAQItABQABgAIAAAAIQA4/SH/1gAAAJQBAAALAAAAAAAAAAAAAAAAAC8BAABfcmVscy8u&#10;cmVsc1BLAQItABQABgAIAAAAIQDNBrdiKgIAAFwEAAAOAAAAAAAAAAAAAAAAAC4CAABkcnMvZTJv&#10;RG9jLnhtbFBLAQItABQABgAIAAAAIQDYNmsi3AAAAAk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w:t>
                      </w:r>
                      <w:r>
                        <w:rPr>
                          <w:rFonts w:ascii="Tw Cen MT" w:hAnsi="Tw Cen MT"/>
                        </w:rPr>
                        <w:t>e</w:t>
                      </w:r>
                      <w:r>
                        <w:rPr>
                          <w:rFonts w:ascii="Tw Cen MT" w:hAnsi="Tw Cen MT"/>
                        </w:rPr>
                        <w:t>duct them.  What result if taxpayer’s emplo</w:t>
                      </w:r>
                      <w:r>
                        <w:rPr>
                          <w:rFonts w:ascii="Tw Cen MT" w:hAnsi="Tw Cen MT"/>
                        </w:rPr>
                        <w:t>y</w:t>
                      </w:r>
                      <w:r>
                        <w:rPr>
                          <w:rFonts w:ascii="Tw Cen MT" w:hAnsi="Tw Cen MT"/>
                        </w:rPr>
                        <w:t>er had paid for taxpayer’s train tickets, h</w:t>
                      </w:r>
                      <w:r>
                        <w:rPr>
                          <w:rFonts w:ascii="Tw Cen MT" w:hAnsi="Tw Cen MT"/>
                        </w:rPr>
                        <w:t>o</w:t>
                      </w:r>
                      <w:r>
                        <w:rPr>
                          <w:rFonts w:ascii="Tw Cen MT" w:hAnsi="Tw Cen MT"/>
                        </w:rPr>
                        <w:t xml:space="preserve">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2.  Can commuting expenses </w:t>
      </w:r>
      <w:r w:rsidRPr="00576ED7">
        <w:rPr>
          <w:i/>
          <w:szCs w:val="24"/>
        </w:rPr>
        <w:t>ever</w:t>
      </w:r>
      <w:r w:rsidRPr="00576ED7">
        <w:rPr>
          <w:szCs w:val="24"/>
        </w:rPr>
        <w:t xml:space="preserve"> meet the third requir</w:t>
      </w:r>
      <w:r w:rsidRPr="00576ED7">
        <w:rPr>
          <w:szCs w:val="24"/>
        </w:rPr>
        <w:t>e</w:t>
      </w:r>
      <w:r w:rsidRPr="00576ED7">
        <w:rPr>
          <w:szCs w:val="24"/>
        </w:rPr>
        <w:t>ment of deductibility, i.e., “a direct connection between the expenditure and the carrying on of the trade or business of the taxpayer or of his emplo</w:t>
      </w:r>
      <w:r w:rsidRPr="00576ED7">
        <w:rPr>
          <w:szCs w:val="24"/>
        </w:rPr>
        <w:t>y</w:t>
      </w:r>
      <w:r w:rsidRPr="00576ED7">
        <w:rPr>
          <w:szCs w:val="24"/>
        </w:rPr>
        <w: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Does Justice Rutledge have a point? After all, the Court later construed the word “gift” in its ordinary sense in </w:t>
      </w:r>
      <w:r w:rsidRPr="00576ED7">
        <w:rPr>
          <w:i/>
          <w:szCs w:val="24"/>
        </w:rPr>
        <w:t>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Robert Rosenspan was a jewelry salesman who worked on a commission basis </w:t>
      </w:r>
      <w:r w:rsidRPr="00576ED7">
        <w:rPr>
          <w:szCs w:val="24"/>
        </w:rPr>
        <w:lastRenderedPageBreak/>
        <w:t>and paid his own traveling expenses without reimbursement. In 1964 he was the employee of two New York City jewelry manufacturers. For 300 days during the year he traveled by automobile through an extensive sales territory in the Middle West.  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w:t>
      </w:r>
      <w:r w:rsidRPr="00576ED7">
        <w:rPr>
          <w:szCs w:val="24"/>
        </w:rPr>
        <w:t>h</w:t>
      </w:r>
      <w:r w:rsidRPr="00576ED7">
        <w:rPr>
          <w:szCs w:val="24"/>
        </w:rPr>
        <w:t>er’s Brooklyn home as a personal residential address.  He kept some clothing and other belongings there.  He voted, and filed his income tax returns from that a</w:t>
      </w:r>
      <w:r w:rsidRPr="00576ED7">
        <w:rPr>
          <w:szCs w:val="24"/>
        </w:rPr>
        <w:t>d</w:t>
      </w:r>
      <w:r w:rsidRPr="00576ED7">
        <w:rPr>
          <w:szCs w:val="24"/>
        </w:rPr>
        <w:t xml:space="preserve">dress. On his trips to New York </w:t>
      </w:r>
      <w:r w:rsidR="004020EF" w:rsidRPr="00576ED7">
        <w:rPr>
          <w:szCs w:val="24"/>
        </w:rPr>
        <w:t>City, “out</w:t>
      </w:r>
      <w:r w:rsidRPr="00576ED7">
        <w:rPr>
          <w:szCs w:val="24"/>
        </w:rPr>
        <w:t xml:space="preserve"> of a desire not to abuse his welcome at his brother’s home, he stayed more often” at an inn near the John F. Kennedy Airport.</w:t>
      </w:r>
    </w:p>
    <w:p w:rsidR="0049128E" w:rsidRPr="00576ED7" w:rsidRDefault="0049128E" w:rsidP="00A6585D">
      <w:pPr>
        <w:widowControl w:val="0"/>
        <w:ind w:left="720"/>
        <w:jc w:val="both"/>
        <w:rPr>
          <w:szCs w:val="24"/>
        </w:rPr>
      </w:pPr>
      <w:r w:rsidRPr="00576ED7">
        <w:rPr>
          <w:szCs w:val="24"/>
        </w:rPr>
        <w:t>•What tax issue(s) do these facts raise? How should they be resolved?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5a.  Folkman, an airline pilot, was stationed in San Francisco International Airport as an employee of Pan Amer</w:t>
      </w:r>
      <w:r w:rsidRPr="00576ED7">
        <w:rPr>
          <w:szCs w:val="24"/>
        </w:rPr>
        <w:t>i</w:t>
      </w:r>
      <w:r w:rsidRPr="00576ED7">
        <w:rPr>
          <w:szCs w:val="24"/>
        </w:rPr>
        <w:t>can World Airways. He flew infrequently as a pilot with Pan American because of his low seniority. His principal work was that of navigator. This work gave him little o</w:t>
      </w:r>
      <w:r w:rsidRPr="00576ED7">
        <w:rPr>
          <w:szCs w:val="24"/>
        </w:rPr>
        <w:t>p</w:t>
      </w:r>
      <w:r w:rsidRPr="00576ED7">
        <w:rPr>
          <w:szCs w:val="24"/>
        </w:rPr>
        <w:t>portunity to keep up basic fl</w:t>
      </w:r>
      <w:r w:rsidRPr="00576ED7">
        <w:rPr>
          <w:szCs w:val="24"/>
        </w:rPr>
        <w:t>y</w:t>
      </w:r>
      <w:r w:rsidRPr="00576ED7">
        <w:rPr>
          <w:szCs w:val="24"/>
        </w:rPr>
        <w:t>ing skills. To maintain his pr</w:t>
      </w:r>
      <w:r w:rsidRPr="00576ED7">
        <w:rPr>
          <w:szCs w:val="24"/>
        </w:rPr>
        <w:t>o</w:t>
      </w:r>
      <w:r w:rsidRPr="00576ED7">
        <w:rPr>
          <w:szCs w:val="24"/>
        </w:rPr>
        <w:t>ficiency as a jet pilot, and to earn extra income, Folkman enlisted in a military reserve program. The closest Air National Guard unit that had ope</w:t>
      </w:r>
      <w:r w:rsidRPr="00576ED7">
        <w:rPr>
          <w:szCs w:val="24"/>
        </w:rPr>
        <w:t>n</w:t>
      </w:r>
      <w:r w:rsidRPr="00576ED7">
        <w:rPr>
          <w:szCs w:val="24"/>
        </w:rPr>
        <w:t>ings for pilots of jet ai</w:t>
      </w:r>
      <w:r w:rsidRPr="00576ED7">
        <w:rPr>
          <w:szCs w:val="24"/>
        </w:rPr>
        <w:t>r</w:t>
      </w:r>
      <w:r w:rsidRPr="00576ED7">
        <w:rPr>
          <w:szCs w:val="24"/>
        </w:rPr>
        <w:t>craft was in Reno, Nevada, about 250 miles from San Francisco. As a condition of membership, the Nevada Air National Guard r</w:t>
      </w:r>
      <w:r w:rsidRPr="00576ED7">
        <w:rPr>
          <w:szCs w:val="24"/>
        </w:rPr>
        <w:t>e</w:t>
      </w:r>
      <w:r w:rsidRPr="00576ED7">
        <w:rPr>
          <w:szCs w:val="24"/>
        </w:rPr>
        <w:t>quired all pilots to reside in the Reno a</w:t>
      </w:r>
      <w:r w:rsidRPr="00576ED7">
        <w:rPr>
          <w:szCs w:val="24"/>
        </w:rPr>
        <w:t>r</w:t>
      </w:r>
      <w:r w:rsidRPr="00576ED7">
        <w:rPr>
          <w:szCs w:val="24"/>
        </w:rPr>
        <w:t>ea.  Folkman and his family moved from their home near the San Francisco airport, to Reno. Folkman divided his time b</w:t>
      </w:r>
      <w:r w:rsidRPr="00576ED7">
        <w:rPr>
          <w:szCs w:val="24"/>
        </w:rPr>
        <w:t>e</w:t>
      </w:r>
      <w:r w:rsidRPr="00576ED7">
        <w:rPr>
          <w:szCs w:val="24"/>
        </w:rPr>
        <w:t>tween flying with Pan American from his San Francisco base and flying for the Nevada Air National Guard. During an average month Folkman spent 10 to 13 days performing services for Pan American and four to seven days fulfilling his military reserve flying obligations. Whether or not he was scheduled to fly for the National Guard on a given day, Folkman routinely returned to Reno immediately after his Pan American flights. Folkman spent more time in Reno than in San Francisco, but derived approximately 85% of his earnings from his Pan American employment.</w:t>
      </w:r>
    </w:p>
    <w:p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rsidR="0049128E" w:rsidRPr="00576ED7" w:rsidRDefault="0049128E" w:rsidP="00A6585D">
      <w:pPr>
        <w:widowControl w:val="0"/>
        <w:jc w:val="both"/>
        <w:rPr>
          <w:szCs w:val="24"/>
        </w:rPr>
      </w:pPr>
    </w:p>
    <w:p w:rsidR="0049128E" w:rsidRPr="00576ED7" w:rsidRDefault="00A77CC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79744" behindDoc="0" locked="0" layoutInCell="0" allowOverlap="1" wp14:anchorId="18080629" wp14:editId="06E10CE5">
                <wp:simplePos x="0" y="0"/>
                <wp:positionH relativeFrom="margin">
                  <wp:posOffset>2059940</wp:posOffset>
                </wp:positionH>
                <wp:positionV relativeFrom="paragraph">
                  <wp:posOffset>46355</wp:posOffset>
                </wp:positionV>
                <wp:extent cx="2971800" cy="5313680"/>
                <wp:effectExtent l="0" t="0" r="19050" b="2032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13680"/>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162.2pt;margin-top:3.65pt;width:234pt;height:418.4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SLAIAAFwEAAAOAAAAZHJzL2Uyb0RvYy54bWysVNtu2zAMfR+wfxD0vthO0FyMOkWXLsOA&#10;rhvQ7gNkWY6FSaImKbGzrx8lp2nQbS/D/CCQEnVEnkP6+mbQihyE8xJMRYtJTokwHBppdhX99rR9&#10;t6TEB2YapsCIih6Fpzfrt2+ue1uKKXSgGuEIghhf9raiXQi2zDLPO6GZn4AVBg9bcJoFdN0uaxzr&#10;EV2rbJrn86wH11gHXHiPu3fjIV0n/LYVPHxpWy8CURXF3EJaXVrruGbra1buHLOd5Kc02D9koZk0&#10;+OgZ6o4FRvZO/galJXfgoQ0TDjqDtpVcpBqwmiJ/Vc1jx6xItSA53p5p8v8Plj8cvjoim4peLSgx&#10;TKNGT2II5D0MZD6L/PTWlxj2aDEwDLiPOqdavb0H/t0TA5uOmZ24dQ76TrAG8yvizezi6ojjI0jd&#10;f4YG32H7AAloaJ2O5CEdBNFRp+NZm5gLx83palEsczzieHY1K2bzZVIvY+Xzdet8+ChAk2hU1KH4&#10;CZ4d7n2I6bDyOSS+5kHJZiuVSo7b1RvlyIFho2zTlyp4FaYM6bG4abGajhT8FSNP358wtAzY8krq&#10;imJB+MUgVkbiPpgm2YFJNdqYszInJiN5I41hqIdRtFW8HGmuoTkitw7GFseRRKMD95OSHtu7ov7H&#10;njlBifpkUJ/FHKcH5+HScZdOfekwwxGqooGS0dyEcYb21sldhy+NHWHgFjVtZWL7JatT/tjCSYTT&#10;uMUZufRT1MtPYf0LAAD//wMAUEsDBBQABgAIAAAAIQCIJeHK3AAAAAkBAAAPAAAAZHJzL2Rvd25y&#10;ZXYueG1sTI/BTsMwEETvSPyDtUjcqNM0oiVkU6FI3JtQBEc3XuKI2A6x24S/ZznBcTSjmTfFfrGD&#10;uNAUeu8Q1qsEBLnW6951CMeX57sdiBCV02rwjhC+KcC+vL4qVK797Gq6NLETXOJCrhBMjGMuZWgN&#10;WRVWfiTH3oefrIosp07qSc1cbgeZJsm9tKp3vGDUSJWh9rM5WwRf19Vr2nwd3qpZV918WOL4bhBv&#10;b5anRxCRlvgXhl98RoeSmU7+7HQQA8ImzTKOImw3INjfPqSsTwi7LFuDLAv5/0H5AwAA//8DAFBL&#10;AQItABQABgAIAAAAIQC2gziS/gAAAOEBAAATAAAAAAAAAAAAAAAAAAAAAABbQ29udGVudF9UeXBl&#10;c10ueG1sUEsBAi0AFAAGAAgAAAAhADj9If/WAAAAlAEAAAsAAAAAAAAAAAAAAAAALwEAAF9yZWxz&#10;Ly5yZWxzUEsBAi0AFAAGAAgAAAAhAOmZb9IsAgAAXAQAAA4AAAAAAAAAAAAAAAAALgIAAGRycy9l&#10;Mm9Eb2MueG1sUEsBAi0AFAAGAAgAAAAhAIgl4crcAAAACQEAAA8AAAAAAAAAAAAAAAAAhgQAAGRy&#10;cy9kb3ducmV2LnhtbFBLBQYAAAAABAAEAPMAAACPBQ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w:t>
                      </w:r>
                      <w:r>
                        <w:rPr>
                          <w:rFonts w:ascii="Tw Cen MT" w:hAnsi="Tw Cen MT"/>
                        </w:rPr>
                        <w:t>i</w:t>
                      </w:r>
                      <w:r>
                        <w:rPr>
                          <w:rFonts w:ascii="Tw Cen MT" w:hAnsi="Tw Cen MT"/>
                        </w:rPr>
                        <w:t xml:space="preserve">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However, § 62(a)(2)(A) permits taxpayer to reduce his/her agi by trade or business e</w:t>
                      </w:r>
                      <w:r>
                        <w:rPr>
                          <w:rFonts w:ascii="Tw Cen MT" w:hAnsi="Tw Cen MT"/>
                        </w:rPr>
                        <w:t>x</w:t>
                      </w:r>
                      <w:r>
                        <w:rPr>
                          <w:rFonts w:ascii="Tw Cen MT" w:hAnsi="Tw Cen MT"/>
                        </w:rPr>
                        <w:t xml:space="preserve">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w:t>
                      </w:r>
                      <w:r>
                        <w:rPr>
                          <w:rFonts w:ascii="Tw Cen MT" w:hAnsi="Tw Cen MT"/>
                        </w:rPr>
                        <w:t>m</w:t>
                      </w:r>
                      <w:r>
                        <w:rPr>
                          <w:rFonts w:ascii="Tw Cen MT" w:hAnsi="Tw Cen MT"/>
                        </w:rPr>
                        <w:t>ployer reimbursement of employee trade or business expenses is a wash.  The arrang</w:t>
                      </w:r>
                      <w:r>
                        <w:rPr>
                          <w:rFonts w:ascii="Tw Cen MT" w:hAnsi="Tw Cen MT"/>
                        </w:rPr>
                        <w:t>e</w:t>
                      </w:r>
                      <w:r>
                        <w:rPr>
                          <w:rFonts w:ascii="Tw Cen MT" w:hAnsi="Tw Cen MT"/>
                        </w:rPr>
                        <w:t>ment must require substantiation of deductible expenditures so that such arrangements do not become a means by which employees can receive compensation without paying income tax on it.</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0049128E" w:rsidRPr="00576ED7">
        <w:rPr>
          <w:szCs w:val="24"/>
        </w:rPr>
        <w:t>5b.  Taxpayer Brandl was e</w:t>
      </w:r>
      <w:r w:rsidR="0049128E" w:rsidRPr="00576ED7">
        <w:rPr>
          <w:szCs w:val="24"/>
        </w:rPr>
        <w:t>m</w:t>
      </w:r>
      <w:r w:rsidR="0049128E" w:rsidRPr="00576ED7">
        <w:rPr>
          <w:szCs w:val="24"/>
        </w:rPr>
        <w:t>ployed by Strong Electric Co. as a traveling technical repr</w:t>
      </w:r>
      <w:r w:rsidR="0049128E" w:rsidRPr="00576ED7">
        <w:rPr>
          <w:szCs w:val="24"/>
        </w:rPr>
        <w:t>e</w:t>
      </w:r>
      <w:r w:rsidR="0049128E" w:rsidRPr="00576ED7">
        <w:rPr>
          <w:szCs w:val="24"/>
        </w:rPr>
        <w:t>sentative of the marketing d</w:t>
      </w:r>
      <w:r w:rsidR="0049128E" w:rsidRPr="00576ED7">
        <w:rPr>
          <w:szCs w:val="24"/>
        </w:rPr>
        <w:t>e</w:t>
      </w:r>
      <w:r w:rsidR="0049128E" w:rsidRPr="00576ED7">
        <w:rPr>
          <w:szCs w:val="24"/>
        </w:rPr>
        <w:t>partment. His duties consisted of visiting, assisting and sel</w:t>
      </w:r>
      <w:r w:rsidR="0049128E" w:rsidRPr="00576ED7">
        <w:rPr>
          <w:szCs w:val="24"/>
        </w:rPr>
        <w:t>l</w:t>
      </w:r>
      <w:r w:rsidR="0049128E" w:rsidRPr="00576ED7">
        <w:rPr>
          <w:szCs w:val="24"/>
        </w:rPr>
        <w:t>ing to Strong dealers throug</w:t>
      </w:r>
      <w:r w:rsidR="0049128E" w:rsidRPr="00576ED7">
        <w:rPr>
          <w:szCs w:val="24"/>
        </w:rPr>
        <w:t>h</w:t>
      </w:r>
      <w:r w:rsidR="0049128E" w:rsidRPr="00576ED7">
        <w:rPr>
          <w:szCs w:val="24"/>
        </w:rPr>
        <w:t>out the United States.  Ta</w:t>
      </w:r>
      <w:r w:rsidR="0049128E" w:rsidRPr="00576ED7">
        <w:rPr>
          <w:szCs w:val="24"/>
        </w:rPr>
        <w:t>x</w:t>
      </w:r>
      <w:r w:rsidR="0049128E" w:rsidRPr="00576ED7">
        <w:rPr>
          <w:szCs w:val="24"/>
        </w:rPr>
        <w:t>payer did a great deal of tra</w:t>
      </w:r>
      <w:r w:rsidR="0049128E" w:rsidRPr="00576ED7">
        <w:rPr>
          <w:szCs w:val="24"/>
        </w:rPr>
        <w:t>v</w:t>
      </w:r>
      <w:r w:rsidR="0049128E" w:rsidRPr="00576ED7">
        <w:rPr>
          <w:szCs w:val="24"/>
        </w:rPr>
        <w:t>eling. Strong’s headquarters are in Toledo, Ohio. Taxpayer ne</w:t>
      </w:r>
      <w:r w:rsidR="0049128E" w:rsidRPr="00576ED7">
        <w:rPr>
          <w:szCs w:val="24"/>
        </w:rPr>
        <w:t>i</w:t>
      </w:r>
      <w:r w:rsidR="0049128E" w:rsidRPr="00576ED7">
        <w:rPr>
          <w:szCs w:val="24"/>
        </w:rPr>
        <w:t>ther owned nor rented an apartment or house in Toledo. When Taxpayer was in Toledo he either stayed at a motel or with his brother and sister-in-law.  When Taxpayer stayed with his brother he paid no rent but did help pay for gr</w:t>
      </w:r>
      <w:r w:rsidR="0049128E" w:rsidRPr="00576ED7">
        <w:rPr>
          <w:szCs w:val="24"/>
        </w:rPr>
        <w:t>o</w:t>
      </w:r>
      <w:r w:rsidR="0049128E" w:rsidRPr="00576ED7">
        <w:rPr>
          <w:szCs w:val="24"/>
        </w:rPr>
        <w:t>ceries and household items, and worked around the house doing maintenance and r</w:t>
      </w:r>
      <w:r w:rsidR="0049128E" w:rsidRPr="00576ED7">
        <w:rPr>
          <w:szCs w:val="24"/>
        </w:rPr>
        <w:t>e</w:t>
      </w:r>
      <w:r w:rsidR="0049128E" w:rsidRPr="00576ED7">
        <w:rPr>
          <w:szCs w:val="24"/>
        </w:rPr>
        <w:t>modeling. Generally he was away from Toledo visiting customers from four to six weeks at a time, but on occ</w:t>
      </w:r>
      <w:r w:rsidR="0049128E" w:rsidRPr="00576ED7">
        <w:rPr>
          <w:szCs w:val="24"/>
        </w:rPr>
        <w:t>a</w:t>
      </w:r>
      <w:r w:rsidR="0049128E" w:rsidRPr="00576ED7">
        <w:rPr>
          <w:szCs w:val="24"/>
        </w:rPr>
        <w:t>sion up to three months. When Taxpayer traveled he stayed in hotels. When Taxpayer was at Strong headquarters in Toledo he took care of paper work, wrote letters to customers he had visited, and helped with general office work of the marketing department. During the tax year, Taxpayer spent a total of three months in Toledo. Taxpayer received personal mail at his brother’s home in Toledo, and he had an Ohio dri</w:t>
      </w:r>
      <w:r w:rsidR="0049128E" w:rsidRPr="00576ED7">
        <w:rPr>
          <w:szCs w:val="24"/>
        </w:rPr>
        <w:t>v</w:t>
      </w:r>
      <w:r w:rsidR="0049128E" w:rsidRPr="00576ED7">
        <w:rPr>
          <w:szCs w:val="24"/>
        </w:rPr>
        <w:t>er’s license. For the tax year in question, Strong paid Taxpayer $8,288.68 for his travel expenses.  Taxpayer did not include that amount in income. Taxpayer did not claim a deduction for trave</w:t>
      </w:r>
      <w:r w:rsidR="0049128E" w:rsidRPr="00576ED7">
        <w:rPr>
          <w:szCs w:val="24"/>
        </w:rPr>
        <w:t>l</w:t>
      </w:r>
      <w:r w:rsidR="0049128E" w:rsidRPr="00576ED7">
        <w:rPr>
          <w:szCs w:val="24"/>
        </w:rPr>
        <w:t xml:space="preserve">ing expenses while away from home. </w:t>
      </w:r>
    </w:p>
    <w:p w:rsidR="0049128E" w:rsidRPr="00576ED7" w:rsidRDefault="0049128E" w:rsidP="00A6585D">
      <w:pPr>
        <w:widowControl w:val="0"/>
        <w:ind w:left="720"/>
        <w:jc w:val="both"/>
        <w:rPr>
          <w:szCs w:val="24"/>
        </w:rPr>
      </w:pPr>
      <w:r w:rsidRPr="00576ED7">
        <w:rPr>
          <w:szCs w:val="24"/>
        </w:rPr>
        <w:t>•Must Taxpayer Brandl include the $8288.68 in his taxable income?</w:t>
      </w:r>
    </w:p>
    <w:p w:rsidR="0049128E" w:rsidRPr="00576ED7" w:rsidRDefault="0049128E" w:rsidP="00A6585D">
      <w:pPr>
        <w:widowControl w:val="0"/>
        <w:ind w:left="720" w:hanging="720"/>
        <w:jc w:val="both"/>
        <w:rPr>
          <w:szCs w:val="24"/>
        </w:rPr>
      </w:pPr>
      <w:r w:rsidRPr="00576ED7">
        <w:rPr>
          <w:szCs w:val="24"/>
        </w:rPr>
        <w:lastRenderedPageBreak/>
        <w:tab/>
        <w:t>•If so, may he deduct that amount as a “travel expense”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5c.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of the taxpayers assigned to the Test Site received, in add</w:t>
      </w:r>
      <w:r w:rsidRPr="00576ED7">
        <w:rPr>
          <w:szCs w:val="24"/>
        </w:rPr>
        <w:t>i</w:t>
      </w:r>
      <w:r w:rsidRPr="00576ED7">
        <w:rPr>
          <w:szCs w:val="24"/>
        </w:rPr>
        <w:t>tion to their regular wages, a per diem allowance for each day they reported for work at the Test Site. The amount of the allowance varied. Employees reporting to Camp Mercury received $5 per day; those reporting to any forward area r</w:t>
      </w:r>
      <w:r w:rsidRPr="00576ED7">
        <w:rPr>
          <w:szCs w:val="24"/>
        </w:rPr>
        <w:t>e</w:t>
      </w:r>
      <w:r w:rsidRPr="00576ED7">
        <w:rPr>
          <w:szCs w:val="24"/>
        </w:rPr>
        <w:t>ceived $7.50 per day. Employees received these allowances without regard to the actual costs incurred by them for transportation, meals, or lodging. A private co</w:t>
      </w:r>
      <w:r w:rsidRPr="00576ED7">
        <w:rPr>
          <w:szCs w:val="24"/>
        </w:rPr>
        <w:t>n</w:t>
      </w:r>
      <w:r w:rsidRPr="00576ED7">
        <w:rPr>
          <w:szCs w:val="24"/>
        </w:rPr>
        <w:t>tractor maintained meal and lodging facilities onsite. Employees were responsible for procuring transportation, meals, and occasionally overnight lodging when they had to work overtime.</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sidR="00A77CCA">
        <w:rPr>
          <w:szCs w:val="24"/>
        </w:rPr>
        <w:t>9</w:t>
      </w:r>
      <w:r w:rsidR="00E34D06" w:rsidRPr="00576ED7">
        <w:rPr>
          <w:szCs w:val="24"/>
          <w:vertAlign w:val="superscript"/>
        </w:rPr>
        <w:t>th</w:t>
      </w:r>
      <w:r w:rsidR="00E34D06" w:rsidRPr="00576ED7">
        <w:rPr>
          <w:szCs w:val="24"/>
        </w:rPr>
        <w:t xml:space="preserve"> Cir. 1</w:t>
      </w:r>
      <w:r w:rsidRPr="00576ED7">
        <w:rPr>
          <w:szCs w:val="24"/>
        </w:rPr>
        <w:t>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has long maintained that a taxpayer tra</w:t>
      </w:r>
      <w:r w:rsidRPr="00576ED7">
        <w:rPr>
          <w:szCs w:val="24"/>
        </w:rPr>
        <w:t>v</w:t>
      </w:r>
      <w:r w:rsidRPr="00576ED7">
        <w:rPr>
          <w:szCs w:val="24"/>
        </w:rPr>
        <w:t>eling on business may deduct the cost of his meals only if his trip requires him to stop for sleep or rest. The question presented here is the validity of that rule.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respondent in this case was a traveling salesman for a wholesale grocery company in Tennessee. [footnote omitted] He customarily left home early in the morning, ate breakfast and lunch on the road, and returned home in time for di</w:t>
      </w:r>
      <w:r w:rsidRPr="00576ED7">
        <w:rPr>
          <w:szCs w:val="24"/>
        </w:rPr>
        <w:t>n</w:t>
      </w:r>
      <w:r w:rsidRPr="00576ED7">
        <w:rPr>
          <w:szCs w:val="24"/>
        </w:rPr>
        <w:t xml:space="preserve">ner. In his income tax returns for 1960 and 1961, he deducted the cost of his morning and noon meals as “traveling expenses” incurred in the pursuit of his </w:t>
      </w:r>
      <w:r w:rsidRPr="00576ED7">
        <w:rPr>
          <w:szCs w:val="24"/>
        </w:rPr>
        <w:lastRenderedPageBreak/>
        <w:t>business “while away from home” under [I.R.C.] § 162(a)(2) ...</w:t>
      </w:r>
      <w:r w:rsidRPr="00576ED7">
        <w:rPr>
          <w:rStyle w:val="FootnoteReference"/>
          <w:szCs w:val="24"/>
        </w:rPr>
        <w:footnoteReference w:id="117"/>
      </w:r>
      <w:r w:rsidRPr="00576ED7">
        <w:rPr>
          <w:szCs w:val="24"/>
        </w:rPr>
        <w:t xml:space="preserve"> Because the respondent’s daily trips required neither sleep nor rest, the Commissioner disa</w:t>
      </w:r>
      <w:r w:rsidRPr="00576ED7">
        <w:rPr>
          <w:szCs w:val="24"/>
        </w:rPr>
        <w:t>l</w:t>
      </w:r>
      <w:r w:rsidRPr="00576ED7">
        <w:rPr>
          <w:szCs w:val="24"/>
        </w:rPr>
        <w:t>lowed the deductions, ruling that the cost of the respondent’s meals was a “pe</w:t>
      </w:r>
      <w:r w:rsidRPr="00576ED7">
        <w:rPr>
          <w:szCs w:val="24"/>
        </w:rPr>
        <w:t>r</w:t>
      </w:r>
      <w:r w:rsidRPr="00576ED7">
        <w:rPr>
          <w:szCs w:val="24"/>
        </w:rPr>
        <w:t>sonal, living” expense under § 262 [footnote omitted], rather than a travel expense under § 162(a)(2). The respondent paid the tax, sued for a refund in the District Court, and there received a favorable jury verdict.</w:t>
      </w:r>
      <w:r w:rsidRPr="00576ED7">
        <w:rPr>
          <w:rStyle w:val="FootnoteReference"/>
          <w:szCs w:val="24"/>
        </w:rPr>
        <w:footnoteReference w:id="118"/>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 162(a)(2), taxpayers “traveling ... away from home in the pursuit of trade or business” may deduct the total amount “expended for meals and lodging.”</w:t>
      </w:r>
      <w:r w:rsidRPr="00576ED7">
        <w:rPr>
          <w:rStyle w:val="FootnoteReference"/>
          <w:szCs w:val="24"/>
        </w:rPr>
        <w:footnoteReference w:id="119"/>
      </w:r>
      <w:r w:rsidRPr="00576ED7">
        <w:rPr>
          <w:szCs w:val="24"/>
        </w:rPr>
        <w:t xml:space="preserve">  </w:t>
      </w:r>
      <w:r w:rsidRPr="00576ED7">
        <w:rPr>
          <w:szCs w:val="24"/>
        </w:rPr>
        <w:lastRenderedPageBreak/>
        <w:t>As a result, even the taxpayer who incurs substantial hotel and restaurant expen</w:t>
      </w:r>
      <w:r w:rsidRPr="00576ED7">
        <w:rPr>
          <w:szCs w:val="24"/>
        </w:rPr>
        <w:t>s</w:t>
      </w:r>
      <w:r w:rsidRPr="00576ED7">
        <w:rPr>
          <w:szCs w:val="24"/>
        </w:rPr>
        <w:t>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0"/>
      </w:r>
      <w:r w:rsidRPr="00576ED7">
        <w:rPr>
          <w:szCs w:val="24"/>
        </w:rPr>
        <w:t xml:space="preserve"> Not surprisingly, therefore, Congress did not extend the special benefits of § 162(a)(2) to every conceivable situation involving business travel. It made the t</w:t>
      </w:r>
      <w:r w:rsidRPr="00576ED7">
        <w:rPr>
          <w:szCs w:val="24"/>
        </w:rPr>
        <w:t>o</w:t>
      </w:r>
      <w:r w:rsidRPr="00576ED7">
        <w:rPr>
          <w:szCs w:val="24"/>
        </w:rPr>
        <w:t>tal cost of meals and lodging deductible only if incurred in the course of travel that takes the taxpayer “away from home.” The problem before us involves the meaning of that limiting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w:t>
      </w:r>
      <w:r w:rsidRPr="00576ED7">
        <w:rPr>
          <w:szCs w:val="24"/>
        </w:rPr>
        <w:t>m</w:t>
      </w:r>
      <w:r w:rsidRPr="00576ED7">
        <w:rPr>
          <w:szCs w:val="24"/>
        </w:rPr>
        <w:t>missioner has consistently construed travel “away from home” to exclude all trips requiring neither sleep nor rest,</w:t>
      </w:r>
      <w:r w:rsidRPr="00576ED7">
        <w:rPr>
          <w:rStyle w:val="FootnoteReference"/>
          <w:szCs w:val="24"/>
        </w:rPr>
        <w:footnoteReference w:id="121"/>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2"/>
      </w:r>
      <w:r w:rsidRPr="00576ED7">
        <w:rPr>
          <w:szCs w:val="24"/>
        </w:rPr>
        <w:t xml:space="preserve"> or how many hours it may have consumed. [footnote omitted] By so interpreting the sta</w:t>
      </w:r>
      <w:r w:rsidRPr="00576ED7">
        <w:rPr>
          <w:szCs w:val="24"/>
        </w:rPr>
        <w:t>t</w:t>
      </w:r>
      <w:r w:rsidRPr="00576ED7">
        <w:rPr>
          <w:szCs w:val="24"/>
        </w:rPr>
        <w:t>utory phrase, the Commissioner has achieved not only ease and certainty of appl</w:t>
      </w:r>
      <w:r w:rsidRPr="00576ED7">
        <w:rPr>
          <w:szCs w:val="24"/>
        </w:rPr>
        <w:t>i</w:t>
      </w:r>
      <w:r w:rsidRPr="00576ED7">
        <w:rPr>
          <w:szCs w:val="24"/>
        </w:rPr>
        <w:t>cation, but also substantial fairness, for the sleep or rest rule places all one-day travelers on a similar tax footing, rather than discriminating against intracity tra</w:t>
      </w:r>
      <w:r w:rsidRPr="00576ED7">
        <w:rPr>
          <w:szCs w:val="24"/>
        </w:rPr>
        <w:t>v</w:t>
      </w:r>
      <w:r w:rsidRPr="00576ED7">
        <w:rPr>
          <w:szCs w:val="24"/>
        </w:rPr>
        <w:t xml:space="preserve">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 rule in this area must make some rather arbitrary distinctions [footnote omi</w:t>
      </w:r>
      <w:r w:rsidRPr="00576ED7">
        <w:rPr>
          <w:szCs w:val="24"/>
        </w:rPr>
        <w:t>t</w:t>
      </w:r>
      <w:r w:rsidRPr="00576ED7">
        <w:rPr>
          <w:szCs w:val="24"/>
        </w:rPr>
        <w: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w:t>
      </w:r>
      <w:r w:rsidRPr="00576ED7">
        <w:rPr>
          <w:szCs w:val="24"/>
        </w:rPr>
        <w:t>e</w:t>
      </w:r>
      <w:r w:rsidRPr="00576ED7">
        <w:rPr>
          <w:szCs w:val="24"/>
        </w:rPr>
        <w:t>cause he spends a greater percentage of his time at the wheel than the commuter who eats breakfast on his way to work and lunch a block from his office.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w:t>
      </w:r>
      <w:r w:rsidRPr="00576ED7">
        <w:rPr>
          <w:szCs w:val="24"/>
        </w:rPr>
        <w:t>n</w:t>
      </w:r>
      <w:r w:rsidRPr="00576ED7">
        <w:rPr>
          <w:szCs w:val="24"/>
        </w:rPr>
        <w:t>guage of the statute – “meals and lodging ... away from home” – is obviously not self-defining. [footnote omitted] And to the extent that the words chosen by Co</w:t>
      </w:r>
      <w:r w:rsidRPr="00576ED7">
        <w:rPr>
          <w:szCs w:val="24"/>
        </w:rPr>
        <w:t>n</w:t>
      </w:r>
      <w:r w:rsidRPr="00576ED7">
        <w:rPr>
          <w:szCs w:val="24"/>
        </w:rPr>
        <w:t>gress cut in either direction, they tend to support, rather than defeat, the Commi</w:t>
      </w:r>
      <w:r w:rsidRPr="00576ED7">
        <w:rPr>
          <w:szCs w:val="24"/>
        </w:rPr>
        <w:t>s</w:t>
      </w:r>
      <w:r w:rsidRPr="00576ED7">
        <w:rPr>
          <w:szCs w:val="24"/>
        </w:rPr>
        <w:t>sioner’s position, for the statute speaks of “meals and lodging” as a unit, sugges</w:t>
      </w:r>
      <w:r w:rsidRPr="00576ED7">
        <w:rPr>
          <w:szCs w:val="24"/>
        </w:rPr>
        <w:t>t</w:t>
      </w:r>
      <w:r w:rsidRPr="00576ED7">
        <w:rPr>
          <w:szCs w:val="24"/>
        </w:rPr>
        <w:t>ing – at least arguably – that Congress contemplated a deduction for the cost of meals only where the travel in question involves lodging as well. [footnote omi</w:t>
      </w:r>
      <w:r w:rsidRPr="00576ED7">
        <w:rPr>
          <w:szCs w:val="24"/>
        </w:rPr>
        <w:t>t</w:t>
      </w:r>
      <w:r w:rsidRPr="00576ED7">
        <w:rPr>
          <w:szCs w:val="24"/>
        </w:rPr>
        <w: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3"/>
      </w:r>
      <w:r w:rsidRPr="00576ED7">
        <w:rPr>
          <w:szCs w:val="24"/>
        </w:rPr>
        <w:t xml:space="preserve"> and Congress might well have thought that only taxpayers in that cat</w:t>
      </w:r>
      <w:r w:rsidRPr="00576ED7">
        <w:rPr>
          <w:szCs w:val="24"/>
        </w:rPr>
        <w:t>e</w:t>
      </w:r>
      <w:r w:rsidRPr="00576ED7">
        <w:rPr>
          <w:szCs w:val="24"/>
        </w:rPr>
        <w:t>gory should be permitted to deduct their living expenses while on the road.</w:t>
      </w:r>
      <w:r w:rsidRPr="00576ED7">
        <w:rPr>
          <w:rStyle w:val="FootnoteReference"/>
          <w:szCs w:val="24"/>
        </w:rPr>
        <w:footnoteReference w:id="124"/>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w:t>
      </w:r>
      <w:r w:rsidRPr="00576ED7">
        <w:rPr>
          <w:szCs w:val="24"/>
        </w:rPr>
        <w:t>e</w:t>
      </w:r>
      <w:r w:rsidRPr="00576ED7">
        <w:rPr>
          <w:szCs w:val="24"/>
        </w:rPr>
        <w:t xml:space="preserve">scribing “all needful rules and regulations for the enforcement” of the Internal Revenue Code. 26 U.S.C. § 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w:t>
      </w:r>
      <w:r w:rsidRPr="00576ED7">
        <w:rPr>
          <w:szCs w:val="24"/>
        </w:rPr>
        <w:t>m</w:t>
      </w:r>
      <w:r w:rsidRPr="00576ED7">
        <w:rPr>
          <w:szCs w:val="24"/>
        </w:rPr>
        <w:t>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with whom MR. JUSTICE BLACK and MR. JUSTICE FORTAS concur,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statutory words “while away from home,” § 162(a)(2), may not, in my view, be shrunken to “overnight” by administrative construction or regulations. “Ove</w:t>
      </w:r>
      <w:r w:rsidRPr="00576ED7">
        <w:rPr>
          <w:szCs w:val="24"/>
        </w:rPr>
        <w:t>r</w:t>
      </w:r>
      <w:r w:rsidRPr="00576ED7">
        <w:rPr>
          <w:szCs w:val="24"/>
        </w:rPr>
        <w:t>night” injects a time element in testing deductibility, while the statute speaks only in terms of geography. As stated by the Court of Appeals:</w:t>
      </w:r>
    </w:p>
    <w:p w:rsidR="0049128E" w:rsidRPr="00576ED7" w:rsidRDefault="0049128E" w:rsidP="00A6585D">
      <w:pPr>
        <w:widowControl w:val="0"/>
        <w:jc w:val="both"/>
        <w:rPr>
          <w:szCs w:val="24"/>
        </w:rPr>
      </w:pPr>
    </w:p>
    <w:p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w:t>
      </w:r>
      <w:r w:rsidRPr="00576ED7">
        <w:rPr>
          <w:szCs w:val="24"/>
        </w:rPr>
        <w:t>x</w:t>
      </w:r>
      <w:r w:rsidRPr="00576ED7">
        <w:rPr>
          <w:szCs w:val="24"/>
        </w:rPr>
        <w:t>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affirm the judgment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this an appropriate area for a bright line rule that may unfairly “catch” some taxpayers?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Read the instruction that the federal district court gave to the jury (in a foo</w:t>
      </w:r>
      <w:r w:rsidRPr="00576ED7">
        <w:rPr>
          <w:szCs w:val="24"/>
        </w:rPr>
        <w:t>t</w:t>
      </w:r>
      <w:r w:rsidRPr="00576ED7">
        <w:rPr>
          <w:szCs w:val="24"/>
        </w:rPr>
        <w:t>note).  Does it seem that the standard resembles the standard that the Court later adopted for § 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Under § 162(a)(2), how strong must the nexus be between the meals and a business purpose? </w:t>
      </w:r>
      <w:r w:rsidRPr="00576ED7">
        <w:rPr>
          <w:i/>
          <w:szCs w:val="24"/>
        </w:rPr>
        <w:t>See</w:t>
      </w:r>
      <w:r w:rsidRPr="00576ED7">
        <w:rPr>
          <w:szCs w:val="24"/>
        </w:rPr>
        <w:t xml:space="preserve"> the Court’s last footnote.  Does your answer make the a</w:t>
      </w:r>
      <w:r w:rsidRPr="00576ED7">
        <w:rPr>
          <w:szCs w:val="24"/>
        </w:rPr>
        <w:t>p</w:t>
      </w:r>
      <w:r w:rsidRPr="00576ED7">
        <w:rPr>
          <w:szCs w:val="24"/>
        </w:rPr>
        <w:t>proach of the commissioner seem more reasonable?</w:t>
      </w:r>
    </w:p>
    <w:p w:rsidR="0049128E" w:rsidRPr="00576ED7" w:rsidRDefault="0049128E" w:rsidP="00A6585D">
      <w:pPr>
        <w:widowControl w:val="0"/>
        <w:jc w:val="both"/>
        <w:rPr>
          <w:szCs w:val="24"/>
        </w:rPr>
      </w:pPr>
    </w:p>
    <w:p w:rsidR="00905A98" w:rsidRPr="00905A98" w:rsidRDefault="00905A98" w:rsidP="00905A98">
      <w:pPr>
        <w:widowControl w:val="0"/>
        <w:jc w:val="both"/>
        <w:rPr>
          <w:szCs w:val="24"/>
        </w:rPr>
      </w:pPr>
      <w:r>
        <w:rPr>
          <w:szCs w:val="24"/>
        </w:rPr>
        <w:t xml:space="preserve">4. </w:t>
      </w:r>
      <w:r w:rsidRPr="00905A98">
        <w:rPr>
          <w:szCs w:val="24"/>
        </w:rPr>
        <w:t xml:space="preserve"> Did the majority’s statement of the Co</w:t>
      </w:r>
      <w:r>
        <w:rPr>
          <w:szCs w:val="24"/>
        </w:rPr>
        <w:t>mmissioner</w:t>
      </w:r>
      <w:r w:rsidRPr="00905A98">
        <w:rPr>
          <w:szCs w:val="24"/>
        </w:rPr>
        <w:t>’s rule require an “ove</w:t>
      </w:r>
      <w:r w:rsidRPr="00905A98">
        <w:rPr>
          <w:szCs w:val="24"/>
        </w:rPr>
        <w:t>r</w:t>
      </w:r>
      <w:r w:rsidRPr="00905A98">
        <w:rPr>
          <w:szCs w:val="24"/>
        </w:rPr>
        <w:t>night” stay – as Justice Dou</w:t>
      </w:r>
      <w:r>
        <w:rPr>
          <w:szCs w:val="24"/>
        </w:rPr>
        <w:t>g</w:t>
      </w:r>
      <w:r w:rsidRPr="00905A98">
        <w:rPr>
          <w:szCs w:val="24"/>
        </w:rPr>
        <w:t>las claimed in his dissent?</w:t>
      </w:r>
    </w:p>
    <w:p w:rsidR="00905A98" w:rsidRDefault="00905A98" w:rsidP="00A6585D">
      <w:pPr>
        <w:widowControl w:val="0"/>
        <w:jc w:val="both"/>
        <w:rPr>
          <w:szCs w:val="24"/>
        </w:rPr>
      </w:pPr>
    </w:p>
    <w:p w:rsidR="0049128E" w:rsidRPr="00576ED7" w:rsidRDefault="00905A98" w:rsidP="00A6585D">
      <w:pPr>
        <w:widowControl w:val="0"/>
        <w:jc w:val="both"/>
        <w:rPr>
          <w:szCs w:val="24"/>
        </w:rPr>
      </w:pPr>
      <w:r>
        <w:rPr>
          <w:szCs w:val="24"/>
        </w:rPr>
        <w:t>6</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w:t>
      </w:r>
      <w:r w:rsidR="0049128E" w:rsidRPr="00576ED7">
        <w:rPr>
          <w:szCs w:val="24"/>
        </w:rPr>
        <w:t>a</w:t>
      </w:r>
      <w:r w:rsidR="0049128E" w:rsidRPr="00576ED7">
        <w:rPr>
          <w:szCs w:val="24"/>
        </w:rPr>
        <w:t>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w:t>
      </w:r>
      <w:r w:rsidR="0049128E" w:rsidRPr="00576ED7">
        <w:rPr>
          <w:szCs w:val="24"/>
        </w:rPr>
        <w:t>b</w:t>
      </w:r>
      <w:r w:rsidR="0049128E" w:rsidRPr="00576ED7">
        <w:rPr>
          <w:szCs w:val="24"/>
        </w:rPr>
        <w:t>ject to call at all times. In 1955 Captain Williams incurred expenses of $796 for meals, lodging, and tips at the Gordon Hotel during his layover in Atlanta.</w:t>
      </w:r>
    </w:p>
    <w:p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rsidR="0049128E" w:rsidRPr="00576ED7" w:rsidRDefault="0049128E" w:rsidP="00A6585D">
      <w:pPr>
        <w:widowControl w:val="0"/>
        <w:ind w:left="720"/>
        <w:jc w:val="both"/>
        <w:rPr>
          <w:szCs w:val="24"/>
        </w:rPr>
      </w:pPr>
      <w:r w:rsidRPr="00576ED7">
        <w:rPr>
          <w:szCs w:val="24"/>
        </w:rPr>
        <w:t>•What issues (sub-issues) do these facts raise?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4a.  Taxpayer B was a ferryboat captain.  He worked in the Puget Sound area of Washington State.  During the summer months, he typically worked 18-hour days for seven consecutive days.  Then he would have seven consecutive days off.  His schedule was the same in the winter, except that he would typically captain a ship from Seattle to Victoria.  The return voyage would be six hours later.  During the </w:t>
      </w:r>
      <w:r w:rsidRPr="00576ED7">
        <w:rPr>
          <w:szCs w:val="24"/>
        </w:rPr>
        <w:lastRenderedPageBreak/>
        <w:t>six-hour layover, he would take a nap on a cot provided by his employer.  He would also purchase one or two meals.</w:t>
      </w:r>
    </w:p>
    <w:p w:rsidR="0049128E" w:rsidRPr="00576ED7" w:rsidRDefault="0049128E" w:rsidP="00A6585D">
      <w:pPr>
        <w:widowControl w:val="0"/>
        <w:ind w:left="720"/>
        <w:jc w:val="both"/>
        <w:rPr>
          <w:szCs w:val="24"/>
        </w:rPr>
      </w:pPr>
      <w:r w:rsidRPr="00576ED7">
        <w:rPr>
          <w:szCs w:val="24"/>
        </w:rPr>
        <w:t>•Should taxpayer B be permitted to deduct the cost of his meals?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Hantzis v. Commissioner</w:t>
      </w:r>
      <w:r w:rsidRPr="00576ED7">
        <w:rPr>
          <w:szCs w:val="24"/>
        </w:rPr>
        <w:t>, 638 F.2d 248 (</w:t>
      </w:r>
      <w:r w:rsidR="00E34D06" w:rsidRPr="00576ED7">
        <w:rPr>
          <w:szCs w:val="24"/>
        </w:rPr>
        <w:t>1</w:t>
      </w:r>
      <w:r w:rsidR="00E34D06" w:rsidRPr="00576ED7">
        <w:rPr>
          <w:szCs w:val="24"/>
          <w:vertAlign w:val="superscript"/>
        </w:rPr>
        <w:t>st</w:t>
      </w:r>
      <w:r w:rsidR="00E34D06" w:rsidRPr="00576ED7">
        <w:rPr>
          <w:szCs w:val="24"/>
        </w:rPr>
        <w:t xml:space="preserve"> Cir.)</w:t>
      </w:r>
      <w:r w:rsidRPr="00576ED7">
        <w:rPr>
          <w:szCs w:val="24"/>
        </w:rPr>
        <w:t xml:space="preserve">, </w:t>
      </w:r>
      <w:r w:rsidRPr="00576ED7">
        <w:rPr>
          <w:i/>
          <w:szCs w:val="24"/>
        </w:rPr>
        <w:t>cert. denied</w:t>
      </w:r>
      <w:r w:rsidRPr="00576ED7">
        <w:rPr>
          <w:szCs w:val="24"/>
        </w:rPr>
        <w:t>, 452 U.S. 962 (1981)</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LEVIN H. CAMPBELL,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of Internal Revenue (Commissioner) appeals a decision of the United States Tax Court that allowed a deduction under § 162(a)(2) (1976) for expenses incurred by a law student in the course of her summer employment.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fall of 1973 Catharine Hantzis (taxpayer), formerly a candidate for an a</w:t>
      </w:r>
      <w:r w:rsidRPr="00576ED7">
        <w:rPr>
          <w:szCs w:val="24"/>
        </w:rPr>
        <w:t>d</w:t>
      </w:r>
      <w:r w:rsidRPr="00576ED7">
        <w:rPr>
          <w:szCs w:val="24"/>
        </w:rPr>
        <w:t>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w:t>
      </w:r>
      <w:r w:rsidRPr="00576ED7">
        <w:rPr>
          <w:szCs w:val="24"/>
        </w:rPr>
        <w:t>e</w:t>
      </w:r>
      <w:r w:rsidRPr="00576ED7">
        <w:rPr>
          <w:szCs w:val="24"/>
        </w:rPr>
        <w:t>gal assistant with a law firm in New York City, where she worked for ten weeks beginning in June 1975. Her husband, then a member of the faculty of Northeas</w:t>
      </w:r>
      <w:r w:rsidRPr="00576ED7">
        <w:rPr>
          <w:szCs w:val="24"/>
        </w:rPr>
        <w:t>t</w:t>
      </w:r>
      <w:r w:rsidRPr="00576ED7">
        <w:rPr>
          <w:szCs w:val="24"/>
        </w:rPr>
        <w:t>ern University with a teaching schedule for that summer, remained in Boston and lived at the couple’s home there. At the time of the Tax Court’s decision in this case, Mr. and Mrs. Hantzis still resided in Boston.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their joint income tax return for 1975, Mr. and Mrs. Hantzis reported the ear</w:t>
      </w:r>
      <w:r w:rsidRPr="00576ED7">
        <w:rPr>
          <w:szCs w:val="24"/>
        </w:rPr>
        <w:t>n</w:t>
      </w:r>
      <w:r w:rsidRPr="00576ED7">
        <w:rPr>
          <w:szCs w:val="24"/>
        </w:rPr>
        <w:t>ings from taxpayer’s summer employment ($3,750) and deducted the cost of transportation between Boston and New York, the cost of a small apartment ren</w:t>
      </w:r>
      <w:r w:rsidRPr="00576ED7">
        <w:rPr>
          <w:szCs w:val="24"/>
        </w:rPr>
        <w:t>t</w:t>
      </w:r>
      <w:r w:rsidRPr="00576ED7">
        <w:rPr>
          <w:szCs w:val="24"/>
        </w:rPr>
        <w:t>ed by Mrs. Hantzis in New York and the cost of her meals in New York ($3,204). The deductions were taken under § 162(a)(2), which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 162. Trade or business expenses</w:t>
      </w:r>
    </w:p>
    <w:p w:rsidR="0049128E" w:rsidRPr="00576ED7" w:rsidRDefault="0049128E" w:rsidP="00A6585D">
      <w:pPr>
        <w:widowControl w:val="0"/>
        <w:ind w:left="720"/>
        <w:jc w:val="both"/>
        <w:rPr>
          <w:szCs w:val="24"/>
        </w:rPr>
      </w:pPr>
      <w:r w:rsidRPr="00576ED7">
        <w:rPr>
          <w:szCs w:val="24"/>
        </w:rPr>
        <w:t>(a) In general. There shall be allowed as a deduction all the ordinary and necessary expenses paid or incurred during the taxable year in carrying on any trade or business, including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traveling expenses (including amounts expended for meals and lodging other than amounts which are lavish or extravagant under the circumstan</w:t>
      </w:r>
      <w:r w:rsidRPr="00576ED7">
        <w:rPr>
          <w:szCs w:val="24"/>
        </w:rPr>
        <w:t>c</w:t>
      </w:r>
      <w:r w:rsidRPr="00576ED7">
        <w:rPr>
          <w:szCs w:val="24"/>
        </w:rPr>
        <w:lastRenderedPageBreak/>
        <w:t>es) while away from home in the pursuit of a trade or business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disallowed the deduction on the ground that taxpayer’s home for purposes of § 162(a)(2) was her place of employment 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 162(a)(2).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Section 262 of the Code, declares that “except as otherwise provided in this cha</w:t>
      </w:r>
      <w:r w:rsidRPr="00576ED7">
        <w:rPr>
          <w:szCs w:val="24"/>
        </w:rPr>
        <w:t>p</w:t>
      </w:r>
      <w:r w:rsidRPr="00576ED7">
        <w:rPr>
          <w:szCs w:val="24"/>
        </w:rPr>
        <w:t>ter, no deductions shall be allowed for personal, living, or family expenses.” Se</w:t>
      </w:r>
      <w:r w:rsidRPr="00576ED7">
        <w:rPr>
          <w:szCs w:val="24"/>
        </w:rPr>
        <w:t>c</w:t>
      </w:r>
      <w:r w:rsidRPr="00576ED7">
        <w:rPr>
          <w:szCs w:val="24"/>
        </w:rPr>
        <w:t>tion 162 provides less of an exception to this rule than it creates a separate categ</w:t>
      </w:r>
      <w:r w:rsidRPr="00576ED7">
        <w:rPr>
          <w:szCs w:val="24"/>
        </w:rPr>
        <w:t>o</w:t>
      </w:r>
      <w:r w:rsidRPr="00576ED7">
        <w:rPr>
          <w:szCs w:val="24"/>
        </w:rPr>
        <w:t>ry of deductible business expenses. This category  manifests a fundamental pri</w:t>
      </w:r>
      <w:r w:rsidRPr="00576ED7">
        <w:rPr>
          <w:szCs w:val="24"/>
        </w:rPr>
        <w:t>n</w:t>
      </w:r>
      <w:r w:rsidRPr="00576ED7">
        <w:rPr>
          <w:szCs w:val="24"/>
        </w:rPr>
        <w:t xml:space="preserve">ciple of taxation: that a person’s taxable income should not include the cost of producing that income. [citation omitted]; </w:t>
      </w:r>
      <w:r w:rsidRPr="00576ED7">
        <w:rPr>
          <w:i/>
          <w:szCs w:val="24"/>
        </w:rPr>
        <w:t>Commissioner v. Flowers</w:t>
      </w:r>
      <w:r w:rsidRPr="00576ED7">
        <w:rPr>
          <w:szCs w:val="24"/>
        </w:rPr>
        <w:t>, 326 U.S. 465, 469 (1946);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test by which “personal” travel expenses subject to tax under § 262 are di</w:t>
      </w:r>
      <w:r w:rsidRPr="00576ED7">
        <w:rPr>
          <w:szCs w:val="24"/>
        </w:rPr>
        <w:t>s</w:t>
      </w:r>
      <w:r w:rsidRPr="00576ED7">
        <w:rPr>
          <w:szCs w:val="24"/>
        </w:rPr>
        <w:t xml:space="preserve">tinguished from those costs of travel necessarily incurred to generate income is embodied in the requirement that, to be deductible under § 162(a)(2), an expense must be “incurred ... in the pursuit of a trade or business.” In </w:t>
      </w:r>
      <w:r w:rsidRPr="00576ED7">
        <w:rPr>
          <w:i/>
          <w:szCs w:val="24"/>
        </w:rPr>
        <w:t>Flowers</w:t>
      </w:r>
      <w:r w:rsidRPr="00576ED7">
        <w:rPr>
          <w:szCs w:val="24"/>
        </w:rPr>
        <w:t xml:space="preserve"> the S</w:t>
      </w:r>
      <w:r w:rsidRPr="00576ED7">
        <w:rPr>
          <w:szCs w:val="24"/>
        </w:rPr>
        <w:t>u</w:t>
      </w:r>
      <w:r w:rsidRPr="00576ED7">
        <w:rPr>
          <w:szCs w:val="24"/>
        </w:rPr>
        <w:t>preme Court read this phrase to mean that “(t)he exigencies of business rather than the personal conveniences and necessities of the traveler must be the mot</w:t>
      </w:r>
      <w:r w:rsidRPr="00576ED7">
        <w:rPr>
          <w:szCs w:val="24"/>
        </w:rPr>
        <w:t>i</w:t>
      </w:r>
      <w:r w:rsidRPr="00576ED7">
        <w:rPr>
          <w:szCs w:val="24"/>
        </w:rPr>
        <w:t>vating factors.” 326 U.S. at 474.</w:t>
      </w:r>
      <w:r w:rsidRPr="00576ED7">
        <w:rPr>
          <w:rStyle w:val="FootnoteReference"/>
          <w:szCs w:val="24"/>
        </w:rPr>
        <w:footnoteReference w:id="125"/>
      </w:r>
      <w:r w:rsidRPr="00576ED7">
        <w:rPr>
          <w:szCs w:val="24"/>
        </w:rPr>
        <w:t xml:space="preserve">  Of course, not every travel expense resulting </w:t>
      </w:r>
      <w:r w:rsidRPr="00576ED7">
        <w:rPr>
          <w:szCs w:val="24"/>
        </w:rPr>
        <w:lastRenderedPageBreak/>
        <w:t xml:space="preserve">from business exigencies rather than personal choice is deductible; an expense must also be “ordinary and necessary” and incurred “while away from home.” § 162(a)(2); </w:t>
      </w:r>
      <w:r w:rsidRPr="00576ED7">
        <w:rPr>
          <w:i/>
          <w:szCs w:val="24"/>
        </w:rPr>
        <w:t>Flowers</w:t>
      </w:r>
      <w:r w:rsidRPr="00576ED7">
        <w:rPr>
          <w:szCs w:val="24"/>
        </w:rPr>
        <w:t>, 326 U.S. at 470. But the latter limitations draw also upon the basic concept that only expenses necessitated by business, as opposed to personal, demands may be excluded from the calculation of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these fundamentals in mind, we proceed to ask whether the cost of taxpa</w:t>
      </w:r>
      <w:r w:rsidRPr="00576ED7">
        <w:rPr>
          <w:szCs w:val="24"/>
        </w:rPr>
        <w:t>y</w:t>
      </w:r>
      <w:r w:rsidRPr="00576ED7">
        <w:rPr>
          <w:szCs w:val="24"/>
        </w:rPr>
        <w:t>er’s transportation to and from New York, and of her meals and lodging while in New York, was incurred “while away from home in the pursuit of a trade or bus</w:t>
      </w:r>
      <w:r w:rsidRPr="00576ED7">
        <w:rPr>
          <w:szCs w:val="24"/>
        </w:rPr>
        <w:t>i</w:t>
      </w:r>
      <w:r w:rsidRPr="00576ED7">
        <w:rPr>
          <w:szCs w:val="24"/>
        </w:rPr>
        <w:t>ness.”</w:t>
      </w:r>
    </w:p>
    <w:p w:rsidR="0049128E" w:rsidRPr="00576ED7" w:rsidRDefault="0049128E" w:rsidP="00905A98">
      <w:pPr>
        <w:widowControl w:val="0"/>
        <w:tabs>
          <w:tab w:val="center" w:pos="3960"/>
        </w:tabs>
        <w:jc w:val="both"/>
        <w:rPr>
          <w:szCs w:val="24"/>
        </w:rPr>
      </w:pPr>
      <w:r w:rsidRPr="00576ED7">
        <w:rPr>
          <w:szCs w:val="24"/>
        </w:rPr>
        <w:tab/>
        <w:t>II.</w:t>
      </w:r>
    </w:p>
    <w:p w:rsidR="0049128E" w:rsidRDefault="0049128E" w:rsidP="00A6585D">
      <w:pPr>
        <w:widowControl w:val="0"/>
        <w:jc w:val="both"/>
        <w:rPr>
          <w:szCs w:val="24"/>
        </w:rPr>
      </w:pPr>
      <w:r w:rsidRPr="00576ED7">
        <w:rPr>
          <w:szCs w:val="24"/>
        </w:rPr>
        <w:t>The Commissioner has directed his argument at the meaning of “in pursuit of a trade or business.” He interprets this phrase as requiring that a deductible trave</w:t>
      </w:r>
      <w:r w:rsidRPr="00576ED7">
        <w:rPr>
          <w:szCs w:val="24"/>
        </w:rPr>
        <w:t>l</w:t>
      </w:r>
      <w:r w:rsidRPr="00576ED7">
        <w:rPr>
          <w:szCs w:val="24"/>
        </w:rPr>
        <w:t>ing expense be incurred under the demands of a trade or business which predates the expense, i.e., an “already existing” trade or business. [The court rejected the commissioner’s contention.]</w:t>
      </w:r>
    </w:p>
    <w:p w:rsidR="00905A98" w:rsidRDefault="00905A98" w:rsidP="00A6585D">
      <w:pPr>
        <w:widowControl w:val="0"/>
        <w:jc w:val="both"/>
        <w:rPr>
          <w:szCs w:val="24"/>
        </w:rPr>
      </w:pPr>
    </w:p>
    <w:p w:rsidR="00905A98" w:rsidRPr="00576ED7" w:rsidRDefault="00905A98"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contexts the phrase “in the pursuit of a trade or business” may permit the interpretation urged upon us by the Commissioner,</w:t>
      </w:r>
      <w:r w:rsidRPr="00576ED7">
        <w:rPr>
          <w:rStyle w:val="FootnoteReference"/>
          <w:szCs w:val="24"/>
        </w:rPr>
        <w:footnoteReference w:id="126"/>
      </w:r>
      <w:r w:rsidRPr="00576ED7">
        <w:rPr>
          <w:szCs w:val="24"/>
        </w:rPr>
        <w:t xml:space="preserve"> but to require under § 162(a)(2) that a travel expense be incurred in connection with a preexisting trade or business is neither necessary nor appropriate to effectuating the purpose behind the use of that phrase in the provision. Accordingly, we turn to the question whether, in the absence of the Commissioner’s proposed threshold limit on d</w:t>
      </w:r>
      <w:r w:rsidRPr="00576ED7">
        <w:rPr>
          <w:szCs w:val="24"/>
        </w:rPr>
        <w:t>e</w:t>
      </w:r>
      <w:r w:rsidRPr="00576ED7">
        <w:rPr>
          <w:szCs w:val="24"/>
        </w:rPr>
        <w:t xml:space="preserve">ductibility, the expenses at issue here satisfy the requirements of § 162(a)(2) as interpreted in </w:t>
      </w:r>
      <w:r w:rsidRPr="00576ED7">
        <w:rPr>
          <w:i/>
          <w:szCs w:val="24"/>
        </w:rPr>
        <w:t>Flowers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As already noted, </w:t>
      </w:r>
      <w:r w:rsidRPr="00576ED7">
        <w:rPr>
          <w:i/>
          <w:szCs w:val="24"/>
        </w:rPr>
        <w:t>Flowers</w:t>
      </w:r>
      <w:r w:rsidRPr="00576ED7">
        <w:rPr>
          <w:szCs w:val="24"/>
        </w:rPr>
        <w:t xml:space="preserve"> construed § 162(a)(2) to mean that a traveling expense is deductible only if it is (1) reasonable and necessary, (2) incurred while away from home, and (3) necessitated by the exigencies of business. Because the Commissioner does not suggest that Mrs. Hantzis’ expenses were unreasonable or </w:t>
      </w:r>
      <w:r w:rsidRPr="00576ED7">
        <w:rPr>
          <w:szCs w:val="24"/>
        </w:rPr>
        <w:lastRenderedPageBreak/>
        <w:t>unnecessary, we may pass directly to the remaining requirements. Of these, we find dispositive the requirement that an expense be incurred while away from home. As we think Mrs. Hantzis’ expenses were not so incurred, we hold the d</w:t>
      </w:r>
      <w:r w:rsidRPr="00576ED7">
        <w:rPr>
          <w:szCs w:val="24"/>
        </w:rPr>
        <w:t>e</w:t>
      </w:r>
      <w:r w:rsidRPr="00576ED7">
        <w:rPr>
          <w:szCs w:val="24"/>
        </w:rPr>
        <w:t>duction to be improper.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meaning of the term “home” in the travel expense provision is far from clear. When Congress enacted the travel expense deduction now codified as § 162(a)(2), it apparently was unsure whether, to be deductible, an expense must be incurred away from a person’s residence or away from his principal place of business. [c</w:t>
      </w:r>
      <w:r w:rsidRPr="00576ED7">
        <w:rPr>
          <w:szCs w:val="24"/>
        </w:rPr>
        <w:t>i</w:t>
      </w:r>
      <w:r w:rsidRPr="00576ED7">
        <w:rPr>
          <w:szCs w:val="24"/>
        </w:rPr>
        <w:t>tation omitted] This ambiguity persists and courts, sometimes within a single ci</w:t>
      </w:r>
      <w:r w:rsidRPr="00576ED7">
        <w:rPr>
          <w:szCs w:val="24"/>
        </w:rPr>
        <w:t>r</w:t>
      </w:r>
      <w:r w:rsidRPr="00576ED7">
        <w:rPr>
          <w:szCs w:val="24"/>
        </w:rPr>
        <w:t xml:space="preserve">cuit, have divided over the issue. </w:t>
      </w:r>
      <w:r w:rsidRPr="00576ED7">
        <w:rPr>
          <w:i/>
          <w:szCs w:val="24"/>
        </w:rPr>
        <w:t>Compare</w:t>
      </w:r>
      <w:r w:rsidRPr="00576ED7">
        <w:rPr>
          <w:szCs w:val="24"/>
        </w:rPr>
        <w:t xml:space="preserve"> </w:t>
      </w:r>
      <w:r w:rsidRPr="00576ED7">
        <w:rPr>
          <w:i/>
          <w:szCs w:val="24"/>
        </w:rPr>
        <w:t>Six v. United States</w:t>
      </w:r>
      <w:r w:rsidRPr="00576ED7">
        <w:rPr>
          <w:szCs w:val="24"/>
        </w:rPr>
        <w:t xml:space="preserve">, 450 F.2d 66 (2d Cir. 1971) (home held to be residence) and </w:t>
      </w:r>
      <w:r w:rsidRPr="00576ED7">
        <w:rPr>
          <w:i/>
          <w:szCs w:val="24"/>
        </w:rPr>
        <w:t>Rosenspan v. United States</w:t>
      </w:r>
      <w:r w:rsidRPr="00576ED7">
        <w:rPr>
          <w:szCs w:val="24"/>
        </w:rPr>
        <w:t xml:space="preserve">, 438 F.2d 905 (2d Cir.), </w:t>
      </w:r>
      <w:r w:rsidRPr="00576ED7">
        <w:rPr>
          <w:i/>
          <w:szCs w:val="24"/>
        </w:rPr>
        <w:t>cert. denied</w:t>
      </w:r>
      <w:r w:rsidRPr="00576ED7">
        <w:rPr>
          <w:szCs w:val="24"/>
        </w:rPr>
        <w:t xml:space="preserve">, 404 U.S. 864 (1971) and </w:t>
      </w:r>
      <w:r w:rsidRPr="00576ED7">
        <w:rPr>
          <w:i/>
          <w:szCs w:val="24"/>
        </w:rPr>
        <w:t>Burns v. Gray</w:t>
      </w:r>
      <w:r w:rsidRPr="00576ED7">
        <w:rPr>
          <w:szCs w:val="24"/>
        </w:rPr>
        <w:t xml:space="preserve">, 287 F.2d 698 (6th Cir. 1961) and </w:t>
      </w:r>
      <w:r w:rsidRPr="00576ED7">
        <w:rPr>
          <w:i/>
          <w:szCs w:val="24"/>
        </w:rPr>
        <w:t>Wallace v. Commissioner</w:t>
      </w:r>
      <w:r w:rsidRPr="00576ED7">
        <w:rPr>
          <w:szCs w:val="24"/>
        </w:rPr>
        <w:t xml:space="preserve">, 144 F.2d 407 (9th Cir. 1944) with </w:t>
      </w:r>
      <w:r w:rsidRPr="00576ED7">
        <w:rPr>
          <w:i/>
          <w:szCs w:val="24"/>
        </w:rPr>
        <w:t>Markey v. Commissioner</w:t>
      </w:r>
      <w:r w:rsidRPr="00576ED7">
        <w:rPr>
          <w:szCs w:val="24"/>
        </w:rPr>
        <w:t>, 490 F.2d 1249 (6th Cir. 1974) (home held to be princ</w:t>
      </w:r>
      <w:r w:rsidRPr="00576ED7">
        <w:rPr>
          <w:szCs w:val="24"/>
        </w:rPr>
        <w:t>i</w:t>
      </w:r>
      <w:r w:rsidRPr="00576ED7">
        <w:rPr>
          <w:szCs w:val="24"/>
        </w:rPr>
        <w:t xml:space="preserve">pal place of business) and </w:t>
      </w:r>
      <w:r w:rsidRPr="00576ED7">
        <w:rPr>
          <w:i/>
          <w:szCs w:val="24"/>
        </w:rPr>
        <w:t>Curtis v. Commissioner</w:t>
      </w:r>
      <w:r w:rsidRPr="00576ED7">
        <w:rPr>
          <w:szCs w:val="24"/>
        </w:rPr>
        <w:t xml:space="preserve">, 449 F.2d 225 (5th Cir. 1971) and </w:t>
      </w:r>
      <w:r w:rsidRPr="00576ED7">
        <w:rPr>
          <w:i/>
          <w:szCs w:val="24"/>
        </w:rPr>
        <w:t>Wills v. Commissioner</w:t>
      </w:r>
      <w:r w:rsidRPr="00576ED7">
        <w:rPr>
          <w:szCs w:val="24"/>
        </w:rPr>
        <w:t>, 411 F.2d 537 (9th Cir. 1969).</w:t>
      </w:r>
      <w:r w:rsidRPr="00576ED7">
        <w:rPr>
          <w:rStyle w:val="FootnoteReference"/>
          <w:szCs w:val="24"/>
        </w:rPr>
        <w:footnoteReference w:id="127"/>
      </w:r>
      <w:r w:rsidRPr="00576ED7">
        <w:rPr>
          <w:szCs w:val="24"/>
        </w:rPr>
        <w:t xml:space="preserve"> It has been suggested that these conflicting definitions are due to the enormous factual variety in the cases. [citations omitted]. We find this observation instructive, for if the cases that discuss the meaning of the term “home” in § 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begin by recognizing that the location of a person’s home for purposes of § 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w:t>
      </w:r>
      <w:r w:rsidRPr="00576ED7">
        <w:rPr>
          <w:szCs w:val="24"/>
        </w:rPr>
        <w:t>l</w:t>
      </w:r>
      <w:r w:rsidRPr="00576ED7">
        <w:rPr>
          <w:szCs w:val="24"/>
        </w:rPr>
        <w:t xml:space="preserve">ways at his place of employment. </w:t>
      </w:r>
      <w:r w:rsidRPr="00576ED7">
        <w:rPr>
          <w:i/>
          <w:szCs w:val="24"/>
        </w:rPr>
        <w:t>See</w:t>
      </w:r>
      <w:r w:rsidRPr="00576ED7">
        <w:rPr>
          <w:szCs w:val="24"/>
        </w:rPr>
        <w:t xml:space="preserve"> Rev. Rul. 60-16.) However, in the present case, the need to determine “home” is plainly before us, since the taxpayer resided </w:t>
      </w:r>
      <w:r w:rsidRPr="00576ED7">
        <w:rPr>
          <w:szCs w:val="24"/>
        </w:rPr>
        <w:lastRenderedPageBreak/>
        <w:t>in Boston and worked, albeit briefly, in New York.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 162(a)(2). Whether it is held in a particular decision that a taxpayer’s home is his residence or his princ</w:t>
      </w:r>
      <w:r w:rsidRPr="00576ED7">
        <w:rPr>
          <w:szCs w:val="24"/>
        </w:rPr>
        <w:t>i</w:t>
      </w:r>
      <w:r w:rsidRPr="00576ED7">
        <w:rPr>
          <w:szCs w:val="24"/>
        </w:rPr>
        <w:t>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w:t>
      </w:r>
      <w:r w:rsidRPr="00576ED7">
        <w:rPr>
          <w:szCs w:val="24"/>
        </w:rPr>
        <w:t>e</w:t>
      </w:r>
      <w:r w:rsidRPr="00576ED7">
        <w:rPr>
          <w:szCs w:val="24"/>
        </w:rPr>
        <w:t xml:space="preserv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w:t>
      </w:r>
      <w:r w:rsidRPr="00576ED7">
        <w:rPr>
          <w:szCs w:val="24"/>
        </w:rPr>
        <w:t>u</w:t>
      </w:r>
      <w:r w:rsidRPr="00576ED7">
        <w:rPr>
          <w:szCs w:val="24"/>
        </w:rPr>
        <w:t>la that will make sense in all cases. The line between personal and business e</w:t>
      </w:r>
      <w:r w:rsidRPr="00576ED7">
        <w:rPr>
          <w:szCs w:val="24"/>
        </w:rPr>
        <w:t>x</w:t>
      </w:r>
      <w:r w:rsidRPr="00576ED7">
        <w:rPr>
          <w:szCs w:val="24"/>
        </w:rPr>
        <w:t>penses winds through infinite factual permutations; effectuation of the travel e</w:t>
      </w:r>
      <w:r w:rsidRPr="00576ED7">
        <w:rPr>
          <w:szCs w:val="24"/>
        </w:rPr>
        <w:t>x</w:t>
      </w:r>
      <w:r w:rsidRPr="00576ED7">
        <w:rPr>
          <w:szCs w:val="24"/>
        </w:rPr>
        <w:t>pense provision requires that any principle of decision be flexible and sensitive to statutory policy.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Construing in the manner just described the requirement that an expense be i</w:t>
      </w:r>
      <w:r w:rsidRPr="00576ED7">
        <w:rPr>
          <w:szCs w:val="24"/>
        </w:rPr>
        <w:t>n</w:t>
      </w:r>
      <w:r w:rsidRPr="00576ED7">
        <w:rPr>
          <w:szCs w:val="24"/>
        </w:rPr>
        <w:t>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w:t>
      </w:r>
      <w:r w:rsidRPr="00576ED7">
        <w:rPr>
          <w:szCs w:val="24"/>
        </w:rPr>
        <w:t>x</w:t>
      </w:r>
      <w:r w:rsidRPr="00576ED7">
        <w:rPr>
          <w:szCs w:val="24"/>
        </w:rPr>
        <w:t xml:space="preserve">ample, if Mrs. Hantzis had been a lawyer based in Boston with a New York client whom she was temporarily serving. The home in Boston was kept up for reasons </w:t>
      </w:r>
      <w:r w:rsidRPr="00576ED7">
        <w:rPr>
          <w:szCs w:val="24"/>
        </w:rPr>
        <w:lastRenderedPageBreak/>
        <w:t>involving Mr. Hantzis, but those reasons cannot substitute for a showing by Mrs. Hantzis that the exigencies of her trade or business required her to maintain two homes.</w:t>
      </w:r>
      <w:r w:rsidRPr="00576ED7">
        <w:rPr>
          <w:rStyle w:val="FootnoteReference"/>
          <w:szCs w:val="24"/>
        </w:rPr>
        <w:footnoteReference w:id="128"/>
      </w:r>
      <w:r w:rsidRPr="00576ED7">
        <w:rPr>
          <w:szCs w:val="24"/>
        </w:rPr>
        <w:t xml:space="preserve"> Mrs. Hantzis’ decision to keep two homes must be seen as a choice di</w:t>
      </w:r>
      <w:r w:rsidRPr="00576ED7">
        <w:rPr>
          <w:szCs w:val="24"/>
        </w:rPr>
        <w:t>c</w:t>
      </w:r>
      <w:r w:rsidRPr="00576ED7">
        <w:rPr>
          <w:szCs w:val="24"/>
        </w:rPr>
        <w:t>tated by personal, albeit wholly reasonable, considerations and not a business or occupational necessity. We therefore hold that her home for purposes of § 162(a)(2) was New York and that the expenses at issue in this case were not i</w:t>
      </w:r>
      <w:r w:rsidRPr="00576ED7">
        <w:rPr>
          <w:szCs w:val="24"/>
        </w:rPr>
        <w:t>n</w:t>
      </w:r>
      <w:r w:rsidRPr="00576ED7">
        <w:rPr>
          <w:szCs w:val="24"/>
        </w:rPr>
        <w:t>curred “while away from home.”</w:t>
      </w:r>
      <w:r w:rsidRPr="00576ED7">
        <w:rPr>
          <w:rStyle w:val="FootnoteReference"/>
          <w:szCs w:val="24"/>
        </w:rPr>
        <w:footnoteReference w:id="129"/>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are not dissuaded from this conclusion by the temporary nature of Mrs. Hantzis’ employment in New York. Mrs. Hantzis argues that the brevity of her stay in New York excepts her from the business exigencies requirement of § 162(a)(2) under a doctrine supposedly enunciated by the Supreme Court in </w:t>
      </w:r>
      <w:r w:rsidRPr="00576ED7">
        <w:rPr>
          <w:i/>
          <w:szCs w:val="24"/>
        </w:rPr>
        <w:t>Peur</w:t>
      </w:r>
      <w:r w:rsidRPr="00576ED7">
        <w:rPr>
          <w:i/>
          <w:szCs w:val="24"/>
        </w:rPr>
        <w:t>i</w:t>
      </w:r>
      <w:r w:rsidRPr="00576ED7">
        <w:rPr>
          <w:i/>
          <w:szCs w:val="24"/>
        </w:rPr>
        <w:t>foy v. Commissioner</w:t>
      </w:r>
      <w:r w:rsidRPr="00576ED7">
        <w:rPr>
          <w:szCs w:val="24"/>
        </w:rPr>
        <w:t>, 358 U.S. 59 (1958) (per curiam).</w:t>
      </w:r>
      <w:r w:rsidRPr="00576ED7">
        <w:rPr>
          <w:rStyle w:val="FootnoteReference"/>
          <w:szCs w:val="24"/>
        </w:rPr>
        <w:footnoteReference w:id="130"/>
      </w:r>
      <w:r w:rsidRPr="00576ED7">
        <w:rPr>
          <w:szCs w:val="24"/>
        </w:rPr>
        <w:t xml:space="preserve">  The Tax Court here </w:t>
      </w:r>
      <w:r w:rsidRPr="00576ED7">
        <w:rPr>
          <w:szCs w:val="24"/>
        </w:rPr>
        <w:lastRenderedPageBreak/>
        <w:t>held that Boston was the taxpayer’s home because it would have been unreason</w:t>
      </w:r>
      <w:r w:rsidRPr="00576ED7">
        <w:rPr>
          <w:szCs w:val="24"/>
        </w:rPr>
        <w:t>a</w:t>
      </w:r>
      <w:r w:rsidRPr="00576ED7">
        <w:rPr>
          <w:szCs w:val="24"/>
        </w:rPr>
        <w:t>ble for her to move her residence to New York for only ten weeks. At first glance these contentions may seem to find support in the court decisions holding that, when a taxpayer works for a limited time away from his usual home, § 162(a)(2) allows a deduction for the expense of maintaining a second home so long as the employment is “temporary” and not “indefinite” or “permanent.” [citations omi</w:t>
      </w:r>
      <w:r w:rsidRPr="00576ED7">
        <w:rPr>
          <w:szCs w:val="24"/>
        </w:rPr>
        <w:t>t</w:t>
      </w:r>
      <w:r w:rsidRPr="00576ED7">
        <w:rPr>
          <w:szCs w:val="24"/>
        </w:rPr>
        <w:t>ted].  This test is an elaboration of the requirements under § 162(a)(2) that an e</w:t>
      </w:r>
      <w:r w:rsidRPr="00576ED7">
        <w:rPr>
          <w:szCs w:val="24"/>
        </w:rPr>
        <w:t>x</w:t>
      </w:r>
      <w:r w:rsidRPr="00576ED7">
        <w:rPr>
          <w:szCs w:val="24"/>
        </w:rPr>
        <w:t>pense be incurred due to business exigencies and while away from home. Thus it has been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“Where a taxpayer reasonably expects to be employed in a location for a substantial or indefinite period of time, the reasonable inference is that his choice of a residence is a personal decision, unrelated to any business n</w:t>
      </w:r>
      <w:r w:rsidRPr="00576ED7">
        <w:rPr>
          <w:szCs w:val="24"/>
        </w:rPr>
        <w:t>e</w:t>
      </w:r>
      <w:r w:rsidRPr="00576ED7">
        <w:rPr>
          <w:szCs w:val="24"/>
        </w:rPr>
        <w:t>cessity. Thus, it is irrelevant how far he travels to work. The normal e</w:t>
      </w:r>
      <w:r w:rsidRPr="00576ED7">
        <w:rPr>
          <w:szCs w:val="24"/>
        </w:rPr>
        <w:t>x</w:t>
      </w:r>
      <w:r w:rsidRPr="00576ED7">
        <w:rPr>
          <w:szCs w:val="24"/>
        </w:rPr>
        <w:t>pectation, however, is that the taxpayer will choose to live near his place of employment. Consequently, when a taxpayer reasonable (sic) expects to be employed in a location for only a short or temporary period of time and travels a considerable distance to the location from his residence, it is u</w:t>
      </w:r>
      <w:r w:rsidRPr="00576ED7">
        <w:rPr>
          <w:szCs w:val="24"/>
        </w:rPr>
        <w:t>n</w:t>
      </w:r>
      <w:r w:rsidRPr="00576ED7">
        <w:rPr>
          <w:szCs w:val="24"/>
        </w:rPr>
        <w:t>reasonable to assume that his choice of a residence is dictated by personal convenience. The reasonable inference is that he is temporarily making these travels because of a business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Frederick</w:t>
      </w:r>
      <w:r w:rsidRPr="00576ED7">
        <w:rPr>
          <w:szCs w:val="24"/>
        </w:rPr>
        <w:t xml:space="preserve">, </w:t>
      </w:r>
      <w:r w:rsidRPr="00576ED7">
        <w:rPr>
          <w:i/>
          <w:szCs w:val="24"/>
        </w:rPr>
        <w:t>supra</w:t>
      </w:r>
      <w:r w:rsidRPr="00576ED7">
        <w:rPr>
          <w:szCs w:val="24"/>
        </w:rPr>
        <w:t>, 603 F.2d at 1294-95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temporary employment doctrine does not, however, purport to eliminate any requirement that continued maintenance of a first home have a business justific</w:t>
      </w:r>
      <w:r w:rsidRPr="00576ED7">
        <w:rPr>
          <w:szCs w:val="24"/>
        </w:rPr>
        <w:t>a</w:t>
      </w:r>
      <w:r w:rsidRPr="00576ED7">
        <w:rPr>
          <w:szCs w:val="24"/>
        </w:rPr>
        <w:t>tion. We think the rule has no application where the taxpayer has no business connection with his usual place of residence. If no business exigency dictates the location of the taxpayer’s usual residence, then the mere fact of his taking temp</w:t>
      </w:r>
      <w:r w:rsidRPr="00576ED7">
        <w:rPr>
          <w:szCs w:val="24"/>
        </w:rPr>
        <w:t>o</w:t>
      </w:r>
      <w:r w:rsidRPr="00576ED7">
        <w:rPr>
          <w:szCs w:val="24"/>
        </w:rPr>
        <w:t>rary employment elsewhere cannot supply a compelling business reason for co</w:t>
      </w:r>
      <w:r w:rsidRPr="00576ED7">
        <w:rPr>
          <w:szCs w:val="24"/>
        </w:rPr>
        <w:t>n</w:t>
      </w:r>
      <w:r w:rsidRPr="00576ED7">
        <w:rPr>
          <w:szCs w:val="24"/>
        </w:rPr>
        <w:t xml:space="preserve">tinuing to maintain that residence. Only a taxpayer who lives one place, works </w:t>
      </w:r>
      <w:r w:rsidRPr="00576ED7">
        <w:rPr>
          <w:szCs w:val="24"/>
        </w:rPr>
        <w:lastRenderedPageBreak/>
        <w:t>another and has business ties to both is in the ambiguous situation that the temp</w:t>
      </w:r>
      <w:r w:rsidRPr="00576ED7">
        <w:rPr>
          <w:szCs w:val="24"/>
        </w:rPr>
        <w:t>o</w:t>
      </w:r>
      <w:r w:rsidRPr="00576ED7">
        <w:rPr>
          <w:szCs w:val="24"/>
        </w:rPr>
        <w:t>rary employment doctrine is designed to resolve. In such circumstances, unless his employment away from his usual home is temporary, a court can reasonably assume that the taxpayer has abandoned his business ties to that location and is left with only personal reasons for maintaining a residence there. Where only pe</w:t>
      </w:r>
      <w:r w:rsidRPr="00576ED7">
        <w:rPr>
          <w:szCs w:val="24"/>
        </w:rPr>
        <w:t>r</w:t>
      </w:r>
      <w:r w:rsidRPr="00576ED7">
        <w:rPr>
          <w:szCs w:val="24"/>
        </w:rPr>
        <w:t xml:space="preserve">sonal needs require that a travel expense be incurred, however, a taxpayer’s home is defined so as to leave the expense subject to taxation. </w:t>
      </w:r>
      <w:r w:rsidRPr="00576ED7">
        <w:rPr>
          <w:i/>
          <w:szCs w:val="24"/>
        </w:rPr>
        <w:t>See</w:t>
      </w:r>
      <w:r w:rsidRPr="00576ED7">
        <w:rPr>
          <w:szCs w:val="24"/>
        </w:rPr>
        <w:t xml:space="preserve"> </w:t>
      </w:r>
      <w:r w:rsidRPr="00576ED7">
        <w:rPr>
          <w:i/>
          <w:szCs w:val="24"/>
        </w:rPr>
        <w:t>supra</w:t>
      </w:r>
      <w:r w:rsidRPr="00576ED7">
        <w:rPr>
          <w:szCs w:val="24"/>
        </w:rPr>
        <w:t>. Thus, a ta</w:t>
      </w:r>
      <w:r w:rsidRPr="00576ED7">
        <w:rPr>
          <w:szCs w:val="24"/>
        </w:rPr>
        <w:t>x</w:t>
      </w:r>
      <w:r w:rsidRPr="00576ED7">
        <w:rPr>
          <w:szCs w:val="24"/>
        </w:rPr>
        <w:t>payer who pursues temporary employment away from the location of his usual residence, but has no business connection with that location, is not “away from home” for purposes of § 162(a)(2). [citations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this reasoning, the temporary nature of Mrs. Hantzis’ employment in New York does not affect the outcome of her case. She had no business ties to Boston that would bring her within the temporary employment doctrine. By this holding, we do not adopt a rule that “home” in § 162(a)(2) is the equivalent of a taxpayer’s place of business. Nor do we mean to imply that a taxpayer has a “home” for tax purposes only if he is already engaged in a trade or business at a particular loc</w:t>
      </w:r>
      <w:r w:rsidRPr="00576ED7">
        <w:rPr>
          <w:szCs w:val="24"/>
        </w:rPr>
        <w:t>a</w:t>
      </w:r>
      <w:r w:rsidRPr="00576ED7">
        <w:rPr>
          <w:szCs w:val="24"/>
        </w:rPr>
        <w:t xml:space="preserve">tion. Though both rules are alluringly determinate, we have already discussed why they offer inadequate expressions of the purposes behind the travel expense deduction. 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Pr="00576ED7">
        <w:rPr>
          <w:i/>
          <w:szCs w:val="24"/>
        </w:rPr>
        <w:t>Flowers</w:t>
      </w:r>
      <w:r w:rsidRPr="00576ED7">
        <w:rPr>
          <w:szCs w:val="24"/>
        </w:rPr>
        <w:t xml:space="preserve"> that “(b)usiness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 162(a)(2) for duplicative living expenses to be d</w:t>
      </w:r>
      <w:r w:rsidRPr="00576ED7">
        <w:rPr>
          <w:szCs w:val="24"/>
        </w:rPr>
        <w:t>e</w:t>
      </w:r>
      <w:r w:rsidRPr="00576ED7">
        <w:rPr>
          <w:szCs w:val="24"/>
        </w:rPr>
        <w:t>ductible.</w:t>
      </w:r>
    </w:p>
    <w:p w:rsidR="009E53FB" w:rsidRPr="00576ED7"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KEETON, District Judge, concurring in the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I agree with the result reached in the court’s opinion, and with much of its underlying analysis, I write separately because I cannot join in the court’s d</w:t>
      </w:r>
      <w:r w:rsidRPr="00576ED7">
        <w:rPr>
          <w:szCs w:val="24"/>
        </w:rPr>
        <w:t>e</w:t>
      </w:r>
      <w:r w:rsidRPr="00576ED7">
        <w:rPr>
          <w:szCs w:val="24"/>
        </w:rPr>
        <w:t xml:space="preserve">termination that New York was the taxpayer’s home for purposes of § 162(a)(2). </w:t>
      </w:r>
      <w:r w:rsidRPr="00576ED7">
        <w:rPr>
          <w:szCs w:val="24"/>
        </w:rPr>
        <w:lastRenderedPageBreak/>
        <w:t>In so holding, the court adopts a definition of “home” that differs from the ord</w:t>
      </w:r>
      <w:r w:rsidRPr="00576ED7">
        <w:rPr>
          <w:szCs w:val="24"/>
        </w:rPr>
        <w:t>i</w:t>
      </w:r>
      <w:r w:rsidRPr="00576ED7">
        <w:rPr>
          <w:szCs w:val="24"/>
        </w:rPr>
        <w:t>nary meaning of the term and therefore unduly risks causing confusion and misi</w:t>
      </w:r>
      <w:r w:rsidRPr="00576ED7">
        <w:rPr>
          <w:szCs w:val="24"/>
        </w:rPr>
        <w:t>n</w:t>
      </w:r>
      <w:r w:rsidRPr="00576ED7">
        <w:rPr>
          <w:szCs w:val="24"/>
        </w:rPr>
        <w:t>terpretation of the important principle articulated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adopting § 162(a)(2), Congress sought “to mitigate the burden of the taxpayer who, because of the exigencies of his trade or business, must maintain two places of abode and thereby incur additional and duplicate living expenses.” [citations omitted].  In the present case, the taxpayer does not contend that she maintained her residence in Boston for business reasons.  Before working in New York, she had attended school near her home in Boston, and she continued to do so after she finished her summer job. In addition, her husband lived and worked in Boston. Thus, on the facts in this case, I am in agreement with the court that the taxpayer’s deductions must be disallowed because she was not required by her trade or bus</w:t>
      </w:r>
      <w:r w:rsidRPr="00576ED7">
        <w:rPr>
          <w:szCs w:val="24"/>
        </w:rPr>
        <w:t>i</w:t>
      </w:r>
      <w:r w:rsidRPr="00576ED7">
        <w:rPr>
          <w:szCs w:val="24"/>
        </w:rPr>
        <w:t>ness to maintain both places of residence. However rather than resting its concl</w:t>
      </w:r>
      <w:r w:rsidRPr="00576ED7">
        <w:rPr>
          <w:szCs w:val="24"/>
        </w:rPr>
        <w:t>u</w:t>
      </w:r>
      <w:r w:rsidRPr="00576ED7">
        <w:rPr>
          <w:szCs w:val="24"/>
        </w:rPr>
        <w:t>sion on an interpretation of the language of § 162(a)(2) taken as a whole, which allows a deduction for ordinary and necessary expenses incurred “while away from home in the pursuit of trade or business,” the court reaches the same result by incorporating the concept of business-related residence into the definition of “home,” thereby producing sometimes, but not always, a meaning of “home” quite different from ordinary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 read the opinion as indicating that in a dual residence case, the Commissioner must determine whether the exigencies of the taxpayer’s trade or business require her to maintain both residences. If so, the Commissioner must decide that the ta</w:t>
      </w:r>
      <w:r w:rsidRPr="00576ED7">
        <w:rPr>
          <w:szCs w:val="24"/>
        </w:rPr>
        <w:t>x</w:t>
      </w:r>
      <w:r w:rsidRPr="00576ED7">
        <w:rPr>
          <w:szCs w:val="24"/>
        </w:rPr>
        <w:t>payer’s principal residence is her “home” and must conclude that expenses ass</w:t>
      </w:r>
      <w:r w:rsidRPr="00576ED7">
        <w:rPr>
          <w:szCs w:val="24"/>
        </w:rPr>
        <w:t>o</w:t>
      </w:r>
      <w:r w:rsidRPr="00576ED7">
        <w:rPr>
          <w:szCs w:val="24"/>
        </w:rPr>
        <w:t>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w:t>
      </w:r>
      <w:r w:rsidRPr="00576ED7">
        <w:rPr>
          <w:szCs w:val="24"/>
        </w:rPr>
        <w:lastRenderedPageBreak/>
        <w:t>and apply a statute in their day-to-day work, when a word is given an extraord</w:t>
      </w:r>
      <w:r w:rsidRPr="00576ED7">
        <w:rPr>
          <w:szCs w:val="24"/>
        </w:rPr>
        <w:t>i</w:t>
      </w:r>
      <w:r w:rsidRPr="00576ED7">
        <w:rPr>
          <w:szCs w:val="24"/>
        </w:rPr>
        <w:t>nary meaning that is contrary to its everyday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t>
      </w:r>
      <w:r w:rsidRPr="00576ED7">
        <w:rPr>
          <w:i/>
          <w:szCs w:val="24"/>
        </w:rPr>
        <w:t>w</w:t>
      </w:r>
      <w:r w:rsidRPr="00576ED7">
        <w:rPr>
          <w:i/>
          <w:szCs w:val="24"/>
        </w:rPr>
        <w:t>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Judge Friendly, writing for the court, rejected the Commissioner’s pr</w:t>
      </w:r>
      <w:r w:rsidRPr="00576ED7">
        <w:rPr>
          <w:szCs w:val="24"/>
        </w:rPr>
        <w:t>o</w:t>
      </w:r>
      <w:r w:rsidRPr="00576ED7">
        <w:rPr>
          <w:szCs w:val="24"/>
        </w:rPr>
        <w:t xml:space="preserve">posed definition of home as the taxpayer’s business headquarters, concluding that in § 162(a)(2) “‘home’ means ‘home.’” </w:t>
      </w:r>
      <w:r w:rsidRPr="00576ED7">
        <w:rPr>
          <w:i/>
          <w:szCs w:val="24"/>
        </w:rPr>
        <w:t>Id</w:t>
      </w:r>
      <w:r w:rsidRPr="00576ED7">
        <w:rPr>
          <w:szCs w:val="24"/>
        </w:rPr>
        <w:t>. at 912.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at 911.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analyzing dual residence cases, the court’s opinion advances compelling re</w:t>
      </w:r>
      <w:r w:rsidRPr="00576ED7">
        <w:rPr>
          <w:szCs w:val="24"/>
        </w:rPr>
        <w:t>a</w:t>
      </w:r>
      <w:r w:rsidRPr="00576ED7">
        <w:rPr>
          <w:szCs w:val="24"/>
        </w:rPr>
        <w:t>sons that the first step must be to determine whether the taxpayer has business as opposed to purely personal reasons for maintaining both residences. This must be done in order to determine whether the expenses of maintaining a second res</w:t>
      </w:r>
      <w:r w:rsidRPr="00576ED7">
        <w:rPr>
          <w:szCs w:val="24"/>
        </w:rPr>
        <w:t>i</w:t>
      </w:r>
      <w:r w:rsidRPr="00576ED7">
        <w:rPr>
          <w:szCs w:val="24"/>
        </w:rPr>
        <w:t>dence were, “necessitated by business, as opposed to personal, demands,” and were in this sense incurred by the taxpayer “while away from home in pursuit of trade or business.” Necessarily implicit in this proposition is a more limited coro</w:t>
      </w:r>
      <w:r w:rsidRPr="00576ED7">
        <w:rPr>
          <w:szCs w:val="24"/>
        </w:rPr>
        <w:t>l</w:t>
      </w:r>
      <w:r w:rsidRPr="00576ED7">
        <w:rPr>
          <w:szCs w:val="24"/>
        </w:rPr>
        <w:t>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rsidR="0049128E" w:rsidRPr="00576ED7" w:rsidRDefault="0049128E" w:rsidP="00A6585D">
      <w:pPr>
        <w:widowControl w:val="0"/>
        <w:jc w:val="both"/>
        <w:rPr>
          <w:szCs w:val="24"/>
        </w:rPr>
      </w:pPr>
    </w:p>
    <w:p w:rsidR="009E53FB" w:rsidRDefault="0049128E" w:rsidP="00A6585D">
      <w:pPr>
        <w:widowControl w:val="0"/>
        <w:jc w:val="both"/>
        <w:rPr>
          <w:szCs w:val="24"/>
        </w:rPr>
      </w:pPr>
      <w:r w:rsidRPr="00576ED7">
        <w:rPr>
          <w:szCs w:val="24"/>
        </w:rPr>
        <w:t>In the present case, although the taxpayer argues that her employment required her to reside in New York, that contention is insufficient to compel a determin</w:t>
      </w:r>
      <w:r w:rsidRPr="00576ED7">
        <w:rPr>
          <w:szCs w:val="24"/>
        </w:rPr>
        <w:t>a</w:t>
      </w:r>
      <w:r w:rsidRPr="00576ED7">
        <w:rPr>
          <w:szCs w:val="24"/>
        </w:rPr>
        <w:t>tion that it was the nature of her trade or business that required her to incur the additional expense of maintaining a second residence, the burden that § 162(a)(2) was intended to mitigate. Her expenses associated with maintaining her New York residence arose from personal interests that led her to maintain two res</w:t>
      </w:r>
      <w:r w:rsidRPr="00576ED7">
        <w:rPr>
          <w:szCs w:val="24"/>
        </w:rPr>
        <w:t>i</w:t>
      </w:r>
      <w:r w:rsidRPr="00576ED7">
        <w:rPr>
          <w:szCs w:val="24"/>
        </w:rPr>
        <w:lastRenderedPageBreak/>
        <w:t>dences rather than a single residence close to her work.</w:t>
      </w:r>
      <w:r w:rsidRPr="00576ED7">
        <w:rPr>
          <w:rStyle w:val="FootnoteReference"/>
          <w:szCs w:val="24"/>
        </w:rPr>
        <w:footnoteReference w:id="131"/>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rsidR="009E53FB"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In the contrasting case in which a taxpayer has established that both residences were maintained for business reasons, § 162(a)(2) allows the deduction of e</w:t>
      </w:r>
      <w:r w:rsidRPr="00576ED7">
        <w:rPr>
          <w:szCs w:val="24"/>
        </w:rPr>
        <w:t>x</w:t>
      </w:r>
      <w:r w:rsidRPr="00576ED7">
        <w:rPr>
          <w:szCs w:val="24"/>
        </w:rPr>
        <w:t>penses associated with travel to, and maintenance of, one of the residences if they are incurred for business reasons and that abode is not the taxpayer’s home. A common sense meaning of “home” works well to achieve the purpose of this pr</w:t>
      </w:r>
      <w:r w:rsidRPr="00576ED7">
        <w:rPr>
          <w:szCs w:val="24"/>
        </w:rPr>
        <w:t>o</w:t>
      </w:r>
      <w:r w:rsidRPr="00576ED7">
        <w:rPr>
          <w:szCs w:val="24"/>
        </w:rPr>
        <w:t>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summary, the court announces a sound principle that, in dual residence cases, deductibility of traveling expenses depends upon a showing that both residences were maintained for business reasons. If that principle is understood to be derived from the language of § 162(a)(2) taken as a whole, “home” retains operative si</w:t>
      </w:r>
      <w:r w:rsidRPr="00576ED7">
        <w:rPr>
          <w:szCs w:val="24"/>
        </w:rPr>
        <w:t>g</w:t>
      </w:r>
      <w:r w:rsidRPr="00576ED7">
        <w:rPr>
          <w:szCs w:val="24"/>
        </w:rPr>
        <w:t>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w:t>
      </w:r>
      <w:r w:rsidRPr="00576ED7">
        <w:rPr>
          <w:szCs w:val="24"/>
        </w:rPr>
        <w:t>r</w:t>
      </w:r>
      <w:r w:rsidRPr="00576ED7">
        <w:rPr>
          <w:szCs w:val="24"/>
        </w:rPr>
        <w:t>mination on the evidence before it. However, because the taxpayer had no bus</w:t>
      </w:r>
      <w:r w:rsidRPr="00576ED7">
        <w:rPr>
          <w:szCs w:val="24"/>
        </w:rPr>
        <w:t>i</w:t>
      </w:r>
      <w:r w:rsidRPr="00576ED7">
        <w:rPr>
          <w:szCs w:val="24"/>
        </w:rPr>
        <w:t>ness reason for maintaining both residences, her deduction for expenses associa</w:t>
      </w:r>
      <w:r w:rsidRPr="00576ED7">
        <w:rPr>
          <w:szCs w:val="24"/>
        </w:rPr>
        <w:t>t</w:t>
      </w:r>
      <w:r w:rsidRPr="00576ED7">
        <w:rPr>
          <w:szCs w:val="24"/>
        </w:rPr>
        <w:t>ed with maintaining a second residence closer than her principal residence to her place of employment must be disallowed without regard to which of her two res</w:t>
      </w:r>
      <w:r w:rsidRPr="00576ED7">
        <w:rPr>
          <w:szCs w:val="24"/>
        </w:rPr>
        <w:t>i</w:t>
      </w:r>
      <w:r w:rsidRPr="00576ED7">
        <w:rPr>
          <w:szCs w:val="24"/>
        </w:rPr>
        <w:t>dences was her “home” under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Obviously, the meaning of “home” is not to be determined by the ordinary use of the term.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Does the court’s opinion conflate the second and third requirements of </w:t>
      </w:r>
      <w:r w:rsidRPr="00576ED7">
        <w:rPr>
          <w:i/>
          <w:szCs w:val="24"/>
        </w:rPr>
        <w:t>Flo</w:t>
      </w:r>
      <w:r w:rsidRPr="00576ED7">
        <w:rPr>
          <w:i/>
          <w:szCs w:val="24"/>
        </w:rPr>
        <w:t>w</w:t>
      </w:r>
      <w:r w:rsidRPr="00576ED7">
        <w:rPr>
          <w:i/>
          <w:szCs w:val="24"/>
        </w:rPr>
        <w:t>ers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On which of the </w:t>
      </w:r>
      <w:r w:rsidRPr="00576ED7">
        <w:rPr>
          <w:i/>
          <w:szCs w:val="24"/>
        </w:rPr>
        <w:t>Flowers</w:t>
      </w:r>
      <w:r w:rsidRPr="00576ED7">
        <w:rPr>
          <w:szCs w:val="24"/>
        </w:rPr>
        <w:t xml:space="preserve"> requirements does Judge Keeton rely to deny taxpa</w:t>
      </w:r>
      <w:r w:rsidRPr="00576ED7">
        <w:rPr>
          <w:szCs w:val="24"/>
        </w:rPr>
        <w:t>y</w:t>
      </w:r>
      <w:r w:rsidRPr="00576ED7">
        <w:rPr>
          <w:szCs w:val="24"/>
        </w:rPr>
        <w:t>ers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owned and operated a very successful swimming pool construction business in Lynnfield, Massachusetts.  He also owned and operated a very su</w:t>
      </w:r>
      <w:r w:rsidRPr="00576ED7">
        <w:rPr>
          <w:szCs w:val="24"/>
        </w:rPr>
        <w:t>c</w:t>
      </w:r>
      <w:r w:rsidRPr="00576ED7">
        <w:rPr>
          <w:szCs w:val="24"/>
        </w:rPr>
        <w:t>cessful horse breeding and racing business in Lighthouse Point, Florida. From November through April, he resided in Florida.  From May through October, he resided in Massachusetts.  Taxpayer owned a home in both Florida and Mass</w:t>
      </w:r>
      <w:r w:rsidRPr="00576ED7">
        <w:rPr>
          <w:szCs w:val="24"/>
        </w:rPr>
        <w:t>a</w:t>
      </w:r>
      <w:r w:rsidRPr="00576ED7">
        <w:rPr>
          <w:szCs w:val="24"/>
        </w:rPr>
        <w:t>chusetts and traveled between them in order to tend to his businesses.</w:t>
      </w:r>
    </w:p>
    <w:p w:rsidR="0049128E" w:rsidRPr="00576ED7" w:rsidRDefault="0049128E" w:rsidP="00A6585D">
      <w:pPr>
        <w:widowControl w:val="0"/>
        <w:ind w:left="720"/>
        <w:jc w:val="both"/>
        <w:rPr>
          <w:szCs w:val="24"/>
        </w:rPr>
      </w:pPr>
      <w:r w:rsidRPr="00576ED7">
        <w:rPr>
          <w:szCs w:val="24"/>
        </w:rPr>
        <w:t>•Does Taxpayer have two tax homes so that he may deduct the travel e</w:t>
      </w:r>
      <w:r w:rsidRPr="00576ED7">
        <w:rPr>
          <w:szCs w:val="24"/>
        </w:rPr>
        <w:t>x</w:t>
      </w:r>
      <w:r w:rsidRPr="00576ED7">
        <w:rPr>
          <w:szCs w:val="24"/>
        </w:rPr>
        <w:t>penses associated with neither of them?</w:t>
      </w:r>
    </w:p>
    <w:p w:rsidR="0049128E" w:rsidRPr="00576ED7" w:rsidRDefault="0049128E" w:rsidP="00A6585D">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w:t>
      </w:r>
      <w:r w:rsidRPr="00576ED7">
        <w:rPr>
          <w:szCs w:val="24"/>
        </w:rPr>
        <w:t>s</w:t>
      </w:r>
      <w:r w:rsidRPr="00576ED7">
        <w:rPr>
          <w:szCs w:val="24"/>
        </w:rPr>
        <w:t>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w:t>
      </w:r>
      <w:r w:rsidR="00DA14FB" w:rsidRPr="00576ED7">
        <w:rPr>
          <w:szCs w:val="24"/>
        </w:rPr>
        <w:t>1</w:t>
      </w:r>
      <w:r w:rsidR="00DA14FB" w:rsidRPr="00576ED7">
        <w:rPr>
          <w:szCs w:val="24"/>
          <w:vertAlign w:val="superscript"/>
        </w:rPr>
        <w:t>St</w:t>
      </w:r>
      <w:r w:rsidR="00DA14FB" w:rsidRPr="00576ED7">
        <w:rPr>
          <w:szCs w:val="24"/>
        </w:rPr>
        <w:t xml:space="preserve"> Cir. </w:t>
      </w:r>
      <w:r w:rsidRPr="00576ED7">
        <w:rPr>
          <w:szCs w:val="24"/>
        </w:rPr>
        <w:t>1991) (“major” post of duty; “minor” post of duty).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rsidR="0049128E" w:rsidRPr="00576ED7" w:rsidRDefault="0049128E" w:rsidP="00A6585D">
      <w:pPr>
        <w:widowControl w:val="0"/>
        <w:ind w:left="720"/>
        <w:jc w:val="both"/>
        <w:rPr>
          <w:szCs w:val="24"/>
        </w:rPr>
      </w:pPr>
      <w:r w:rsidRPr="00576ED7">
        <w:rPr>
          <w:szCs w:val="24"/>
        </w:rPr>
        <w:t>•May either Mr. or Mrs. Chwalow deduct meal and lodging expenses as “travel expenses” under § 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w:t>
      </w:r>
      <w:r w:rsidR="00DA14FB" w:rsidRPr="00576ED7">
        <w:rPr>
          <w:szCs w:val="24"/>
        </w:rPr>
        <w:t>3</w:t>
      </w:r>
      <w:r w:rsidR="00DA14FB" w:rsidRPr="00576ED7">
        <w:rPr>
          <w:szCs w:val="24"/>
          <w:vertAlign w:val="superscript"/>
        </w:rPr>
        <w:t>rd</w:t>
      </w:r>
      <w:r w:rsidR="00DA14FB" w:rsidRPr="00576ED7">
        <w:rPr>
          <w:szCs w:val="24"/>
        </w:rPr>
        <w:t xml:space="preserve"> Cir. </w:t>
      </w:r>
      <w:r w:rsidRPr="00576ED7">
        <w:rPr>
          <w:szCs w:val="24"/>
        </w:rPr>
        <w:t>1972).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Dews was a coach on the staff of the Atlanta Braves baseball team.  He and his wife lived in Albany, Georgia.  In the course of over 20 years in pr</w:t>
      </w:r>
      <w:r w:rsidRPr="00576ED7">
        <w:rPr>
          <w:szCs w:val="24"/>
        </w:rPr>
        <w:t>o</w:t>
      </w:r>
      <w:r w:rsidRPr="00576ED7">
        <w:rPr>
          <w:szCs w:val="24"/>
        </w:rPr>
        <w:t>fessional baseball, Dews had 37 different assignments, including as a manager of farm teams in the Atlanta organization.  During one 4-year period, he was a coach for the Atlanta team.  He maintained an apartment in Atlanta.</w:t>
      </w:r>
    </w:p>
    <w:p w:rsidR="0049128E" w:rsidRPr="00576ED7" w:rsidRDefault="0049128E" w:rsidP="00A6585D">
      <w:pPr>
        <w:widowControl w:val="0"/>
        <w:ind w:left="720"/>
        <w:jc w:val="both"/>
        <w:rPr>
          <w:szCs w:val="24"/>
        </w:rPr>
      </w:pPr>
      <w:r w:rsidRPr="00576ED7">
        <w:rPr>
          <w:szCs w:val="24"/>
        </w:rPr>
        <w:t>•May Dews deduct the expenses of traveling between Albany and Atlanta? May he deduct the expenses of living in Atlanta?</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Read the second sentence of the carryout paragraph that ends § 162(a).  It r</w:t>
      </w:r>
      <w:r w:rsidRPr="00576ED7">
        <w:rPr>
          <w:szCs w:val="24"/>
        </w:rPr>
        <w:t>e</w:t>
      </w:r>
      <w:r w:rsidRPr="00576ED7">
        <w:rPr>
          <w:szCs w:val="24"/>
        </w:rPr>
        <w:t xml:space="preserve">fers to § 162(a)(2).  Also read § 274(m)(3).  Then do the following CALI </w:t>
      </w:r>
      <w:r w:rsidR="0093600D" w:rsidRPr="00576ED7">
        <w:rPr>
          <w:szCs w:val="24"/>
        </w:rPr>
        <w:t>Lesson</w:t>
      </w:r>
      <w:r w:rsidRPr="00576ED7">
        <w:rPr>
          <w:szCs w:val="24"/>
        </w:rPr>
        <w:t xml:space="preserve">: </w:t>
      </w:r>
      <w:r w:rsidRPr="00576ED7">
        <w:rPr>
          <w:i/>
          <w:szCs w:val="24"/>
        </w:rPr>
        <w:t>Basic Federal Income Taxation: Deductions: Traveling Expenses</w:t>
      </w:r>
      <w:r w:rsidRPr="00576ED7">
        <w:rPr>
          <w:szCs w:val="24"/>
        </w:rPr>
        <w:t>.</w:t>
      </w:r>
    </w:p>
    <w:p w:rsidR="0049128E" w:rsidRPr="00576ED7" w:rsidRDefault="00C007EA" w:rsidP="00A6585D">
      <w:pPr>
        <w:widowControl w:val="0"/>
        <w:jc w:val="both"/>
        <w:rPr>
          <w:szCs w:val="24"/>
        </w:rPr>
      </w:pPr>
      <w:r w:rsidRPr="00576ED7">
        <w:rPr>
          <w:noProof/>
          <w:szCs w:val="24"/>
        </w:rPr>
        <w:drawing>
          <wp:inline distT="0" distB="0" distL="0" distR="0" wp14:anchorId="02B850F0" wp14:editId="7405ACF3">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162(a)(1).  How would you determine the reasonableness of salaries? What constraints exist outside of the Code that prevent payment of excessive sal</w:t>
      </w:r>
      <w:r w:rsidRPr="00576ED7">
        <w:rPr>
          <w:szCs w:val="24"/>
        </w:rPr>
        <w:t>a</w:t>
      </w:r>
      <w:r w:rsidRPr="00576ED7">
        <w:rPr>
          <w:szCs w:val="24"/>
        </w:rPr>
        <w:t>ries or other compensation? What conditions make it more (or less) likely that a taxpayer is paying a greater-than-reasonable salary?</w:t>
      </w:r>
    </w:p>
    <w:p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  Hence, both the recipient of the salary and the employer would pay tax on the amount paid in salary that the emplo</w:t>
      </w:r>
      <w:r w:rsidRPr="00576ED7">
        <w:rPr>
          <w:szCs w:val="24"/>
        </w:rPr>
        <w:t>y</w:t>
      </w:r>
      <w:r w:rsidRPr="00576ED7">
        <w:rPr>
          <w:szCs w:val="24"/>
        </w:rPr>
        <w:t>er may not deduct.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POSNER,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appeal from a judgment by the Tax Court, requires us to interpret and apply § 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w:t>
      </w:r>
      <w:r w:rsidRPr="00576ED7">
        <w:rPr>
          <w:szCs w:val="24"/>
        </w:rPr>
        <w:t>e</w:t>
      </w:r>
      <w:r w:rsidRPr="00576ED7">
        <w:rPr>
          <w:szCs w:val="24"/>
        </w:rPr>
        <w:t>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w:t>
      </w:r>
      <w:r w:rsidRPr="00576ED7">
        <w:rPr>
          <w:szCs w:val="24"/>
        </w:rPr>
        <w:t>m</w:t>
      </w:r>
      <w:r w:rsidRPr="00576ED7">
        <w:rPr>
          <w:szCs w:val="24"/>
        </w:rPr>
        <w:t>pensation for Heitz would have been $900,000 in the earlier year and $700,000 in the later one – figures roughly midway between his actual compensation and the IRS’s determination – and Exacto has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reaching its conclusion, the Tax Court applied a test that requires the consider</w:t>
      </w:r>
      <w:r w:rsidRPr="00576ED7">
        <w:rPr>
          <w:szCs w:val="24"/>
        </w:rPr>
        <w:t>a</w:t>
      </w:r>
      <w:r w:rsidRPr="00576ED7">
        <w:rPr>
          <w:szCs w:val="24"/>
        </w:rPr>
        <w:t xml:space="preserve">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w:t>
      </w:r>
      <w:r w:rsidRPr="00576ED7">
        <w:rPr>
          <w:i/>
          <w:szCs w:val="24"/>
        </w:rPr>
        <w:t>s</w:t>
      </w:r>
      <w:r w:rsidRPr="00576ED7">
        <w:rPr>
          <w:i/>
          <w:szCs w:val="24"/>
        </w:rPr>
        <w:t>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w:t>
      </w:r>
      <w:r w:rsidRPr="00576ED7">
        <w:rPr>
          <w:szCs w:val="24"/>
        </w:rPr>
        <w:t>c</w:t>
      </w:r>
      <w:r w:rsidRPr="00576ED7">
        <w:rPr>
          <w:szCs w:val="24"/>
        </w:rPr>
        <w:t>tors, such as the type and extent of services rendered, the scarcity of qualified e</w:t>
      </w:r>
      <w:r w:rsidRPr="00576ED7">
        <w:rPr>
          <w:szCs w:val="24"/>
        </w:rPr>
        <w:t>m</w:t>
      </w:r>
      <w:r w:rsidRPr="00576ED7">
        <w:rPr>
          <w:szCs w:val="24"/>
        </w:rPr>
        <w:t>ployees, and the peculiar characteristics of the employer’s business, are vague.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Second, the factors do not bear a clear relation either to each other or to the pr</w:t>
      </w:r>
      <w:r w:rsidRPr="00576ED7">
        <w:rPr>
          <w:szCs w:val="24"/>
        </w:rPr>
        <w:t>i</w:t>
      </w:r>
      <w:r w:rsidRPr="00576ED7">
        <w:rPr>
          <w:szCs w:val="24"/>
        </w:rPr>
        <w:t xml:space="preserve">mary purpose of § 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85 F.3d 950, 954 n. 2 (2d Cir.1996). Suppose that an employee who let us say was, like Heitz, a founder and the chief executive officer and principal owner of the taxpayer rendered no se</w:t>
      </w:r>
      <w:r w:rsidRPr="00576ED7">
        <w:rPr>
          <w:szCs w:val="24"/>
        </w:rPr>
        <w:t>r</w:t>
      </w:r>
      <w:r w:rsidRPr="00576ED7">
        <w:rPr>
          <w:szCs w:val="24"/>
        </w:rPr>
        <w:t xml:space="preserve">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w:t>
      </w:r>
      <w:r w:rsidRPr="00576ED7">
        <w:rPr>
          <w:szCs w:val="24"/>
        </w:rPr>
        <w:lastRenderedPageBreak/>
        <w:t xml:space="preserve">Reg. § 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0768" behindDoc="0" locked="0" layoutInCell="0" allowOverlap="1" wp14:anchorId="18C8D51A" wp14:editId="6BA4035C">
                <wp:simplePos x="0" y="0"/>
                <wp:positionH relativeFrom="margin">
                  <wp:posOffset>2058670</wp:posOffset>
                </wp:positionH>
                <wp:positionV relativeFrom="paragraph">
                  <wp:posOffset>635</wp:posOffset>
                </wp:positionV>
                <wp:extent cx="2971800" cy="518160"/>
                <wp:effectExtent l="0" t="0" r="0" b="0"/>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8160"/>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left:0;text-align:left;margin-left:162.1pt;margin-top:.05pt;width:234pt;height:40.8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TKgIAAFsEAAAOAAAAZHJzL2Uyb0RvYy54bWysVNtu2zAMfR+wfxD0vtgO1rQ14hRdugwD&#10;ugvQ7gNoWY6FyaImKbGzrx8lp2nQbS/D/CCQEnVEnkN6eTP2mu2l8wpNxYtZzpk0AhtlthX/9rh5&#10;c8WZD2Aa0GhkxQ/S85vV61fLwZZyjh3qRjpGIMaXg614F4Its8yLTvbgZ2ilocMWXQ+BXLfNGgcD&#10;ofc6m+f5IhvQNdahkN7T7t10yFcJv22lCF/a1svAdMUpt5BWl9Y6rtlqCeXWge2UOKYB/5BFD8rQ&#10;oyeoOwjAdk79BtUr4dBjG2YC+wzbVgmZaqBqivxFNQ8dWJlqIXK8PdHk/x+s+Lz/6phqKn6x4MxA&#10;Txo9yjGwdziyxdvIz2B9SWEPlgLDSPukc6rV23sU3z0zuO7AbOWtczh0EhrKr4g3s7OrE46PIPXw&#10;CRt6B3YBE9DYuj6SR3QwQiedDidtYi6CNufXl8VVTkeCzi6Kq2KRxMugfLptnQ8fJPYsGhV3pH1C&#10;h/29DzEbKJ9C4mMetWo2SuvkuG291o7tgfpkk75UwIswbdhAtc2L6/nEwF8x8vT9CaNXgTpeq77i&#10;VA99MQjKyNt70yQ7gNKTTTlrcyQycjexGMZ6TJpNHESWa2wORK3DqcNpIsno0P3kbKDurrj/sQMn&#10;OdMfDclzuaDhoXE4d9y5U587YARBVTxwNpnrMI3Qzjq17eilqSEM3pKkrUpsP2d1zJ86OIlwnLY4&#10;Iud+inr+J6x+AQAA//8DAFBLAwQUAAYACAAAACEA9EUwe9kAAAAHAQAADwAAAGRycy9kb3ducmV2&#10;LnhtbEyOwU7DMBBE70j8g7VI3KhTg2gJcSoUiXsTQHB04yWOiNchdpvw92xPcBy90cwrdosfxAmn&#10;2AfSsF5lIJDaYHvqNLy+PN9sQcRkyJohEGr4wQi78vKiMLkNM9V4alIneIRibjS4lMZcytg69Cau&#10;wojE7DNM3iSOUyftZGYe94NUWXYvvemJH5wZsXLYfjVHryHUdfWmmu/9ezXbqpv3Sxo/nNbXV8vT&#10;I4iES/orw1mf1aFkp0M4ko1i0HCr7hRXz0Aw3jwojgcN2/UGZFnI//7lLwAAAP//AwBQSwECLQAU&#10;AAYACAAAACEAtoM4kv4AAADhAQAAEwAAAAAAAAAAAAAAAAAAAAAAW0NvbnRlbnRfVHlwZXNdLnht&#10;bFBLAQItABQABgAIAAAAIQA4/SH/1gAAAJQBAAALAAAAAAAAAAAAAAAAAC8BAABfcmVscy8ucmVs&#10;c1BLAQItABQABgAIAAAAIQA/6QnTKgIAAFsEAAAOAAAAAAAAAAAAAAAAAC4CAABkcnMvZTJvRG9j&#10;LnhtbFBLAQItABQABgAIAAAAIQD0RTB72QAAAAcBAAAPAAAAAAAAAAAAAAAAAIQEAABkcnMvZG93&#10;bnJldi54bWxQSwUGAAAAAAQABADzAAAAigUAAAAA&#10;" o:allowincell="f" strokeweight=".96pt">
                <v:textbox inset="6pt,6pt,6pt,6pt">
                  <w:txbxContent>
                    <w:p w:rsidR="00FF5E72" w:rsidRDefault="00FF5E72" w:rsidP="00562CED">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r w:rsidR="0049128E" w:rsidRPr="00576ED7">
        <w:rPr>
          <w:szCs w:val="24"/>
        </w:rPr>
        <w:t>Third, the seven-factor test invites the Tax Court to set itself up as a superperso</w:t>
      </w:r>
      <w:r w:rsidR="0049128E" w:rsidRPr="00576ED7">
        <w:rPr>
          <w:szCs w:val="24"/>
        </w:rPr>
        <w:t>n</w:t>
      </w:r>
      <w:r w:rsidR="0049128E" w:rsidRPr="00576ED7">
        <w:rPr>
          <w:szCs w:val="24"/>
        </w:rPr>
        <w:t xml:space="preserve">nel department for closely held corporations, a role unsuitable for courts, as we have repeatedly noted in the Title VII context, e.g., </w:t>
      </w:r>
      <w:r w:rsidR="0049128E" w:rsidRPr="00576ED7">
        <w:rPr>
          <w:i/>
          <w:szCs w:val="24"/>
        </w:rPr>
        <w:t>Jackson v. E.J. Brach Corp</w:t>
      </w:r>
      <w:r w:rsidR="0049128E" w:rsidRPr="00576ED7">
        <w:rPr>
          <w:szCs w:val="24"/>
        </w:rPr>
        <w:t>., 176 F.3d 971, 984 (7th Cir.</w:t>
      </w:r>
      <w:r w:rsidR="00DA14FB" w:rsidRPr="00576ED7">
        <w:rPr>
          <w:szCs w:val="24"/>
        </w:rPr>
        <w:t xml:space="preserve"> </w:t>
      </w:r>
      <w:r w:rsidR="0049128E" w:rsidRPr="00576ED7">
        <w:rPr>
          <w:szCs w:val="24"/>
        </w:rPr>
        <w:t xml:space="preserve">1999), and as the Delaware Chancery Court has noted in the more germane context of derivative suits alleging excessive compensation of corporate employees. </w:t>
      </w:r>
      <w:r w:rsidR="0049128E" w:rsidRPr="00576ED7">
        <w:rPr>
          <w:i/>
          <w:szCs w:val="24"/>
        </w:rPr>
        <w:t>Gagliardi v. TriFoods Int’l, Inc</w:t>
      </w:r>
      <w:r w:rsidR="0049128E" w:rsidRPr="00576ED7">
        <w:rPr>
          <w:szCs w:val="24"/>
        </w:rPr>
        <w:t>., 683 A.2d 1049, 1051 (Del. Ch.</w:t>
      </w:r>
      <w:r w:rsidR="00DA14FB" w:rsidRPr="00576ED7">
        <w:rPr>
          <w:szCs w:val="24"/>
        </w:rPr>
        <w:t xml:space="preserve"> </w:t>
      </w:r>
      <w:r w:rsidR="0049128E" w:rsidRPr="00576ED7">
        <w:rPr>
          <w:szCs w:val="24"/>
        </w:rPr>
        <w:t xml:space="preserve">1996). The test – the irruption of “comparable worth” thinking (see, e.g., </w:t>
      </w:r>
      <w:r w:rsidR="0049128E" w:rsidRPr="00576ED7">
        <w:rPr>
          <w:i/>
          <w:szCs w:val="24"/>
        </w:rPr>
        <w:t>American Nurses’ Ass’n v. Illinois</w:t>
      </w:r>
      <w:r w:rsidR="0049128E" w:rsidRPr="00576ED7">
        <w:rPr>
          <w:szCs w:val="24"/>
        </w:rPr>
        <w:t>, 783 F.2d 716 (7th Cir.</w:t>
      </w:r>
      <w:r w:rsidR="00DA14FB" w:rsidRPr="00576ED7">
        <w:rPr>
          <w:szCs w:val="24"/>
        </w:rPr>
        <w:t xml:space="preserve"> </w:t>
      </w:r>
      <w:r w:rsidR="0049128E" w:rsidRPr="00576ED7">
        <w:rPr>
          <w:szCs w:val="24"/>
        </w:rPr>
        <w:t>1986)) in a new context – invites the court to d</w:t>
      </w:r>
      <w:r w:rsidR="0049128E" w:rsidRPr="00576ED7">
        <w:rPr>
          <w:szCs w:val="24"/>
        </w:rPr>
        <w:t>e</w:t>
      </w:r>
      <w:r w:rsidR="0049128E" w:rsidRPr="00576ED7">
        <w:rPr>
          <w:szCs w:val="24"/>
        </w:rPr>
        <w:t>cide what the taxpayer’s employees should be paid on the basis of the judges’ own ideas of what jobs are comparable, what relation an employee’s salary should bear to the corporation’s net earnings, what types of business should pay abno</w:t>
      </w:r>
      <w:r w:rsidR="0049128E" w:rsidRPr="00576ED7">
        <w:rPr>
          <w:szCs w:val="24"/>
        </w:rPr>
        <w:t>r</w:t>
      </w:r>
      <w:r w:rsidR="0049128E" w:rsidRPr="00576ED7">
        <w:rPr>
          <w:szCs w:val="24"/>
        </w:rPr>
        <w:t>mally high (or low) salaries, and so forth. The judges of the Tax Court are not equipped by training or experience to determine the salaries of corporate officers; no judges 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Fifth, because the reaction of the Tax Court to a challenge to the deduction of e</w:t>
      </w:r>
      <w:r w:rsidRPr="00576ED7">
        <w:rPr>
          <w:szCs w:val="24"/>
        </w:rPr>
        <w:t>x</w:t>
      </w:r>
      <w:r w:rsidRPr="00576ED7">
        <w:rPr>
          <w:szCs w:val="24"/>
        </w:rPr>
        <w:t>ecutive compensation is unpredictable, corporations run unavoidable legal risks in determining a level of compensation that may be indispensable to the success of their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drawbacks of the multi-factor test are well illustrated by its purported appl</w:t>
      </w:r>
      <w:r w:rsidRPr="00576ED7">
        <w:rPr>
          <w:szCs w:val="24"/>
        </w:rPr>
        <w:t>i</w:t>
      </w:r>
      <w:r w:rsidRPr="00576ED7">
        <w:rPr>
          <w:szCs w:val="24"/>
        </w:rPr>
        <w:t>cation by the Tax Court in this case. With regard to factor (1), the court found that Heitz was “indispensable to Exacto’s business” and “essential to Exacto’s su</w:t>
      </w:r>
      <w:r w:rsidRPr="00576ED7">
        <w:rPr>
          <w:szCs w:val="24"/>
        </w:rPr>
        <w:t>c</w:t>
      </w:r>
      <w:r w:rsidRPr="00576ED7">
        <w:rPr>
          <w:szCs w:val="24"/>
        </w:rPr>
        <w:t xml:space="preserve">cess.”  Heitz is not only Exacto’s CEO; he is also the company’s chief salesman and marketing man plus the head of its research and development efforts and its principal inventor. The company’s entire success appears to be due on the one </w:t>
      </w:r>
      <w:r w:rsidRPr="00576ED7">
        <w:rPr>
          <w:szCs w:val="24"/>
        </w:rPr>
        <w:lastRenderedPageBreak/>
        <w:t>hand to the research and development conducted by him and on the other hand to his marketing of these innovations (though he receives some additional compe</w:t>
      </w:r>
      <w:r w:rsidRPr="00576ED7">
        <w:rPr>
          <w:szCs w:val="24"/>
        </w:rPr>
        <w:t>n</w:t>
      </w:r>
      <w:r w:rsidRPr="00576ED7">
        <w:rPr>
          <w:szCs w:val="24"/>
        </w:rPr>
        <w:t>sation for his marketing efforts from a subsidiary of Exacto). The court decided that factor (1) favored Exacto.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w:t>
      </w:r>
      <w:r w:rsidRPr="00576ED7">
        <w:rPr>
          <w:szCs w:val="24"/>
        </w:rPr>
        <w:t>n</w:t>
      </w:r>
      <w:r w:rsidRPr="00576ED7">
        <w:rPr>
          <w:szCs w:val="24"/>
        </w:rPr>
        <w:t>gineering, and there are very few engineers who have made careers specializing in this area,” let alone engineers like Heitz who have “the ability to identify and a</w:t>
      </w:r>
      <w:r w:rsidRPr="00576ED7">
        <w:rPr>
          <w:szCs w:val="24"/>
        </w:rPr>
        <w:t>t</w:t>
      </w:r>
      <w:r w:rsidRPr="00576ED7">
        <w:rPr>
          <w:szCs w:val="24"/>
        </w:rPr>
        <w:t>tract clients and to develop springs to perform a specific function for that client.... It would have been very difficult to replace Mr. Heitz.”  Notice how factors (1) and (2) turn out to be nearly identical.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Factors (3) and (4) also supported Exacto, the court found. “Mr Heitz is highly qualified to run Exacto as a result of his education, training, experience, and m</w:t>
      </w:r>
      <w:r w:rsidRPr="00576ED7">
        <w:rPr>
          <w:szCs w:val="24"/>
        </w:rPr>
        <w:t>o</w:t>
      </w:r>
      <w:r w:rsidRPr="00576ED7">
        <w:rPr>
          <w:szCs w:val="24"/>
        </w:rPr>
        <w:t>tivation. Mr. Heitz has over 40 years of highly successful experience in the field of spring design.”  And his “efforts were of great value to the corporation.”  So factor (4) duplicated (2), and so the first four factors turn out to be really only two.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w:t>
      </w:r>
      <w:r w:rsidRPr="00576ED7">
        <w:rPr>
          <w:szCs w:val="24"/>
        </w:rPr>
        <w:t>a</w:t>
      </w:r>
      <w:r w:rsidRPr="00576ED7">
        <w:rPr>
          <w:szCs w:val="24"/>
        </w:rPr>
        <w:t>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The court was noncommital with regard to the sixth factor – earnings of compar</w:t>
      </w:r>
      <w:r w:rsidRPr="00576ED7">
        <w:rPr>
          <w:szCs w:val="24"/>
        </w:rPr>
        <w:t>a</w:t>
      </w:r>
      <w:r w:rsidRPr="00576ED7">
        <w:rPr>
          <w:szCs w:val="24"/>
        </w:rPr>
        <w:t>ble employees – as well. The evidence bearing on this factor had been presented by expert witnesses, one on each side, and the court was critical of both. The ta</w:t>
      </w:r>
      <w:r w:rsidRPr="00576ED7">
        <w:rPr>
          <w:szCs w:val="24"/>
        </w:rPr>
        <w:t>x</w:t>
      </w:r>
      <w:r w:rsidRPr="00576ED7">
        <w:rPr>
          <w:szCs w:val="24"/>
        </w:rPr>
        <w:t>payer’s witness had arrived at his estimate of Heitz’s maximum reasonable co</w:t>
      </w:r>
      <w:r w:rsidRPr="00576ED7">
        <w:rPr>
          <w:szCs w:val="24"/>
        </w:rPr>
        <w:t>m</w:t>
      </w:r>
      <w:r w:rsidRPr="00576ED7">
        <w:rPr>
          <w:szCs w:val="24"/>
        </w:rPr>
        <w:t xml:space="preserve">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w:t>
      </w:r>
      <w:r w:rsidRPr="00576ED7">
        <w:rPr>
          <w:i/>
          <w:szCs w:val="24"/>
        </w:rPr>
        <w:t>s</w:t>
      </w:r>
      <w:r w:rsidRPr="00576ED7">
        <w:rPr>
          <w:i/>
          <w:szCs w:val="24"/>
        </w:rPr>
        <w:t>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w:t>
      </w:r>
      <w:r w:rsidRPr="00576ED7">
        <w:rPr>
          <w:szCs w:val="24"/>
        </w:rPr>
        <w:t>y</w:t>
      </w:r>
      <w:r w:rsidRPr="00576ED7">
        <w:rPr>
          <w:szCs w:val="24"/>
        </w:rPr>
        <w:lastRenderedPageBreak/>
        <w:t>ees each working full time at one of those jobs. It is therefore arbitrary to multiply the normal full-time salary for one of the jobs by four to compute the reasonable compensation of the employee who fills all four of them. Anyway salaries are d</w:t>
      </w:r>
      <w:r w:rsidRPr="00576ED7">
        <w:rPr>
          <w:szCs w:val="24"/>
        </w:rPr>
        <w:t>e</w:t>
      </w:r>
      <w:r w:rsidRPr="00576ED7">
        <w:rPr>
          <w:szCs w:val="24"/>
        </w:rPr>
        <w:t>termined not by the method of comparable worth but, like other prices, by the market, which is to say by conditions of demand and supply. Especially in the short run, salaries may vary by more than any difference in the “objective” cha</w:t>
      </w:r>
      <w:r w:rsidRPr="00576ED7">
        <w:rPr>
          <w:szCs w:val="24"/>
        </w:rPr>
        <w:t>r</w:t>
      </w:r>
      <w:r w:rsidRPr="00576ED7">
        <w:rPr>
          <w:szCs w:val="24"/>
        </w:rPr>
        <w:t>acteristics of jobs. An individual who has valuable skills that are in particularly short supply at the moment may command a higher salary than a more versatile, better-trained, and more loyal employee whose skills are, however, less scarce.</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w:t>
      </w:r>
      <w:r w:rsidRPr="00576ED7">
        <w:rPr>
          <w:szCs w:val="24"/>
        </w:rPr>
        <w:t>a</w:t>
      </w:r>
      <w:r w:rsidRPr="00576ED7">
        <w:rPr>
          <w:szCs w:val="24"/>
        </w:rPr>
        <w:t>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w:t>
      </w:r>
      <w:r w:rsidRPr="00576ED7">
        <w:rPr>
          <w:szCs w:val="24"/>
        </w:rPr>
        <w:t>u</w:t>
      </w:r>
      <w:r w:rsidRPr="00576ED7">
        <w:rPr>
          <w:szCs w:val="24"/>
        </w:rPr>
        <w:t>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w:t>
      </w:r>
      <w:r w:rsidRPr="00576ED7">
        <w:rPr>
          <w:szCs w:val="24"/>
        </w:rPr>
        <w:t>r</w:t>
      </w:r>
      <w:r w:rsidRPr="00576ED7">
        <w:rPr>
          <w:szCs w:val="24"/>
        </w:rPr>
        <w:t>spective is the proper one, as the government contends, it favors the corporation if when it fixed Heitz’s salary it thought there was more money in the till for the i</w:t>
      </w:r>
      <w:r w:rsidRPr="00576ED7">
        <w:rPr>
          <w:szCs w:val="24"/>
        </w:rPr>
        <w:t>n</w:t>
      </w:r>
      <w:r w:rsidRPr="00576ED7">
        <w:rPr>
          <w:szCs w:val="24"/>
        </w:rPr>
        <w:t>vestors than has turned out to be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puzzling is how disallowing deductions and thus increasing the taxpa</w:t>
      </w:r>
      <w:r w:rsidRPr="00576ED7">
        <w:rPr>
          <w:szCs w:val="24"/>
        </w:rPr>
        <w:t>y</w:t>
      </w:r>
      <w:r w:rsidRPr="00576ED7">
        <w:rPr>
          <w:szCs w:val="24"/>
        </w:rPr>
        <w:t>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w:t>
      </w:r>
      <w:r w:rsidRPr="00576ED7">
        <w:rPr>
          <w:szCs w:val="24"/>
        </w:rPr>
        <w:t>e</w:t>
      </w:r>
      <w:r w:rsidRPr="00576ED7">
        <w:rPr>
          <w:szCs w:val="24"/>
        </w:rPr>
        <w:t>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w:t>
      </w:r>
      <w:r w:rsidRPr="00576ED7">
        <w:rPr>
          <w:szCs w:val="24"/>
        </w:rPr>
        <w:t>p</w:t>
      </w:r>
      <w:r w:rsidRPr="00576ED7">
        <w:rPr>
          <w:szCs w:val="24"/>
        </w:rPr>
        <w:lastRenderedPageBreak/>
        <w:t>proach is inconsistent with a realistic assessment of the investors’ rate of return, but as no one in the case questions it we shall not make an issue of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w:t>
      </w:r>
      <w:r w:rsidRPr="00576ED7">
        <w:rPr>
          <w:szCs w:val="24"/>
        </w:rPr>
        <w:t>a</w:t>
      </w:r>
      <w:r w:rsidRPr="00576ED7">
        <w:rPr>
          <w:szCs w:val="24"/>
        </w:rPr>
        <w:t>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w:t>
      </w:r>
      <w:r w:rsidRPr="00576ED7">
        <w:rPr>
          <w:szCs w:val="24"/>
        </w:rPr>
        <w:t>u</w:t>
      </w:r>
      <w:r w:rsidRPr="00576ED7">
        <w:rPr>
          <w:szCs w:val="24"/>
        </w:rPr>
        <w:t>ence his salary, the corporation’s two other major shareholders, each with 20% of the stock, had approved it. They had not themselves been paid a salary or other compensation, and are not relatives of Heitz; they had no financial or other ince</w:t>
      </w:r>
      <w:r w:rsidRPr="00576ED7">
        <w:rPr>
          <w:szCs w:val="24"/>
        </w:rPr>
        <w:t>n</w:t>
      </w:r>
      <w:r w:rsidRPr="00576ED7">
        <w:rPr>
          <w:szCs w:val="24"/>
        </w:rPr>
        <w:t>tive to allow Heitz to siphon off dividends in the form of salary.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w:t>
      </w:r>
      <w:r w:rsidRPr="00576ED7">
        <w:rPr>
          <w:szCs w:val="24"/>
        </w:rPr>
        <w:t>i</w:t>
      </w:r>
      <w:r w:rsidRPr="00576ED7">
        <w:rPr>
          <w:szCs w:val="24"/>
        </w:rPr>
        <w:t>ence, and the difficulty of replacing Mr. Heitz with the fact that the corporate ent</w:t>
      </w:r>
      <w:r w:rsidRPr="00576ED7">
        <w:rPr>
          <w:szCs w:val="24"/>
        </w:rPr>
        <w:t>i</w:t>
      </w:r>
      <w:r w:rsidRPr="00576ED7">
        <w:rPr>
          <w:szCs w:val="24"/>
        </w:rPr>
        <w:t xml:space="preserve">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w:t>
      </w:r>
      <w:r w:rsidRPr="00576ED7">
        <w:rPr>
          <w:szCs w:val="24"/>
        </w:rPr>
        <w:t>e</w:t>
      </w:r>
      <w:r w:rsidRPr="00576ED7">
        <w:rPr>
          <w:szCs w:val="24"/>
        </w:rPr>
        <w:t>nue Service’s position. The government’s lawyer was forced to concede at the argument of the appeal that she could not deny the possibility that the Tax Court had pulled its figures for Heitz’s allowable compensation out of a 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failure of the Tax Court’s reasoning to support its result would alone require a remand. But the problem with the court’s opinion goes deeper. The test it a</w:t>
      </w:r>
      <w:r w:rsidRPr="00576ED7">
        <w:rPr>
          <w:szCs w:val="24"/>
        </w:rPr>
        <w:t>p</w:t>
      </w:r>
      <w:r w:rsidRPr="00576ED7">
        <w:rPr>
          <w:szCs w:val="24"/>
        </w:rPr>
        <w:t>plied does not provide adequate guidance to a rational decision. We owe no defe</w:t>
      </w:r>
      <w:r w:rsidRPr="00576ED7">
        <w:rPr>
          <w:szCs w:val="24"/>
        </w:rPr>
        <w:t>r</w:t>
      </w:r>
      <w:r w:rsidRPr="00576ED7">
        <w:rPr>
          <w:szCs w:val="24"/>
        </w:rPr>
        <w:t>ence to the Tax Court’s statutory interpretations, its relation to us being that of a district court to a court of appeals, not that of an administrative agency to a court of appeals. 26 U.S.C. § 7482(a)(1); [citations omitted].  The federal courts of a</w:t>
      </w:r>
      <w:r w:rsidRPr="00576ED7">
        <w:rPr>
          <w:szCs w:val="24"/>
        </w:rPr>
        <w:t>p</w:t>
      </w:r>
      <w:r w:rsidRPr="00576ED7">
        <w:rPr>
          <w:szCs w:val="24"/>
        </w:rPr>
        <w:lastRenderedPageBreak/>
        <w:t xml:space="preserve">peals, whose decisions do of course have weight as authority with us even when they are not our own decisions, have been moving toward a much simpler and more purposive test, the “independent investor” test. </w:t>
      </w:r>
      <w:r w:rsidRPr="00576ED7">
        <w:rPr>
          <w:i/>
          <w:szCs w:val="24"/>
        </w:rPr>
        <w:t>Dexsil Corp. v. Commissio</w:t>
      </w:r>
      <w:r w:rsidRPr="00576ED7">
        <w:rPr>
          <w:i/>
          <w:szCs w:val="24"/>
        </w:rPr>
        <w:t>n</w:t>
      </w:r>
      <w:r w:rsidRPr="00576ED7">
        <w:rPr>
          <w:i/>
          <w:szCs w:val="24"/>
        </w:rPr>
        <w:t>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Because judges tend to downplay the element of judicial creativity in adapting law to fresh insights and changed circumstances, the cases we have just cited pr</w:t>
      </w:r>
      <w:r w:rsidRPr="00576ED7">
        <w:rPr>
          <w:szCs w:val="24"/>
        </w:rPr>
        <w:t>e</w:t>
      </w:r>
      <w:r w:rsidRPr="00576ED7">
        <w:rPr>
          <w:szCs w:val="24"/>
        </w:rPr>
        <w:t xml:space="preserv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w:t>
      </w:r>
      <w:r w:rsidRPr="00576ED7">
        <w:rPr>
          <w:szCs w:val="24"/>
        </w:rPr>
        <w:t>r</w:t>
      </w:r>
      <w:r w:rsidRPr="00576ED7">
        <w:rPr>
          <w:szCs w:val="24"/>
        </w:rPr>
        <w:t>thodox test. But that is a formality. The new test dissolves the old and returns the inquiry to basics. The Internal Revenue Code limits the amount of salary that a corporation can deduct from its income primarily in order to prevent the corpor</w:t>
      </w:r>
      <w:r w:rsidRPr="00576ED7">
        <w:rPr>
          <w:szCs w:val="24"/>
        </w:rPr>
        <w:t>a</w:t>
      </w:r>
      <w:r w:rsidRPr="00576ED7">
        <w:rPr>
          <w:szCs w:val="24"/>
        </w:rPr>
        <w:t>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w:t>
      </w:r>
      <w:r w:rsidRPr="00576ED7">
        <w:rPr>
          <w:szCs w:val="24"/>
        </w:rPr>
        <w:t>n</w:t>
      </w:r>
      <w:r w:rsidRPr="00576ED7">
        <w:rPr>
          <w:szCs w:val="24"/>
        </w:rPr>
        <w:t>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fortunately, an indirect market test, as recognized by the Internal Rev</w:t>
      </w:r>
      <w:r w:rsidRPr="00576ED7">
        <w:rPr>
          <w:szCs w:val="24"/>
        </w:rPr>
        <w:t>e</w:t>
      </w:r>
      <w:r w:rsidRPr="00576ED7">
        <w:rPr>
          <w:szCs w:val="24"/>
        </w:rPr>
        <w:t>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w:t>
      </w:r>
      <w:r w:rsidRPr="00576ED7">
        <w:rPr>
          <w:szCs w:val="24"/>
        </w:rPr>
        <w:t>t</w:t>
      </w:r>
      <w:r w:rsidRPr="00576ED7">
        <w:rPr>
          <w:szCs w:val="24"/>
        </w:rPr>
        <w: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w:t>
      </w:r>
      <w:r w:rsidRPr="00576ED7">
        <w:rPr>
          <w:szCs w:val="24"/>
        </w:rPr>
        <w:t>e</w:t>
      </w:r>
      <w:r w:rsidRPr="00576ED7">
        <w:rPr>
          <w:szCs w:val="24"/>
        </w:rPr>
        <w:t xml:space="preserve">ceive a return more than 50% greater than they expected – and 20%, the return that the Tax Court found that investors in Exacto had obtained, is more than 50% </w:t>
      </w:r>
      <w:r w:rsidRPr="00576ED7">
        <w:rPr>
          <w:szCs w:val="24"/>
        </w:rPr>
        <w:lastRenderedPageBreak/>
        <w:t>greater than the benchmark return of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w:t>
      </w:r>
      <w:r w:rsidRPr="00576ED7">
        <w:rPr>
          <w:szCs w:val="24"/>
        </w:rPr>
        <w:t>g</w:t>
      </w:r>
      <w:r w:rsidRPr="00576ED7">
        <w:rPr>
          <w:szCs w:val="24"/>
        </w:rPr>
        <w:t>gestion that Mr. Heitz was merely the titular chief executive and the company was actually run by someone else, which would be another basis for rebuttal.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w:t>
      </w:r>
      <w:r w:rsidRPr="00576ED7">
        <w:rPr>
          <w:szCs w:val="24"/>
        </w:rPr>
        <w:t>r</w:t>
      </w:r>
      <w:r w:rsidRPr="00576ED7">
        <w:rPr>
          <w:szCs w:val="24"/>
        </w:rPr>
        <w:t>ence of bad faith here, which in any event the Tax Court did not draw and the government does not ask us to draw.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with directions to enter judgment for the taxpayer.  R</w:t>
      </w:r>
      <w:r w:rsidRPr="00576ED7">
        <w:rPr>
          <w:szCs w:val="24"/>
        </w:rPr>
        <w:t>e</w:t>
      </w:r>
      <w:r w:rsidRPr="00576ED7">
        <w:rPr>
          <w:szCs w:val="24"/>
        </w:rPr>
        <w:t>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Judge Posner is right in describing what is probably still the prevailing stan</w:t>
      </w:r>
      <w:r w:rsidRPr="00576ED7">
        <w:rPr>
          <w:szCs w:val="24"/>
        </w:rPr>
        <w:t>d</w:t>
      </w:r>
      <w:r w:rsidRPr="00576ED7">
        <w:rPr>
          <w:szCs w:val="24"/>
        </w:rPr>
        <w:t xml:space="preserve">ard as a multi-factor test – with all of the problems that go with it.  </w:t>
      </w:r>
      <w:r w:rsidRPr="00576ED7">
        <w:rPr>
          <w:i/>
          <w:szCs w:val="24"/>
        </w:rPr>
        <w:t>See</w:t>
      </w:r>
      <w:r w:rsidRPr="00576ED7">
        <w:rPr>
          <w:szCs w:val="24"/>
        </w:rPr>
        <w:t xml:space="preserve"> E.L. Ke</w:t>
      </w:r>
      <w:r w:rsidRPr="00576ED7">
        <w:rPr>
          <w:szCs w:val="24"/>
        </w:rPr>
        <w:t>l</w:t>
      </w:r>
      <w:r w:rsidRPr="00576ED7">
        <w:rPr>
          <w:szCs w:val="24"/>
        </w:rPr>
        <w:t xml:space="preserve">lett, Annot., </w:t>
      </w:r>
      <w:r w:rsidRPr="00576ED7">
        <w:rPr>
          <w:i/>
          <w:szCs w:val="24"/>
        </w:rPr>
        <w:t>Reasonableness of Compensation Paid to Officers or Employees, so as to Wa</w:t>
      </w:r>
      <w:r w:rsidRPr="00576ED7">
        <w:rPr>
          <w:i/>
          <w:szCs w:val="24"/>
        </w:rPr>
        <w:t>r</w:t>
      </w:r>
      <w:r w:rsidRPr="00576ED7">
        <w:rPr>
          <w:i/>
          <w:szCs w:val="24"/>
        </w:rPr>
        <w:t>rant Deduction Thereof in Computing Employer’s Income Tax</w:t>
      </w:r>
      <w:r w:rsidRPr="00576ED7">
        <w:rPr>
          <w:szCs w:val="24"/>
        </w:rPr>
        <w:t xml:space="preserve">, 10 </w:t>
      </w:r>
      <w:r w:rsidRPr="00576ED7">
        <w:rPr>
          <w:smallCaps/>
          <w:szCs w:val="24"/>
        </w:rPr>
        <w:t>A.L.R. Fed.</w:t>
      </w:r>
      <w:r w:rsidRPr="00576ED7">
        <w:rPr>
          <w:szCs w:val="24"/>
        </w:rPr>
        <w:t>3d 125.</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681792" behindDoc="0" locked="0" layoutInCell="0" allowOverlap="1" wp14:anchorId="0E21D41D" wp14:editId="42D32165">
                <wp:simplePos x="0" y="0"/>
                <wp:positionH relativeFrom="margin">
                  <wp:posOffset>2058670</wp:posOffset>
                </wp:positionH>
                <wp:positionV relativeFrom="paragraph">
                  <wp:posOffset>3810</wp:posOffset>
                </wp:positionV>
                <wp:extent cx="2971800" cy="2656205"/>
                <wp:effectExtent l="0" t="0" r="0" b="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620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left:0;text-align:left;margin-left:162.1pt;margin-top:.3pt;width:234pt;height:209.1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gRKgIAAFwEAAAOAAAAZHJzL2Uyb0RvYy54bWysVMFu2zAMvQ/YPwi6L3YMJG2NOEWXLsOA&#10;bh3Q7gMYWbaFyaImKbG7rx8lp2nQbZdhPgikRD09PpJeXY+9ZgfpvEJT8fks50wagbUybcW/PW7f&#10;XXLmA5gaNBpZ8Sfp+fX67ZvVYEtZYIe6lo4RiPHlYCvehWDLLPOikz34GVpp6LBB10Mg17VZ7WAg&#10;9F5nRZ4vswFdbR0K6T3t3k6HfJ3wm0aKcN80XgamK07cQlpdWndxzdYrKFsHtlPiSAP+gUUPytCj&#10;J6hbCMD2Tv0G1Svh0GMTZgL7DJtGCZlyoGzm+atsHjqwMuVC4nh7ksn/P1jx5fDVMVVXfLHgzEBP&#10;NXqUY2DvcWTLRdRnsL6ksAdLgWGkfapzytXbOxTfPTO46cC08sY5HDoJNfGbx5vZ2dUJx0eQ3fAZ&#10;a3oH9gET0Ni4PopHcjBCpzo9nWoTuQjaLK4u5pc5HQk6K5aLZZEndhmUz9et8+GjxJ5Fo+KOip/g&#10;4XDnQ6QD5XNIfM2jVvVWaZ0c1+422rEDUKNs05cyeBWmDRsouWJ+VUwS/BUjT9+fMHoVqOW16itO&#10;CdEXg6CMwn0wdbIDKD3ZxFmbo5JRvEnGMO7GVLRl0jnKvMP6ibR1OLU4jSQZHbqfnA3U3hX3P/bg&#10;JGf6k6H6XJB+cR7OHXfu7M4dMIKgKh44m8xNmGZob51qO3pp6giDN1TTRiW1X1gd+VMLpyIcxy3O&#10;yLmfol5+CutfAAAA//8DAFBLAwQUAAYACAAAACEA4cX40dwAAAAIAQAADwAAAGRycy9kb3ducmV2&#10;LnhtbEyPwU7DMBBE70j8g7VI3KjTUJU2jVOhSNybUARHN97GEfE6xG4T/p7lBMfRjGbe5PvZ9eKK&#10;Y+g8KVguEhBIjTcdtQqOry8PGxAhajK694QKvjHAvri9yXVm/EQVXuvYCi6hkGkFNsYhkzI0Fp0O&#10;Cz8gsXf2o9OR5dhKM+qJy10v0yRZS6c74gWrBywtNp/1xSnwVVW+pfXX4b2cTNlOhzkOH1ap+7v5&#10;eQci4hz/wvCLz+hQMNPJX8gE0St4TFcpRxWsQbD9tE1ZnhSslpstyCKX/w8UPwAAAP//AwBQSwEC&#10;LQAUAAYACAAAACEAtoM4kv4AAADhAQAAEwAAAAAAAAAAAAAAAAAAAAAAW0NvbnRlbnRfVHlwZXNd&#10;LnhtbFBLAQItABQABgAIAAAAIQA4/SH/1gAAAJQBAAALAAAAAAAAAAAAAAAAAC8BAABfcmVscy8u&#10;cmVsc1BLAQItABQABgAIAAAAIQBKZAgRKgIAAFwEAAAOAAAAAAAAAAAAAAAAAC4CAABkcnMvZTJv&#10;RG9jLnhtbFBLAQItABQABgAIAAAAIQDhxfjR3AAAAAg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w:t>
                      </w:r>
                      <w:r>
                        <w:rPr>
                          <w:rFonts w:ascii="Tw Cen MT" w:hAnsi="Tw Cen MT"/>
                        </w:rPr>
                        <w:t>x</w:t>
                      </w:r>
                      <w:r>
                        <w:rPr>
                          <w:rFonts w:ascii="Tw Cen MT" w:hAnsi="Tw Cen MT"/>
                        </w:rPr>
                        <w:t>penses.  A corporation may not deduct the amount of dividends that it pays to shar</w:t>
                      </w:r>
                      <w:r>
                        <w:rPr>
                          <w:rFonts w:ascii="Tw Cen MT" w:hAnsi="Tw Cen MT"/>
                        </w:rPr>
                        <w:t>e</w:t>
                      </w:r>
                      <w:r>
                        <w:rPr>
                          <w:rFonts w:ascii="Tw Cen MT" w:hAnsi="Tw Cen MT"/>
                        </w:rPr>
                        <w:t>holders.  Shareholders who receive dividends must pay income tax on them.  Thus, corporate profits that a corporation distributes to shar</w:t>
                      </w:r>
                      <w:r>
                        <w:rPr>
                          <w:rFonts w:ascii="Tw Cen MT" w:hAnsi="Tw Cen MT"/>
                        </w:rPr>
                        <w:t>e</w:t>
                      </w:r>
                      <w:r>
                        <w:rPr>
                          <w:rFonts w:ascii="Tw Cen MT" w:hAnsi="Tw Cen MT"/>
                        </w:rPr>
                        <w:t>holders are subject to income taxation twice – once at the corporate level and once at the shareholder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FF5E72" w:rsidRDefault="00FF5E72" w:rsidP="00562CED">
                      <w:pPr>
                        <w:widowControl w:val="0"/>
                        <w:jc w:val="both"/>
                        <w:rPr>
                          <w:rFonts w:ascii="Tw Cen MT" w:hAnsi="Tw Cen MT"/>
                        </w:rPr>
                      </w:pPr>
                    </w:p>
                    <w:p w:rsidR="00FF5E72" w:rsidRDefault="00FF5E72" w:rsidP="00562CED">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sidRPr="00576ED7">
        <w:rPr>
          <w:szCs w:val="24"/>
        </w:rPr>
        <w:t>2.  For what reasons would a taxpayer “pay,” i.e., compe</w:t>
      </w:r>
      <w:r w:rsidR="0049128E" w:rsidRPr="00576ED7">
        <w:rPr>
          <w:szCs w:val="24"/>
        </w:rPr>
        <w:t>n</w:t>
      </w:r>
      <w:r w:rsidR="0049128E" w:rsidRPr="00576ED7">
        <w:rPr>
          <w:szCs w:val="24"/>
        </w:rPr>
        <w:t>sate, an employee more than a reasonable amount of salary?</w:t>
      </w:r>
    </w:p>
    <w:p w:rsidR="0049128E" w:rsidRPr="00576ED7" w:rsidRDefault="0049128E" w:rsidP="00A6585D">
      <w:pPr>
        <w:widowControl w:val="0"/>
        <w:ind w:left="720"/>
        <w:jc w:val="both"/>
        <w:rPr>
          <w:szCs w:val="24"/>
        </w:rPr>
      </w:pPr>
      <w:r w:rsidRPr="00576ED7">
        <w:rPr>
          <w:szCs w:val="24"/>
        </w:rPr>
        <w:t>•The court observed that a shareholder d</w:t>
      </w:r>
      <w:r w:rsidRPr="00576ED7">
        <w:rPr>
          <w:szCs w:val="24"/>
        </w:rPr>
        <w:t>e</w:t>
      </w:r>
      <w:r w:rsidRPr="00576ED7">
        <w:rPr>
          <w:szCs w:val="24"/>
        </w:rPr>
        <w:t>rivative suit is a “more germane context” in which to evaluate e</w:t>
      </w:r>
      <w:r w:rsidRPr="00576ED7">
        <w:rPr>
          <w:szCs w:val="24"/>
        </w:rPr>
        <w:t>x</w:t>
      </w:r>
      <w:r w:rsidRPr="00576ED7">
        <w:rPr>
          <w:szCs w:val="24"/>
        </w:rPr>
        <w:t>cessive compensation? Why would this be true?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8B4F6C2" wp14:editId="116B4CDE">
            <wp:extent cx="704850" cy="190500"/>
            <wp:effectExtent l="0" t="0" r="0" b="0"/>
            <wp:docPr id="15" name="Picture 1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w:t>
      </w:r>
      <w:r w:rsidR="00C755F2" w:rsidRPr="00576ED7">
        <w:rPr>
          <w:i/>
          <w:szCs w:val="24"/>
        </w:rPr>
        <w:t xml:space="preserve"> Federal</w:t>
      </w:r>
      <w:r w:rsidR="0049128E" w:rsidRPr="00576ED7">
        <w:rPr>
          <w:i/>
          <w:szCs w:val="24"/>
        </w:rPr>
        <w:t xml:space="preserve"> Income Taxation: D</w:t>
      </w:r>
      <w:r w:rsidR="0049128E" w:rsidRPr="00576ED7">
        <w:rPr>
          <w:i/>
          <w:szCs w:val="24"/>
        </w:rPr>
        <w:t>e</w:t>
      </w:r>
      <w:r w:rsidR="0049128E" w:rsidRPr="00576ED7">
        <w:rPr>
          <w:i/>
          <w:szCs w:val="24"/>
        </w:rPr>
        <w:t>ductions: Reasonable Compensation, Miscellaneous Business Deductions, and Business Losses</w:t>
      </w:r>
      <w:r w:rsidR="0049128E" w:rsidRPr="00576ED7">
        <w:rPr>
          <w:szCs w:val="24"/>
        </w:rPr>
        <w:t>.  You will find that the law involves “comparable” salaries.</w:t>
      </w:r>
    </w:p>
    <w:p w:rsidR="0049128E" w:rsidRPr="00576ED7" w:rsidRDefault="0049128E" w:rsidP="00A6585D">
      <w:pPr>
        <w:widowControl w:val="0"/>
        <w:ind w:left="720"/>
        <w:jc w:val="both"/>
        <w:rPr>
          <w:szCs w:val="24"/>
        </w:rPr>
      </w:pPr>
      <w:r w:rsidRPr="00576ED7">
        <w:rPr>
          <w:szCs w:val="24"/>
        </w:rPr>
        <w:t>•Read §§ 274(a), (</w:t>
      </w:r>
      <w:r w:rsidRPr="00576ED7">
        <w:rPr>
          <w:i/>
          <w:szCs w:val="24"/>
        </w:rPr>
        <w:t>l</w:t>
      </w:r>
      <w:r w:rsidRPr="00576ED7">
        <w:rPr>
          <w:szCs w:val="24"/>
        </w:rPr>
        <w:t>), (n), 162(e), 165(a and b).</w:t>
      </w:r>
    </w:p>
    <w:p w:rsidR="0049128E" w:rsidRPr="00576ED7" w:rsidRDefault="0049128E" w:rsidP="00A6585D">
      <w:pPr>
        <w:widowControl w:val="0"/>
        <w:ind w:left="720"/>
        <w:jc w:val="both"/>
        <w:rPr>
          <w:szCs w:val="24"/>
        </w:rPr>
      </w:pPr>
      <w:r w:rsidRPr="00576ED7">
        <w:rPr>
          <w:szCs w:val="24"/>
        </w:rPr>
        <w:t>•Do not worry about whether you get the correct answer to the two que</w:t>
      </w:r>
      <w:r w:rsidRPr="00576ED7">
        <w:rPr>
          <w:szCs w:val="24"/>
        </w:rPr>
        <w:t>s</w:t>
      </w:r>
      <w:r w:rsidRPr="00576ED7">
        <w:rPr>
          <w:szCs w:val="24"/>
        </w:rPr>
        <w:t xml:space="preserve">tions involving a “golden parachute,” § 280G, </w:t>
      </w:r>
      <w:r w:rsidR="00AD5564">
        <w:rPr>
          <w:szCs w:val="24"/>
        </w:rPr>
        <w:t xml:space="preserve">i.e., questions 3 and 4, </w:t>
      </w:r>
      <w:r w:rsidRPr="00576ED7">
        <w:rPr>
          <w:szCs w:val="24"/>
        </w:rPr>
        <w:t>but do not be afraid of learning something.  Also, do not worry about the costs of military clothing.  Do not worry about § 280B, but you should still get the right answer to question 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allows taxpayer to deduct all ordinary and necessary expenses paid or incurred in carrying on any trade or business.  Sections 162 and 274 also limit trade or business deductions incurred for certain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rsidR="0049128E" w:rsidRPr="00576ED7" w:rsidRDefault="0049128E" w:rsidP="00A6585D">
      <w:pPr>
        <w:widowControl w:val="0"/>
        <w:ind w:left="720" w:hanging="720"/>
        <w:jc w:val="both"/>
        <w:rPr>
          <w:szCs w:val="24"/>
        </w:rPr>
      </w:pPr>
      <w:r w:rsidRPr="00576ED7">
        <w:rPr>
          <w:szCs w:val="24"/>
        </w:rPr>
        <w:t xml:space="preserve"> </w:t>
      </w:r>
      <w:r w:rsidRPr="00576ED7">
        <w:rPr>
          <w:szCs w:val="24"/>
        </w:rPr>
        <w:tab/>
        <w:t xml:space="preserve">•for the production or collection of income, </w:t>
      </w:r>
    </w:p>
    <w:p w:rsidR="0049128E" w:rsidRPr="00576ED7" w:rsidRDefault="0049128E" w:rsidP="00A6585D">
      <w:pPr>
        <w:widowControl w:val="0"/>
        <w:ind w:left="720"/>
        <w:jc w:val="both"/>
        <w:rPr>
          <w:szCs w:val="24"/>
        </w:rPr>
      </w:pPr>
      <w:r w:rsidRPr="00576ED7">
        <w:rPr>
          <w:szCs w:val="24"/>
        </w:rPr>
        <w:t>•for the management, conservation, or maintenance of property held for the production of income, or</w:t>
      </w:r>
    </w:p>
    <w:p w:rsidR="0049128E" w:rsidRPr="00576ED7" w:rsidRDefault="0049128E" w:rsidP="00A6585D">
      <w:pPr>
        <w:widowControl w:val="0"/>
        <w:ind w:left="720"/>
        <w:jc w:val="both"/>
        <w:rPr>
          <w:szCs w:val="24"/>
        </w:rPr>
      </w:pPr>
      <w:r w:rsidRPr="00576ED7">
        <w:rPr>
          <w:szCs w:val="24"/>
        </w:rPr>
        <w:t>•in connection with the determination, collection, or refund of any tax.</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lastRenderedPageBreak/>
        <w:drawing>
          <wp:inline distT="0" distB="0" distL="0" distR="0" wp14:anchorId="5C7092B3" wp14:editId="65B8C3C1">
            <wp:extent cx="704850" cy="190500"/>
            <wp:effectExtent l="0" t="0" r="0" b="0"/>
            <wp:docPr id="16" name="Picture 1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C755F2" w:rsidRPr="00576ED7">
        <w:rPr>
          <w:i/>
          <w:szCs w:val="24"/>
        </w:rPr>
        <w:t xml:space="preserve">Federal </w:t>
      </w:r>
      <w:r w:rsidRPr="00576ED7">
        <w:rPr>
          <w:i/>
          <w:szCs w:val="24"/>
        </w:rPr>
        <w:t>Income Taxation: Deductions for Income-Producing Activities</w:t>
      </w:r>
      <w:r w:rsidRPr="00576ED7">
        <w:rPr>
          <w:szCs w:val="24"/>
        </w:rPr>
        <w:t xml:space="preserve"> after reading §§ 212, 215, 62(a)(10).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a few recurring issues.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already seen that § 162(a)(2) implicitly treats taxpayer’s choice of where to live as a personal one.  Hence, taxpayer may not deduct expenditures associa</w:t>
      </w:r>
      <w:r w:rsidRPr="00576ED7">
        <w:rPr>
          <w:szCs w:val="24"/>
        </w:rPr>
        <w:t>t</w:t>
      </w:r>
      <w:r w:rsidRPr="00576ED7">
        <w:rPr>
          <w:szCs w:val="24"/>
        </w:rPr>
        <w:t>ed with that choice.  The Code also implicitly treats certain other choices as “pe</w:t>
      </w:r>
      <w:r w:rsidRPr="00576ED7">
        <w:rPr>
          <w:szCs w:val="24"/>
        </w:rPr>
        <w:t>r</w:t>
      </w:r>
      <w:r w:rsidRPr="00576ED7">
        <w:rPr>
          <w:szCs w:val="24"/>
        </w:rPr>
        <w:t>sonal.”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 – OPPER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are told that the working wife is a new phenomenon. This is relied on to a</w:t>
      </w:r>
      <w:r w:rsidRPr="00576ED7">
        <w:rPr>
          <w:szCs w:val="24"/>
        </w:rPr>
        <w:t>c</w:t>
      </w:r>
      <w:r w:rsidRPr="00576ED7">
        <w:rPr>
          <w:szCs w:val="24"/>
        </w:rPr>
        <w:t>count for the apparent inconsistency that the expenses in issue are now a co</w:t>
      </w:r>
      <w:r w:rsidRPr="00576ED7">
        <w:rPr>
          <w:szCs w:val="24"/>
        </w:rPr>
        <w:t>m</w:t>
      </w:r>
      <w:r w:rsidRPr="00576ED7">
        <w:rPr>
          <w:szCs w:val="24"/>
        </w:rPr>
        <w:t>monplace, yet have not been the subject of legislation, ruling, or adjudicated co</w:t>
      </w:r>
      <w:r w:rsidRPr="00576ED7">
        <w:rPr>
          <w:szCs w:val="24"/>
        </w:rPr>
        <w:t>n</w:t>
      </w:r>
      <w:r w:rsidRPr="00576ED7">
        <w:rPr>
          <w:szCs w:val="24"/>
        </w:rPr>
        <w:t>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w:t>
      </w:r>
      <w:r w:rsidRPr="00576ED7">
        <w:rPr>
          <w:szCs w:val="24"/>
        </w:rPr>
        <w:t>r</w:t>
      </w:r>
      <w:r w:rsidRPr="00576ED7">
        <w:rPr>
          <w:szCs w:val="24"/>
        </w:rPr>
        <w:t>dinarily rendered without monetary compensation. There results no taxable i</w:t>
      </w:r>
      <w:r w:rsidRPr="00576ED7">
        <w:rPr>
          <w:szCs w:val="24"/>
        </w:rPr>
        <w:t>n</w:t>
      </w:r>
      <w:r w:rsidRPr="00576ED7">
        <w:rPr>
          <w:szCs w:val="24"/>
        </w:rPr>
        <w:t>come from the performance of this service and the correlative expenditure is pe</w:t>
      </w:r>
      <w:r w:rsidRPr="00576ED7">
        <w:rPr>
          <w:szCs w:val="24"/>
        </w:rPr>
        <w:t>r</w:t>
      </w:r>
      <w:r w:rsidRPr="00576ED7">
        <w:rPr>
          <w:szCs w:val="24"/>
        </w:rPr>
        <w:t>sonal and not susceptible of deduction. [citation omitted] Here the wife has ch</w:t>
      </w:r>
      <w:r w:rsidRPr="00576ED7">
        <w:rPr>
          <w:szCs w:val="24"/>
        </w:rPr>
        <w:t>o</w:t>
      </w:r>
      <w:r w:rsidRPr="00576ED7">
        <w:rPr>
          <w:szCs w:val="24"/>
        </w:rPr>
        <w:t>sen to employ others to discharge her domestic function and the services she pe</w:t>
      </w:r>
      <w:r w:rsidRPr="00576ED7">
        <w:rPr>
          <w:szCs w:val="24"/>
        </w:rPr>
        <w:t>r</w:t>
      </w:r>
      <w:r w:rsidRPr="00576ED7">
        <w:rPr>
          <w:szCs w:val="24"/>
        </w:rPr>
        <w:t>forms are rendered outside the home. They are a source of actual income and ta</w:t>
      </w:r>
      <w:r w:rsidRPr="00576ED7">
        <w:rPr>
          <w:szCs w:val="24"/>
        </w:rPr>
        <w:t>x</w:t>
      </w:r>
      <w:r w:rsidRPr="00576ED7">
        <w:rPr>
          <w:szCs w:val="24"/>
        </w:rPr>
        <w:t>able as such. But that does not deprive the same work performed by others of its personal character nor furnish a reason why its cost should be treated as an offset in the guise of a deductible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not unmindful that, as petitioners suggest, certain disbursements normally personal may become deductible by reason of their intimate connection with an occupation carried on for profit. In this category fall entertainment [citation omi</w:t>
      </w:r>
      <w:r w:rsidRPr="00576ED7">
        <w:rPr>
          <w:szCs w:val="24"/>
        </w:rPr>
        <w:t>t</w:t>
      </w:r>
      <w:r w:rsidRPr="00576ED7">
        <w:rPr>
          <w:szCs w:val="24"/>
        </w:rPr>
        <w: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w:t>
      </w:r>
      <w:r w:rsidRPr="00576ED7">
        <w:rPr>
          <w:szCs w:val="24"/>
        </w:rPr>
        <w:t>m</w:t>
      </w:r>
      <w:r w:rsidRPr="00576ED7">
        <w:rPr>
          <w:szCs w:val="24"/>
        </w:rPr>
        <w:t>paniment of business pursuits, on the one hand; and those which, though they may in some indirect and tenuous degree relate to the circumstances of a profitable o</w:t>
      </w:r>
      <w:r w:rsidRPr="00576ED7">
        <w:rPr>
          <w:szCs w:val="24"/>
        </w:rPr>
        <w:t>c</w:t>
      </w:r>
      <w:r w:rsidRPr="00576ED7">
        <w:rPr>
          <w:szCs w:val="24"/>
        </w:rPr>
        <w:t>cupation, are nevertheless personal in their nature, of a character applicable to human beings generally, and which exist on that plane regardless of the occup</w:t>
      </w:r>
      <w:r w:rsidRPr="00576ED7">
        <w:rPr>
          <w:szCs w:val="24"/>
        </w:rPr>
        <w:t>a</w:t>
      </w:r>
      <w:r w:rsidRPr="00576ED7">
        <w:rPr>
          <w:szCs w:val="24"/>
        </w:rPr>
        <w:t xml:space="preserve">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The B.T.A. says that the expenses of a nursemaid “are the very essence of those ‘personal expenses the deductibility of which is expressly denied.’”</w:t>
      </w:r>
    </w:p>
    <w:p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We have already noted §§ 21 and 129.  These provisions reverse the </w:t>
      </w:r>
      <w:r w:rsidRPr="00576ED7">
        <w:rPr>
          <w:i/>
          <w:szCs w:val="24"/>
        </w:rPr>
        <w:t>result</w:t>
      </w:r>
      <w:r w:rsidRPr="00576ED7">
        <w:rPr>
          <w:szCs w:val="24"/>
        </w:rPr>
        <w:t xml:space="preserve"> of </w:t>
      </w:r>
      <w:r w:rsidRPr="00576ED7">
        <w:rPr>
          <w:i/>
          <w:szCs w:val="24"/>
        </w:rPr>
        <w:t>Smith</w:t>
      </w:r>
      <w:r w:rsidRPr="00576ED7">
        <w:rPr>
          <w:szCs w:val="24"/>
        </w:rPr>
        <w:t>, but not its construction of § 162.</w:t>
      </w:r>
    </w:p>
    <w:p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in particular the role of the wife and mother?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C3A9E13" wp14:editId="6FCF2C5F">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3. Do the CALI </w:t>
      </w:r>
      <w:r w:rsidR="0093600D" w:rsidRPr="00576ED7">
        <w:rPr>
          <w:szCs w:val="24"/>
        </w:rPr>
        <w:t>Lesson</w:t>
      </w:r>
      <w:r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Taxable Income and Tax Computation: Dependent Care Credit</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Limitations on Deductibility of Ordinary and Necessary E</w:t>
      </w:r>
      <w:r w:rsidRPr="00576ED7">
        <w:rPr>
          <w:szCs w:val="24"/>
        </w:rPr>
        <w:t>x</w:t>
      </w:r>
      <w:r w:rsidRPr="00576ED7">
        <w:rPr>
          <w:szCs w:val="24"/>
        </w:rPr>
        <w:t>penses</w:t>
      </w:r>
      <w:r w:rsidRPr="00576ED7">
        <w:rPr>
          <w:szCs w:val="24"/>
        </w:rPr>
        <w:fldChar w:fldCharType="begin"/>
      </w:r>
      <w:r w:rsidRPr="00576ED7">
        <w:rPr>
          <w:szCs w:val="24"/>
        </w:rPr>
        <w:instrText xml:space="preserve"> TC \l3 "2.  Limitations on Deductibility of Ordinary and Necessary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sources of limitation on the deductibility of expenses that taxpayer incurs in order to generate income that the following cases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in this case is whether expenses incurred by a taxpayer in the unsuccessful defense of a criminal prosecution may qualify for deduction from taxable income under § 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w:t>
      </w:r>
      <w:r w:rsidRPr="00576ED7">
        <w:rPr>
          <w:szCs w:val="24"/>
        </w:rPr>
        <w:t>p</w:t>
      </w:r>
      <w:r w:rsidRPr="00576ED7">
        <w:rPr>
          <w:szCs w:val="24"/>
        </w:rPr>
        <w:t>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w:t>
      </w:r>
      <w:r w:rsidRPr="00576ED7">
        <w:rPr>
          <w:szCs w:val="24"/>
        </w:rPr>
        <w:t>p</w:t>
      </w:r>
      <w:r w:rsidRPr="00576ED7">
        <w:rPr>
          <w:szCs w:val="24"/>
        </w:rPr>
        <w:t xml:space="preserve">peal. [footnote omitted] In his unsuccessful defense of this criminal prosecution, </w:t>
      </w:r>
      <w:r w:rsidRPr="00576ED7">
        <w:rPr>
          <w:szCs w:val="24"/>
        </w:rPr>
        <w:lastRenderedPageBreak/>
        <w:t>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w:t>
      </w:r>
      <w:r w:rsidRPr="00576ED7">
        <w:rPr>
          <w:szCs w:val="24"/>
        </w:rPr>
        <w:t>e</w:t>
      </w:r>
      <w:r w:rsidRPr="00576ED7">
        <w:rPr>
          <w:szCs w:val="24"/>
        </w:rPr>
        <w:t>cision, and we granted certiorari. We affirm the judgment of the Court of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 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308 U.S. 488. The criminal charges against the r</w:t>
      </w:r>
      <w:r w:rsidRPr="00576ED7">
        <w:rPr>
          <w:szCs w:val="24"/>
        </w:rPr>
        <w:t>e</w:t>
      </w:r>
      <w:r w:rsidRPr="00576ED7">
        <w:rPr>
          <w:szCs w:val="24"/>
        </w:rPr>
        <w:t xml:space="preserv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also concedes that the respondent’s legal expenses were “o</w:t>
      </w:r>
      <w:r w:rsidRPr="00576ED7">
        <w:rPr>
          <w:szCs w:val="24"/>
        </w:rPr>
        <w:t>r</w:t>
      </w:r>
      <w:r w:rsidRPr="00576ED7">
        <w:rPr>
          <w:szCs w:val="24"/>
        </w:rPr>
        <w:t xml:space="preserve">dinary” and “necessary” expenses within the meaning of § 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w:t>
      </w:r>
      <w:r w:rsidRPr="00576ED7">
        <w:rPr>
          <w:i/>
          <w:szCs w:val="24"/>
        </w:rPr>
        <w:t>y</w:t>
      </w:r>
      <w:r w:rsidRPr="00576ED7">
        <w:rPr>
          <w:i/>
          <w:szCs w:val="24"/>
        </w:rPr>
        <w:t>land</w:t>
      </w:r>
      <w:r w:rsidRPr="00576ED7">
        <w:rPr>
          <w:szCs w:val="24"/>
        </w:rPr>
        <w:t>, 4 Wheat. 316, 17 U.S. 413-415. The principal function of the term “ord</w:t>
      </w:r>
      <w:r w:rsidRPr="00576ED7">
        <w:rPr>
          <w:szCs w:val="24"/>
        </w:rPr>
        <w:t>i</w:t>
      </w:r>
      <w:r w:rsidRPr="00576ED7">
        <w:rPr>
          <w:szCs w:val="24"/>
        </w:rPr>
        <w:t>nary” in § 162(a) is to clarify the distinction, often difficult, between those e</w:t>
      </w:r>
      <w:r w:rsidRPr="00576ED7">
        <w:rPr>
          <w:szCs w:val="24"/>
        </w:rPr>
        <w:t>x</w:t>
      </w:r>
      <w:r w:rsidRPr="00576ED7">
        <w:rPr>
          <w:szCs w:val="24"/>
        </w:rPr>
        <w:t>penses that are currently deductible and those that are in the nature of capital e</w:t>
      </w:r>
      <w:r w:rsidRPr="00576ED7">
        <w:rPr>
          <w:szCs w:val="24"/>
        </w:rPr>
        <w:t>x</w:t>
      </w:r>
      <w:r w:rsidRPr="00576ED7">
        <w:rPr>
          <w:szCs w:val="24"/>
        </w:rPr>
        <w:t xml:space="preserve">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w:t>
      </w:r>
      <w:r w:rsidRPr="00576ED7">
        <w:rPr>
          <w:szCs w:val="24"/>
        </w:rPr>
        <w:t>f</w:t>
      </w:r>
      <w:r w:rsidRPr="00576ED7">
        <w:rPr>
          <w:szCs w:val="24"/>
        </w:rPr>
        <w:t xml:space="preserve">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It is therefore clear that the respondent’s legal fees were deductible under § 162(a) if the provisions of that section are to be given their normal effect in this case. The Commissioner and the Tax Court determined, however, that, even though the expenditures meet the literal requirements of § 162(a), their deduction must ne</w:t>
      </w:r>
      <w:r w:rsidRPr="00576ED7">
        <w:rPr>
          <w:szCs w:val="24"/>
        </w:rPr>
        <w:t>v</w:t>
      </w:r>
      <w:r w:rsidRPr="00576ED7">
        <w:rPr>
          <w:szCs w:val="24"/>
        </w:rPr>
        <w:t>ertheless be disallowed on the ground of public policy. That view finds conside</w:t>
      </w:r>
      <w:r w:rsidRPr="00576ED7">
        <w:rPr>
          <w:szCs w:val="24"/>
        </w:rPr>
        <w:t>r</w:t>
      </w:r>
      <w:r w:rsidRPr="00576ED7">
        <w:rPr>
          <w:szCs w:val="24"/>
        </w:rPr>
        <w:t>able support in other administrative and judicial decisions.</w:t>
      </w:r>
      <w:r w:rsidRPr="00576ED7">
        <w:rPr>
          <w:rStyle w:val="FootnoteReference"/>
          <w:szCs w:val="24"/>
        </w:rPr>
        <w:footnoteReference w:id="132"/>
      </w:r>
      <w:r w:rsidRPr="00576ED7">
        <w:rPr>
          <w:szCs w:val="24"/>
        </w:rPr>
        <w:t xml:space="preserve"> It finds no support, however, in any regulation or statute or in any decision of this Court, and we b</w:t>
      </w:r>
      <w:r w:rsidRPr="00576ED7">
        <w:rPr>
          <w:szCs w:val="24"/>
        </w:rPr>
        <w:t>e</w:t>
      </w:r>
      <w:r w:rsidRPr="00576ED7">
        <w:rPr>
          <w:szCs w:val="24"/>
        </w:rPr>
        <w:t>lieve no such “public policy” exception to the plain provisions of § 162(a) is wa</w:t>
      </w:r>
      <w:r w:rsidRPr="00576ED7">
        <w:rPr>
          <w:szCs w:val="24"/>
        </w:rPr>
        <w:t>r</w:t>
      </w:r>
      <w:r w:rsidRPr="00576ED7">
        <w:rPr>
          <w:szCs w:val="24"/>
        </w:rPr>
        <w:t>ranted in the circumstances presented by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start with the proposition that the federal income tax is a tax on net income, not a sanction against wrongdoing. That principle has been firmly imbedded in the tax statute from the beginning.  One familiar facet of the principle is the tr</w:t>
      </w:r>
      <w:r w:rsidRPr="00576ED7">
        <w:rPr>
          <w:szCs w:val="24"/>
        </w:rPr>
        <w:t>u</w:t>
      </w:r>
      <w:r w:rsidRPr="00576ED7">
        <w:rPr>
          <w:szCs w:val="24"/>
        </w:rPr>
        <w:t>ism that the statute does not concern itself with the lawfulness of the income that it taxes. Income from a criminal enterprise is taxed at a rate no higher and no lo</w:t>
      </w:r>
      <w:r w:rsidRPr="00576ED7">
        <w:rPr>
          <w:szCs w:val="24"/>
        </w:rPr>
        <w:t>w</w:t>
      </w:r>
      <w:r w:rsidRPr="00576ED7">
        <w:rPr>
          <w:szCs w:val="24"/>
        </w:rPr>
        <w:t>er than income from more conventional sources. “[T]he fact that a business is u</w:t>
      </w:r>
      <w:r w:rsidRPr="00576ED7">
        <w:rPr>
          <w:szCs w:val="24"/>
        </w:rPr>
        <w:t>n</w:t>
      </w:r>
      <w:r w:rsidRPr="00576ED7">
        <w:rPr>
          <w:szCs w:val="24"/>
        </w:rPr>
        <w:t xml:space="preserve">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respect to deductions, the basic rule, with only a few limited and well d</w:t>
      </w:r>
      <w:r w:rsidRPr="00576ED7">
        <w:rPr>
          <w:szCs w:val="24"/>
        </w:rPr>
        <w:t>e</w:t>
      </w:r>
      <w:r w:rsidRPr="00576ED7">
        <w:rPr>
          <w:szCs w:val="24"/>
        </w:rPr>
        <w:t>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rsidR="0049128E" w:rsidRPr="00576ED7" w:rsidRDefault="0049128E" w:rsidP="00A6585D">
      <w:pPr>
        <w:widowControl w:val="0"/>
        <w:jc w:val="both"/>
        <w:rPr>
          <w:szCs w:val="24"/>
        </w:rPr>
      </w:pPr>
    </w:p>
    <w:p w:rsidR="0049128E" w:rsidRPr="00576ED7" w:rsidRDefault="0049128E" w:rsidP="002E5BED">
      <w:pPr>
        <w:widowControl w:val="0"/>
        <w:ind w:left="720"/>
        <w:jc w:val="both"/>
        <w:rPr>
          <w:szCs w:val="24"/>
        </w:rPr>
      </w:pPr>
      <w:r w:rsidRPr="00576ED7">
        <w:rPr>
          <w:szCs w:val="24"/>
        </w:rPr>
        <w:t>“[T]he object of this bill is to tax a man’s net income; that is to say, what he has at the end of the year after deducting from his receipts his expend</w:t>
      </w:r>
      <w:r w:rsidRPr="00576ED7">
        <w:rPr>
          <w:szCs w:val="24"/>
        </w:rPr>
        <w:t>i</w:t>
      </w:r>
      <w:r w:rsidRPr="00576ED7">
        <w:rPr>
          <w:szCs w:val="24"/>
        </w:rPr>
        <w:lastRenderedPageBreak/>
        <w:t>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50 Cong. Rec. 3849.</w:t>
      </w:r>
      <w:r w:rsidRPr="00576ED7">
        <w:rPr>
          <w:rStyle w:val="FootnoteReference"/>
          <w:szCs w:val="24"/>
        </w:rPr>
        <w:footnoteReference w:id="13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w:t>
      </w:r>
      <w:r w:rsidRPr="00576ED7">
        <w:rPr>
          <w:szCs w:val="24"/>
        </w:rPr>
        <w:t>c</w:t>
      </w:r>
      <w:r w:rsidRPr="00576ED7">
        <w:rPr>
          <w:szCs w:val="24"/>
        </w:rPr>
        <w:t>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343 U.S. 90, the Court upheld dedu</w:t>
      </w:r>
      <w:r w:rsidRPr="00576ED7">
        <w:rPr>
          <w:szCs w:val="24"/>
        </w:rPr>
        <w:t>c</w:t>
      </w:r>
      <w:r w:rsidRPr="00576ED7">
        <w:rPr>
          <w:szCs w:val="24"/>
        </w:rPr>
        <w:t>tions claimed by opticians for amounts paid to doctors who prescribed the ey</w:t>
      </w:r>
      <w:r w:rsidRPr="00576ED7">
        <w:rPr>
          <w:szCs w:val="24"/>
        </w:rPr>
        <w:t>e</w:t>
      </w:r>
      <w:r w:rsidRPr="00576ED7">
        <w:rPr>
          <w:szCs w:val="24"/>
        </w:rPr>
        <w:t>glasses that the opticians sold, although the Court was careful to disavow “a</w:t>
      </w:r>
      <w:r w:rsidRPr="00576ED7">
        <w:rPr>
          <w:szCs w:val="24"/>
        </w:rPr>
        <w:t>p</w:t>
      </w:r>
      <w:r w:rsidRPr="00576ED7">
        <w:rPr>
          <w:szCs w:val="24"/>
        </w:rPr>
        <w:t xml:space="preserve">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Deduction of expenses falling within the general definition of § 162(a) may, to be sure, be disallowed by specific legislation, since deductions “are a matter of grace and Congress can, of course, disallow them as it chooses.”  </w:t>
      </w:r>
      <w:r w:rsidRPr="00576ED7">
        <w:rPr>
          <w:i/>
          <w:szCs w:val="24"/>
        </w:rPr>
        <w:t>Commissioner v. Su</w:t>
      </w:r>
      <w:r w:rsidRPr="00576ED7">
        <w:rPr>
          <w:i/>
          <w:szCs w:val="24"/>
        </w:rPr>
        <w:t>l</w:t>
      </w:r>
      <w:r w:rsidRPr="00576ED7">
        <w:rPr>
          <w:i/>
          <w:szCs w:val="24"/>
        </w:rPr>
        <w:lastRenderedPageBreak/>
        <w:t>livan</w:t>
      </w:r>
      <w:r w:rsidRPr="00576ED7">
        <w:rPr>
          <w:szCs w:val="24"/>
        </w:rPr>
        <w:t>, 356 U.S. at 28.</w:t>
      </w:r>
      <w:r w:rsidRPr="00576ED7">
        <w:rPr>
          <w:rStyle w:val="FootnoteReference"/>
          <w:szCs w:val="24"/>
        </w:rPr>
        <w:footnoteReference w:id="134"/>
      </w:r>
      <w:r w:rsidRPr="00576ED7">
        <w:rPr>
          <w:szCs w:val="24"/>
        </w:rPr>
        <w:t xml:space="preserve"> The Court has also given effect to a precise and longstanding Treasury Regulation prohibiting the deduction of a specified categ</w:t>
      </w:r>
      <w:r w:rsidRPr="00576ED7">
        <w:rPr>
          <w:szCs w:val="24"/>
        </w:rPr>
        <w:t>o</w:t>
      </w:r>
      <w:r w:rsidRPr="00576ED7">
        <w:rPr>
          <w:szCs w:val="24"/>
        </w:rPr>
        <w:t xml:space="preserve">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358 U.S. 498. But where Congress has been wholly silent, it is only in extremely limited circu</w:t>
      </w:r>
      <w:r w:rsidRPr="00576ED7">
        <w:rPr>
          <w:szCs w:val="24"/>
        </w:rPr>
        <w:t>m</w:t>
      </w:r>
      <w:r w:rsidRPr="00576ED7">
        <w:rPr>
          <w:szCs w:val="24"/>
        </w:rPr>
        <w:t>stances that the Court has countenanced exceptions to the general principle r</w:t>
      </w:r>
      <w:r w:rsidRPr="00576ED7">
        <w:rPr>
          <w:szCs w:val="24"/>
        </w:rPr>
        <w:t>e</w:t>
      </w:r>
      <w:r w:rsidRPr="00576ED7">
        <w:rPr>
          <w:szCs w:val="24"/>
        </w:rPr>
        <w:t xml:space="preserv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w:t>
      </w:r>
      <w:r w:rsidRPr="00576ED7">
        <w:rPr>
          <w:szCs w:val="24"/>
        </w:rPr>
        <w:t>b</w:t>
      </w:r>
      <w:r w:rsidRPr="00576ED7">
        <w:rPr>
          <w:szCs w:val="24"/>
        </w:rPr>
        <w:t>ing particular types of conduct” have we upheld its disallo</w:t>
      </w:r>
      <w:r w:rsidRPr="00576ED7">
        <w:rPr>
          <w:szCs w:val="24"/>
        </w:rPr>
        <w:t>w</w:t>
      </w:r>
      <w:r w:rsidRPr="00576ED7">
        <w:rPr>
          <w:szCs w:val="24"/>
        </w:rPr>
        <w:t xml:space="preserve">ance. </w:t>
      </w:r>
      <w:r w:rsidRPr="00576ED7">
        <w:rPr>
          <w:i/>
          <w:szCs w:val="24"/>
        </w:rPr>
        <w:t>Commissioner v. Heininger</w:t>
      </w:r>
      <w:r w:rsidRPr="00576ED7">
        <w:rPr>
          <w:szCs w:val="24"/>
        </w:rPr>
        <w:t>, 320 U.S. at 473. Further, the “policies frustra</w:t>
      </w:r>
      <w:r w:rsidRPr="00576ED7">
        <w:rPr>
          <w:szCs w:val="24"/>
        </w:rPr>
        <w:t>t</w:t>
      </w:r>
      <w:r w:rsidRPr="00576ED7">
        <w:rPr>
          <w:szCs w:val="24"/>
        </w:rPr>
        <w:t xml:space="preserve">ed must be national or state policies evidenced by some governmental declaration of them.”  </w:t>
      </w:r>
      <w:r w:rsidRPr="00576ED7">
        <w:rPr>
          <w:i/>
          <w:szCs w:val="24"/>
        </w:rPr>
        <w:t>Lilly v. Commissioner</w:t>
      </w:r>
      <w:r w:rsidRPr="00576ED7">
        <w:rPr>
          <w:szCs w:val="24"/>
        </w:rPr>
        <w:t>, 343 U.S. at 97. (Emphasis added.) Finally, the “test of nondeduc</w:t>
      </w:r>
      <w:r w:rsidRPr="00576ED7">
        <w:rPr>
          <w:szCs w:val="24"/>
        </w:rPr>
        <w:t>t</w:t>
      </w:r>
      <w:r w:rsidRPr="00576ED7">
        <w:rPr>
          <w:szCs w:val="24"/>
        </w:rPr>
        <w:t>ibility always is the severity and immediacy of the frustration resulting from a</w:t>
      </w:r>
      <w:r w:rsidRPr="00576ED7">
        <w:rPr>
          <w:szCs w:val="24"/>
        </w:rPr>
        <w:t>l</w:t>
      </w:r>
      <w:r w:rsidRPr="00576ED7">
        <w:rPr>
          <w:szCs w:val="24"/>
        </w:rPr>
        <w:t xml:space="preserve">lowance of the deduction.”  </w:t>
      </w:r>
      <w:r w:rsidRPr="00576ED7">
        <w:rPr>
          <w:i/>
          <w:szCs w:val="24"/>
        </w:rPr>
        <w:t>Tank Truck Rentals v. Commi</w:t>
      </w:r>
      <w:r w:rsidRPr="00576ED7">
        <w:rPr>
          <w:i/>
          <w:szCs w:val="24"/>
        </w:rPr>
        <w:t>s</w:t>
      </w:r>
      <w:r w:rsidRPr="00576ED7">
        <w:rPr>
          <w:i/>
          <w:szCs w:val="24"/>
        </w:rPr>
        <w:t>sioner</w:t>
      </w:r>
      <w:r w:rsidRPr="00576ED7">
        <w:rPr>
          <w:szCs w:val="24"/>
        </w:rPr>
        <w:t xml:space="preserve">, 356 U.S. 30, 35. In that case, as in </w:t>
      </w:r>
      <w:r w:rsidRPr="00576ED7">
        <w:rPr>
          <w:i/>
          <w:szCs w:val="24"/>
        </w:rPr>
        <w:t>Hoover Motor E</w:t>
      </w:r>
      <w:r w:rsidRPr="00576ED7">
        <w:rPr>
          <w:i/>
          <w:szCs w:val="24"/>
        </w:rPr>
        <w:t>x</w:t>
      </w:r>
      <w:r w:rsidRPr="00576ED7">
        <w:rPr>
          <w:i/>
          <w:szCs w:val="24"/>
        </w:rPr>
        <w:t>press Co. v. United States</w:t>
      </w:r>
      <w:r w:rsidRPr="00576ED7">
        <w:rPr>
          <w:szCs w:val="24"/>
        </w:rPr>
        <w:t>, 356 U.S. 38, we upheld the disallowance of deductions claimed by taxpayers for fines and pena</w:t>
      </w:r>
      <w:r w:rsidRPr="00576ED7">
        <w:rPr>
          <w:szCs w:val="24"/>
        </w:rPr>
        <w:t>l</w:t>
      </w:r>
      <w:r w:rsidRPr="00576ED7">
        <w:rPr>
          <w:szCs w:val="24"/>
        </w:rPr>
        <w:t>ties imposed upon them for violating state penal statutes; to allow a deduction in those circumstances would have directly and substantially diluted the actual pu</w:t>
      </w:r>
      <w:r w:rsidRPr="00576ED7">
        <w:rPr>
          <w:szCs w:val="24"/>
        </w:rPr>
        <w:t>n</w:t>
      </w:r>
      <w:r w:rsidRPr="00576ED7">
        <w:rPr>
          <w:szCs w:val="24"/>
        </w:rPr>
        <w:t>ishment imposed.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falls far outside that sharply limited and carefully defined cat</w:t>
      </w:r>
      <w:r w:rsidRPr="00576ED7">
        <w:rPr>
          <w:szCs w:val="24"/>
        </w:rPr>
        <w:t>e</w:t>
      </w:r>
      <w:r w:rsidRPr="00576ED7">
        <w:rPr>
          <w:szCs w:val="24"/>
        </w:rPr>
        <w:lastRenderedPageBreak/>
        <w:t>gory. No public pol</w:t>
      </w:r>
      <w:r w:rsidRPr="00576ED7">
        <w:rPr>
          <w:szCs w:val="24"/>
        </w:rPr>
        <w:t>i</w:t>
      </w:r>
      <w:r w:rsidRPr="00576ED7">
        <w:rPr>
          <w:szCs w:val="24"/>
        </w:rPr>
        <w:t>cy is offended when a man faced with ser</w:t>
      </w:r>
      <w:r w:rsidRPr="00576ED7">
        <w:rPr>
          <w:szCs w:val="24"/>
        </w:rPr>
        <w:t>i</w:t>
      </w:r>
      <w:r w:rsidRPr="00576ED7">
        <w:rPr>
          <w:szCs w:val="24"/>
        </w:rPr>
        <w:t>ous criminal char</w:t>
      </w:r>
      <w:r w:rsidRPr="00576ED7">
        <w:rPr>
          <w:szCs w:val="24"/>
        </w:rPr>
        <w:t>g</w:t>
      </w:r>
      <w:r w:rsidRPr="00576ED7">
        <w:rPr>
          <w:szCs w:val="24"/>
        </w:rPr>
        <w:t>es employs a lawyer to help in his defense. That is not “pr</w:t>
      </w:r>
      <w:r w:rsidRPr="00576ED7">
        <w:rPr>
          <w:szCs w:val="24"/>
        </w:rPr>
        <w:t>o</w:t>
      </w:r>
      <w:r w:rsidRPr="00576ED7">
        <w:rPr>
          <w:szCs w:val="24"/>
        </w:rPr>
        <w:t xml:space="preserve">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w:t>
      </w:r>
      <w:r w:rsidRPr="00576ED7">
        <w:rPr>
          <w:i/>
          <w:szCs w:val="24"/>
        </w:rPr>
        <w:t>n</w:t>
      </w:r>
      <w:r w:rsidRPr="00576ED7">
        <w:rPr>
          <w:i/>
          <w:szCs w:val="24"/>
        </w:rPr>
        <w:t>wright</w:t>
      </w:r>
      <w:r w:rsidRPr="00576ED7">
        <w:rPr>
          <w:szCs w:val="24"/>
        </w:rPr>
        <w:t>, 372 U.S. 335. In an adversary sy</w:t>
      </w:r>
      <w:r w:rsidRPr="00576ED7">
        <w:rPr>
          <w:szCs w:val="24"/>
        </w:rPr>
        <w:t>s</w:t>
      </w:r>
      <w:r w:rsidRPr="00576ED7">
        <w:rPr>
          <w:szCs w:val="24"/>
        </w:rPr>
        <w:t>tem of criminal ju</w:t>
      </w:r>
      <w:r w:rsidRPr="00576ED7">
        <w:rPr>
          <w:szCs w:val="24"/>
        </w:rPr>
        <w:t>s</w:t>
      </w:r>
      <w:r w:rsidRPr="00576ED7">
        <w:rPr>
          <w:szCs w:val="24"/>
        </w:rPr>
        <w:t>tice, it is a basic of our public policy that a defendant in a cri</w:t>
      </w:r>
      <w:r w:rsidRPr="00576ED7">
        <w:rPr>
          <w:szCs w:val="24"/>
        </w:rPr>
        <w:t>m</w:t>
      </w:r>
      <w:r w:rsidRPr="00576ED7">
        <w:rPr>
          <w:szCs w:val="24"/>
        </w:rPr>
        <w:t>inal case have cou</w:t>
      </w:r>
      <w:r w:rsidRPr="00576ED7">
        <w:rPr>
          <w:szCs w:val="24"/>
        </w:rPr>
        <w:t>n</w:t>
      </w:r>
      <w:r w:rsidRPr="00576ED7">
        <w:rPr>
          <w:szCs w:val="24"/>
        </w:rPr>
        <w:t>sel to represent him.</w:t>
      </w:r>
    </w:p>
    <w:p w:rsidR="0049128E" w:rsidRPr="00576ED7" w:rsidRDefault="00781C79" w:rsidP="00A6585D">
      <w:pPr>
        <w:widowControl w:val="0"/>
        <w:jc w:val="both"/>
        <w:rPr>
          <w:szCs w:val="24"/>
        </w:rPr>
      </w:pPr>
      <w:r w:rsidRPr="00576ED7">
        <w:rPr>
          <w:noProof/>
          <w:szCs w:val="24"/>
        </w:rPr>
        <mc:AlternateContent>
          <mc:Choice Requires="wps">
            <w:drawing>
              <wp:anchor distT="152400" distB="152400" distL="152400" distR="152400" simplePos="0" relativeHeight="251682816" behindDoc="0" locked="0" layoutInCell="0" allowOverlap="1" wp14:anchorId="79E620E2" wp14:editId="0C887F5B">
                <wp:simplePos x="0" y="0"/>
                <wp:positionH relativeFrom="margin">
                  <wp:posOffset>1497330</wp:posOffset>
                </wp:positionH>
                <wp:positionV relativeFrom="paragraph">
                  <wp:posOffset>-1141095</wp:posOffset>
                </wp:positionV>
                <wp:extent cx="3561715" cy="6852285"/>
                <wp:effectExtent l="0" t="0" r="19685" b="24765"/>
                <wp:wrapSquare wrapText="largest"/>
                <wp:docPr id="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6852285"/>
                        </a:xfrm>
                        <a:prstGeom prst="rect">
                          <a:avLst/>
                        </a:prstGeom>
                        <a:solidFill>
                          <a:srgbClr val="FFFFFF"/>
                        </a:solidFill>
                        <a:ln w="12192">
                          <a:solidFill>
                            <a:srgbClr val="000000"/>
                          </a:solidFill>
                          <a:miter lim="800000"/>
                          <a:headEnd/>
                          <a:tailEnd/>
                        </a:ln>
                      </wps:spPr>
                      <wps:txbx>
                        <w:txbxContent>
                          <w:p w:rsidR="00FF5E72" w:rsidRPr="002E5BED" w:rsidRDefault="00FF5E72" w:rsidP="00562CED">
                            <w:pPr>
                              <w:widowControl w:val="0"/>
                              <w:jc w:val="both"/>
                              <w:rPr>
                                <w:rFonts w:ascii="Tw Cen MT" w:hAnsi="Tw Cen MT"/>
                                <w:szCs w:val="24"/>
                              </w:rPr>
                            </w:pPr>
                            <w:r w:rsidRPr="002E5BED">
                              <w:rPr>
                                <w:rFonts w:ascii="Tw Cen MT" w:hAnsi="Tw Cen MT"/>
                                <w:i/>
                                <w:szCs w:val="24"/>
                              </w:rPr>
                              <w:t>Deductibility of Legal Expenses</w:t>
                            </w:r>
                            <w:r w:rsidRPr="002E5BED">
                              <w:rPr>
                                <w:rFonts w:ascii="Tw Cen MT" w:hAnsi="Tw Cen MT"/>
                                <w:szCs w:val="24"/>
                              </w:rPr>
                              <w:t xml:space="preserve">: In both </w:t>
                            </w:r>
                            <w:r w:rsidRPr="002E5BED">
                              <w:rPr>
                                <w:rFonts w:ascii="Tw Cen MT" w:hAnsi="Tw Cen MT"/>
                                <w:i/>
                                <w:szCs w:val="24"/>
                              </w:rPr>
                              <w:t>Woodward</w:t>
                            </w:r>
                            <w:r w:rsidRPr="002E5BED">
                              <w:rPr>
                                <w:rFonts w:ascii="Tw Cen MT" w:hAnsi="Tw Cen MT"/>
                                <w:szCs w:val="24"/>
                              </w:rPr>
                              <w:t xml:space="preserve">, </w:t>
                            </w:r>
                            <w:r w:rsidRPr="002E5BED">
                              <w:rPr>
                                <w:rFonts w:ascii="Tw Cen MT" w:hAnsi="Tw Cen MT"/>
                                <w:i/>
                                <w:szCs w:val="24"/>
                              </w:rPr>
                              <w:t>s</w:t>
                            </w:r>
                            <w:r w:rsidRPr="002E5BED">
                              <w:rPr>
                                <w:rFonts w:ascii="Tw Cen MT" w:hAnsi="Tw Cen MT"/>
                                <w:i/>
                                <w:szCs w:val="24"/>
                              </w:rPr>
                              <w:t>u</w:t>
                            </w:r>
                            <w:r w:rsidRPr="002E5BED">
                              <w:rPr>
                                <w:rFonts w:ascii="Tw Cen MT" w:hAnsi="Tw Cen MT"/>
                                <w:i/>
                                <w:szCs w:val="24"/>
                              </w:rPr>
                              <w:t>pra</w:t>
                            </w:r>
                            <w:r w:rsidRPr="002E5BED">
                              <w:rPr>
                                <w:rFonts w:ascii="Tw Cen MT" w:hAnsi="Tw Cen MT"/>
                                <w:szCs w:val="24"/>
                              </w:rPr>
                              <w:t xml:space="preserve">, and </w:t>
                            </w:r>
                            <w:r w:rsidRPr="002E5BED">
                              <w:rPr>
                                <w:rFonts w:ascii="Tw Cen MT" w:hAnsi="Tw Cen MT"/>
                                <w:i/>
                                <w:szCs w:val="24"/>
                              </w:rPr>
                              <w:t>Tellier</w:t>
                            </w:r>
                            <w:r w:rsidRPr="002E5BED">
                              <w:rPr>
                                <w:rFonts w:ascii="Tw Cen MT" w:hAnsi="Tw Cen MT"/>
                                <w:szCs w:val="24"/>
                              </w:rPr>
                              <w:t xml:space="preserve">, the Court cited </w:t>
                            </w:r>
                            <w:r w:rsidRPr="002E5BED">
                              <w:rPr>
                                <w:rFonts w:ascii="Tw Cen MT" w:hAnsi="Tw Cen MT"/>
                                <w:i/>
                                <w:szCs w:val="24"/>
                              </w:rPr>
                              <w:t>United States v. Gilmore</w:t>
                            </w:r>
                            <w:r w:rsidRPr="002E5BED">
                              <w:rPr>
                                <w:rFonts w:ascii="Tw Cen MT" w:hAnsi="Tw Cen MT"/>
                                <w:szCs w:val="24"/>
                              </w:rPr>
                              <w:t xml:space="preserve">, 372 U.S. 39 (1963).  In </w:t>
                            </w:r>
                            <w:r w:rsidRPr="002E5BED">
                              <w:rPr>
                                <w:rFonts w:ascii="Tw Cen MT" w:hAnsi="Tw Cen MT"/>
                                <w:i/>
                                <w:szCs w:val="24"/>
                              </w:rPr>
                              <w:t>Gilmore</w:t>
                            </w:r>
                            <w:r w:rsidRPr="002E5BED">
                              <w:rPr>
                                <w:rFonts w:ascii="Tw Cen MT" w:hAnsi="Tw Cen MT"/>
                                <w:szCs w:val="24"/>
                              </w:rPr>
                              <w:t>, taxpayer and his wife cross-claimed for divorce.  Taxpayer owned the co</w:t>
                            </w:r>
                            <w:r w:rsidRPr="002E5BED">
                              <w:rPr>
                                <w:rFonts w:ascii="Tw Cen MT" w:hAnsi="Tw Cen MT"/>
                                <w:szCs w:val="24"/>
                              </w:rPr>
                              <w:t>n</w:t>
                            </w:r>
                            <w:r w:rsidRPr="002E5BED">
                              <w:rPr>
                                <w:rFonts w:ascii="Tw Cen MT" w:hAnsi="Tw Cen MT"/>
                                <w:szCs w:val="24"/>
                              </w:rPr>
                              <w:t>trolling stock interests of three corporations, each of which owned a General Motors dealership.  He r</w:t>
                            </w:r>
                            <w:r w:rsidRPr="002E5BED">
                              <w:rPr>
                                <w:rFonts w:ascii="Tw Cen MT" w:hAnsi="Tw Cen MT"/>
                                <w:szCs w:val="24"/>
                              </w:rPr>
                              <w:t>e</w:t>
                            </w:r>
                            <w:r w:rsidRPr="002E5BED">
                              <w:rPr>
                                <w:rFonts w:ascii="Tw Cen MT" w:hAnsi="Tw Cen MT"/>
                                <w:szCs w:val="24"/>
                              </w:rPr>
                              <w:t>ceived a substantial income from these corporations.  His wife made sensational allegations, and had she prevailed, she could receive more than half of the stock and/or GM would terminate the corporations’ fra</w:t>
                            </w:r>
                            <w:r w:rsidRPr="002E5BED">
                              <w:rPr>
                                <w:rFonts w:ascii="Tw Cen MT" w:hAnsi="Tw Cen MT"/>
                                <w:szCs w:val="24"/>
                              </w:rPr>
                              <w:t>n</w:t>
                            </w:r>
                            <w:r w:rsidRPr="002E5BED">
                              <w:rPr>
                                <w:rFonts w:ascii="Tw Cen MT" w:hAnsi="Tw Cen MT"/>
                                <w:szCs w:val="24"/>
                              </w:rPr>
                              <w:t>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w:t>
                            </w:r>
                            <w:r w:rsidRPr="002E5BED">
                              <w:rPr>
                                <w:rFonts w:ascii="Tw Cen MT" w:hAnsi="Tw Cen MT"/>
                                <w:szCs w:val="24"/>
                              </w:rPr>
                              <w:t>s</w:t>
                            </w:r>
                            <w:r w:rsidRPr="002E5BED">
                              <w:rPr>
                                <w:rFonts w:ascii="Tw Cen MT" w:hAnsi="Tw Cen MT"/>
                                <w:szCs w:val="24"/>
                              </w:rPr>
                              <w:t>sioner argued that such expenses were personal or family expenses.  The court of claims allocated 20% of the fees to the divorce and 80% to conservation of property.  The CIR argued that deductibility under e</w:t>
                            </w:r>
                            <w:r w:rsidRPr="002E5BED">
                              <w:rPr>
                                <w:rFonts w:ascii="Tw Cen MT" w:hAnsi="Tw Cen MT"/>
                                <w:szCs w:val="24"/>
                              </w:rPr>
                              <w:t>i</w:t>
                            </w:r>
                            <w:r w:rsidRPr="002E5BED">
                              <w:rPr>
                                <w:rFonts w:ascii="Tw Cen MT" w:hAnsi="Tw Cen MT"/>
                                <w:szCs w:val="24"/>
                              </w:rPr>
                              <w:t>ther § 162 or § 212 turned “not upon the consequences to respondent of a failure to defeat his wife’s commun</w:t>
                            </w:r>
                            <w:r w:rsidRPr="002E5BED">
                              <w:rPr>
                                <w:rFonts w:ascii="Tw Cen MT" w:hAnsi="Tw Cen MT"/>
                                <w:szCs w:val="24"/>
                              </w:rPr>
                              <w:t>i</w:t>
                            </w:r>
                            <w:r w:rsidRPr="002E5BED">
                              <w:rPr>
                                <w:rFonts w:ascii="Tw Cen MT" w:hAnsi="Tw Cen MT"/>
                                <w:szCs w:val="24"/>
                              </w:rPr>
                              <w:t>ty property claims, but upon the origin and nature of the claims themselves.”  The Court agreed: “[T]he cha</w:t>
                            </w:r>
                            <w:r w:rsidRPr="002E5BED">
                              <w:rPr>
                                <w:rFonts w:ascii="Tw Cen MT" w:hAnsi="Tw Cen MT"/>
                                <w:szCs w:val="24"/>
                              </w:rPr>
                              <w:t>r</w:t>
                            </w:r>
                            <w:r w:rsidRPr="002E5BED">
                              <w:rPr>
                                <w:rFonts w:ascii="Tw Cen MT" w:hAnsi="Tw Cen MT"/>
                                <w:szCs w:val="24"/>
                              </w:rPr>
                              <w:t>acterization, as ‘business’ or ‘personal,’ of the litigation costs of resisting a claim depends on whether or not the claim arises in connection with the taxpayer’s profit-seeking activities. It does not depend on the cons</w:t>
                            </w:r>
                            <w:r w:rsidRPr="002E5BED">
                              <w:rPr>
                                <w:rFonts w:ascii="Tw Cen MT" w:hAnsi="Tw Cen MT"/>
                                <w:szCs w:val="24"/>
                              </w:rPr>
                              <w:t>e</w:t>
                            </w:r>
                            <w:r w:rsidRPr="002E5BED">
                              <w:rPr>
                                <w:rFonts w:ascii="Tw Cen MT" w:hAnsi="Tw Cen MT"/>
                                <w:szCs w:val="24"/>
                              </w:rPr>
                              <w:t>quences that might result to a taxpayer’s income-producing property from a failure to defeat the claim[.]”  The Court stated its “origin of the claim” test thus: “[T]he origin and character of the claim with r</w:t>
                            </w:r>
                            <w:r w:rsidRPr="002E5BED">
                              <w:rPr>
                                <w:rFonts w:ascii="Tw Cen MT" w:hAnsi="Tw Cen MT"/>
                                <w:szCs w:val="24"/>
                              </w:rPr>
                              <w:t>e</w:t>
                            </w:r>
                            <w:r w:rsidRPr="002E5BED">
                              <w:rPr>
                                <w:rFonts w:ascii="Tw Cen MT" w:hAnsi="Tw Cen MT"/>
                                <w:szCs w:val="24"/>
                              </w:rPr>
                              <w:t>spect to which an expense was incurred, rather than its potential consequences upon the fortunes of the ta</w:t>
                            </w:r>
                            <w:r w:rsidRPr="002E5BED">
                              <w:rPr>
                                <w:rFonts w:ascii="Tw Cen MT" w:hAnsi="Tw Cen MT"/>
                                <w:szCs w:val="24"/>
                              </w:rPr>
                              <w:t>x</w:t>
                            </w:r>
                            <w:r w:rsidRPr="002E5BED">
                              <w:rPr>
                                <w:rFonts w:ascii="Tw Cen MT" w:hAnsi="Tw Cen MT"/>
                                <w:szCs w:val="24"/>
                              </w:rPr>
                              <w:t>payer, is the controlling basic test of whether the e</w:t>
                            </w:r>
                            <w:r w:rsidRPr="002E5BED">
                              <w:rPr>
                                <w:rFonts w:ascii="Tw Cen MT" w:hAnsi="Tw Cen MT"/>
                                <w:szCs w:val="24"/>
                              </w:rPr>
                              <w:t>x</w:t>
                            </w:r>
                            <w:r w:rsidRPr="002E5BED">
                              <w:rPr>
                                <w:rFonts w:ascii="Tw Cen MT" w:hAnsi="Tw Cen MT"/>
                                <w:szCs w:val="24"/>
                              </w:rPr>
                              <w:t>pense was ‘business’ or ‘personal[.]’” None of taxpa</w:t>
                            </w:r>
                            <w:r w:rsidRPr="002E5BED">
                              <w:rPr>
                                <w:rFonts w:ascii="Tw Cen MT" w:hAnsi="Tw Cen MT"/>
                                <w:szCs w:val="24"/>
                              </w:rPr>
                              <w:t>y</w:t>
                            </w:r>
                            <w:r w:rsidRPr="002E5BED">
                              <w:rPr>
                                <w:rFonts w:ascii="Tw Cen MT" w:hAnsi="Tw Cen MT"/>
                                <w:szCs w:val="24"/>
                              </w:rPr>
                              <w:t>er’s legal expenses were deductible.  “It is enough to say that ... the wife’s claims stemmed entirely from the marital relationship, and not, under any tenable view of things, from income-producing activity.”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8" type="#_x0000_t202" style="position:absolute;left:0;text-align:left;margin-left:117.9pt;margin-top:-89.85pt;width:280.45pt;height:539.55pt;z-index:251682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4LLAIAAFwEAAAOAAAAZHJzL2Uyb0RvYy54bWysVNuO2yAQfa/Uf0C8N07cxptacVbbbFNV&#10;2l6k3X4AxthGBYYCiZ1+fQeczaa3l6p+QAwMZ86cmfH6etSKHITzEkxFF7M5JcJwaKTpKvrlYfdi&#10;RYkPzDRMgREVPQpPrzfPn60HW4ocelCNcARBjC8HW9E+BFtmmee90MzPwAqDly04zQKarssaxwZE&#10;1yrL5/MiG8A11gEX3uPp7XRJNwm/bQUPn9rWi0BURZFbSKtLax3XbLNmZeeY7SU/0WD/wEIzaTDo&#10;GeqWBUb2Tv4GpSV34KENMw46g7aVXKQcMJvF/Jds7ntmRcoFxfH2LJP/f7D84+GzI7Kp6PIVJYZp&#10;rNGDGAN5AyMpiqjPYH2JbvcWHcOI51jnlKu3d8C/emJg2zPTiRvnYOgFa5DfIr7MLp5OOD6C1MMH&#10;aDAO2wdIQGPrdBQP5SCIjnU6nmsTuXA8fLksFleLJSUc74rVMs9XyxSDlY/PrfPhnQBN4qaiDouf&#10;4NnhzodIh5WPLjGaByWbnVQqGa6rt8qRA8NG2aXvhP6TmzJkwOTyxet8kuCvGPP0/QlDy4Atr6Su&#10;6OrsxMoo3FvTpIYMTKppj5yVOSkZxZtkDGM9pqIVeYwQZa6hOaK2DqYWx5HETQ/uOyUDtndF/bc9&#10;c4IS9d5gfa4KnB6ch0vDXRr1pcEMR6iKBkqm7TZMM7S3TnY9Rpo6wsAN1rSVSe0nVif+2MKpCKdx&#10;izNyaSevp5/C5gcAAAD//wMAUEsDBBQABgAIAAAAIQC0u2jb4AAAAAwBAAAPAAAAZHJzL2Rvd25y&#10;ZXYueG1sTI9BT4NAEIXvJv6HzZh4a5eiloIMjSHxXqhGj1t2BCK7i+y24L93POltXublve/l+8UM&#10;4kKT751F2KwjEGQbp3vbIrwcn1c7ED4oq9XgLCF8k4d9cX2Vq0y72VZ0qUMrOMT6TCF0IYyZlL7p&#10;yCi/diNZ/n24yajAcmqlntTM4WaQcRRtpVG95YZOjVR21HzWZ4Pgqqp8jeuvw1s567KdD0sY3zvE&#10;25vl6RFEoCX8meEXn9GhYKaTO1vtxYAQ3z0wekBYbZI0AcGWJN3ycULYpek9yCKX/0cUPwAAAP//&#10;AwBQSwECLQAUAAYACAAAACEAtoM4kv4AAADhAQAAEwAAAAAAAAAAAAAAAAAAAAAAW0NvbnRlbnRf&#10;VHlwZXNdLnhtbFBLAQItABQABgAIAAAAIQA4/SH/1gAAAJQBAAALAAAAAAAAAAAAAAAAAC8BAABf&#10;cmVscy8ucmVsc1BLAQItABQABgAIAAAAIQDhe34LLAIAAFwEAAAOAAAAAAAAAAAAAAAAAC4CAABk&#10;cnMvZTJvRG9jLnhtbFBLAQItABQABgAIAAAAIQC0u2jb4AAAAAwBAAAPAAAAAAAAAAAAAAAAAIYE&#10;AABkcnMvZG93bnJldi54bWxQSwUGAAAAAAQABADzAAAAkwUAAAAA&#10;" o:allowincell="f" strokeweight=".96pt">
                <v:textbox inset="6pt,6pt,6pt,6pt">
                  <w:txbxContent>
                    <w:p w:rsidR="00FF5E72" w:rsidRPr="002E5BED" w:rsidRDefault="00FF5E72" w:rsidP="00562CED">
                      <w:pPr>
                        <w:widowControl w:val="0"/>
                        <w:jc w:val="both"/>
                        <w:rPr>
                          <w:rFonts w:ascii="Tw Cen MT" w:hAnsi="Tw Cen MT"/>
                          <w:szCs w:val="24"/>
                        </w:rPr>
                      </w:pPr>
                      <w:r w:rsidRPr="002E5BED">
                        <w:rPr>
                          <w:rFonts w:ascii="Tw Cen MT" w:hAnsi="Tw Cen MT"/>
                          <w:i/>
                          <w:szCs w:val="24"/>
                        </w:rPr>
                        <w:t>Deductibility of Legal Expenses</w:t>
                      </w:r>
                      <w:r w:rsidRPr="002E5BED">
                        <w:rPr>
                          <w:rFonts w:ascii="Tw Cen MT" w:hAnsi="Tw Cen MT"/>
                          <w:szCs w:val="24"/>
                        </w:rPr>
                        <w:t xml:space="preserve">: In both </w:t>
                      </w:r>
                      <w:r w:rsidRPr="002E5BED">
                        <w:rPr>
                          <w:rFonts w:ascii="Tw Cen MT" w:hAnsi="Tw Cen MT"/>
                          <w:i/>
                          <w:szCs w:val="24"/>
                        </w:rPr>
                        <w:t>Woodward</w:t>
                      </w:r>
                      <w:r w:rsidRPr="002E5BED">
                        <w:rPr>
                          <w:rFonts w:ascii="Tw Cen MT" w:hAnsi="Tw Cen MT"/>
                          <w:szCs w:val="24"/>
                        </w:rPr>
                        <w:t xml:space="preserve">, </w:t>
                      </w:r>
                      <w:r w:rsidRPr="002E5BED">
                        <w:rPr>
                          <w:rFonts w:ascii="Tw Cen MT" w:hAnsi="Tw Cen MT"/>
                          <w:i/>
                          <w:szCs w:val="24"/>
                        </w:rPr>
                        <w:t>s</w:t>
                      </w:r>
                      <w:r w:rsidRPr="002E5BED">
                        <w:rPr>
                          <w:rFonts w:ascii="Tw Cen MT" w:hAnsi="Tw Cen MT"/>
                          <w:i/>
                          <w:szCs w:val="24"/>
                        </w:rPr>
                        <w:t>u</w:t>
                      </w:r>
                      <w:r w:rsidRPr="002E5BED">
                        <w:rPr>
                          <w:rFonts w:ascii="Tw Cen MT" w:hAnsi="Tw Cen MT"/>
                          <w:i/>
                          <w:szCs w:val="24"/>
                        </w:rPr>
                        <w:t>pra</w:t>
                      </w:r>
                      <w:r w:rsidRPr="002E5BED">
                        <w:rPr>
                          <w:rFonts w:ascii="Tw Cen MT" w:hAnsi="Tw Cen MT"/>
                          <w:szCs w:val="24"/>
                        </w:rPr>
                        <w:t xml:space="preserve">, and </w:t>
                      </w:r>
                      <w:r w:rsidRPr="002E5BED">
                        <w:rPr>
                          <w:rFonts w:ascii="Tw Cen MT" w:hAnsi="Tw Cen MT"/>
                          <w:i/>
                          <w:szCs w:val="24"/>
                        </w:rPr>
                        <w:t>Tellier</w:t>
                      </w:r>
                      <w:r w:rsidRPr="002E5BED">
                        <w:rPr>
                          <w:rFonts w:ascii="Tw Cen MT" w:hAnsi="Tw Cen MT"/>
                          <w:szCs w:val="24"/>
                        </w:rPr>
                        <w:t xml:space="preserve">, the Court cited </w:t>
                      </w:r>
                      <w:r w:rsidRPr="002E5BED">
                        <w:rPr>
                          <w:rFonts w:ascii="Tw Cen MT" w:hAnsi="Tw Cen MT"/>
                          <w:i/>
                          <w:szCs w:val="24"/>
                        </w:rPr>
                        <w:t>United States v. Gilmore</w:t>
                      </w:r>
                      <w:r w:rsidRPr="002E5BED">
                        <w:rPr>
                          <w:rFonts w:ascii="Tw Cen MT" w:hAnsi="Tw Cen MT"/>
                          <w:szCs w:val="24"/>
                        </w:rPr>
                        <w:t xml:space="preserve">, 372 U.S. 39 (1963).  In </w:t>
                      </w:r>
                      <w:r w:rsidRPr="002E5BED">
                        <w:rPr>
                          <w:rFonts w:ascii="Tw Cen MT" w:hAnsi="Tw Cen MT"/>
                          <w:i/>
                          <w:szCs w:val="24"/>
                        </w:rPr>
                        <w:t>Gilmore</w:t>
                      </w:r>
                      <w:r w:rsidRPr="002E5BED">
                        <w:rPr>
                          <w:rFonts w:ascii="Tw Cen MT" w:hAnsi="Tw Cen MT"/>
                          <w:szCs w:val="24"/>
                        </w:rPr>
                        <w:t>, taxpayer and his wife cross-claimed for divorce.  Taxpayer owned the co</w:t>
                      </w:r>
                      <w:r w:rsidRPr="002E5BED">
                        <w:rPr>
                          <w:rFonts w:ascii="Tw Cen MT" w:hAnsi="Tw Cen MT"/>
                          <w:szCs w:val="24"/>
                        </w:rPr>
                        <w:t>n</w:t>
                      </w:r>
                      <w:r w:rsidRPr="002E5BED">
                        <w:rPr>
                          <w:rFonts w:ascii="Tw Cen MT" w:hAnsi="Tw Cen MT"/>
                          <w:szCs w:val="24"/>
                        </w:rPr>
                        <w:t>trolling stock interests of three corporations, each of which owned a General Motors dealership.  He r</w:t>
                      </w:r>
                      <w:r w:rsidRPr="002E5BED">
                        <w:rPr>
                          <w:rFonts w:ascii="Tw Cen MT" w:hAnsi="Tw Cen MT"/>
                          <w:szCs w:val="24"/>
                        </w:rPr>
                        <w:t>e</w:t>
                      </w:r>
                      <w:r w:rsidRPr="002E5BED">
                        <w:rPr>
                          <w:rFonts w:ascii="Tw Cen MT" w:hAnsi="Tw Cen MT"/>
                          <w:szCs w:val="24"/>
                        </w:rPr>
                        <w:t>ceived a substantial income from these corporations.  His wife made sensational allegations, and had she prevailed, she could receive more than half of the stock and/or GM would terminate the corporations’ fra</w:t>
                      </w:r>
                      <w:r w:rsidRPr="002E5BED">
                        <w:rPr>
                          <w:rFonts w:ascii="Tw Cen MT" w:hAnsi="Tw Cen MT"/>
                          <w:szCs w:val="24"/>
                        </w:rPr>
                        <w:t>n</w:t>
                      </w:r>
                      <w:r w:rsidRPr="002E5BED">
                        <w:rPr>
                          <w:rFonts w:ascii="Tw Cen MT" w:hAnsi="Tw Cen MT"/>
                          <w:szCs w:val="24"/>
                        </w:rPr>
                        <w:t>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w:t>
                      </w:r>
                      <w:r w:rsidRPr="002E5BED">
                        <w:rPr>
                          <w:rFonts w:ascii="Tw Cen MT" w:hAnsi="Tw Cen MT"/>
                          <w:szCs w:val="24"/>
                        </w:rPr>
                        <w:t>s</w:t>
                      </w:r>
                      <w:r w:rsidRPr="002E5BED">
                        <w:rPr>
                          <w:rFonts w:ascii="Tw Cen MT" w:hAnsi="Tw Cen MT"/>
                          <w:szCs w:val="24"/>
                        </w:rPr>
                        <w:t>sioner argued that such expenses were personal or family expenses.  The court of claims allocated 20% of the fees to the divorce and 80% to conservation of property.  The CIR argued that deductibility under e</w:t>
                      </w:r>
                      <w:r w:rsidRPr="002E5BED">
                        <w:rPr>
                          <w:rFonts w:ascii="Tw Cen MT" w:hAnsi="Tw Cen MT"/>
                          <w:szCs w:val="24"/>
                        </w:rPr>
                        <w:t>i</w:t>
                      </w:r>
                      <w:r w:rsidRPr="002E5BED">
                        <w:rPr>
                          <w:rFonts w:ascii="Tw Cen MT" w:hAnsi="Tw Cen MT"/>
                          <w:szCs w:val="24"/>
                        </w:rPr>
                        <w:t>ther § 162 or § 212 turned “not upon the consequences to respondent of a failure to defeat his wife’s commun</w:t>
                      </w:r>
                      <w:r w:rsidRPr="002E5BED">
                        <w:rPr>
                          <w:rFonts w:ascii="Tw Cen MT" w:hAnsi="Tw Cen MT"/>
                          <w:szCs w:val="24"/>
                        </w:rPr>
                        <w:t>i</w:t>
                      </w:r>
                      <w:r w:rsidRPr="002E5BED">
                        <w:rPr>
                          <w:rFonts w:ascii="Tw Cen MT" w:hAnsi="Tw Cen MT"/>
                          <w:szCs w:val="24"/>
                        </w:rPr>
                        <w:t>ty property claims, but upon the origin and nature of the claims themselves.”  The Court agreed: “[T]he cha</w:t>
                      </w:r>
                      <w:r w:rsidRPr="002E5BED">
                        <w:rPr>
                          <w:rFonts w:ascii="Tw Cen MT" w:hAnsi="Tw Cen MT"/>
                          <w:szCs w:val="24"/>
                        </w:rPr>
                        <w:t>r</w:t>
                      </w:r>
                      <w:r w:rsidRPr="002E5BED">
                        <w:rPr>
                          <w:rFonts w:ascii="Tw Cen MT" w:hAnsi="Tw Cen MT"/>
                          <w:szCs w:val="24"/>
                        </w:rPr>
                        <w:t>acterization, as ‘business’ or ‘personal,’ of the litigation costs of resisting a claim depends on whether or not the claim arises in connection with the taxpayer’s profit-seeking activities. It does not depend on the cons</w:t>
                      </w:r>
                      <w:r w:rsidRPr="002E5BED">
                        <w:rPr>
                          <w:rFonts w:ascii="Tw Cen MT" w:hAnsi="Tw Cen MT"/>
                          <w:szCs w:val="24"/>
                        </w:rPr>
                        <w:t>e</w:t>
                      </w:r>
                      <w:r w:rsidRPr="002E5BED">
                        <w:rPr>
                          <w:rFonts w:ascii="Tw Cen MT" w:hAnsi="Tw Cen MT"/>
                          <w:szCs w:val="24"/>
                        </w:rPr>
                        <w:t>quences that might result to a taxpayer’s income-producing property from a failure to defeat the claim[.]”  The Court stated its “origin of the claim” test thus: “[T]he origin and character of the claim with r</w:t>
                      </w:r>
                      <w:r w:rsidRPr="002E5BED">
                        <w:rPr>
                          <w:rFonts w:ascii="Tw Cen MT" w:hAnsi="Tw Cen MT"/>
                          <w:szCs w:val="24"/>
                        </w:rPr>
                        <w:t>e</w:t>
                      </w:r>
                      <w:r w:rsidRPr="002E5BED">
                        <w:rPr>
                          <w:rFonts w:ascii="Tw Cen MT" w:hAnsi="Tw Cen MT"/>
                          <w:szCs w:val="24"/>
                        </w:rPr>
                        <w:t>spect to which an expense was incurred, rather than its potential consequences upon the fortunes of the ta</w:t>
                      </w:r>
                      <w:r w:rsidRPr="002E5BED">
                        <w:rPr>
                          <w:rFonts w:ascii="Tw Cen MT" w:hAnsi="Tw Cen MT"/>
                          <w:szCs w:val="24"/>
                        </w:rPr>
                        <w:t>x</w:t>
                      </w:r>
                      <w:r w:rsidRPr="002E5BED">
                        <w:rPr>
                          <w:rFonts w:ascii="Tw Cen MT" w:hAnsi="Tw Cen MT"/>
                          <w:szCs w:val="24"/>
                        </w:rPr>
                        <w:t>payer, is the controlling basic test of whether the e</w:t>
                      </w:r>
                      <w:r w:rsidRPr="002E5BED">
                        <w:rPr>
                          <w:rFonts w:ascii="Tw Cen MT" w:hAnsi="Tw Cen MT"/>
                          <w:szCs w:val="24"/>
                        </w:rPr>
                        <w:t>x</w:t>
                      </w:r>
                      <w:r w:rsidRPr="002E5BED">
                        <w:rPr>
                          <w:rFonts w:ascii="Tw Cen MT" w:hAnsi="Tw Cen MT"/>
                          <w:szCs w:val="24"/>
                        </w:rPr>
                        <w:t>pense was ‘business’ or ‘personal[.]’” None of taxpa</w:t>
                      </w:r>
                      <w:r w:rsidRPr="002E5BED">
                        <w:rPr>
                          <w:rFonts w:ascii="Tw Cen MT" w:hAnsi="Tw Cen MT"/>
                          <w:szCs w:val="24"/>
                        </w:rPr>
                        <w:t>y</w:t>
                      </w:r>
                      <w:r w:rsidRPr="002E5BED">
                        <w:rPr>
                          <w:rFonts w:ascii="Tw Cen MT" w:hAnsi="Tw Cen MT"/>
                          <w:szCs w:val="24"/>
                        </w:rPr>
                        <w:t>er’s legal expenses were deductible.  “It is enough to say that ... the wife’s claims stemmed entirely from the marital relationship, and not, under any tenable view of things, from income-producing activity.”</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Congress has autho</w:t>
      </w:r>
      <w:r w:rsidRPr="00576ED7">
        <w:rPr>
          <w:szCs w:val="24"/>
        </w:rPr>
        <w:t>r</w:t>
      </w:r>
      <w:r w:rsidRPr="00576ED7">
        <w:rPr>
          <w:szCs w:val="24"/>
        </w:rPr>
        <w:t>ized the imposition of severe punishment upon those found guilty of the serious criminal offenses with which the r</w:t>
      </w:r>
      <w:r w:rsidRPr="00576ED7">
        <w:rPr>
          <w:szCs w:val="24"/>
        </w:rPr>
        <w:t>e</w:t>
      </w:r>
      <w:r w:rsidRPr="00576ED7">
        <w:rPr>
          <w:szCs w:val="24"/>
        </w:rPr>
        <w:t>spondent was charged and of which he was convicted. But we can find no warrant for attaching to that punishment an additional financial burden that Congress has neither expressly nor implicitly d</w:t>
      </w:r>
      <w:r w:rsidRPr="00576ED7">
        <w:rPr>
          <w:szCs w:val="24"/>
        </w:rPr>
        <w:t>i</w:t>
      </w:r>
      <w:r w:rsidRPr="00576ED7">
        <w:rPr>
          <w:szCs w:val="24"/>
        </w:rPr>
        <w:lastRenderedPageBreak/>
        <w:t>rected.</w:t>
      </w:r>
      <w:r w:rsidRPr="00576ED7">
        <w:rPr>
          <w:rStyle w:val="FootnoteReference"/>
          <w:szCs w:val="24"/>
        </w:rPr>
        <w:footnoteReference w:id="135"/>
      </w:r>
      <w:r w:rsidRPr="00576ED7">
        <w:rPr>
          <w:szCs w:val="24"/>
        </w:rPr>
        <w:t xml:space="preserve"> To deny a deduction for expenses incurred in the unsuccessful defense of a criminal prosecution would i</w:t>
      </w:r>
      <w:r w:rsidRPr="00576ED7">
        <w:rPr>
          <w:szCs w:val="24"/>
        </w:rPr>
        <w:t>m</w:t>
      </w:r>
      <w:r w:rsidRPr="00576ED7">
        <w:rPr>
          <w:szCs w:val="24"/>
        </w:rPr>
        <w:t>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w:t>
      </w:r>
      <w:r w:rsidRPr="00576ED7">
        <w:rPr>
          <w:szCs w:val="24"/>
        </w:rPr>
        <w:t>n</w:t>
      </w:r>
      <w:r w:rsidRPr="00576ED7">
        <w:rPr>
          <w:szCs w:val="24"/>
        </w:rPr>
        <w:t>tended nor designed by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Why should the standard of “necessary” under § 162 be a minimal one, i.e., appropriate and helpful? Are there forces other than the rules of § 162 that will provide controls on the amounts that a taxpayer spends to further his/her/its bus</w:t>
      </w:r>
      <w:r w:rsidRPr="00576ED7">
        <w:rPr>
          <w:szCs w:val="24"/>
        </w:rPr>
        <w:t>i</w:t>
      </w:r>
      <w:r w:rsidRPr="00576ED7">
        <w:rPr>
          <w:szCs w:val="24"/>
        </w:rPr>
        <w:t>ness?</w:t>
      </w:r>
    </w:p>
    <w:p w:rsidR="0049128E" w:rsidRPr="00576ED7" w:rsidRDefault="0049128E" w:rsidP="00A6585D">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income tax is a tax only on net income.  The one exception to this – e</w:t>
      </w:r>
      <w:r w:rsidRPr="00576ED7">
        <w:rPr>
          <w:szCs w:val="24"/>
        </w:rPr>
        <w:t>x</w:t>
      </w:r>
      <w:r w:rsidRPr="00576ED7">
        <w:rPr>
          <w:szCs w:val="24"/>
        </w:rPr>
        <w:t>plicitly stated in the Code – is § 280E.  The expenses of carrying on the trade or business of trafficking in controlled substances are not deductible.</w:t>
      </w:r>
    </w:p>
    <w:p w:rsidR="0049128E" w:rsidRPr="00576ED7" w:rsidRDefault="0049128E" w:rsidP="00A6585D">
      <w:pPr>
        <w:widowControl w:val="0"/>
        <w:ind w:left="720"/>
        <w:jc w:val="both"/>
        <w:rPr>
          <w:szCs w:val="24"/>
        </w:rPr>
      </w:pPr>
      <w:r w:rsidRPr="00576ED7">
        <w:rPr>
          <w:szCs w:val="24"/>
        </w:rPr>
        <w:t>•Is § 280E constitutional?</w:t>
      </w:r>
    </w:p>
    <w:p w:rsidR="0049128E" w:rsidRPr="00576ED7" w:rsidRDefault="0049128E" w:rsidP="00A6585D">
      <w:pPr>
        <w:widowControl w:val="0"/>
        <w:ind w:left="720"/>
        <w:jc w:val="both"/>
        <w:rPr>
          <w:szCs w:val="24"/>
        </w:rPr>
      </w:pPr>
      <w:r w:rsidRPr="00576ED7">
        <w:rPr>
          <w:szCs w:val="24"/>
        </w:rPr>
        <w:t>•Who would want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norms does a refusal to incorporate public policy into the Code further?</w:t>
      </w:r>
    </w:p>
    <w:p w:rsidR="0049128E" w:rsidRPr="00576ED7" w:rsidRDefault="0049128E" w:rsidP="00A6585D">
      <w:pPr>
        <w:widowControl w:val="0"/>
        <w:ind w:left="720"/>
        <w:jc w:val="both"/>
        <w:rPr>
          <w:szCs w:val="24"/>
        </w:rPr>
      </w:pPr>
      <w:r w:rsidRPr="00576ED7">
        <w:rPr>
          <w:szCs w:val="24"/>
        </w:rPr>
        <w:t>•A refusal to incorporate public policy into the Code hardly means that there is no public policy limitation on deductibility under § 162.  Rather, those limitations must be explicitly stated in the statute itself.</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rsidR="0049128E" w:rsidRPr="00576ED7" w:rsidRDefault="0049128E" w:rsidP="00A6585D">
      <w:pPr>
        <w:widowControl w:val="0"/>
        <w:ind w:left="720"/>
        <w:jc w:val="both"/>
        <w:rPr>
          <w:szCs w:val="24"/>
        </w:rPr>
      </w:pPr>
      <w:r w:rsidRPr="00576ED7">
        <w:rPr>
          <w:szCs w:val="24"/>
        </w:rPr>
        <w:t xml:space="preserve">•Note the topics covered in §§ 162(b, c, e, f, g, k, </w:t>
      </w:r>
      <w:r w:rsidRPr="00576ED7">
        <w:rPr>
          <w:i/>
          <w:szCs w:val="24"/>
        </w:rPr>
        <w:t>l</w:t>
      </w:r>
      <w:r w:rsidRPr="00576ED7">
        <w:rPr>
          <w:szCs w:val="24"/>
        </w:rPr>
        <w:t>, and 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The term “ordinary” has a relatively special meaning as used in § 162.  What is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In </w:t>
      </w:r>
      <w:r w:rsidRPr="00576ED7">
        <w:rPr>
          <w:i/>
          <w:szCs w:val="24"/>
        </w:rPr>
        <w:t>Tellier</w:t>
      </w:r>
      <w:r w:rsidRPr="00576ED7">
        <w:rPr>
          <w:szCs w:val="24"/>
        </w:rPr>
        <w:t xml:space="preserve">, taxpayer was a criminal.  He nevertheless could deduct </w:t>
      </w:r>
      <w:r w:rsidR="004020EF" w:rsidRPr="00576ED7">
        <w:rPr>
          <w:szCs w:val="24"/>
        </w:rPr>
        <w:t>the “ord</w:t>
      </w:r>
      <w:r w:rsidR="004020EF" w:rsidRPr="00576ED7">
        <w:rPr>
          <w:szCs w:val="24"/>
        </w:rPr>
        <w:t>i</w:t>
      </w:r>
      <w:r w:rsidR="004020EF" w:rsidRPr="00576ED7">
        <w:rPr>
          <w:szCs w:val="24"/>
        </w:rPr>
        <w:t>nary</w:t>
      </w:r>
      <w:r w:rsidRPr="00576ED7">
        <w:rPr>
          <w:szCs w:val="24"/>
        </w:rPr>
        <w:t xml:space="preserve"> and necessary” trade or business expenses arising from this character flaw.</w:t>
      </w:r>
    </w:p>
    <w:p w:rsidR="0049128E" w:rsidRPr="00576ED7" w:rsidRDefault="0049128E" w:rsidP="00A6585D">
      <w:pPr>
        <w:widowControl w:val="0"/>
        <w:ind w:left="720"/>
        <w:jc w:val="both"/>
        <w:rPr>
          <w:szCs w:val="24"/>
        </w:rPr>
      </w:pPr>
      <w:r w:rsidRPr="00576ED7">
        <w:rPr>
          <w:szCs w:val="24"/>
        </w:rPr>
        <w:t>•Should taxpayer be permitted to deduct the ordinary and necessary e</w:t>
      </w:r>
      <w:r w:rsidRPr="00576ED7">
        <w:rPr>
          <w:szCs w:val="24"/>
        </w:rPr>
        <w:t>x</w:t>
      </w:r>
      <w:r w:rsidRPr="00576ED7">
        <w:rPr>
          <w:szCs w:val="24"/>
        </w:rPr>
        <w:t xml:space="preserve">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MEMORANDUM FINDINGS OF FACT AND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Gilliam had a history of hospitalizations for mental and emotional disturbances </w:t>
      </w:r>
      <w:r w:rsidRPr="00576ED7">
        <w:rPr>
          <w:szCs w:val="24"/>
        </w:rPr>
        <w:lastRenderedPageBreak/>
        <w:t>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w:t>
      </w:r>
      <w:r w:rsidRPr="00576ED7">
        <w:rPr>
          <w:szCs w:val="24"/>
        </w:rPr>
        <w:t>l</w:t>
      </w:r>
      <w:r w:rsidRPr="00576ED7">
        <w:rPr>
          <w:szCs w:val="24"/>
        </w:rPr>
        <w:t>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w:t>
      </w:r>
      <w:r w:rsidRPr="00576ED7">
        <w:rPr>
          <w:szCs w:val="24"/>
        </w:rPr>
        <w:t>n</w:t>
      </w:r>
      <w:r w:rsidRPr="00576ED7">
        <w:rPr>
          <w:szCs w:val="24"/>
        </w:rPr>
        <w:t>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w:t>
      </w:r>
      <w:r w:rsidRPr="00576ED7">
        <w:rPr>
          <w:szCs w:val="24"/>
        </w:rPr>
        <w:t>e</w:t>
      </w:r>
      <w:r w:rsidRPr="00576ED7">
        <w:rPr>
          <w:szCs w:val="24"/>
        </w:rPr>
        <w:t>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w:t>
      </w:r>
      <w:r w:rsidRPr="00576ED7">
        <w:rPr>
          <w:szCs w:val="24"/>
        </w:rPr>
        <w:lastRenderedPageBreak/>
        <w:t>the airplane, near one of the exits. Gilliam also threatened the navigator and a stewardess, called for help, and cried. As a result of the attack, Nakamura su</w:t>
      </w:r>
      <w:r w:rsidRPr="00576ED7">
        <w:rPr>
          <w:szCs w:val="24"/>
        </w:rPr>
        <w:t>s</w:t>
      </w:r>
      <w:r w:rsidRPr="00576ED7">
        <w:rPr>
          <w:szCs w:val="24"/>
        </w:rPr>
        <w:t>tained a one-inch laceration above his left eyebrow which required four sutures. Nakamura also suffered ecchymosis of the left arm and pains in his left wrist. Nakamura was treated for these injuries at Methodist Hospital in Memphis.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arriving in Memphis, Gilliam was arrested by Federal officials. On March 10, 1975, Gilliam was indicted. He was brought to trial in the United States District Court for the Western District of Tennessee, Western Division, on one count of violation of 49 U.S.C. § 1472(k) (relating to certain crimes aboard an aircraft in flight) and two counts of violation 49 U.S.C. § 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w:t>
      </w:r>
      <w:r w:rsidRPr="00576ED7">
        <w:rPr>
          <w:szCs w:val="24"/>
        </w:rPr>
        <w:t>i</w:t>
      </w:r>
      <w:r w:rsidRPr="00576ED7">
        <w:rPr>
          <w:szCs w:val="24"/>
        </w:rPr>
        <w:t>tioners also paid $3800 to Nakamura in settlement of the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claimed deductions for the amounts paid in 1975 and 1976 on the a</w:t>
      </w:r>
      <w:r w:rsidRPr="00576ED7">
        <w:rPr>
          <w:szCs w:val="24"/>
        </w:rPr>
        <w:t>p</w:t>
      </w:r>
      <w:r w:rsidRPr="00576ED7">
        <w:rPr>
          <w:szCs w:val="24"/>
        </w:rPr>
        <w:t>propriate individual income tax returns. Respondent disallowed the amounts claimed in both years attributable to the incident on the airplane. [footnote omi</w:t>
      </w:r>
      <w:r w:rsidRPr="00576ED7">
        <w:rPr>
          <w:szCs w:val="24"/>
        </w:rPr>
        <w:t>t</w:t>
      </w:r>
      <w:r w:rsidRPr="00576ED7">
        <w:rPr>
          <w:szCs w:val="24"/>
        </w:rPr>
        <w:t xml:space="preserve">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Gilliam’s trip to Memphis was a trip in furtherance of his trades or businesses.</w:t>
      </w:r>
    </w:p>
    <w:p w:rsidR="002E5BED" w:rsidRDefault="002E5BED" w:rsidP="00A6585D">
      <w:pPr>
        <w:widowControl w:val="0"/>
        <w:jc w:val="both"/>
        <w:rPr>
          <w:szCs w:val="24"/>
        </w:rPr>
      </w:pPr>
    </w:p>
    <w:p w:rsidR="0049128E" w:rsidRPr="00576ED7" w:rsidRDefault="002E5BED"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 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w:t>
      </w:r>
      <w:r w:rsidRPr="00576ED7">
        <w:rPr>
          <w:szCs w:val="24"/>
        </w:rPr>
        <w:t>s</w:t>
      </w:r>
      <w:r w:rsidRPr="00576ED7">
        <w:rPr>
          <w:szCs w:val="24"/>
        </w:rPr>
        <w:t>ing out of an accident which occurs during a business trip are deductible as ord</w:t>
      </w:r>
      <w:r w:rsidRPr="00576ED7">
        <w:rPr>
          <w:szCs w:val="24"/>
        </w:rPr>
        <w:t>i</w:t>
      </w:r>
      <w:r w:rsidRPr="00576ED7">
        <w:rPr>
          <w:szCs w:val="24"/>
        </w:rPr>
        <w:lastRenderedPageBreak/>
        <w:t xml:space="preserve">nary and necessary business expenses. ‘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are distinguishable. Respondent contends that the legal fees paid are not deductible under either § 162 or § 212 because the criminal charges against Gilliam were neither directly connected with nor proximately resulted from his trade or business and the legal fees were not paid for the production of income. Respondent maintains that ‘the criminal char</w:t>
      </w:r>
      <w:r w:rsidRPr="00576ED7">
        <w:rPr>
          <w:szCs w:val="24"/>
        </w:rPr>
        <w:t>g</w:t>
      </w:r>
      <w:r w:rsidRPr="00576ED7">
        <w:rPr>
          <w:szCs w:val="24"/>
        </w:rPr>
        <w:t>es which arose as a result of *** (the incident on the airplane), could hardly be deemed ‘ordinary,’ given the nature of (Gilliam’s) profession.’ Respondent co</w:t>
      </w:r>
      <w:r w:rsidRPr="00576ED7">
        <w:rPr>
          <w:szCs w:val="24"/>
        </w:rPr>
        <w:t>n</w:t>
      </w:r>
      <w:r w:rsidRPr="00576ED7">
        <w:rPr>
          <w:szCs w:val="24"/>
        </w:rPr>
        <w:t>tends ‘that the provisions of § 262 control this situation.’ As to the settlement of the related civil claim, respondent asserts that since Gilliam committed an inte</w:t>
      </w:r>
      <w:r w:rsidRPr="00576ED7">
        <w:rPr>
          <w:szCs w:val="24"/>
        </w:rPr>
        <w:t>n</w:t>
      </w:r>
      <w:r w:rsidRPr="00576ED7">
        <w:rPr>
          <w:szCs w:val="24"/>
        </w:rPr>
        <w:t>tional tort, the settlement of the civil claim constitutes a nondeductible personal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 [footnote omitted] allows a deduction for all the ordinary and ne</w:t>
      </w:r>
      <w:r w:rsidRPr="00576ED7">
        <w:rPr>
          <w:szCs w:val="24"/>
        </w:rPr>
        <w:t>c</w:t>
      </w:r>
      <w:r w:rsidRPr="00576ED7">
        <w:rPr>
          <w:szCs w:val="24"/>
        </w:rPr>
        <w:t>essary expenses of carrying on a trade or business. In order for the expense to be deductible by a taxpayer, it must be an ordinary expense, it must be a necessary expense, and it must be an expense of carrying on the taxpayer’s trade or bus</w:t>
      </w:r>
      <w:r w:rsidRPr="00576ED7">
        <w:rPr>
          <w:szCs w:val="24"/>
        </w:rPr>
        <w:t>i</w:t>
      </w:r>
      <w:r w:rsidRPr="00576ED7">
        <w:rPr>
          <w:szCs w:val="24"/>
        </w:rPr>
        <w:t xml:space="preserve">ness. If any one of these requirements is not met, the expense is not deductible under § 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w:t>
      </w:r>
      <w:r w:rsidRPr="00576ED7">
        <w:rPr>
          <w:szCs w:val="24"/>
        </w:rPr>
        <w:t>e</w:t>
      </w:r>
      <w:r w:rsidRPr="00576ED7">
        <w:rPr>
          <w:szCs w:val="24"/>
        </w:rPr>
        <w:t>quirement that the expense be ‘ordinary’, as follows (308 U.S. at 494-497):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Ordinary has the connotation of normal, usual, or customary. To be sure, an expense may be ordinary though it happens but once in the ta</w:t>
      </w:r>
      <w:r w:rsidRPr="00576ED7">
        <w:rPr>
          <w:szCs w:val="24"/>
        </w:rPr>
        <w:t>x</w:t>
      </w:r>
      <w:r w:rsidRPr="00576ED7">
        <w:rPr>
          <w:szCs w:val="24"/>
        </w:rPr>
        <w:t xml:space="preserve">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Yet the transa</w:t>
      </w:r>
      <w:r w:rsidRPr="00576ED7">
        <w:rPr>
          <w:szCs w:val="24"/>
        </w:rPr>
        <w:t>c</w:t>
      </w:r>
      <w:r w:rsidRPr="00576ED7">
        <w:rPr>
          <w:szCs w:val="24"/>
        </w:rPr>
        <w:t xml:space="preserve">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 162(a)] does not nece</w:t>
      </w:r>
      <w:r w:rsidRPr="00576ED7">
        <w:rPr>
          <w:szCs w:val="24"/>
        </w:rPr>
        <w:t>s</w:t>
      </w:r>
      <w:r w:rsidRPr="00576ED7">
        <w:rPr>
          <w:szCs w:val="24"/>
        </w:rPr>
        <w:t xml:space="preserve">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xml:space="preserve">, pp. 113-114: ‘... What is ordinary, though there must always be a strain of constancy within it, is none the less a variable affected by time and place and circumstance.’  22 F. </w:t>
      </w:r>
      <w:r w:rsidR="006C5788" w:rsidRPr="00576ED7">
        <w:rPr>
          <w:szCs w:val="24"/>
        </w:rPr>
        <w:t xml:space="preserve"> </w:t>
      </w:r>
      <w:r w:rsidRPr="00576ED7">
        <w:rPr>
          <w:szCs w:val="24"/>
        </w:rPr>
        <w:t>Supp. 589, 597.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w:t>
      </w:r>
      <w:r w:rsidRPr="00576ED7">
        <w:rPr>
          <w:szCs w:val="24"/>
        </w:rPr>
        <w:t>s</w:t>
      </w:r>
      <w:r w:rsidRPr="00576ED7">
        <w:rPr>
          <w:szCs w:val="24"/>
        </w:rPr>
        <w:t>action out of which the obligation arose and its normalcy in the particular business which are crucial and controlling.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w:t>
      </w:r>
      <w:r w:rsidRPr="00576ED7">
        <w:rPr>
          <w:szCs w:val="24"/>
        </w:rPr>
        <w:t>i</w:t>
      </w:r>
      <w:r w:rsidRPr="00576ED7">
        <w:rPr>
          <w:szCs w:val="24"/>
        </w:rPr>
        <w:t>ous that neither the altercation nor the expenses were undertaken to further Gilliam’s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w:t>
      </w:r>
      <w:r w:rsidRPr="00576ED7">
        <w:rPr>
          <w:szCs w:val="24"/>
        </w:rPr>
        <w:t>u</w:t>
      </w:r>
      <w:r w:rsidRPr="00576ED7">
        <w:rPr>
          <w:szCs w:val="24"/>
        </w:rPr>
        <w:t>tomobile; he caused an accident which resulted in injuries to a child. The relevant expenses were the taxpayer’s payments to settle the civil claims arising from the accident. 73 T.C. at 1105. In the instant case, Gilliam was a passenger in an ai</w:t>
      </w:r>
      <w:r w:rsidRPr="00576ED7">
        <w:rPr>
          <w:szCs w:val="24"/>
        </w:rPr>
        <w:t>r</w:t>
      </w:r>
      <w:r w:rsidRPr="00576ED7">
        <w:rPr>
          <w:szCs w:val="24"/>
        </w:rPr>
        <w:t xml:space="preserve">plane; he apparently committed acts which would have been criminal but for his temporary insanity, and he injured a fellow passenger. Gilliam’s expenses were the costs of his successful legal defense, and his payments to settle Nakamura’s </w:t>
      </w:r>
      <w:r w:rsidRPr="00576ED7">
        <w:rPr>
          <w:szCs w:val="24"/>
        </w:rPr>
        <w:lastRenderedPageBreak/>
        <w:t>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w:t>
      </w:r>
      <w:r w:rsidRPr="00576ED7">
        <w:rPr>
          <w:szCs w:val="24"/>
        </w:rPr>
        <w:t>n</w:t>
      </w:r>
      <w:r w:rsidRPr="00576ED7">
        <w:rPr>
          <w:szCs w:val="24"/>
        </w:rPr>
        <w:t>curred as a result of such an incident are just as much a part of overall business expenses as the cost of fuel. (Emphasis supplied.)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also relied on by petitioners, the expenses co</w:t>
      </w:r>
      <w:r w:rsidRPr="00576ED7">
        <w:rPr>
          <w:szCs w:val="24"/>
        </w:rPr>
        <w:t>n</w:t>
      </w:r>
      <w:r w:rsidRPr="00576ED7">
        <w:rPr>
          <w:szCs w:val="24"/>
        </w:rPr>
        <w:t xml:space="preserve">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however, the taxpayer’s activities that gave rise to the prosec</w:t>
      </w:r>
      <w:r w:rsidRPr="00576ED7">
        <w:rPr>
          <w:szCs w:val="24"/>
        </w:rPr>
        <w:t>u</w:t>
      </w:r>
      <w:r w:rsidRPr="00576ED7">
        <w:rPr>
          <w:szCs w:val="24"/>
        </w:rPr>
        <w:t xml:space="preserve">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w:t>
      </w:r>
      <w:r w:rsidRPr="00576ED7">
        <w:rPr>
          <w:szCs w:val="24"/>
        </w:rPr>
        <w:lastRenderedPageBreak/>
        <w:t>not activities directly in the conduct of his trades or businesses, while Tellier’s and Clark’s activities were directly in the conduct of their respective trades or businesses. Gilliam’s expenses were related to his trades or businesses in a ma</w:t>
      </w:r>
      <w:r w:rsidRPr="00576ED7">
        <w:rPr>
          <w:szCs w:val="24"/>
        </w:rPr>
        <w:t>n</w:t>
      </w:r>
      <w:r w:rsidRPr="00576ED7">
        <w:rPr>
          <w:szCs w:val="24"/>
        </w:rPr>
        <w:t xml:space="preserve">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 162(a).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for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3840" behindDoc="0" locked="0" layoutInCell="0" allowOverlap="1" wp14:anchorId="6B8A8645" wp14:editId="3C4DF875">
                <wp:simplePos x="0" y="0"/>
                <wp:positionH relativeFrom="margin">
                  <wp:posOffset>2449195</wp:posOffset>
                </wp:positionH>
                <wp:positionV relativeFrom="paragraph">
                  <wp:posOffset>78740</wp:posOffset>
                </wp:positionV>
                <wp:extent cx="2971800" cy="828675"/>
                <wp:effectExtent l="0" t="0" r="0" b="0"/>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8675"/>
                        </a:xfrm>
                        <a:prstGeom prst="rect">
                          <a:avLst/>
                        </a:prstGeom>
                        <a:solidFill>
                          <a:srgbClr val="FFFFFF"/>
                        </a:solidFill>
                        <a:ln w="12192">
                          <a:solidFill>
                            <a:srgbClr val="000000"/>
                          </a:solidFill>
                          <a:miter lim="800000"/>
                          <a:headEnd/>
                          <a:tailEnd/>
                        </a:ln>
                      </wps:spPr>
                      <wps:txbx>
                        <w:txbxContent>
                          <w:p w:rsidR="00FF5E72" w:rsidRDefault="00FF5E72"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9" type="#_x0000_t202" style="position:absolute;left:0;text-align:left;margin-left:192.85pt;margin-top:6.2pt;width:234pt;height:65.25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mOKgIAAFsEAAAOAAAAZHJzL2Uyb0RvYy54bWysVNtu2zAMfR+wfxD0vthx0SQ14hRdugwD&#10;um5Auw+QZdkWJomapMTuvn6UnKbZ7WWYHwRRog4PD0mvr0etyEE4L8FUdD7LKRGGQyNNV9Evj7s3&#10;K0p8YKZhCoyo6JPw9Hrz+tV6sKUooAfVCEcQxPhysBXtQ7BllnneC838DKwweNmC0yyg6bqscWxA&#10;dK2yIs8X2QCusQ648B5Pb6dLukn4bSt4+NS2XgSiKorcQlpdWuu4Zps1KzvHbC/5kQb7BxaaSYNB&#10;T1C3LDCyd/I3KC25Aw9tmHHQGbSt5CLlgNnM81+yeeiZFSkXFMfbk0z+/8Hy+8NnR2RT0csLSgzT&#10;WKNHMQbyFkayWEZ9ButLdHuw6BhGPMc6p1y9vQP+1RMD256ZTtw4B0MvWIP85vFldvZ0wvERpB4+&#10;QoNx2D5AAhpbp6N4KAdBdKzT06k2kQvHw+JqOV/leMXxblWsFsvLFIKVz6+t8+G9AE3ipqIOa5/Q&#10;2eHOh8iGlc8uMZgHJZudVCoZrqu3ypEDwz7Zpe+I/pObMmTA3Ir5VTEp8FeMPH1/wtAyYMcrqTGN&#10;kxMro27vTJP6MTCppj1yVuYoZNRuUjGM9ZhqtriIEaLKNTRPKK2DqcNxInHTg/tOyYDdXVH/bc+c&#10;oER9MFie5QKHB8fh3HDnRn1uMMMRqqKBkmm7DdMI7a2TXY+RpoYwcIMlbWVS+4XVkT92cCrCcdri&#10;iJzbyevln7D5AQAA//8DAFBLAwQUAAYACAAAACEASMpbgdwAAAAKAQAADwAAAGRycy9kb3ducmV2&#10;LnhtbEyPwU7DMBBE70j8g7VI3KhD2kIIcSoUiXuTguDoxkscEa9D7Dbh71lOcNyZp9mZYre4QZxx&#10;Cr0nBberBARS601PnYKXw/NNBiJETUYPnlDBNwbYlZcXhc6Nn6nGcxM7wSEUcq3AxjjmUobWotNh&#10;5Uck9j785HTkc+qkmfTM4W6QaZLcSad74g9Wj1hZbD+bk1Pg67p6TZuv/Vs1m6qb90sc361S11fL&#10;0yOIiEv8g+G3PleHkjsd/YlMEIOCdba9Z5SNdAOCgWy7ZuHIwiZ9AFkW8v+E8gcAAP//AwBQSwEC&#10;LQAUAAYACAAAACEAtoM4kv4AAADhAQAAEwAAAAAAAAAAAAAAAAAAAAAAW0NvbnRlbnRfVHlwZXNd&#10;LnhtbFBLAQItABQABgAIAAAAIQA4/SH/1gAAAJQBAAALAAAAAAAAAAAAAAAAAC8BAABfcmVscy8u&#10;cmVsc1BLAQItABQABgAIAAAAIQA3ZNmOKgIAAFsEAAAOAAAAAAAAAAAAAAAAAC4CAABkcnMvZTJv&#10;RG9jLnhtbFBLAQItABQABgAIAAAAIQBIyluB3AAAAAoBAAAPAAAAAAAAAAAAAAAAAIQEAABkcnMv&#10;ZG93bnJldi54bWxQSwUGAAAAAAQABADzAAAAjQUAAAAA&#10;" o:allowincell="f" strokeweight=".96pt">
                <v:textbox inset="6pt,6pt,6pt,6pt">
                  <w:txbxContent>
                    <w:p w:rsidR="00FF5E72" w:rsidRDefault="00FF5E72"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w:t>
                      </w:r>
                      <w:r>
                        <w:rPr>
                          <w:rFonts w:ascii="Tw Cen MT" w:hAnsi="Tw Cen MT"/>
                        </w:rPr>
                        <w:t>x</w:t>
                      </w:r>
                      <w:r>
                        <w:rPr>
                          <w:rFonts w:ascii="Tw Cen MT" w:hAnsi="Tw Cen MT"/>
                        </w:rPr>
                        <w:t xml:space="preserve">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  Were the expenses incurred by taxpayer “necessary?”</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2</w:t>
      </w:r>
      <w:r w:rsidR="0049128E" w:rsidRPr="00576ED7">
        <w:rPr>
          <w:szCs w:val="24"/>
        </w:rPr>
        <w:t>.  By what means did the court in fact implement a public policy lim</w:t>
      </w:r>
      <w:r w:rsidR="0049128E" w:rsidRPr="00576ED7">
        <w:rPr>
          <w:szCs w:val="24"/>
        </w:rPr>
        <w:t>i</w:t>
      </w:r>
      <w:r w:rsidR="0049128E" w:rsidRPr="00576ED7">
        <w:rPr>
          <w:szCs w:val="24"/>
        </w:rPr>
        <w:t>tation on taxpayer’s trade or business expense? Why were the deductions that taxpayer claimed denied?</w:t>
      </w:r>
    </w:p>
    <w:p w:rsidR="0049128E" w:rsidRPr="00576ED7" w:rsidRDefault="0049128E" w:rsidP="00A6585D">
      <w:pPr>
        <w:widowControl w:val="0"/>
        <w:ind w:left="720"/>
        <w:jc w:val="both"/>
        <w:rPr>
          <w:szCs w:val="24"/>
        </w:rPr>
      </w:pPr>
      <w:r w:rsidRPr="00576ED7">
        <w:rPr>
          <w:szCs w:val="24"/>
        </w:rPr>
        <w:t>•because they were “extraordinary” in light of taxpayer’s trade or bus</w:t>
      </w:r>
      <w:r w:rsidRPr="00576ED7">
        <w:rPr>
          <w:szCs w:val="24"/>
        </w:rPr>
        <w:t>i</w:t>
      </w:r>
      <w:r w:rsidRPr="00576ED7">
        <w:rPr>
          <w:szCs w:val="24"/>
        </w:rPr>
        <w:t>ness?</w:t>
      </w:r>
    </w:p>
    <w:p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rsidR="0049128E" w:rsidRPr="00576ED7" w:rsidRDefault="0049128E" w:rsidP="00A6585D">
      <w:pPr>
        <w:widowControl w:val="0"/>
        <w:ind w:left="1440"/>
        <w:jc w:val="both"/>
        <w:rPr>
          <w:szCs w:val="24"/>
        </w:rPr>
      </w:pPr>
      <w:r w:rsidRPr="00576ED7">
        <w:rPr>
          <w:szCs w:val="24"/>
        </w:rPr>
        <w:t>•What if airline employees hit taxpayer and incurred tort damages and legal expenses? These expenses would be the very type of e</w:t>
      </w:r>
      <w:r w:rsidRPr="00576ED7">
        <w:rPr>
          <w:szCs w:val="24"/>
        </w:rPr>
        <w:t>x</w:t>
      </w:r>
      <w:r w:rsidRPr="00576ED7">
        <w:rPr>
          <w:szCs w:val="24"/>
        </w:rPr>
        <w:t>penses that Gilliam could not deduct.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3</w:t>
      </w:r>
      <w:r w:rsidR="0049128E" w:rsidRPr="00576ED7">
        <w:rPr>
          <w:szCs w:val="24"/>
        </w:rPr>
        <w:t>.  Even when taxpayer incurs ordinary and necessary trade or business expense, taxpayer might not be entitled to deduct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Walliser v. Commissioner</w:t>
      </w:r>
      <w:r w:rsidRPr="00576ED7">
        <w:rPr>
          <w:szCs w:val="24"/>
        </w:rPr>
        <w:t>, 72 T.C. 433 (1979)</w:t>
      </w:r>
      <w:r w:rsidRPr="00576ED7">
        <w:rPr>
          <w:szCs w:val="24"/>
        </w:rPr>
        <w:fldChar w:fldCharType="begin"/>
      </w:r>
      <w:r w:rsidRPr="00576ED7">
        <w:rPr>
          <w:szCs w:val="24"/>
        </w:rPr>
        <w:instrText xml:space="preserve"> TC \l4 "Walliser v. Commissioner, 72 T.C. 433 (1979)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w:t>
      </w:r>
      <w:r w:rsidRPr="00576ED7">
        <w:rPr>
          <w:szCs w:val="24"/>
        </w:rPr>
        <w:t>n</w:t>
      </w:r>
      <w:r w:rsidRPr="00576ED7">
        <w:rPr>
          <w:szCs w:val="24"/>
        </w:rPr>
        <w:t>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rsidR="002F7902" w:rsidRPr="00576ED7" w:rsidRDefault="002F7902" w:rsidP="00A6585D">
      <w:pPr>
        <w:widowControl w:val="0"/>
        <w:jc w:val="both"/>
        <w:rPr>
          <w:szCs w:val="24"/>
        </w:rPr>
      </w:pPr>
    </w:p>
    <w:p w:rsidR="0049128E" w:rsidRPr="00576ED7" w:rsidRDefault="0049128E" w:rsidP="00A6585D">
      <w:pPr>
        <w:widowControl w:val="0"/>
        <w:jc w:val="both"/>
        <w:rPr>
          <w:szCs w:val="24"/>
        </w:rPr>
      </w:pPr>
      <w:r w:rsidRPr="00576ED7">
        <w:rPr>
          <w:szCs w:val="24"/>
        </w:rPr>
        <w:t>As branch manager of the Richardson office of First Federal, James supervised all aspects of the branch’s operations, but his primary responsibility was the marke</w:t>
      </w:r>
      <w:r w:rsidRPr="00576ED7">
        <w:rPr>
          <w:szCs w:val="24"/>
        </w:rPr>
        <w:t>t</w:t>
      </w:r>
      <w:r w:rsidRPr="00576ED7">
        <w:rPr>
          <w:szCs w:val="24"/>
        </w:rPr>
        <w: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at issue, petitioners traveled abroad in tour groups org</w:t>
      </w:r>
      <w:r w:rsidRPr="00576ED7">
        <w:rPr>
          <w:szCs w:val="24"/>
        </w:rPr>
        <w:t>a</w:t>
      </w:r>
      <w:r w:rsidRPr="00576ED7">
        <w:rPr>
          <w:szCs w:val="24"/>
        </w:rPr>
        <w:t>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Fedders Co. (Fedders) and ran from October 3, 1973, to October 15, 1973.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1974, petitioners went to Santo Domingo on a tour organized by Fedders which began on September 27, 1974, and ended on October 4,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of the people on a General Electric or Fedders builders’ tour were builders and developers from Texas and their spouses. The group also included lenders, title company personnel, and other users and distributors of the sponsor’s product. The dealers and builders who participated in the Fedders builders’ tours did so as part of the Fedders incentive program through which they were able to earn the cost of the tours in whole or in part by purchasing or selling a certain amount of central air conditioning equipment in a particular year. Fedders pr</w:t>
      </w:r>
      <w:r w:rsidRPr="00576ED7">
        <w:rPr>
          <w:szCs w:val="24"/>
        </w:rPr>
        <w:t>e</w:t>
      </w:r>
      <w:r w:rsidRPr="00576ED7">
        <w:rPr>
          <w:szCs w:val="24"/>
        </w:rPr>
        <w:lastRenderedPageBreak/>
        <w:t>sented awards during the tours to some people it considered outstanding in its sales and promotional programs but conducted no business meetings.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w:t>
      </w:r>
      <w:r w:rsidRPr="00576ED7">
        <w:rPr>
          <w:szCs w:val="24"/>
        </w:rPr>
        <w:t>i</w:t>
      </w:r>
      <w:r w:rsidRPr="00576ED7">
        <w:rPr>
          <w:szCs w:val="24"/>
        </w:rPr>
        <w:t>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did not negotiate specific business transactions on the tours or conduct formal business meetings. Social relationships formed or r</w:t>
      </w:r>
      <w:r w:rsidRPr="00576ED7">
        <w:rPr>
          <w:szCs w:val="24"/>
        </w:rPr>
        <w:t>e</w:t>
      </w:r>
      <w:r w:rsidRPr="00576ED7">
        <w:rPr>
          <w:szCs w:val="24"/>
        </w:rPr>
        <w:t>newed on the tours between petitioners and builders and their spouses resulted in a substantial amount of loan business for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1973, First Federal had paid for James to participate in builders’ tours. During 1973 and 1974, First Federal stopped reimbursing employees for a variety of previously reimbursed expenses as part of a program of overall budget cu</w:t>
      </w:r>
      <w:r w:rsidRPr="00576ED7">
        <w:rPr>
          <w:szCs w:val="24"/>
        </w:rPr>
        <w:t>t</w:t>
      </w:r>
      <w:r w:rsidRPr="00576ED7">
        <w:rPr>
          <w:szCs w:val="24"/>
        </w:rPr>
        <w:t>backs. During the taxable years in issue, First Federal’s policy was to pay ente</w:t>
      </w:r>
      <w:r w:rsidRPr="00576ED7">
        <w:rPr>
          <w:szCs w:val="24"/>
        </w:rPr>
        <w:t>r</w:t>
      </w:r>
      <w:r w:rsidRPr="00576ED7">
        <w:rPr>
          <w:szCs w:val="24"/>
        </w:rPr>
        <w:t>tainment costs directly, or to provide reimbursement for expenses, when an o</w:t>
      </w:r>
      <w:r w:rsidRPr="00576ED7">
        <w:rPr>
          <w:szCs w:val="24"/>
        </w:rPr>
        <w:t>f</w:t>
      </w:r>
      <w:r w:rsidRPr="00576ED7">
        <w:rPr>
          <w:szCs w:val="24"/>
        </w:rPr>
        <w:t>ficer of First Federal entertained current customers of the company at civic, s</w:t>
      </w:r>
      <w:r w:rsidRPr="00576ED7">
        <w:rPr>
          <w:szCs w:val="24"/>
        </w:rPr>
        <w:t>o</w:t>
      </w:r>
      <w:r w:rsidRPr="00576ED7">
        <w:rPr>
          <w:szCs w:val="24"/>
        </w:rPr>
        <w:t>cial, or business meetings. The company did not customarily reimburse officers for the costs of goodwill meetings or trips for current customers along with pr</w:t>
      </w:r>
      <w:r w:rsidRPr="00576ED7">
        <w:rPr>
          <w:szCs w:val="24"/>
        </w:rPr>
        <w:t>o</w:t>
      </w:r>
      <w:r w:rsidRPr="00576ED7">
        <w:rPr>
          <w:szCs w:val="24"/>
        </w:rPr>
        <w:t>spective customers; however, the board of directors expected the officers, esp</w:t>
      </w:r>
      <w:r w:rsidRPr="00576ED7">
        <w:rPr>
          <w:szCs w:val="24"/>
        </w:rPr>
        <w:t>e</w:t>
      </w:r>
      <w:r w:rsidRPr="00576ED7">
        <w:rPr>
          <w:szCs w:val="24"/>
        </w:rPr>
        <w:t>cially vice presidents in charge of marketing activities, to be active in cultivating new customers. First Federal did not reimburse petitioners for any travel expenses incurred in connection with the Fedders and General Electric tours taken by them in 1973 and 1974. James was, however, given leave with pay, in addition to his normal 2-week paid vacation, in order to participate in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their 1973 and 1974 tax returns, petitioners deducted, as employee business expenses, one-half of the price of each of the tours (the portion attributable to James’ travel)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Initially, we must determine whether petitioners are entitled, under § 162, to d</w:t>
      </w:r>
      <w:r w:rsidRPr="00576ED7">
        <w:rPr>
          <w:szCs w:val="24"/>
        </w:rPr>
        <w:t>e</w:t>
      </w:r>
      <w:r w:rsidRPr="00576ED7">
        <w:rPr>
          <w:szCs w:val="24"/>
        </w:rPr>
        <w:t>duct as employee business expenses costs incurred by James in connection with his travel on tours for builders organized by General Electric and Fedders. If we hold that the requirements of that section are satisfied, then we must face the fu</w:t>
      </w:r>
      <w:r w:rsidRPr="00576ED7">
        <w:rPr>
          <w:szCs w:val="24"/>
        </w:rPr>
        <w:t>r</w:t>
      </w:r>
      <w:r w:rsidRPr="00576ED7">
        <w:rPr>
          <w:szCs w:val="24"/>
        </w:rPr>
        <w:t>ther question as to the extent to which the limitations of § 274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162(a)(2) allows a deduction for all ordinary and necessary expenses paid or incurred during the taxable year in carrying on any trade or business, including traveling expenses incurred while away from home in the pursuit of a trade or business. The question is essentially one of fact. [citations omitted] Petitioners must show that the expenses were incurred primarily for business rather than s</w:t>
      </w:r>
      <w:r w:rsidRPr="00576ED7">
        <w:rPr>
          <w:szCs w:val="24"/>
        </w:rPr>
        <w:t>o</w:t>
      </w:r>
      <w:r w:rsidRPr="00576ED7">
        <w:rPr>
          <w:szCs w:val="24"/>
        </w:rPr>
        <w:t>cial reasons and that there was a proximate relation between the cost of the buil</w:t>
      </w:r>
      <w:r w:rsidRPr="00576ED7">
        <w:rPr>
          <w:szCs w:val="24"/>
        </w:rPr>
        <w:t>d</w:t>
      </w:r>
      <w:r w:rsidRPr="00576ED7">
        <w:rPr>
          <w:szCs w:val="24"/>
        </w:rPr>
        <w:t>ers’ tours and James’ business as an officer of First Federal.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James’ primary responsibility as an officer of First Federal was marketing loans. He was assigned loan production quotas and considered yearly increases in his salary to be contingent upon meeting those quotas. The participants in the General Electric and Fedders tours were not a random group of Texas vacationers. On the contrary, they were largely builders and developers from Texas, the area in which First Federal operated. Thus, the tours were a useful means of maintaining rel</w:t>
      </w:r>
      <w:r w:rsidRPr="00576ED7">
        <w:rPr>
          <w:szCs w:val="24"/>
        </w:rPr>
        <w:t>a</w:t>
      </w:r>
      <w:r w:rsidRPr="00576ED7">
        <w:rPr>
          <w:szCs w:val="24"/>
        </w:rPr>
        <w:t>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 that, during the years at issue, First Federal did not reimburse James for the costs of his travel does not render his expenses nondeductible. Where a corp</w:t>
      </w:r>
      <w:r w:rsidRPr="00576ED7">
        <w:rPr>
          <w:szCs w:val="24"/>
        </w:rPr>
        <w:t>o</w:t>
      </w:r>
      <w:r w:rsidRPr="00576ED7">
        <w:rPr>
          <w:szCs w:val="24"/>
        </w:rPr>
        <w:t>rate officer personally incurs expenditures which enable him to better perform his duties to the corporation and which have a direct bearing on the amount of his compensation or his chances for advancement, unreimbursed expenses may be deductible under § 162. [citations omitted].</w:t>
      </w:r>
      <w:r w:rsidRPr="00576ED7">
        <w:rPr>
          <w:rStyle w:val="FootnoteReference"/>
          <w:szCs w:val="24"/>
        </w:rPr>
        <w:footnoteReference w:id="13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Federal expected its officers in charge of marketing activities to participate in public or social functions without reimbursement and examined their perfo</w:t>
      </w:r>
      <w:r w:rsidRPr="00576ED7">
        <w:rPr>
          <w:szCs w:val="24"/>
        </w:rPr>
        <w:t>r</w:t>
      </w:r>
      <w:r w:rsidRPr="00576ED7">
        <w:rPr>
          <w:szCs w:val="24"/>
        </w:rPr>
        <w:t>mance in this regard when evaluating their compensation and overall value to the company. [citation omitted].  James met his loan quotas in 1973 and 1974 and r</w:t>
      </w:r>
      <w:r w:rsidRPr="00576ED7">
        <w:rPr>
          <w:szCs w:val="24"/>
        </w:rPr>
        <w:t>e</w:t>
      </w:r>
      <w:r w:rsidRPr="00576ED7">
        <w:rPr>
          <w:szCs w:val="24"/>
        </w:rPr>
        <w:t>ceived raises in his salary at the end of those years. In a later year, he became head of First Federal’s interim loan department.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the evidence tends to show that First Federal considered the trips val</w:t>
      </w:r>
      <w:r w:rsidRPr="00576ED7">
        <w:rPr>
          <w:szCs w:val="24"/>
        </w:rPr>
        <w:t>u</w:t>
      </w:r>
      <w:r w:rsidRPr="00576ED7">
        <w:rPr>
          <w:szCs w:val="24"/>
        </w:rPr>
        <w:t>able in generating goodwill. Although First Federal, which was in the midst of a program of budget cutbacks in 1973 and 1974, did not reimburse James for the tours as it had done in prior years, it continued to grant him additional leave with pay for the time he was on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under the circumstances of this case, the requisite proximate relation has been shown to constitute James’ travel expenses as “ordinary and necessary” business expenses within the meaning of § 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now turn our attention to the applicability of § 274, the issue on which r</w:t>
      </w:r>
      <w:r w:rsidRPr="00576ED7">
        <w:rPr>
          <w:szCs w:val="24"/>
        </w:rPr>
        <w:t>e</w:t>
      </w:r>
      <w:r w:rsidRPr="00576ED7">
        <w:rPr>
          <w:szCs w:val="24"/>
        </w:rPr>
        <w:t>spondent has concentrated most of his fire. That section disallows a deduction in certain instances for expenses which would otherwise be deductible under § 162. Respondent argues that the requirements of § 274 are applicable here and have not been satisfied in that petitioners have failed: (1) To show that James’ trips were “directly related” to the active conduct of his business (§ 274(a))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ENTERTAINMENT, AMUSEMENT, OR RECREATION.—</w:t>
      </w:r>
    </w:p>
    <w:p w:rsidR="0049128E" w:rsidRPr="00576ED7" w:rsidRDefault="0049128E" w:rsidP="00A6585D">
      <w:pPr>
        <w:widowControl w:val="0"/>
        <w:ind w:left="720"/>
        <w:jc w:val="both"/>
        <w:rPr>
          <w:szCs w:val="24"/>
        </w:rPr>
      </w:pPr>
      <w:r w:rsidRPr="00576ED7">
        <w:rPr>
          <w:szCs w:val="24"/>
        </w:rPr>
        <w:t>(1) IN GENERAL. – No deduction otherwise allowable under this chapter shall be allowed for any item—</w:t>
      </w:r>
    </w:p>
    <w:p w:rsidR="0049128E" w:rsidRPr="00576ED7" w:rsidRDefault="0049128E" w:rsidP="00A6585D">
      <w:pPr>
        <w:widowControl w:val="0"/>
        <w:ind w:left="1440"/>
        <w:jc w:val="both"/>
        <w:rPr>
          <w:szCs w:val="24"/>
        </w:rPr>
      </w:pPr>
      <w:r w:rsidRPr="00576ED7">
        <w:rPr>
          <w:szCs w:val="24"/>
        </w:rPr>
        <w:t xml:space="preserve">(A) ACTIVITY. – With respect to an activity which is of a type </w:t>
      </w:r>
      <w:r w:rsidRPr="00576ED7">
        <w:rPr>
          <w:szCs w:val="24"/>
        </w:rPr>
        <w:lastRenderedPageBreak/>
        <w:t>generally considered to constitute entertainment, amusement, or recreation, unless the taxpayer establishes that the item was direc</w:t>
      </w:r>
      <w:r w:rsidRPr="00576ED7">
        <w:rPr>
          <w:szCs w:val="24"/>
        </w:rPr>
        <w:t>t</w:t>
      </w:r>
      <w:r w:rsidRPr="00576ED7">
        <w:rPr>
          <w:szCs w:val="24"/>
        </w:rPr>
        <w:t>ly related to, or, in the case of an item directly preceding or follo</w:t>
      </w:r>
      <w:r w:rsidRPr="00576ED7">
        <w:rPr>
          <w:szCs w:val="24"/>
        </w:rPr>
        <w:t>w</w:t>
      </w:r>
      <w:r w:rsidRPr="00576ED7">
        <w:rPr>
          <w:szCs w:val="24"/>
        </w:rPr>
        <w:t>ing a substantial and bona fide business discussion (including business meetings at a convention or otherwise), that such item was associated with, the active conduct of the taxpayer’s trade or business, ***</w:t>
      </w:r>
    </w:p>
    <w:p w:rsidR="0049128E" w:rsidRPr="00576ED7" w:rsidRDefault="0049128E" w:rsidP="00A6585D">
      <w:pPr>
        <w:widowControl w:val="0"/>
        <w:ind w:left="720"/>
        <w:jc w:val="both"/>
        <w:rPr>
          <w:szCs w:val="24"/>
        </w:rPr>
      </w:pPr>
      <w:r w:rsidRPr="00576ED7">
        <w:rPr>
          <w:szCs w:val="24"/>
        </w:rPr>
        <w:t>and such deduction shall in no event exceed the portion of such item d</w:t>
      </w:r>
      <w:r w:rsidRPr="00576ED7">
        <w:rPr>
          <w:szCs w:val="24"/>
        </w:rPr>
        <w:t>i</w:t>
      </w:r>
      <w:r w:rsidRPr="00576ED7">
        <w:rPr>
          <w:szCs w:val="24"/>
        </w:rPr>
        <w:t>rectly related to, or, in the case of an item described in subparagraph (A) directly preceding or following a substantial and bona fide business di</w:t>
      </w:r>
      <w:r w:rsidRPr="00576ED7">
        <w:rPr>
          <w:szCs w:val="24"/>
        </w:rPr>
        <w:t>s</w:t>
      </w:r>
      <w:r w:rsidRPr="00576ED7">
        <w:rPr>
          <w:szCs w:val="24"/>
        </w:rPr>
        <w:t>cussion (including business meetings at a convention or otherwise), the portion of such item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urge that the “directly related” test of § 274(a) is not applicable b</w:t>
      </w:r>
      <w:r w:rsidRPr="00576ED7">
        <w:rPr>
          <w:szCs w:val="24"/>
        </w:rPr>
        <w:t>e</w:t>
      </w:r>
      <w:r w:rsidRPr="00576ED7">
        <w:rPr>
          <w:szCs w:val="24"/>
        </w:rPr>
        <w:t>cause the expenditures at issue were incurred for travel, not entertainment.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relates to activities of a type generally considered to constitute “entertainment, amusement, or recreation.” Reg. § 1.274-2(b) defines “entertai</w:t>
      </w:r>
      <w:r w:rsidRPr="00576ED7">
        <w:rPr>
          <w:szCs w:val="24"/>
        </w:rPr>
        <w:t>n</w:t>
      </w:r>
      <w:r w:rsidRPr="00576ED7">
        <w:rPr>
          <w:szCs w:val="24"/>
        </w:rPr>
        <w:t>ment, amusement, or recreation”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Definitions – (1) Entertainment defined – (i) In general.  For purposes of this section, the term “entertainment” means any activity which is of a type generally considered to constitute entertainment, amusement, or re</w:t>
      </w:r>
      <w:r w:rsidRPr="00576ED7">
        <w:rPr>
          <w:szCs w:val="24"/>
        </w:rPr>
        <w:t>c</w:t>
      </w:r>
      <w:r w:rsidRPr="00576ED7">
        <w:rPr>
          <w:szCs w:val="24"/>
        </w:rPr>
        <w:t>reation, such as entertaining at night clubs, cocktail lounges, theaters, country clubs, golf and athletic clubs, sporting events, and on hunting, fishing, vacation and similar trips, including such activity relating solely to the taxpayer or the taxpayer’s family. ***</w:t>
      </w:r>
    </w:p>
    <w:p w:rsidR="0049128E" w:rsidRPr="00576ED7" w:rsidRDefault="0049128E" w:rsidP="00A6585D">
      <w:pPr>
        <w:widowControl w:val="0"/>
        <w:ind w:left="1440"/>
        <w:jc w:val="both"/>
        <w:rPr>
          <w:szCs w:val="24"/>
        </w:rPr>
      </w:pPr>
      <w:r w:rsidRPr="00576ED7">
        <w:rPr>
          <w:szCs w:val="24"/>
        </w:rPr>
        <w:t>(ii) Objective test. An objective test shall be used to determine whether an activity is of a type generally considered to constitute entertainment. Thus, if an activity is generally considered to be e</w:t>
      </w:r>
      <w:r w:rsidRPr="00576ED7">
        <w:rPr>
          <w:szCs w:val="24"/>
        </w:rPr>
        <w:t>n</w:t>
      </w:r>
      <w:r w:rsidRPr="00576ED7">
        <w:rPr>
          <w:szCs w:val="24"/>
        </w:rPr>
        <w:t>tertainment, it will constitute entertainment for purposes of this section and § 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w:t>
      </w:r>
      <w:r w:rsidRPr="00576ED7">
        <w:rPr>
          <w:szCs w:val="24"/>
        </w:rPr>
        <w:t>x</w:t>
      </w:r>
      <w:r w:rsidRPr="00576ED7">
        <w:rPr>
          <w:szCs w:val="24"/>
        </w:rPr>
        <w:t>penditure for advertising or public relations.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(Emphasis added.)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is squarely based on the language of the legislative history of § 274 and we find it to be valid as it relates to the issue herein.</w:t>
      </w:r>
      <w:r w:rsidRPr="00576ED7">
        <w:rPr>
          <w:rStyle w:val="FootnoteReference"/>
          <w:szCs w:val="24"/>
        </w:rPr>
        <w:footnoteReference w:id="13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regulation and the Congressional committee reports from which it is derived leave no doubt that the deductibility of an expenditure for travel, on what would objectively be considered a vacation trip, is subject to the limitations of subse</w:t>
      </w:r>
      <w:r w:rsidRPr="00576ED7">
        <w:rPr>
          <w:szCs w:val="24"/>
        </w:rPr>
        <w:t>c</w:t>
      </w:r>
      <w:r w:rsidRPr="00576ED7">
        <w:rPr>
          <w:szCs w:val="24"/>
        </w:rPr>
        <w:t>tion 274(a), even where the expenditure relates solely to the taxpayer himself. [c</w:t>
      </w:r>
      <w:r w:rsidRPr="00576ED7">
        <w:rPr>
          <w:szCs w:val="24"/>
        </w:rPr>
        <w:t>i</w:t>
      </w:r>
      <w:r w:rsidRPr="00576ED7">
        <w:rPr>
          <w:szCs w:val="24"/>
        </w:rPr>
        <w:t>tations omitted].  Furthermore, Reg. § 1.274-2(b)(1)(iii) provides that “any e</w:t>
      </w:r>
      <w:r w:rsidRPr="00576ED7">
        <w:rPr>
          <w:szCs w:val="24"/>
        </w:rPr>
        <w:t>x</w:t>
      </w:r>
      <w:r w:rsidRPr="00576ED7">
        <w:rPr>
          <w:szCs w:val="24"/>
        </w:rPr>
        <w:t>penditure which might generally be considered *** either for travel or entertai</w:t>
      </w:r>
      <w:r w:rsidRPr="00576ED7">
        <w:rPr>
          <w:szCs w:val="24"/>
        </w:rPr>
        <w:t>n</w:t>
      </w:r>
      <w:r w:rsidRPr="00576ED7">
        <w:rPr>
          <w:szCs w:val="24"/>
        </w:rPr>
        <w:t xml:space="preserve">ment, shall be considered an expenditure for entertainment rather than for *** travel.” This regulation too has a solid foundation in the statute, which provides, in </w:t>
      </w:r>
      <w:r w:rsidR="00681912">
        <w:rPr>
          <w:szCs w:val="24"/>
        </w:rPr>
        <w:t>[</w:t>
      </w:r>
      <w:r w:rsidRPr="00576ED7">
        <w:rPr>
          <w:szCs w:val="24"/>
        </w:rPr>
        <w:t>§ 274(</w:t>
      </w:r>
      <w:r w:rsidR="00681912" w:rsidRPr="00681912">
        <w:rPr>
          <w:i/>
          <w:szCs w:val="24"/>
        </w:rPr>
        <w:t>o</w:t>
      </w:r>
      <w:r w:rsidRPr="00576ED7">
        <w:rPr>
          <w:szCs w:val="24"/>
        </w:rPr>
        <w:t>)</w:t>
      </w:r>
      <w:r w:rsidR="00681912">
        <w:rPr>
          <w:szCs w:val="24"/>
        </w:rPr>
        <w:t>]</w:t>
      </w:r>
      <w:r w:rsidRPr="00576ED7">
        <w:rPr>
          <w:szCs w:val="24"/>
        </w:rPr>
        <w:t>, authority for the promulgation of regulations necessary to carry out the purpose of § 274 [footnote omitted] and in the committee reports, which pr</w:t>
      </w:r>
      <w:r w:rsidRPr="00576ED7">
        <w:rPr>
          <w:szCs w:val="24"/>
        </w:rPr>
        <w:t>o</w:t>
      </w:r>
      <w:r w:rsidRPr="00576ED7">
        <w:rPr>
          <w:szCs w:val="24"/>
        </w:rPr>
        <w:t xml:space="preserve">vide that rules be prescribed for determining whether § 274(a) should govern where another section is also applicable. </w:t>
      </w:r>
      <w:r w:rsidRPr="00576ED7">
        <w:rPr>
          <w:smallCaps/>
          <w:szCs w:val="24"/>
        </w:rPr>
        <w:t>H. Rept.</w:t>
      </w:r>
      <w:r w:rsidRPr="00576ED7">
        <w:rPr>
          <w:szCs w:val="24"/>
        </w:rPr>
        <w:t xml:space="preserve"> 1447, </w:t>
      </w:r>
      <w:r w:rsidRPr="00576ED7">
        <w:rPr>
          <w:i/>
          <w:szCs w:val="24"/>
        </w:rPr>
        <w:t>supra</w:t>
      </w:r>
      <w:r w:rsidRPr="00576ED7">
        <w:rPr>
          <w:szCs w:val="24"/>
        </w:rPr>
        <w:t xml:space="preserve">; </w:t>
      </w:r>
      <w:r w:rsidRPr="00576ED7">
        <w:rPr>
          <w:smallCaps/>
          <w:szCs w:val="24"/>
        </w:rPr>
        <w:t>S. Rept.</w:t>
      </w:r>
      <w:r w:rsidRPr="00576ED7">
        <w:rPr>
          <w:szCs w:val="24"/>
        </w:rPr>
        <w:t xml:space="preserve"> 1881,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participants in the tours that petitioners took were drawn, for the most part, from the building industry, their activities – sightseeing, shopping, di</w:t>
      </w:r>
      <w:r w:rsidRPr="00576ED7">
        <w:rPr>
          <w:szCs w:val="24"/>
        </w:rPr>
        <w:t>n</w:t>
      </w:r>
      <w:r w:rsidRPr="00576ED7">
        <w:rPr>
          <w:szCs w:val="24"/>
        </w:rPr>
        <w:t xml:space="preserve">ing – were the same as those of other tourists. Fedders presented some awards to persons considered outstanding in its sales or promotional programs on the tours </w:t>
      </w:r>
      <w:r w:rsidRPr="00576ED7">
        <w:rPr>
          <w:szCs w:val="24"/>
        </w:rPr>
        <w:lastRenderedPageBreak/>
        <w:t>but did not conduct any business meetings.  Nor is there any evidence that any business meetings were conducted on the 1973 General Electric tour; on the iti</w:t>
      </w:r>
      <w:r w:rsidRPr="00576ED7">
        <w:rPr>
          <w:szCs w:val="24"/>
        </w:rPr>
        <w:t>n</w:t>
      </w:r>
      <w:r w:rsidRPr="00576ED7">
        <w:rPr>
          <w:szCs w:val="24"/>
        </w:rPr>
        <w:t>erary for the 1974 tour, for which petitioners canceled their reservation, only 1 hour out of 10 days of guided tours, dinners, and cocktail parties, was set aside for a business meeting. Under the objective test set forth in the regulations, it is irre</w:t>
      </w:r>
      <w:r w:rsidRPr="00576ED7">
        <w:rPr>
          <w:szCs w:val="24"/>
        </w:rPr>
        <w:t>l</w:t>
      </w:r>
      <w:r w:rsidRPr="00576ED7">
        <w:rPr>
          <w:szCs w:val="24"/>
        </w:rPr>
        <w:t>evant that petitioners did not regard the trips as vacations or did not find them r</w:t>
      </w:r>
      <w:r w:rsidRPr="00576ED7">
        <w:rPr>
          <w:szCs w:val="24"/>
        </w:rPr>
        <w:t>e</w:t>
      </w:r>
      <w:r w:rsidRPr="00576ED7">
        <w:rPr>
          <w:szCs w:val="24"/>
        </w:rPr>
        <w:t>laxing. Clearly, the tours were of a type generally considered vacation trips and, thus, under the objective test, constituted entertainment for the purposes of § 274(a). Therefore, the requirements of that section must be satisfied.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a deduction to be allowed for any item under § 274(a)(1)(A), the taxpayer must establish that the item was directly related to the active conduct of the ta</w:t>
      </w:r>
      <w:r w:rsidRPr="00576ED7">
        <w:rPr>
          <w:szCs w:val="24"/>
        </w:rPr>
        <w:t>x</w:t>
      </w:r>
      <w:r w:rsidRPr="00576ED7">
        <w:rPr>
          <w:szCs w:val="24"/>
        </w:rPr>
        <w:t>payer’s trade or business or, in the case of an item directly preceding or following a substantial and bona fide business discussion, that such item was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“directly related” test requires that a taxpayer show a greater degree of pro</w:t>
      </w:r>
      <w:r w:rsidRPr="00576ED7">
        <w:rPr>
          <w:szCs w:val="24"/>
        </w:rPr>
        <w:t>x</w:t>
      </w:r>
      <w:r w:rsidRPr="00576ED7">
        <w:rPr>
          <w:szCs w:val="24"/>
        </w:rPr>
        <w:t>imate relationship between an expenditure and the taxpayer’s trade or business than that required by § 162. [citations omitted].  Reg. § 1.274-2(c)(3) provides that, for an expenditure to be directly related to the active conduct of the taxpa</w:t>
      </w:r>
      <w:r w:rsidRPr="00576ED7">
        <w:rPr>
          <w:szCs w:val="24"/>
        </w:rPr>
        <w:t>y</w:t>
      </w:r>
      <w:r w:rsidRPr="00576ED7">
        <w:rPr>
          <w:szCs w:val="24"/>
        </w:rPr>
        <w:t>er’s trade or business, it must be shown that the taxpayer had more than a general expectation of deriving some income or business benefit from the expenditure, other than the goodwill of the person or persons entertained. While the language of this regulation is awkward and not completely apt in a situation where the e</w:t>
      </w:r>
      <w:r w:rsidRPr="00576ED7">
        <w:rPr>
          <w:szCs w:val="24"/>
        </w:rPr>
        <w:t>n</w:t>
      </w:r>
      <w:r w:rsidRPr="00576ED7">
        <w:rPr>
          <w:szCs w:val="24"/>
        </w:rPr>
        <w:t>tertainment expenditure relates to the taxpayer alone, it is clear, nevertheless, that more than a general expectation of deriving some income at some indefinite f</w:t>
      </w:r>
      <w:r w:rsidRPr="00576ED7">
        <w:rPr>
          <w:szCs w:val="24"/>
        </w:rPr>
        <w:t>u</w:t>
      </w:r>
      <w:r w:rsidRPr="00576ED7">
        <w:rPr>
          <w:szCs w:val="24"/>
        </w:rPr>
        <w:t>ture time is necessary for an expenditure to be deductible under § 274(a). [cit</w:t>
      </w:r>
      <w:r w:rsidRPr="00576ED7">
        <w:rPr>
          <w:szCs w:val="24"/>
        </w:rPr>
        <w:t>a</w:t>
      </w:r>
      <w:r w:rsidRPr="00576ED7">
        <w:rPr>
          <w:szCs w:val="24"/>
        </w:rPr>
        <w:t>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record shows that petitioners participated in the builders’ tours because they provided an opportunity for James to meet new people who might be interested in the services he, and First Federal, had to offer and to maintain good personal rel</w:t>
      </w:r>
      <w:r w:rsidRPr="00576ED7">
        <w:rPr>
          <w:szCs w:val="24"/>
        </w:rPr>
        <w:t>a</w:t>
      </w:r>
      <w:r w:rsidRPr="00576ED7">
        <w:rPr>
          <w:szCs w:val="24"/>
        </w:rPr>
        <w:t>tions with people already using those services. While James discussed business continually during the tours, his wife testified that this was typical of his behavior during all social activities. He engaged in general discussions about business co</w:t>
      </w:r>
      <w:r w:rsidRPr="00576ED7">
        <w:rPr>
          <w:szCs w:val="24"/>
        </w:rPr>
        <w:t>n</w:t>
      </w:r>
      <w:r w:rsidRPr="00576ED7">
        <w:rPr>
          <w:szCs w:val="24"/>
        </w:rPr>
        <w:t>ditions and the services he could provide to a builder but did not engage in bus</w:t>
      </w:r>
      <w:r w:rsidRPr="00576ED7">
        <w:rPr>
          <w:szCs w:val="24"/>
        </w:rPr>
        <w:t>i</w:t>
      </w:r>
      <w:r w:rsidRPr="00576ED7">
        <w:rPr>
          <w:szCs w:val="24"/>
        </w:rPr>
        <w:t>ness meetings or negotiations on the tours. James could not directly connect pa</w:t>
      </w:r>
      <w:r w:rsidRPr="00576ED7">
        <w:rPr>
          <w:szCs w:val="24"/>
        </w:rPr>
        <w:t>r</w:t>
      </w:r>
      <w:r w:rsidRPr="00576ED7">
        <w:rPr>
          <w:szCs w:val="24"/>
        </w:rPr>
        <w:t xml:space="preserve">ticular business transactions with specific discussions which occurred during the trips. [footnote omitted].  In short, petitioners’ purpose in taking the trips was to </w:t>
      </w:r>
      <w:r w:rsidRPr="00576ED7">
        <w:rPr>
          <w:szCs w:val="24"/>
        </w:rPr>
        <w:lastRenderedPageBreak/>
        <w:t>create or maintain goodwill for James and First Federal, his employer, in order to generate some future business. Although the evidence tends to indicate that the trips did, in fact, enhance goodwill and contribute to James’ success in loan pr</w:t>
      </w:r>
      <w:r w:rsidRPr="00576ED7">
        <w:rPr>
          <w:szCs w:val="24"/>
        </w:rPr>
        <w:t>o</w:t>
      </w:r>
      <w:r w:rsidRPr="00576ED7">
        <w:rPr>
          <w:szCs w:val="24"/>
        </w:rPr>
        <w:t>duction and otherwise constituted ordinary and necessary business expenses d</w:t>
      </w:r>
      <w:r w:rsidRPr="00576ED7">
        <w:rPr>
          <w:szCs w:val="24"/>
        </w:rPr>
        <w:t>e</w:t>
      </w:r>
      <w:r w:rsidRPr="00576ED7">
        <w:rPr>
          <w:szCs w:val="24"/>
        </w:rPr>
        <w:t>ductible under § 162, we hold, nevertheless, that Congress intended, by means of the more stringent standard of the “directly related” test in § 274(a), to disallow deductions for this type of activity, which involves merely the promotion of goodwill in a social setting.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also hold that the petitioners’ trips do not qualify as entertainment “associated with” the active conduct of a trade or business. To be deductible, entertainment “associated with” the active conduct of a trade or business must directly precede or follow a substantial business discussion. In</w:t>
      </w:r>
      <w:r w:rsidRPr="00576ED7">
        <w:rPr>
          <w:i/>
          <w:szCs w:val="24"/>
        </w:rPr>
        <w:t xml:space="preserve"> St. Petersburg Bank &amp; Trust Co. v. United States</w:t>
      </w:r>
      <w:r w:rsidRPr="00576ED7">
        <w:rPr>
          <w:szCs w:val="24"/>
        </w:rPr>
        <w:t xml:space="preserve">, [362 F. Supp. 674 (M.D. Fla. 1973), </w:t>
      </w:r>
      <w:r w:rsidRPr="00576ED7">
        <w:rPr>
          <w:i/>
          <w:szCs w:val="24"/>
        </w:rPr>
        <w:t>aff’d in an unpublished order</w:t>
      </w:r>
      <w:r w:rsidRPr="00576ED7">
        <w:rPr>
          <w:szCs w:val="24"/>
        </w:rPr>
        <w:t>, 503 F.2d 1402 (</w:t>
      </w:r>
      <w:r w:rsidR="002F7902" w:rsidRPr="00576ED7">
        <w:rPr>
          <w:szCs w:val="24"/>
        </w:rPr>
        <w:t>5</w:t>
      </w:r>
      <w:r w:rsidR="002F7902" w:rsidRPr="00576ED7">
        <w:rPr>
          <w:szCs w:val="24"/>
          <w:vertAlign w:val="superscript"/>
        </w:rPr>
        <w:t>th</w:t>
      </w:r>
      <w:r w:rsidR="002F7902" w:rsidRPr="00576ED7">
        <w:rPr>
          <w:szCs w:val="24"/>
        </w:rPr>
        <w:t xml:space="preserve"> Cir. </w:t>
      </w:r>
      <w:r w:rsidRPr="00576ED7">
        <w:rPr>
          <w:szCs w:val="24"/>
        </w:rPr>
        <w:t>1974)], a decision affirmed by the Fifth Circuit, the Di</w:t>
      </w:r>
      <w:r w:rsidRPr="00576ED7">
        <w:rPr>
          <w:szCs w:val="24"/>
        </w:rPr>
        <w:t>s</w:t>
      </w:r>
      <w:r w:rsidRPr="00576ED7">
        <w:rPr>
          <w:szCs w:val="24"/>
        </w:rPr>
        <w:t>trict Court concluded that the phrase “directly preceding or following” in § 274(a)(1)(A) should be read restrictively in cases in which entertainment expend</w:t>
      </w:r>
      <w:r w:rsidRPr="00576ED7">
        <w:rPr>
          <w:szCs w:val="24"/>
        </w:rPr>
        <w:t>i</w:t>
      </w:r>
      <w:r w:rsidRPr="00576ED7">
        <w:rPr>
          <w:szCs w:val="24"/>
        </w:rPr>
        <w:t>tures are related to the taxpayer’s trade or business only in that they promote goodwill. [footnote omitted].  In view of the legislative history, which reveals that the “associated with” test is an exception to the general rule intended to limit d</w:t>
      </w:r>
      <w:r w:rsidRPr="00576ED7">
        <w:rPr>
          <w:szCs w:val="24"/>
        </w:rPr>
        <w:t>e</w:t>
      </w:r>
      <w:r w:rsidRPr="00576ED7">
        <w:rPr>
          <w:szCs w:val="24"/>
        </w:rPr>
        <w:t>ductions for entertainment which has as its sole business purpose the promotion of goodwill [footnote omitted], we agree with the District Court’s conclusion. A</w:t>
      </w:r>
      <w:r w:rsidRPr="00576ED7">
        <w:rPr>
          <w:szCs w:val="24"/>
        </w:rPr>
        <w:t>c</w:t>
      </w:r>
      <w:r w:rsidRPr="00576ED7">
        <w:rPr>
          <w:szCs w:val="24"/>
        </w:rPr>
        <w:t>cordingly, we do not consider the costs of the vacation trips to be deductible u</w:t>
      </w:r>
      <w:r w:rsidRPr="00576ED7">
        <w:rPr>
          <w:szCs w:val="24"/>
        </w:rPr>
        <w:t>n</w:t>
      </w:r>
      <w:r w:rsidRPr="00576ED7">
        <w:rPr>
          <w:szCs w:val="24"/>
        </w:rPr>
        <w:t>der § 274(a)(1)(A) as entertainment directly preceded or followed by a substantial and bona fide business discussion merely because James had general discussions of a business nature intended to promote goodwill during the course of the trips.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 274(a) bars a deduction for the costs of James’ trips.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it appropriate that § 274 denies this taxpayer a deduction when § 162 pe</w:t>
      </w:r>
      <w:r w:rsidRPr="00576ED7">
        <w:rPr>
          <w:szCs w:val="24"/>
        </w:rPr>
        <w:t>r</w:t>
      </w:r>
      <w:r w:rsidRPr="00576ED7">
        <w:rPr>
          <w:szCs w:val="24"/>
        </w:rPr>
        <w:t>mits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Suppose that taxpayer Walliser could prove that he actually closed a lending deal (except for documentary formalities) with a person he met and conversed </w:t>
      </w:r>
      <w:r w:rsidRPr="00576ED7">
        <w:rPr>
          <w:szCs w:val="24"/>
        </w:rPr>
        <w:lastRenderedPageBreak/>
        <w:t>with extensively about his bank’s lending services.  The borrower came by the bank three days after the end of the tour and signed the necessary documents.  Would (should) the result be different?</w:t>
      </w:r>
    </w:p>
    <w:p w:rsidR="0049128E" w:rsidRPr="00576ED7" w:rsidRDefault="0049128E" w:rsidP="00A6585D">
      <w:pPr>
        <w:widowControl w:val="0"/>
        <w:ind w:left="720"/>
        <w:jc w:val="both"/>
        <w:rPr>
          <w:szCs w:val="24"/>
        </w:rPr>
      </w:pPr>
      <w:r w:rsidRPr="00576ED7">
        <w:rPr>
          <w:szCs w:val="24"/>
        </w:rPr>
        <w:t>•Suppose that at the end of the signing formalities, Walliser gave the bo</w:t>
      </w:r>
      <w:r w:rsidRPr="00576ED7">
        <w:rPr>
          <w:szCs w:val="24"/>
        </w:rPr>
        <w:t>r</w:t>
      </w:r>
      <w:r w:rsidRPr="00576ED7">
        <w:rPr>
          <w:szCs w:val="24"/>
        </w:rPr>
        <w:t>rower two tickets which cost $25 each to that night’s baseball game.  The borrower happily accepted.  Walliser did not attend the game with the bo</w:t>
      </w:r>
      <w:r w:rsidRPr="00576ED7">
        <w:rPr>
          <w:szCs w:val="24"/>
        </w:rPr>
        <w:t>r</w:t>
      </w:r>
      <w:r w:rsidRPr="00576ED7">
        <w:rPr>
          <w:szCs w:val="24"/>
        </w:rPr>
        <w:t>rower.  Should Walliser be permitted to deduct the cost of the baseball tickets?</w:t>
      </w:r>
    </w:p>
    <w:p w:rsidR="0049128E" w:rsidRPr="00576ED7" w:rsidRDefault="0049128E" w:rsidP="00A6585D">
      <w:pPr>
        <w:widowControl w:val="0"/>
        <w:ind w:left="720"/>
        <w:jc w:val="both"/>
        <w:rPr>
          <w:szCs w:val="24"/>
        </w:rPr>
      </w:pPr>
      <w:r w:rsidRPr="00576ED7">
        <w:rPr>
          <w:szCs w:val="24"/>
        </w:rPr>
        <w:t>•Would it make any difference if the tickets cost $60 each?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POSNER,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576ED7">
        <w:rPr>
          <w:i/>
          <w:szCs w:val="24"/>
        </w:rPr>
        <w:t>See, e.g.</w:t>
      </w:r>
      <w:r w:rsidRPr="00576ED7">
        <w:rPr>
          <w:szCs w:val="24"/>
        </w:rPr>
        <w:t xml:space="preserve">, McNally, </w:t>
      </w:r>
      <w:r w:rsidRPr="00576ED7">
        <w:rPr>
          <w:i/>
          <w:szCs w:val="24"/>
        </w:rPr>
        <w:t>Vulnerability of Ente</w:t>
      </w:r>
      <w:r w:rsidRPr="00576ED7">
        <w:rPr>
          <w:i/>
          <w:szCs w:val="24"/>
        </w:rPr>
        <w:t>r</w:t>
      </w:r>
      <w:r w:rsidRPr="00576ED7">
        <w:rPr>
          <w:i/>
          <w:szCs w:val="24"/>
        </w:rPr>
        <w:t xml:space="preserve">tainment and Meal Deductions Under the </w:t>
      </w:r>
      <w:r w:rsidRPr="00576ED7">
        <w:rPr>
          <w:szCs w:val="24"/>
        </w:rPr>
        <w:t xml:space="preserve">Sutter </w:t>
      </w:r>
      <w:r w:rsidRPr="00576ED7">
        <w:rPr>
          <w:i/>
          <w:szCs w:val="24"/>
        </w:rPr>
        <w:t>Rule</w:t>
      </w:r>
      <w:r w:rsidRPr="00576ED7">
        <w:rPr>
          <w:szCs w:val="24"/>
        </w:rPr>
        <w:t xml:space="preserve">, 62 </w:t>
      </w:r>
      <w:r w:rsidRPr="00576ED7">
        <w:rPr>
          <w:smallCaps/>
          <w:szCs w:val="24"/>
        </w:rPr>
        <w:t>Taxes</w:t>
      </w:r>
      <w:r w:rsidRPr="00576ED7">
        <w:rPr>
          <w:szCs w:val="24"/>
        </w:rPr>
        <w:t xml:space="preserve"> 184 (1984).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w:t>
      </w:r>
      <w:r w:rsidRPr="00576ED7">
        <w:rPr>
          <w:szCs w:val="24"/>
        </w:rPr>
        <w:t>a</w:t>
      </w:r>
      <w:r w:rsidRPr="00576ED7">
        <w:rPr>
          <w:szCs w:val="24"/>
        </w:rPr>
        <w:t>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w:t>
      </w:r>
      <w:r w:rsidRPr="00576ED7">
        <w:rPr>
          <w:szCs w:val="24"/>
        </w:rPr>
        <w:t>t</w:t>
      </w:r>
      <w:r w:rsidRPr="00576ED7">
        <w:rPr>
          <w:szCs w:val="24"/>
        </w:rPr>
        <w:t>tlements, and they would decide which lawyer would meet which court call that afternoon or the next morning. Lunchtime was chosen for the daily meeting b</w:t>
      </w:r>
      <w:r w:rsidRPr="00576ED7">
        <w:rPr>
          <w:szCs w:val="24"/>
        </w:rPr>
        <w:t>e</w:t>
      </w:r>
      <w:r w:rsidRPr="00576ED7">
        <w:rPr>
          <w:szCs w:val="24"/>
        </w:rPr>
        <w:t>cause the courts were in recess then. The alternatives were to meet at 7:00 a.m. or 6:00 p.m., and these were less convenient times. There is no suggestion that the lawyers dawdled over lunch, or that the Café Angelo is luxurious.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”except as otherwise expressly provided in this chapter,” the deduction of ”personal, family, or living expenses.” Section 119 excludes from income the value of meals provided by an </w:t>
      </w:r>
      <w:r w:rsidRPr="00576ED7">
        <w:rPr>
          <w:szCs w:val="24"/>
        </w:rPr>
        <w:lastRenderedPageBreak/>
        <w:t>employer to his employees for his convenience, but only if they are provided on the employer’s premises; and § 162(a) allows the deduction of ‘”all the ordinary and necessary expenses paid or incurred during the taxable year in carrying on any trade or business, including – ... (2) traveling expenses (including amounts expended for meals ...) while away from home....’” Since Moss was not an e</w:t>
      </w:r>
      <w:r w:rsidRPr="00576ED7">
        <w:rPr>
          <w:szCs w:val="24"/>
        </w:rPr>
        <w:t>m</w:t>
      </w:r>
      <w:r w:rsidRPr="00576ED7">
        <w:rPr>
          <w:szCs w:val="24"/>
        </w:rPr>
        <w:t xml:space="preserve">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389 U.S. 299 (1967)), neither § 119 nor § 162(a)(2) applies to this case. The Internal Revenue Service concedes, however, that meals are deductible under § 162(a) when they are ordinary and necessary business expenses (provided the expense is substantiated with adequate records,</w:t>
      </w:r>
      <w:r w:rsidRPr="00576ED7">
        <w:rPr>
          <w:i/>
          <w:szCs w:val="24"/>
        </w:rPr>
        <w:t xml:space="preserve"> see</w:t>
      </w:r>
      <w:r w:rsidRPr="00576ED7">
        <w:rPr>
          <w:szCs w:val="24"/>
        </w:rPr>
        <w:t xml:space="preserve"> § 274(d)) even if they are not within the express permission of any other provision and even though the expense of commuting to and from work, a traveling expense but not one incurred away from home, is not deductible. Reg. § 1.262-1(b)(5); </w:t>
      </w:r>
      <w:r w:rsidRPr="00576ED7">
        <w:rPr>
          <w:i/>
          <w:szCs w:val="24"/>
        </w:rPr>
        <w:t>Fausner v. Commissioner</w:t>
      </w:r>
      <w:r w:rsidRPr="00576ED7">
        <w:rPr>
          <w:szCs w:val="24"/>
        </w:rPr>
        <w:t>, 413 U.S. 838 (1973) (per curiam).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problem is that many expenses are simultaneously business expenses in the sense that they conduce to the production of business income and personal e</w:t>
      </w:r>
      <w:r w:rsidRPr="00576ED7">
        <w:rPr>
          <w:szCs w:val="24"/>
        </w:rPr>
        <w:t>x</w:t>
      </w:r>
      <w:r w:rsidRPr="00576ED7">
        <w:rPr>
          <w:szCs w:val="24"/>
        </w:rPr>
        <w:t>penses in the sense that they raise personal welfare. This is plain enough with r</w:t>
      </w:r>
      <w:r w:rsidRPr="00576ED7">
        <w:rPr>
          <w:szCs w:val="24"/>
        </w:rPr>
        <w:t>e</w:t>
      </w:r>
      <w:r w:rsidRPr="00576ED7">
        <w:rPr>
          <w:szCs w:val="24"/>
        </w:rPr>
        <w:t>gard to lunch; most people would eat lunch even if they didn’t work. Commuting may seem a pure business expense, but is not; it reflects the choice of where to live, as well as where to work. Read literally, § 262 would make irrelevant whet</w:t>
      </w:r>
      <w:r w:rsidRPr="00576ED7">
        <w:rPr>
          <w:szCs w:val="24"/>
        </w:rPr>
        <w:t>h</w:t>
      </w:r>
      <w:r w:rsidRPr="00576ED7">
        <w:rPr>
          <w:szCs w:val="24"/>
        </w:rPr>
        <w:t>er a business expense is also a personal expense; so long as it is ordinary and ne</w:t>
      </w:r>
      <w:r w:rsidRPr="00576ED7">
        <w:rPr>
          <w:szCs w:val="24"/>
        </w:rPr>
        <w:t>c</w:t>
      </w:r>
      <w:r w:rsidRPr="00576ED7">
        <w:rPr>
          <w:szCs w:val="24"/>
        </w:rPr>
        <w:t>essary in the taxpayer’s business, thus bringing § 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w:t>
      </w:r>
      <w:r w:rsidRPr="00576ED7">
        <w:rPr>
          <w:szCs w:val="24"/>
        </w:rPr>
        <w:t>p</w:t>
      </w:r>
      <w:r w:rsidRPr="00576ED7">
        <w:rPr>
          <w:szCs w:val="24"/>
        </w:rPr>
        <w:t>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an argument can thus be made for disallowing any deduction for bus</w:t>
      </w:r>
      <w:r w:rsidRPr="00576ED7">
        <w:rPr>
          <w:szCs w:val="24"/>
        </w:rPr>
        <w:t>i</w:t>
      </w:r>
      <w:r w:rsidRPr="00576ED7">
        <w:rPr>
          <w:szCs w:val="24"/>
        </w:rPr>
        <w:t xml:space="preserve">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w:t>
      </w:r>
      <w:r w:rsidRPr="00576ED7">
        <w:rPr>
          <w:szCs w:val="24"/>
        </w:rPr>
        <w:lastRenderedPageBreak/>
        <w:t>the expensive restaurants that the clients demand. Of course he can deduct the e</w:t>
      </w:r>
      <w:r w:rsidRPr="00576ED7">
        <w:rPr>
          <w:szCs w:val="24"/>
        </w:rPr>
        <w:t>x</w:t>
      </w:r>
      <w:r w:rsidRPr="00576ED7">
        <w:rPr>
          <w:szCs w:val="24"/>
        </w:rPr>
        <w:t>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w:t>
      </w:r>
      <w:r w:rsidRPr="00576ED7">
        <w:rPr>
          <w:szCs w:val="24"/>
        </w:rPr>
        <w:t>f</w:t>
      </w:r>
      <w:r w:rsidRPr="00576ED7">
        <w:rPr>
          <w:szCs w:val="24"/>
        </w:rPr>
        <w:t>fle au grand marnier. No doubt our theatrical agent, unless concerned for his lo</w:t>
      </w:r>
      <w:r w:rsidRPr="00576ED7">
        <w:rPr>
          <w:szCs w:val="24"/>
        </w:rPr>
        <w:t>n</w:t>
      </w:r>
      <w:r w:rsidRPr="00576ED7">
        <w:rPr>
          <w:szCs w:val="24"/>
        </w:rPr>
        <w:t xml:space="preserve">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w:t>
      </w:r>
      <w:r w:rsidRPr="00576ED7">
        <w:rPr>
          <w:szCs w:val="24"/>
        </w:rPr>
        <w:t>x</w:t>
      </w:r>
      <w:r w:rsidRPr="00576ED7">
        <w:rPr>
          <w:szCs w:val="24"/>
        </w:rPr>
        <w:t xml:space="preserve">pense is ‘”different from or in excess of that which would have been made for the taxpayer’s personal purposes.’” </w:t>
      </w:r>
      <w:r w:rsidRPr="00576ED7">
        <w:rPr>
          <w:i/>
          <w:szCs w:val="24"/>
        </w:rPr>
        <w:t>Sutter v. Commissioner</w:t>
      </w:r>
      <w:r w:rsidRPr="00576ED7">
        <w:rPr>
          <w:szCs w:val="24"/>
        </w:rPr>
        <w:t>, 21 T.C. 170, 173 (1953).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Because the law allows this generous deduction, which tempts people to have more (and costlier) business meals than are necessary, the Internal Revenue Se</w:t>
      </w:r>
      <w:r w:rsidRPr="00576ED7">
        <w:rPr>
          <w:szCs w:val="24"/>
        </w:rPr>
        <w:t>r</w:t>
      </w:r>
      <w:r w:rsidRPr="00576ED7">
        <w:rPr>
          <w:szCs w:val="24"/>
        </w:rPr>
        <w:t>vice has every right to insist that the meal be shown to be a real business necess</w:t>
      </w:r>
      <w:r w:rsidRPr="00576ED7">
        <w:rPr>
          <w:szCs w:val="24"/>
        </w:rPr>
        <w:t>i</w:t>
      </w:r>
      <w:r w:rsidRPr="00576ED7">
        <w:rPr>
          <w:szCs w:val="24"/>
        </w:rPr>
        <w:t>ty. This condition is most easily satisfied when a client or customer or supplier or other outsider to the business is a guest. Even if Sydney Smith was wrong that ‘”soup and fish explain half the emotions of life,’” it is undeniable that eating t</w:t>
      </w:r>
      <w:r w:rsidRPr="00576ED7">
        <w:rPr>
          <w:szCs w:val="24"/>
        </w:rPr>
        <w:t>o</w:t>
      </w:r>
      <w:r w:rsidRPr="00576ED7">
        <w:rPr>
          <w:szCs w:val="24"/>
        </w:rPr>
        <w:t>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w:t>
      </w:r>
      <w:r w:rsidRPr="00576ED7">
        <w:rPr>
          <w:szCs w:val="24"/>
        </w:rPr>
        <w:t>a</w:t>
      </w:r>
      <w:r w:rsidRPr="00576ED7">
        <w:rPr>
          <w:szCs w:val="24"/>
        </w:rPr>
        <w:t>tion that a meal with an outsider provides – at least don’t need it daily. If a large firm had a monthly lunch to allow partners to get to know associates, the expense of the meal might well be necessary, and would be allowed by the Internal Rev</w:t>
      </w:r>
      <w:r w:rsidRPr="00576ED7">
        <w:rPr>
          <w:szCs w:val="24"/>
        </w:rPr>
        <w:t>e</w:t>
      </w:r>
      <w:r w:rsidRPr="00576ED7">
        <w:rPr>
          <w:szCs w:val="24"/>
        </w:rPr>
        <w:t xml:space="preser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1980). But Moss’s firm never had more than eight lawyers (partners and associates), and did not need a daily lunch to c</w:t>
      </w:r>
      <w:r w:rsidRPr="00576ED7">
        <w:rPr>
          <w:szCs w:val="24"/>
        </w:rPr>
        <w:t>e</w:t>
      </w:r>
      <w:r w:rsidRPr="00576ED7">
        <w:rPr>
          <w:szCs w:val="24"/>
        </w:rPr>
        <w:lastRenderedPageBreak/>
        <w:t>ment relationships among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w:t>
      </w:r>
      <w:r w:rsidRPr="00576ED7">
        <w:rPr>
          <w:szCs w:val="24"/>
        </w:rPr>
        <w:t>n</w:t>
      </w:r>
      <w:r w:rsidRPr="00576ED7">
        <w:rPr>
          <w:szCs w:val="24"/>
        </w:rPr>
        <w:t>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case might be different if the location of the courts required the firm’s me</w:t>
      </w:r>
      <w:r w:rsidRPr="00576ED7">
        <w:rPr>
          <w:szCs w:val="24"/>
        </w:rPr>
        <w:t>m</w:t>
      </w:r>
      <w:r w:rsidRPr="00576ED7">
        <w:rPr>
          <w:szCs w:val="24"/>
        </w:rPr>
        <w:t xml:space="preserve">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w:t>
      </w:r>
      <w:r w:rsidRPr="00576ED7">
        <w:rPr>
          <w:szCs w:val="24"/>
        </w:rPr>
        <w:t>r</w:t>
      </w:r>
      <w:r w:rsidRPr="00576ED7">
        <w:rPr>
          <w:szCs w:val="24"/>
        </w:rPr>
        <w:t>tion his lunch expense in this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Walliser</w:t>
      </w:r>
      <w:r w:rsidRPr="00576ED7">
        <w:rPr>
          <w:szCs w:val="24"/>
        </w:rPr>
        <w:t xml:space="preserve"> was a § 274 case.  </w:t>
      </w:r>
      <w:r w:rsidRPr="00576ED7">
        <w:rPr>
          <w:i/>
          <w:szCs w:val="24"/>
        </w:rPr>
        <w:t>Moss</w:t>
      </w:r>
      <w:r w:rsidRPr="00576ED7">
        <w:rPr>
          <w:szCs w:val="24"/>
        </w:rPr>
        <w:t xml:space="preserve"> was not.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requirement of deductibility under § 162 did taxpayer fail to meet?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this firm had only monthly lunches, the court seems to say that the cost of those lunches might have been deductible.  Why should such meals be treated di</w:t>
      </w:r>
      <w:r w:rsidRPr="00576ED7">
        <w:rPr>
          <w:szCs w:val="24"/>
        </w:rPr>
        <w:t>f</w:t>
      </w:r>
      <w:r w:rsidRPr="00576ED7">
        <w:rPr>
          <w:szCs w:val="24"/>
        </w:rPr>
        <w:t>ferently than the daily lunches at Café Angelo?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Another limitation on §§ 162 and 212 is § 280A, which limits taxpayer’s d</w:t>
      </w:r>
      <w:r w:rsidRPr="00576ED7">
        <w:rPr>
          <w:szCs w:val="24"/>
        </w:rPr>
        <w:t>e</w:t>
      </w:r>
      <w:r w:rsidRPr="00576ED7">
        <w:rPr>
          <w:szCs w:val="24"/>
        </w:rPr>
        <w:t>ductions for business use of a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 limits deductions for business use of a dwelling unit that taxpayer (individual or S corporation) uses as a residence.  Section 280A(a) provides ta</w:t>
      </w:r>
      <w:r w:rsidRPr="00576ED7">
        <w:rPr>
          <w:szCs w:val="24"/>
        </w:rPr>
        <w:t>x</w:t>
      </w:r>
      <w:r w:rsidRPr="00576ED7">
        <w:rPr>
          <w:szCs w:val="24"/>
        </w:rPr>
        <w:t xml:space="preserve">payer is entitled to </w:t>
      </w:r>
      <w:r w:rsidRPr="00576ED7">
        <w:rPr>
          <w:i/>
          <w:szCs w:val="24"/>
        </w:rPr>
        <w:t>no deduction for such use</w:t>
      </w:r>
      <w:r w:rsidRPr="00576ED7">
        <w:rPr>
          <w:szCs w:val="24"/>
        </w:rPr>
        <w:t xml:space="preserve"> “[e]xcept as otherwise provided in” § 280A itself.  Section 280A(c) provides those exceptions.</w:t>
      </w:r>
    </w:p>
    <w:p w:rsidR="0049128E" w:rsidRPr="00576ED7" w:rsidRDefault="0049128E" w:rsidP="00A6585D">
      <w:pPr>
        <w:widowControl w:val="0"/>
        <w:ind w:left="720"/>
        <w:jc w:val="both"/>
        <w:rPr>
          <w:szCs w:val="24"/>
        </w:rPr>
      </w:pPr>
      <w:r w:rsidRPr="00576ED7">
        <w:rPr>
          <w:szCs w:val="24"/>
        </w:rPr>
        <w:t>•Section 280A(c)(1) permits deductions when taxpayer regularly uses a portion of the dwelling “exclusively”</w:t>
      </w:r>
    </w:p>
    <w:p w:rsidR="0049128E" w:rsidRPr="00576ED7" w:rsidRDefault="0049128E" w:rsidP="00A6585D">
      <w:pPr>
        <w:widowControl w:val="0"/>
        <w:ind w:left="1440"/>
        <w:jc w:val="both"/>
        <w:rPr>
          <w:szCs w:val="24"/>
        </w:rPr>
      </w:pPr>
      <w:r w:rsidRPr="00576ED7">
        <w:rPr>
          <w:szCs w:val="24"/>
        </w:rPr>
        <w:t>•as a principal place of business, including a place that taxpayer uses for administrative or management activities of taxpayer’s trade or business, and there is no other fixed location where ta</w:t>
      </w:r>
      <w:r w:rsidRPr="00576ED7">
        <w:rPr>
          <w:szCs w:val="24"/>
        </w:rPr>
        <w:t>x</w:t>
      </w:r>
      <w:r w:rsidRPr="00576ED7">
        <w:rPr>
          <w:szCs w:val="24"/>
        </w:rPr>
        <w:t>payer conducts substantial management or administrative activ</w:t>
      </w:r>
      <w:r w:rsidRPr="00576ED7">
        <w:rPr>
          <w:szCs w:val="24"/>
        </w:rPr>
        <w:t>i</w:t>
      </w:r>
      <w:r w:rsidRPr="00576ED7">
        <w:rPr>
          <w:szCs w:val="24"/>
        </w:rPr>
        <w:t xml:space="preserve">ties, </w:t>
      </w:r>
    </w:p>
    <w:p w:rsidR="0049128E" w:rsidRPr="00576ED7" w:rsidRDefault="0049128E" w:rsidP="00A6585D">
      <w:pPr>
        <w:widowControl w:val="0"/>
        <w:ind w:left="1440"/>
        <w:jc w:val="both"/>
        <w:rPr>
          <w:szCs w:val="24"/>
        </w:rPr>
      </w:pPr>
      <w:r w:rsidRPr="00576ED7">
        <w:rPr>
          <w:szCs w:val="24"/>
        </w:rPr>
        <w:t>•as a place of business that patients, clients, or customers use to meet with taxpayer “in the normal course of his trade or business,” OR</w:t>
      </w:r>
    </w:p>
    <w:p w:rsidR="0049128E" w:rsidRPr="00576ED7" w:rsidRDefault="0049128E" w:rsidP="00A6585D">
      <w:pPr>
        <w:widowControl w:val="0"/>
        <w:ind w:left="1440"/>
        <w:jc w:val="both"/>
        <w:rPr>
          <w:szCs w:val="24"/>
        </w:rPr>
      </w:pPr>
      <w:r w:rsidRPr="00576ED7">
        <w:rPr>
          <w:szCs w:val="24"/>
        </w:rPr>
        <w:t>•in connection with taxpayer’s trade or business “in the case of a separate structure which is not attached to the dwelling unit.”</w:t>
      </w:r>
    </w:p>
    <w:p w:rsidR="0049128E" w:rsidRPr="00576ED7" w:rsidRDefault="0049128E" w:rsidP="00A6585D">
      <w:pPr>
        <w:widowControl w:val="0"/>
        <w:ind w:left="720"/>
        <w:jc w:val="both"/>
        <w:rPr>
          <w:szCs w:val="24"/>
        </w:rPr>
      </w:pPr>
      <w:r w:rsidRPr="00576ED7">
        <w:rPr>
          <w:szCs w:val="24"/>
        </w:rPr>
        <w:t>•Section 280A(c)(2) permits deductions when taxpayer regularly uses space in the dwelling unit to store inventory or product samples that ta</w:t>
      </w:r>
      <w:r w:rsidRPr="00576ED7">
        <w:rPr>
          <w:szCs w:val="24"/>
        </w:rPr>
        <w:t>x</w:t>
      </w:r>
      <w:r w:rsidRPr="00576ED7">
        <w:rPr>
          <w:szCs w:val="24"/>
        </w:rPr>
        <w:t>payer sells at retail or wholesale, provided the dwelling unit is the only fixed location of taxpayer’s trade or business.</w:t>
      </w:r>
    </w:p>
    <w:p w:rsidR="0049128E" w:rsidRPr="00576ED7" w:rsidRDefault="0049128E" w:rsidP="00A6585D">
      <w:pPr>
        <w:widowControl w:val="0"/>
        <w:ind w:left="720"/>
        <w:jc w:val="both"/>
        <w:rPr>
          <w:szCs w:val="24"/>
        </w:rPr>
      </w:pPr>
      <w:r w:rsidRPr="00576ED7">
        <w:rPr>
          <w:szCs w:val="24"/>
        </w:rPr>
        <w:t>•Section 280A(c)(3) permits deductions when they are attributable to ren</w:t>
      </w:r>
      <w:r w:rsidRPr="00576ED7">
        <w:rPr>
          <w:szCs w:val="24"/>
        </w:rPr>
        <w:t>t</w:t>
      </w:r>
      <w:r w:rsidRPr="00576ED7">
        <w:rPr>
          <w:szCs w:val="24"/>
        </w:rPr>
        <w:t>al of the dwelling unit.</w:t>
      </w:r>
    </w:p>
    <w:p w:rsidR="0049128E" w:rsidRPr="00576ED7" w:rsidRDefault="0049128E" w:rsidP="00A6585D">
      <w:pPr>
        <w:widowControl w:val="0"/>
        <w:ind w:left="720"/>
        <w:jc w:val="both"/>
        <w:rPr>
          <w:szCs w:val="24"/>
        </w:rPr>
      </w:pPr>
      <w:r w:rsidRPr="00576ED7">
        <w:rPr>
          <w:szCs w:val="24"/>
        </w:rPr>
        <w:t>•Section 280A(c)(4) permits deductions attributable to use of a portion of the dwelling unit for licensed child or dependent care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280A(c)(5) limits the amount of any deductions attributable to business use of the home to the gross income that taxpayer derives from such use.  § 280A(c)(5)(A).  Section 280A(c)(5) and Prop. Reg. § 1-280A(</w:t>
      </w:r>
      <w:r w:rsidRPr="00576ED7">
        <w:rPr>
          <w:i/>
          <w:szCs w:val="24"/>
        </w:rPr>
        <w:t>i</w:t>
      </w:r>
      <w:r w:rsidRPr="00576ED7">
        <w:rPr>
          <w:szCs w:val="24"/>
        </w:rPr>
        <w:t>) provide a s</w:t>
      </w:r>
      <w:r w:rsidRPr="00576ED7">
        <w:rPr>
          <w:szCs w:val="24"/>
        </w:rPr>
        <w:t>e</w:t>
      </w:r>
      <w:r w:rsidRPr="00576ED7">
        <w:rPr>
          <w:szCs w:val="24"/>
        </w:rPr>
        <w:t>quence in which taxpayer may claim deductions attributable to the business a</w:t>
      </w:r>
      <w:r w:rsidRPr="00576ED7">
        <w:rPr>
          <w:szCs w:val="24"/>
        </w:rPr>
        <w:t>c</w:t>
      </w:r>
      <w:r w:rsidRPr="00576ED7">
        <w:rPr>
          <w:szCs w:val="24"/>
        </w:rPr>
        <w:t>tivity.</w:t>
      </w:r>
    </w:p>
    <w:p w:rsidR="0049128E" w:rsidRPr="00576ED7" w:rsidRDefault="0049128E" w:rsidP="00A6585D">
      <w:pPr>
        <w:widowControl w:val="0"/>
        <w:ind w:left="720"/>
        <w:jc w:val="both"/>
        <w:rPr>
          <w:szCs w:val="24"/>
        </w:rPr>
      </w:pPr>
      <w:r w:rsidRPr="00576ED7">
        <w:rPr>
          <w:szCs w:val="24"/>
        </w:rPr>
        <w:t>1.  the gross income that taxpayer derives from use of a dwelling unit in a trade or business does not include “expenditures required for the activity but not allocable to use of the unit itself, such as expenditures for supplies and compensation paid to other persons.”  Prop. Reg. § 1.280A-2(</w:t>
      </w:r>
      <w:r w:rsidRPr="00576ED7">
        <w:rPr>
          <w:i/>
          <w:szCs w:val="24"/>
        </w:rPr>
        <w:t>i</w:t>
      </w:r>
      <w:r w:rsidRPr="00576ED7">
        <w:rPr>
          <w:szCs w:val="24"/>
        </w:rPr>
        <w:t>)(2)(iii).</w:t>
      </w:r>
    </w:p>
    <w:p w:rsidR="0049128E" w:rsidRPr="00576ED7" w:rsidRDefault="0049128E" w:rsidP="00A6585D">
      <w:pPr>
        <w:widowControl w:val="0"/>
        <w:ind w:left="720"/>
        <w:jc w:val="both"/>
        <w:rPr>
          <w:szCs w:val="24"/>
        </w:rPr>
      </w:pPr>
      <w:r w:rsidRPr="00576ED7">
        <w:rPr>
          <w:szCs w:val="24"/>
        </w:rPr>
        <w:t>2.  deductions attributable to such trade or business and allocable to the portion of the dwelling unit that taxpayer uses that the Code would allow taxpayer even if he/she/it did not conduct a trade or business in the dwel</w:t>
      </w:r>
      <w:r w:rsidRPr="00576ED7">
        <w:rPr>
          <w:szCs w:val="24"/>
        </w:rPr>
        <w:t>l</w:t>
      </w:r>
      <w:r w:rsidRPr="00576ED7">
        <w:rPr>
          <w:szCs w:val="24"/>
        </w:rPr>
        <w:t>ing unit, e.g., real property taxes, § 164(a)(1), mortgage interest, § 163(h)(2)(D).</w:t>
      </w:r>
    </w:p>
    <w:p w:rsidR="0049128E" w:rsidRPr="00576ED7" w:rsidRDefault="0049128E" w:rsidP="00A6585D">
      <w:pPr>
        <w:widowControl w:val="0"/>
        <w:ind w:left="720"/>
        <w:jc w:val="both"/>
        <w:rPr>
          <w:szCs w:val="24"/>
        </w:rPr>
      </w:pPr>
      <w:r w:rsidRPr="00576ED7">
        <w:rPr>
          <w:szCs w:val="24"/>
        </w:rPr>
        <w:t>3.  deductions attributable to such trade or business use that do not reduce basis, e.g., utilities, homeowners’ insurance.</w:t>
      </w:r>
    </w:p>
    <w:p w:rsidR="0049128E" w:rsidRPr="00576ED7" w:rsidRDefault="0049128E" w:rsidP="00A6585D">
      <w:pPr>
        <w:widowControl w:val="0"/>
        <w:ind w:left="720"/>
        <w:jc w:val="both"/>
        <w:rPr>
          <w:szCs w:val="24"/>
        </w:rPr>
      </w:pPr>
      <w:r w:rsidRPr="00576ED7">
        <w:rPr>
          <w:szCs w:val="24"/>
        </w:rPr>
        <w:t>4.  basis-reducing deductions, i.e., depreciation.</w:t>
      </w:r>
    </w:p>
    <w:p w:rsidR="0049128E" w:rsidRPr="00576ED7" w:rsidRDefault="0049128E" w:rsidP="00A6585D">
      <w:pPr>
        <w:widowControl w:val="0"/>
        <w:jc w:val="both"/>
        <w:rPr>
          <w:szCs w:val="24"/>
        </w:rPr>
      </w:pPr>
      <w:r w:rsidRPr="00576ED7">
        <w:rPr>
          <w:szCs w:val="24"/>
        </w:rPr>
        <w:t>If taxpayer’s deductions exceed his/her/its gross income derived from the business use of the dwelling unit that he/she/it uses as a home, taxpayer may carry those deductions forward to succeeding years.</w:t>
      </w:r>
    </w:p>
    <w:p w:rsidR="0049128E" w:rsidRPr="00576ED7" w:rsidRDefault="0049128E" w:rsidP="00A6585D">
      <w:pPr>
        <w:widowControl w:val="0"/>
        <w:ind w:left="720"/>
        <w:jc w:val="both"/>
        <w:rPr>
          <w:szCs w:val="24"/>
        </w:rPr>
      </w:pPr>
      <w:r w:rsidRPr="00576ED7">
        <w:rPr>
          <w:szCs w:val="24"/>
        </w:rPr>
        <w:t>•Notice that unless taxpayer operates a trade or business in the home that is genuine, in the sense that it is profitable, it is unlikely that taxpayer will ever be able to exploit all of the deductions that business use of a home would generate.  A taxpayer who does not carry on a profitable trade or business in the home will likely carry forward unused deductions forever.</w:t>
      </w:r>
    </w:p>
    <w:p w:rsidR="0049128E" w:rsidRPr="00576ED7" w:rsidRDefault="0049128E" w:rsidP="00A6585D">
      <w:pPr>
        <w:widowControl w:val="0"/>
        <w:ind w:left="720"/>
        <w:jc w:val="both"/>
        <w:rPr>
          <w:szCs w:val="24"/>
        </w:rPr>
      </w:pPr>
      <w:r w:rsidRPr="00576ED7">
        <w:rPr>
          <w:szCs w:val="24"/>
        </w:rPr>
        <w:t>•Notice also that the sequence of deductions that § 280A(c)(5) and Prop. Reg. § 1.280A-2(</w:t>
      </w:r>
      <w:r w:rsidRPr="00576ED7">
        <w:rPr>
          <w:i/>
          <w:szCs w:val="24"/>
        </w:rPr>
        <w:t>i</w:t>
      </w:r>
      <w:r w:rsidRPr="00576ED7">
        <w:rPr>
          <w:szCs w:val="24"/>
        </w:rPr>
        <w:t xml:space="preserve">) mandate requires taxpayer to “use up” the deductions to which he/she/it would be entitled – even if taxpayer did not use his/her/its dwelling unit for business activities, i.e., direct expenses of the business itself followed by deductions to which taxpayer is entitled in any event. </w:t>
      </w:r>
    </w:p>
    <w:p w:rsidR="0049128E" w:rsidRPr="00576ED7" w:rsidRDefault="0049128E" w:rsidP="00A6585D">
      <w:pPr>
        <w:widowControl w:val="0"/>
        <w:ind w:left="1440"/>
        <w:jc w:val="both"/>
        <w:rPr>
          <w:szCs w:val="24"/>
        </w:rPr>
      </w:pPr>
      <w:r w:rsidRPr="00576ED7">
        <w:rPr>
          <w:szCs w:val="24"/>
        </w:rPr>
        <w:t>•The deductions that might motivate taxpayer to claim business use of a home are the ones to which he/she/it would not otherwise be entitled to claim, e.g., a portion of homeowners’ insurance, util</w:t>
      </w:r>
      <w:r w:rsidRPr="00576ED7">
        <w:rPr>
          <w:szCs w:val="24"/>
        </w:rPr>
        <w:t>i</w:t>
      </w:r>
      <w:r w:rsidRPr="00576ED7">
        <w:rPr>
          <w:szCs w:val="24"/>
        </w:rPr>
        <w:t>ties, other expenses of home ownership, and (perhaps most i</w:t>
      </w:r>
      <w:r w:rsidRPr="00576ED7">
        <w:rPr>
          <w:szCs w:val="24"/>
        </w:rPr>
        <w:t>m</w:t>
      </w:r>
      <w:r w:rsidRPr="00576ED7">
        <w:rPr>
          <w:szCs w:val="24"/>
        </w:rPr>
        <w:t>portantly) depreciation.  Those deductions may be effectively out of reach.</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lastRenderedPageBreak/>
        <w:drawing>
          <wp:inline distT="0" distB="0" distL="0" distR="0" wp14:anchorId="16416FDB" wp14:editId="676CE5BE">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 xml:space="preserve">Basic </w:t>
      </w:r>
      <w:r w:rsidR="00FE5465" w:rsidRPr="00576ED7">
        <w:rPr>
          <w:i/>
          <w:szCs w:val="24"/>
        </w:rPr>
        <w:t xml:space="preserve">Federal </w:t>
      </w:r>
      <w:r w:rsidR="0049128E" w:rsidRPr="00576ED7">
        <w:rPr>
          <w:i/>
          <w:szCs w:val="24"/>
        </w:rPr>
        <w:t>Income Taxation: Deductions: Trade or Business Deductions</w:t>
      </w:r>
      <w:r w:rsidR="0049128E" w:rsidRPr="00576ED7">
        <w:rPr>
          <w:szCs w:val="24"/>
        </w:rPr>
        <w:t>.  Hopefully, you will find some of it to be in the nature of review.</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7B6AB46" wp14:editId="15D582EF">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w:t>
      </w:r>
      <w:r w:rsidRPr="00576ED7">
        <w:rPr>
          <w:i/>
          <w:szCs w:val="24"/>
        </w:rPr>
        <w:t>x</w:t>
      </w:r>
      <w:r w:rsidRPr="00576ED7">
        <w:rPr>
          <w:i/>
          <w:szCs w:val="24"/>
        </w:rPr>
        <w:t>penses</w:t>
      </w:r>
    </w:p>
    <w:p w:rsidR="0049128E" w:rsidRPr="00576ED7" w:rsidRDefault="0049128E" w:rsidP="00A6585D">
      <w:pPr>
        <w:widowControl w:val="0"/>
        <w:ind w:left="720"/>
        <w:jc w:val="both"/>
        <w:rPr>
          <w:szCs w:val="24"/>
        </w:rPr>
      </w:pPr>
      <w:r w:rsidRPr="00576ED7">
        <w:rPr>
          <w:szCs w:val="24"/>
        </w:rPr>
        <w:t>•Read Reg. § 1.162-5.</w:t>
      </w:r>
    </w:p>
    <w:p w:rsidR="0049128E" w:rsidRPr="00576ED7" w:rsidRDefault="0049128E" w:rsidP="00A6585D">
      <w:pPr>
        <w:widowControl w:val="0"/>
        <w:ind w:left="720"/>
        <w:jc w:val="both"/>
        <w:rPr>
          <w:szCs w:val="24"/>
        </w:rPr>
      </w:pPr>
      <w:r w:rsidRPr="00576ED7">
        <w:rPr>
          <w:szCs w:val="24"/>
        </w:rPr>
        <w:t>•Read §§ 274(m)(2), 274(n).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incur expenses for various educational activities, e.g., training, that he/she/it may deduct as ordinary and necessary business expenses.  Recall that in </w:t>
      </w:r>
      <w:r w:rsidRPr="00576ED7">
        <w:rPr>
          <w:i/>
          <w:szCs w:val="24"/>
        </w:rPr>
        <w:t>Welch v. Helvering</w:t>
      </w:r>
      <w:r w:rsidRPr="00576ED7">
        <w:rPr>
          <w:szCs w:val="24"/>
        </w:rPr>
        <w:t>, the Court indicated that investment in one’s basic ed</w:t>
      </w:r>
      <w:r w:rsidRPr="00576ED7">
        <w:rPr>
          <w:szCs w:val="24"/>
        </w:rPr>
        <w:t>u</w:t>
      </w:r>
      <w:r w:rsidRPr="00576ED7">
        <w:rPr>
          <w:szCs w:val="24"/>
        </w:rPr>
        <w:t>cation is a nondeductible investment in human capital.  Not surprisingly, then, the regulations draw lines around education undertaken to meet the minimum r</w:t>
      </w:r>
      <w:r w:rsidRPr="00576ED7">
        <w:rPr>
          <w:szCs w:val="24"/>
        </w:rPr>
        <w:t>e</w:t>
      </w:r>
      <w:r w:rsidRPr="00576ED7">
        <w:rPr>
          <w:szCs w:val="24"/>
        </w:rPr>
        <w:t>quirements of a particular trade or business or to qualify for a new trade or bus</w:t>
      </w:r>
      <w:r w:rsidRPr="00576ED7">
        <w:rPr>
          <w:szCs w:val="24"/>
        </w:rPr>
        <w:t>i</w:t>
      </w:r>
      <w:r w:rsidRPr="00576ED7">
        <w:rPr>
          <w:szCs w:val="24"/>
        </w:rPr>
        <w:t>ness.  Reg. § 1.162-5 implements these distinctions.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1.162-5(a) states the general rule that expenditures made for education are deductible, even when those expenditures may lead to a degree, if the education –</w:t>
      </w:r>
    </w:p>
    <w:p w:rsidR="0049128E" w:rsidRPr="00576ED7" w:rsidRDefault="0049128E" w:rsidP="00A6585D">
      <w:pPr>
        <w:widowControl w:val="0"/>
        <w:ind w:left="720"/>
        <w:jc w:val="both"/>
        <w:rPr>
          <w:szCs w:val="24"/>
        </w:rPr>
      </w:pPr>
      <w:r w:rsidRPr="00576ED7">
        <w:rPr>
          <w:szCs w:val="24"/>
        </w:rPr>
        <w:t>“(1) Maintains or improves skills required by the individual in his e</w:t>
      </w:r>
      <w:r w:rsidRPr="00576ED7">
        <w:rPr>
          <w:szCs w:val="24"/>
        </w:rPr>
        <w:t>m</w:t>
      </w:r>
      <w:r w:rsidRPr="00576ED7">
        <w:rPr>
          <w:szCs w:val="24"/>
        </w:rPr>
        <w:t>ployment or other trade or business,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Meets the express requirements of the individual’s employer, or the r</w:t>
      </w:r>
      <w:r w:rsidRPr="00576ED7">
        <w:rPr>
          <w:szCs w:val="24"/>
        </w:rPr>
        <w:t>e</w:t>
      </w:r>
      <w:r w:rsidRPr="00576ED7">
        <w:rPr>
          <w:szCs w:val="24"/>
        </w:rPr>
        <w:t>quirements of applicable law or regulations, imposed as a condition to the retention by the individual of an established employment relationship st</w:t>
      </w:r>
      <w:r w:rsidRPr="00576ED7">
        <w:rPr>
          <w:szCs w:val="24"/>
        </w:rPr>
        <w:t>a</w:t>
      </w:r>
      <w:r w:rsidRPr="00576ED7">
        <w:rPr>
          <w:szCs w:val="24"/>
        </w:rPr>
        <w:t>tus, or rate of compensation.”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However, </w:t>
      </w:r>
      <w:r w:rsidRPr="00576ED7">
        <w:rPr>
          <w:i/>
          <w:szCs w:val="24"/>
        </w:rPr>
        <w:t>even expenditures that meet one of these two conditions</w:t>
      </w:r>
      <w:r w:rsidRPr="00576ED7">
        <w:rPr>
          <w:szCs w:val="24"/>
        </w:rPr>
        <w:t xml:space="preserve"> are neve</w:t>
      </w:r>
      <w:r w:rsidRPr="00576ED7">
        <w:rPr>
          <w:szCs w:val="24"/>
        </w:rPr>
        <w:t>r</w:t>
      </w:r>
      <w:r w:rsidRPr="00576ED7">
        <w:rPr>
          <w:szCs w:val="24"/>
        </w:rPr>
        <w:t>theless not deductible if –</w:t>
      </w:r>
    </w:p>
    <w:p w:rsidR="0049128E" w:rsidRPr="00576ED7" w:rsidRDefault="0049128E" w:rsidP="00A6585D">
      <w:pPr>
        <w:widowControl w:val="0"/>
        <w:ind w:left="720"/>
        <w:jc w:val="both"/>
        <w:rPr>
          <w:szCs w:val="24"/>
        </w:rPr>
      </w:pPr>
      <w:r w:rsidRPr="00576ED7">
        <w:rPr>
          <w:szCs w:val="24"/>
        </w:rPr>
        <w:t>•the expenditures are “made by an individual for education which is r</w:t>
      </w:r>
      <w:r w:rsidRPr="00576ED7">
        <w:rPr>
          <w:szCs w:val="24"/>
        </w:rPr>
        <w:t>e</w:t>
      </w:r>
      <w:r w:rsidRPr="00576ED7">
        <w:rPr>
          <w:szCs w:val="24"/>
        </w:rPr>
        <w:t>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  Once an individual has met the min</w:t>
      </w:r>
      <w:r w:rsidRPr="00576ED7">
        <w:rPr>
          <w:szCs w:val="24"/>
        </w:rPr>
        <w:t>i</w:t>
      </w:r>
      <w:r w:rsidRPr="00576ED7">
        <w:rPr>
          <w:szCs w:val="24"/>
        </w:rPr>
        <w:lastRenderedPageBreak/>
        <w:t>mum educational requirements for qualification in his employment or ot</w:t>
      </w:r>
      <w:r w:rsidRPr="00576ED7">
        <w:rPr>
          <w:szCs w:val="24"/>
        </w:rPr>
        <w:t>h</w:t>
      </w:r>
      <w:r w:rsidRPr="00576ED7">
        <w:rPr>
          <w:szCs w:val="24"/>
        </w:rPr>
        <w:t>er trade or business (as in effect when he enters the employment or trade or business), he shall be treated as continuing to meet those requirements even though they are changed.”  Reg. § 1.162-5(b)(2)(i).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expenditures are “made by an individual for education which is part of a program of study being pursued by him which will lead to qualifying him in a new trade or business.”  Reg. § 1.162-5(b)(3)(i).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Pere Alegal works for a downtown Memphis law firm.  He works under the s</w:t>
      </w:r>
      <w:r w:rsidRPr="00576ED7">
        <w:rPr>
          <w:szCs w:val="24"/>
        </w:rPr>
        <w:t>u</w:t>
      </w:r>
      <w:r w:rsidRPr="00576ED7">
        <w:rPr>
          <w:szCs w:val="24"/>
        </w:rPr>
        <w:t>pervision of attorneys, but in many respects he does the same type of work that attorneys do.  The firm’s partners advise Alegal that if he does not obtain a law license, he will not be retained.  Alegal therefore enrolled in one of the nation’s best-value law schools.  Pere will continue to work for the firm.  Alegal incurs costs for tuition, books, etc.  At the end of the educational program, Alegal passed the bar examination and obtained a license to practice law.  Alegal continues to work for the firm and in fact his job functions did not change at all.</w:t>
      </w:r>
    </w:p>
    <w:p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4.  Section 172</w:t>
      </w:r>
      <w:r w:rsidRPr="00576ED7">
        <w:rPr>
          <w:szCs w:val="24"/>
        </w:rPr>
        <w:fldChar w:fldCharType="begin"/>
      </w:r>
      <w:r w:rsidRPr="00576ED7">
        <w:rPr>
          <w:szCs w:val="24"/>
        </w:rPr>
        <w:instrText xml:space="preserve"> TC \l3 "4.  Section 172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costs of earning taxable income are offset against that income.  Ours is a sy</w:t>
      </w:r>
      <w:r w:rsidRPr="00576ED7">
        <w:rPr>
          <w:szCs w:val="24"/>
        </w:rPr>
        <w:t>s</w:t>
      </w:r>
      <w:r w:rsidRPr="00576ED7">
        <w:rPr>
          <w:szCs w:val="24"/>
        </w:rPr>
        <w:t>tem that taxes only “net income.”  The Tax Code requires an annual accounting of income and deductible expenses.  A taxpayer’s income may fluctuate between losses and profitability from one year to the next.  This could raise serious pro</w:t>
      </w:r>
      <w:r w:rsidRPr="00576ED7">
        <w:rPr>
          <w:szCs w:val="24"/>
        </w:rPr>
        <w:t>b</w:t>
      </w:r>
      <w:r w:rsidRPr="00576ED7">
        <w:rPr>
          <w:szCs w:val="24"/>
        </w:rPr>
        <w:t>lems of fairness if losses cannot offset gross income.  Section 172 permits some netting of business gains and losses between different tax years.</w:t>
      </w:r>
    </w:p>
    <w:p w:rsidR="0049128E" w:rsidRPr="00576ED7" w:rsidRDefault="0049128E" w:rsidP="00A6585D">
      <w:pPr>
        <w:widowControl w:val="0"/>
        <w:ind w:left="720"/>
        <w:jc w:val="both"/>
        <w:rPr>
          <w:szCs w:val="24"/>
        </w:rPr>
      </w:pPr>
      <w:r w:rsidRPr="00576ED7">
        <w:rPr>
          <w:szCs w:val="24"/>
        </w:rPr>
        <w:t>•Read § 172(c).  It defines a “net operating loss” (NOL) to be the excess of deductions allowed over gross income.</w:t>
      </w:r>
    </w:p>
    <w:p w:rsidR="0049128E" w:rsidRPr="00576ED7" w:rsidRDefault="0049128E" w:rsidP="00A6585D">
      <w:pPr>
        <w:widowControl w:val="0"/>
        <w:ind w:left="720"/>
        <w:jc w:val="both"/>
        <w:rPr>
          <w:szCs w:val="24"/>
        </w:rPr>
      </w:pPr>
      <w:r w:rsidRPr="00576ED7">
        <w:rPr>
          <w:szCs w:val="24"/>
        </w:rPr>
        <w:t>•Read § 172(d).  Its effect is to limit the deductions that would “take ta</w:t>
      </w:r>
      <w:r w:rsidRPr="00576ED7">
        <w:rPr>
          <w:szCs w:val="24"/>
        </w:rPr>
        <w:t>x</w:t>
      </w:r>
      <w:r w:rsidRPr="00576ED7">
        <w:rPr>
          <w:szCs w:val="24"/>
        </w:rPr>
        <w:t>payer’s taxable income negative” to essentially trade or business expenses.  For individual taxpayers, capital losses are deductible only to the extent of capital gains, § 172(d)(2)(A); no deduction is allowed for personal exem</w:t>
      </w:r>
      <w:r w:rsidRPr="00576ED7">
        <w:rPr>
          <w:szCs w:val="24"/>
        </w:rPr>
        <w:t>p</w:t>
      </w:r>
      <w:r w:rsidRPr="00576ED7">
        <w:rPr>
          <w:szCs w:val="24"/>
        </w:rPr>
        <w:lastRenderedPageBreak/>
        <w:t>tions,  § 172(d)(3); nonbusiness deductions are allowed only to the extent of taxpayer’s non-trade or business income, § 172(d)(4); the § 199 dome</w:t>
      </w:r>
      <w:r w:rsidRPr="00576ED7">
        <w:rPr>
          <w:szCs w:val="24"/>
        </w:rPr>
        <w:t>s</w:t>
      </w:r>
      <w:r w:rsidRPr="00576ED7">
        <w:rPr>
          <w:szCs w:val="24"/>
        </w:rPr>
        <w:t>tic production deduction is not allowed, § 172(d)(7).</w:t>
      </w:r>
    </w:p>
    <w:p w:rsidR="0049128E" w:rsidRPr="00576ED7" w:rsidRDefault="0049128E" w:rsidP="00A6585D">
      <w:pPr>
        <w:widowControl w:val="0"/>
        <w:ind w:left="720"/>
        <w:jc w:val="both"/>
        <w:rPr>
          <w:szCs w:val="24"/>
        </w:rPr>
      </w:pPr>
      <w:r w:rsidRPr="00576ED7">
        <w:rPr>
          <w:szCs w:val="24"/>
        </w:rPr>
        <w:t>•Section 172(a) permits NOL carryovers and carrybacks to reduce taxpa</w:t>
      </w:r>
      <w:r w:rsidRPr="00576ED7">
        <w:rPr>
          <w:szCs w:val="24"/>
        </w:rPr>
        <w:t>y</w:t>
      </w:r>
      <w:r w:rsidRPr="00576ED7">
        <w:rPr>
          <w:szCs w:val="24"/>
        </w:rPr>
        <w:t>er’s taxable income.</w:t>
      </w:r>
    </w:p>
    <w:p w:rsidR="0049128E" w:rsidRPr="00576ED7" w:rsidRDefault="0049128E" w:rsidP="00A6585D">
      <w:pPr>
        <w:widowControl w:val="0"/>
        <w:ind w:left="1440"/>
        <w:jc w:val="both"/>
        <w:rPr>
          <w:szCs w:val="24"/>
        </w:rPr>
      </w:pPr>
      <w:r w:rsidRPr="00576ED7">
        <w:rPr>
          <w:szCs w:val="24"/>
        </w:rPr>
        <w:t>•An NOL carryback is first allowed against the taxable income of each of the two taxable years preceding the taxable year of the net loss.  § 172(b)(1)(A)(i).</w:t>
      </w:r>
    </w:p>
    <w:p w:rsidR="0049128E" w:rsidRPr="00576ED7" w:rsidRDefault="0049128E" w:rsidP="00A6585D">
      <w:pPr>
        <w:widowControl w:val="0"/>
        <w:ind w:left="1440"/>
        <w:jc w:val="both"/>
        <w:rPr>
          <w:szCs w:val="24"/>
        </w:rPr>
      </w:pPr>
      <w:r w:rsidRPr="00576ED7">
        <w:rPr>
          <w:szCs w:val="24"/>
        </w:rPr>
        <w:t>•An NOL carryover is allowed against the taxable income of each of the 20 years following the taxable year of the net loss.  § 172(b)(1)(A)(ii).</w:t>
      </w:r>
      <w:r w:rsidRPr="00576ED7">
        <w:rPr>
          <w:rStyle w:val="FootnoteReference"/>
          <w:szCs w:val="24"/>
        </w:rPr>
        <w:footnoteReference w:id="138"/>
      </w:r>
    </w:p>
    <w:p w:rsidR="0049128E" w:rsidRPr="00576ED7" w:rsidRDefault="0049128E" w:rsidP="00A6585D">
      <w:pPr>
        <w:widowControl w:val="0"/>
        <w:ind w:left="1440"/>
        <w:jc w:val="both"/>
        <w:rPr>
          <w:szCs w:val="24"/>
        </w:rPr>
      </w:pPr>
      <w:r w:rsidRPr="00576ED7">
        <w:rPr>
          <w:szCs w:val="24"/>
        </w:rPr>
        <w:t>•A taxpayer must use carrybacks and carryovers beginning with the earliest taxable year and then apply them to each succeeding year.  § 172(b)(2).  The taxable income against which an NOL may be used is computed without regard to capital losses or personal e</w:t>
      </w:r>
      <w:r w:rsidR="002B0045" w:rsidRPr="00576ED7">
        <w:rPr>
          <w:szCs w:val="24"/>
        </w:rPr>
        <w:t xml:space="preserve">xemptions.  § 172(b)(2)(A).  A </w:t>
      </w:r>
      <w:r w:rsidRPr="00576ED7">
        <w:rPr>
          <w:szCs w:val="24"/>
        </w:rPr>
        <w:t>taxpayer may waive the entire ca</w:t>
      </w:r>
      <w:r w:rsidRPr="00576ED7">
        <w:rPr>
          <w:szCs w:val="24"/>
        </w:rPr>
        <w:t>r</w:t>
      </w:r>
      <w:r w:rsidRPr="00576ED7">
        <w:rPr>
          <w:szCs w:val="24"/>
        </w:rPr>
        <w:t>ryback period.  § 172(b)(3).  •The carryback period is extended to three years in the case of NOLs caused by casualties, federally d</w:t>
      </w:r>
      <w:r w:rsidRPr="00576ED7">
        <w:rPr>
          <w:szCs w:val="24"/>
        </w:rPr>
        <w:t>e</w:t>
      </w:r>
      <w:r w:rsidRPr="00576ED7">
        <w:rPr>
          <w:szCs w:val="24"/>
        </w:rPr>
        <w:t>clared disasters, and certain farming losses.  § 172(b)(1)(F).</w:t>
      </w:r>
    </w:p>
    <w:p w:rsidR="0049128E" w:rsidRPr="00576ED7" w:rsidRDefault="0049128E" w:rsidP="00A6585D">
      <w:pPr>
        <w:widowControl w:val="0"/>
        <w:ind w:left="2160"/>
        <w:jc w:val="both"/>
        <w:rPr>
          <w:szCs w:val="24"/>
        </w:rPr>
      </w:pPr>
      <w:r w:rsidRPr="00576ED7">
        <w:rPr>
          <w:szCs w:val="24"/>
        </w:rPr>
        <w:t>•The effect of any extension of the carry</w:t>
      </w:r>
      <w:r w:rsidRPr="00576ED7">
        <w:rPr>
          <w:i/>
          <w:szCs w:val="24"/>
        </w:rPr>
        <w:t>back</w:t>
      </w:r>
      <w:r w:rsidRPr="00576ED7">
        <w:rPr>
          <w:szCs w:val="24"/>
        </w:rPr>
        <w:t xml:space="preserve"> period is to get money into the pockets of the affected taxpayer(s) quickly.  A casualty or natural disaster likely causes signi</w:t>
      </w:r>
      <w:r w:rsidRPr="00576ED7">
        <w:rPr>
          <w:szCs w:val="24"/>
        </w:rPr>
        <w:t>f</w:t>
      </w:r>
      <w:r w:rsidRPr="00576ED7">
        <w:rPr>
          <w:szCs w:val="24"/>
        </w:rPr>
        <w:t>icant losses to the affected taxpayer in the year of the disa</w:t>
      </w:r>
      <w:r w:rsidRPr="00576ED7">
        <w:rPr>
          <w:szCs w:val="24"/>
        </w:rPr>
        <w:t>s</w:t>
      </w:r>
      <w:r w:rsidRPr="00576ED7">
        <w:rPr>
          <w:szCs w:val="24"/>
        </w:rPr>
        <w:t>ter.  A carryforward deduction will only benefit such ta</w:t>
      </w:r>
      <w:r w:rsidRPr="00576ED7">
        <w:rPr>
          <w:szCs w:val="24"/>
        </w:rPr>
        <w:t>x</w:t>
      </w:r>
      <w:r w:rsidRPr="00576ED7">
        <w:rPr>
          <w:szCs w:val="24"/>
        </w:rPr>
        <w:t>payers in the future.  Such taxpayers may have been (quite) profitable in the immediately preceding years and paid a significant amount in federal income tax.  An extension of the carryback period permits affected taxpayers to recoup more of such income taxes paid sooner.</w:t>
      </w:r>
    </w:p>
    <w:p w:rsidR="0049128E" w:rsidRPr="00576ED7" w:rsidRDefault="0049128E" w:rsidP="00A6585D">
      <w:pPr>
        <w:widowControl w:val="0"/>
        <w:ind w:left="1440"/>
        <w:jc w:val="both"/>
        <w:rPr>
          <w:szCs w:val="24"/>
        </w:rPr>
      </w:pPr>
      <w:r w:rsidRPr="00576ED7">
        <w:rPr>
          <w:szCs w:val="24"/>
        </w:rPr>
        <w:t>•One measure to deal with the economic crisis is § 172(b)(1)(H).  This provision permits a taxpayer to extend the carryback period to 3, 4, or 5 years for an operating loss occurring in 2008 or 2009.  § 172(b)(1)(H)(i and ii).  Taxpayer may make this election only with respect to one taxable year.  § 172(b)(1)(H)(iii)(I).</w:t>
      </w:r>
    </w:p>
    <w:p w:rsidR="0049128E" w:rsidRPr="00576ED7" w:rsidRDefault="0049128E" w:rsidP="00A6585D">
      <w:pPr>
        <w:widowControl w:val="0"/>
        <w:ind w:left="2160"/>
        <w:jc w:val="both"/>
        <w:rPr>
          <w:szCs w:val="24"/>
        </w:rPr>
      </w:pPr>
      <w:r w:rsidRPr="00576ED7">
        <w:rPr>
          <w:szCs w:val="24"/>
        </w:rPr>
        <w:t xml:space="preserve">•A 5-year carryback is limited to 50% of the taxpayer’s </w:t>
      </w:r>
      <w:r w:rsidRPr="00576ED7">
        <w:rPr>
          <w:szCs w:val="24"/>
        </w:rPr>
        <w:lastRenderedPageBreak/>
        <w:t>taxable income as of the carryback year, computed without regard to the NOL for the loss year or any other succeeding loss year whose NOL would be carried back.  § 172(b)(2)(H)(iv)(I).</w:t>
      </w:r>
    </w:p>
    <w:p w:rsidR="0049128E" w:rsidRPr="00576ED7" w:rsidRDefault="0049128E" w:rsidP="00A6585D">
      <w:pPr>
        <w:widowControl w:val="0"/>
        <w:ind w:left="2160"/>
        <w:jc w:val="both"/>
        <w:rPr>
          <w:szCs w:val="24"/>
        </w:rPr>
      </w:pPr>
      <w:r w:rsidRPr="00576ED7">
        <w:rPr>
          <w:szCs w:val="24"/>
        </w:rPr>
        <w:t>•Presumably, a taxpayer would choose a carryback period that would maximize his/her refund.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In 2011, taxpayer had net losses of $500,000.  Redetermine taxpayer’s taxable income under the rules of § 172 if taxpayer’s taxable income would otherwise have been the following amounts for the years in question.</w:t>
      </w:r>
    </w:p>
    <w:p w:rsidR="0049128E" w:rsidRPr="00576ED7" w:rsidRDefault="0049128E" w:rsidP="00A6585D">
      <w:pPr>
        <w:widowControl w:val="0"/>
        <w:ind w:left="720"/>
        <w:jc w:val="both"/>
        <w:rPr>
          <w:szCs w:val="24"/>
        </w:rPr>
      </w:pPr>
      <w:r w:rsidRPr="00576ED7">
        <w:rPr>
          <w:szCs w:val="24"/>
        </w:rPr>
        <w:t>•2009: $50,000</w:t>
      </w:r>
    </w:p>
    <w:p w:rsidR="0049128E" w:rsidRPr="00576ED7" w:rsidRDefault="0049128E" w:rsidP="00A6585D">
      <w:pPr>
        <w:widowControl w:val="0"/>
        <w:ind w:left="720"/>
        <w:jc w:val="both"/>
        <w:rPr>
          <w:szCs w:val="24"/>
        </w:rPr>
      </w:pPr>
      <w:r w:rsidRPr="00576ED7">
        <w:rPr>
          <w:szCs w:val="24"/>
        </w:rPr>
        <w:t>•2010: $75,000</w:t>
      </w:r>
    </w:p>
    <w:p w:rsidR="0049128E" w:rsidRPr="00576ED7" w:rsidRDefault="0049128E" w:rsidP="00A6585D">
      <w:pPr>
        <w:widowControl w:val="0"/>
        <w:ind w:left="720"/>
        <w:jc w:val="both"/>
        <w:rPr>
          <w:szCs w:val="24"/>
        </w:rPr>
      </w:pPr>
      <w:r w:rsidRPr="00576ED7">
        <w:rPr>
          <w:szCs w:val="24"/>
        </w:rPr>
        <w:t>•2011: ?</w:t>
      </w:r>
    </w:p>
    <w:p w:rsidR="0049128E" w:rsidRPr="00576ED7" w:rsidRDefault="0049128E" w:rsidP="00A6585D">
      <w:pPr>
        <w:widowControl w:val="0"/>
        <w:ind w:left="720"/>
        <w:jc w:val="both"/>
        <w:rPr>
          <w:szCs w:val="24"/>
        </w:rPr>
      </w:pPr>
      <w:r w:rsidRPr="00576ED7">
        <w:rPr>
          <w:szCs w:val="24"/>
        </w:rPr>
        <w:t>•2012: $110,000</w:t>
      </w:r>
    </w:p>
    <w:p w:rsidR="0049128E" w:rsidRPr="00576ED7" w:rsidRDefault="0049128E" w:rsidP="00A6585D">
      <w:pPr>
        <w:widowControl w:val="0"/>
        <w:ind w:left="720"/>
        <w:jc w:val="both"/>
        <w:rPr>
          <w:szCs w:val="24"/>
        </w:rPr>
      </w:pPr>
      <w:r w:rsidRPr="00576ED7">
        <w:rPr>
          <w:szCs w:val="24"/>
        </w:rPr>
        <w:t>•2013: $165,000</w:t>
      </w:r>
    </w:p>
    <w:p w:rsidR="0049128E" w:rsidRPr="00576ED7" w:rsidRDefault="0049128E" w:rsidP="00A6585D">
      <w:pPr>
        <w:widowControl w:val="0"/>
        <w:ind w:left="720"/>
        <w:jc w:val="both"/>
        <w:rPr>
          <w:szCs w:val="24"/>
        </w:rPr>
      </w:pPr>
      <w:r w:rsidRPr="00576ED7">
        <w:rPr>
          <w:szCs w:val="24"/>
        </w:rPr>
        <w:t>•2014: $200,000</w:t>
      </w:r>
    </w:p>
    <w:p w:rsidR="0049128E" w:rsidRPr="00576ED7" w:rsidRDefault="0049128E" w:rsidP="00A6585D">
      <w:pPr>
        <w:widowControl w:val="0"/>
        <w:ind w:left="720"/>
        <w:jc w:val="both"/>
        <w:rPr>
          <w:szCs w:val="24"/>
        </w:rPr>
      </w:pPr>
      <w:r w:rsidRPr="00576ED7">
        <w:rPr>
          <w:szCs w:val="24"/>
        </w:rPr>
        <w:t>•2015: $100,000</w:t>
      </w:r>
    </w:p>
    <w:p w:rsidR="0049128E" w:rsidRPr="00576ED7" w:rsidRDefault="0049128E" w:rsidP="00A6585D">
      <w:pPr>
        <w:widowControl w:val="0"/>
        <w:ind w:left="720"/>
        <w:jc w:val="both"/>
        <w:rPr>
          <w:szCs w:val="24"/>
        </w:rPr>
      </w:pPr>
      <w:r w:rsidRPr="00576ED7">
        <w:rPr>
          <w:szCs w:val="24"/>
        </w:rPr>
        <w:t>•2016: $60,000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Special Rules to Encourage Manufacturing and Exploitation of Nat</w:t>
      </w:r>
      <w:r w:rsidRPr="00576ED7">
        <w:rPr>
          <w:i/>
          <w:szCs w:val="24"/>
        </w:rPr>
        <w:t>u</w:t>
      </w:r>
      <w:r w:rsidRPr="00576ED7">
        <w:rPr>
          <w:i/>
          <w:szCs w:val="24"/>
        </w:rPr>
        <w:t>ral Resources</w:t>
      </w:r>
      <w:r w:rsidRPr="00576ED7">
        <w:rPr>
          <w:szCs w:val="24"/>
        </w:rPr>
        <w:fldChar w:fldCharType="begin"/>
      </w:r>
      <w:r w:rsidRPr="00576ED7">
        <w:rPr>
          <w:i/>
          <w:szCs w:val="24"/>
        </w:rPr>
        <w:instrText xml:space="preserve"> TC \l2 "D.  Special Rules to Encourage Manufacturing and Exploitation of Natural Resources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Section 199: Income Attributable to Domestic Production A</w:t>
      </w:r>
      <w:r w:rsidRPr="00576ED7">
        <w:rPr>
          <w:szCs w:val="24"/>
        </w:rPr>
        <w:t>c</w:t>
      </w:r>
      <w:r w:rsidRPr="00576ED7">
        <w:rPr>
          <w:szCs w:val="24"/>
        </w:rPr>
        <w:t>tivities</w:t>
      </w:r>
      <w:r w:rsidRPr="00576ED7">
        <w:rPr>
          <w:szCs w:val="24"/>
        </w:rPr>
        <w:fldChar w:fldCharType="begin"/>
      </w:r>
      <w:r w:rsidRPr="00576ED7">
        <w:rPr>
          <w:szCs w:val="24"/>
        </w:rPr>
        <w:instrText xml:space="preserve"> TC \l3 "1.  Section 199: Income Attributable to Domestic Production Activities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order to encourage taxpayers to engage in manufacturing trades or businesses in the United States, Congress enacted § 199.  Section 199(a) allows a deduction of 9% of a taxpayer’s “qualified production activities income” or the taxpayer’s taxable income determined without regard to § 199 – whichever is less.  A ta</w:t>
      </w:r>
      <w:r w:rsidRPr="00576ED7">
        <w:rPr>
          <w:szCs w:val="24"/>
        </w:rPr>
        <w:t>x</w:t>
      </w:r>
      <w:r w:rsidRPr="00576ED7">
        <w:rPr>
          <w:szCs w:val="24"/>
        </w:rPr>
        <w:t>payer’s “qualified pr</w:t>
      </w:r>
      <w:r w:rsidR="002B0045" w:rsidRPr="00576ED7">
        <w:rPr>
          <w:szCs w:val="24"/>
        </w:rPr>
        <w:t xml:space="preserve">oduction activities income” is </w:t>
      </w:r>
      <w:r w:rsidRPr="00576ED7">
        <w:rPr>
          <w:szCs w:val="24"/>
        </w:rPr>
        <w:t>taxpayer’s net (§ 199(c)(1)) income derived from “ any lease, rental, license, sale, exchange, or other dispos</w:t>
      </w:r>
      <w:r w:rsidRPr="00576ED7">
        <w:rPr>
          <w:szCs w:val="24"/>
        </w:rPr>
        <w:t>i</w:t>
      </w:r>
      <w:r w:rsidRPr="00576ED7">
        <w:rPr>
          <w:szCs w:val="24"/>
        </w:rPr>
        <w:t>tion of” (§ 199(c)(4)(A)(i))</w:t>
      </w:r>
    </w:p>
    <w:p w:rsidR="0049128E" w:rsidRPr="00576ED7" w:rsidRDefault="0049128E" w:rsidP="00A6585D">
      <w:pPr>
        <w:widowControl w:val="0"/>
        <w:ind w:left="720"/>
        <w:jc w:val="both"/>
        <w:rPr>
          <w:szCs w:val="24"/>
        </w:rPr>
      </w:pPr>
      <w:r w:rsidRPr="00576ED7">
        <w:rPr>
          <w:szCs w:val="24"/>
        </w:rPr>
        <w:t>•tangible personal property, computer software, or sound recording, § 199(c)(5),</w:t>
      </w:r>
    </w:p>
    <w:p w:rsidR="0049128E" w:rsidRPr="00576ED7" w:rsidRDefault="0049128E" w:rsidP="00A6585D">
      <w:pPr>
        <w:widowControl w:val="0"/>
        <w:ind w:left="720"/>
        <w:jc w:val="both"/>
        <w:rPr>
          <w:szCs w:val="24"/>
        </w:rPr>
      </w:pPr>
      <w:r w:rsidRPr="00576ED7">
        <w:rPr>
          <w:szCs w:val="24"/>
        </w:rPr>
        <w:t xml:space="preserve">•a film if at least 50% of the compensation relating to its production is for services performed in the United States, §§ 199(c)(A)(i)(II), 199(c)(6), or </w:t>
      </w:r>
    </w:p>
    <w:p w:rsidR="0049128E" w:rsidRPr="00576ED7" w:rsidRDefault="0049128E" w:rsidP="00A6585D">
      <w:pPr>
        <w:widowControl w:val="0"/>
        <w:ind w:left="720"/>
        <w:jc w:val="both"/>
        <w:rPr>
          <w:szCs w:val="24"/>
        </w:rPr>
      </w:pPr>
      <w:r w:rsidRPr="00576ED7">
        <w:rPr>
          <w:szCs w:val="24"/>
        </w:rPr>
        <w:t xml:space="preserve">•”electricity, natural gas, or potable water produced by the taxpayer in the </w:t>
      </w:r>
      <w:r w:rsidRPr="00576ED7">
        <w:rPr>
          <w:szCs w:val="24"/>
        </w:rPr>
        <w:lastRenderedPageBreak/>
        <w:t>United States.  § 199(c)(4)(A)(i)(III).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Such income also includes income derived from –</w:t>
      </w:r>
    </w:p>
    <w:p w:rsidR="0049128E" w:rsidRPr="00576ED7" w:rsidRDefault="0049128E" w:rsidP="00A6585D">
      <w:pPr>
        <w:widowControl w:val="0"/>
        <w:ind w:left="720"/>
        <w:jc w:val="both"/>
        <w:rPr>
          <w:szCs w:val="24"/>
        </w:rPr>
      </w:pPr>
      <w:r w:rsidRPr="00576ED7">
        <w:rPr>
          <w:szCs w:val="24"/>
        </w:rPr>
        <w:t>•”construction of real property performed in the United States by the ta</w:t>
      </w:r>
      <w:r w:rsidRPr="00576ED7">
        <w:rPr>
          <w:szCs w:val="24"/>
        </w:rPr>
        <w:t>x</w:t>
      </w:r>
      <w:r w:rsidRPr="00576ED7">
        <w:rPr>
          <w:szCs w:val="24"/>
        </w:rPr>
        <w:t>payer in the ordinary course of” his/her/its trade or business, § 199(c)(4)(A)(ii), or</w:t>
      </w:r>
    </w:p>
    <w:p w:rsidR="0049128E" w:rsidRPr="00576ED7" w:rsidRDefault="0049128E" w:rsidP="00A6585D">
      <w:pPr>
        <w:widowControl w:val="0"/>
        <w:ind w:left="720"/>
        <w:jc w:val="both"/>
        <w:rPr>
          <w:szCs w:val="24"/>
        </w:rPr>
      </w:pPr>
      <w:r w:rsidRPr="00576ED7">
        <w:rPr>
          <w:szCs w:val="24"/>
        </w:rPr>
        <w:t>•engineering or architectural services performed in the United States by the taxpayer in the ordinary course of his/her/its trade or business, § 199(c)(4)(iii).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 199 deduction is limited to 50% of the taxpayer’s W-2 wages paid during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199 is not part of the Code’s methods for determining a taxpayer’s net income.  Rather, it is a reward for doing something that Congress wants taxpayers to do, i.e., to engage in manufacturing activities in the United States.  </w:t>
      </w:r>
      <w:r w:rsidRPr="00576ED7">
        <w:rPr>
          <w:i/>
          <w:szCs w:val="24"/>
        </w:rPr>
        <w:t>And</w:t>
      </w:r>
      <w:r w:rsidRPr="00576ED7">
        <w:rPr>
          <w:szCs w:val="24"/>
        </w:rPr>
        <w:t xml:space="preserve">: the more profit a taxpayer can derive from engaging in manufacturing activities, the greater his/her/its deduction.  </w:t>
      </w:r>
      <w:r w:rsidRPr="00576ED7">
        <w:rPr>
          <w:i/>
          <w:szCs w:val="24"/>
        </w:rPr>
        <w:t>But</w:t>
      </w:r>
      <w:r w:rsidRPr="00576ED7">
        <w:rPr>
          <w:szCs w:val="24"/>
        </w:rPr>
        <w:t xml:space="preserve"> taxpayer is only entitled to a § 199 deduction in an amount up to half what he/she/it paid in </w:t>
      </w:r>
      <w:r w:rsidR="00B30002">
        <w:rPr>
          <w:szCs w:val="24"/>
        </w:rPr>
        <w:t xml:space="preserve">W-2 [i.e., </w:t>
      </w:r>
      <w:r w:rsidRPr="00576ED7">
        <w:rPr>
          <w:szCs w:val="24"/>
        </w:rPr>
        <w:t>U.S.</w:t>
      </w:r>
      <w:r w:rsidR="00B30002">
        <w:rPr>
          <w:szCs w:val="24"/>
        </w:rPr>
        <w:t>]</w:t>
      </w:r>
      <w:r w:rsidRPr="00576ED7">
        <w:rPr>
          <w:szCs w:val="24"/>
        </w:rPr>
        <w:t xml:space="preserve">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199 represents an effort to make U.S. manufacturers more competitive vis-a-vis foreign competition.  It is also intended to encourage exports.  By r</w:t>
      </w:r>
      <w:r w:rsidRPr="00576ED7">
        <w:rPr>
          <w:szCs w:val="24"/>
        </w:rPr>
        <w:t>e</w:t>
      </w:r>
      <w:r w:rsidRPr="00576ED7">
        <w:rPr>
          <w:szCs w:val="24"/>
        </w:rPr>
        <w:t>warding successful manufacturers, Congress is (likely to be) rewarding exporters.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has pursued this objective in other legislation, but the World Trade O</w:t>
      </w:r>
      <w:r w:rsidRPr="00576ED7">
        <w:rPr>
          <w:szCs w:val="24"/>
        </w:rPr>
        <w:t>r</w:t>
      </w:r>
      <w:r w:rsidRPr="00576ED7">
        <w:rPr>
          <w:szCs w:val="24"/>
        </w:rPr>
        <w:t>ganization found that such legislation violated the General Agreement on Tariffs and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611(a) provides for a deduction in computing taxable income for depl</w:t>
      </w:r>
      <w:r w:rsidRPr="00576ED7">
        <w:rPr>
          <w:szCs w:val="24"/>
        </w:rPr>
        <w:t>e</w:t>
      </w:r>
      <w:r w:rsidRPr="00576ED7">
        <w:rPr>
          <w:szCs w:val="24"/>
        </w:rPr>
        <w:t>tion.  This deduction is available for “mines, oil and gas wells, other natural d</w:t>
      </w:r>
      <w:r w:rsidRPr="00576ED7">
        <w:rPr>
          <w:szCs w:val="24"/>
        </w:rPr>
        <w:t>e</w:t>
      </w:r>
      <w:r w:rsidRPr="00576ED7">
        <w:rPr>
          <w:szCs w:val="24"/>
        </w:rPr>
        <w:t>posits, and timber[.]”</w:t>
      </w:r>
      <w:r w:rsidRPr="00576ED7">
        <w:rPr>
          <w:rStyle w:val="FootnoteReference"/>
          <w:szCs w:val="24"/>
        </w:rPr>
        <w:footnoteReference w:id="139"/>
      </w:r>
      <w:r w:rsidRPr="00576ED7">
        <w:rPr>
          <w:szCs w:val="24"/>
        </w:rPr>
        <w:t xml:space="preserve">  The depletion allowance deduction is similar to the d</w:t>
      </w:r>
      <w:r w:rsidRPr="00576ED7">
        <w:rPr>
          <w:szCs w:val="24"/>
        </w:rPr>
        <w:t>e</w:t>
      </w:r>
      <w:r w:rsidRPr="00576ED7">
        <w:rPr>
          <w:szCs w:val="24"/>
        </w:rPr>
        <w:t xml:space="preserve">preciation deduction, </w:t>
      </w:r>
      <w:r w:rsidRPr="00576ED7">
        <w:rPr>
          <w:i/>
          <w:szCs w:val="24"/>
        </w:rPr>
        <w:t>infra</w:t>
      </w:r>
      <w:r w:rsidRPr="00576ED7">
        <w:rPr>
          <w:szCs w:val="24"/>
        </w:rPr>
        <w:t xml:space="preserve">, in that both deductions are a form of cost recovery of capital investments.  Unlike the depreciation deduction, which is an allowance for the gradual consumption of an asset that the taxpayer </w:t>
      </w:r>
      <w:r w:rsidRPr="00576ED7">
        <w:rPr>
          <w:i/>
          <w:szCs w:val="24"/>
        </w:rPr>
        <w:t>uses to produce a product</w:t>
      </w:r>
      <w:r w:rsidRPr="00576ED7">
        <w:rPr>
          <w:szCs w:val="24"/>
        </w:rPr>
        <w:t xml:space="preserve"> </w:t>
      </w:r>
      <w:r w:rsidRPr="00576ED7">
        <w:rPr>
          <w:szCs w:val="24"/>
        </w:rPr>
        <w:lastRenderedPageBreak/>
        <w:t>(or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40"/>
      </w:r>
      <w:r w:rsidRPr="00576ED7">
        <w:rPr>
          <w:szCs w:val="24"/>
        </w:rPr>
        <w:t xml:space="preserve">  The depletion allo</w:t>
      </w:r>
      <w:r w:rsidRPr="00576ED7">
        <w:rPr>
          <w:szCs w:val="24"/>
        </w:rPr>
        <w:t>w</w:t>
      </w:r>
      <w:r w:rsidRPr="00576ED7">
        <w:rPr>
          <w:szCs w:val="24"/>
        </w:rPr>
        <w:t>ance is part of the cost of the thing that the taxpayer sells.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  § 611(a).  The deduction allows a taxpayer to recover its capital investment so that the inves</w:t>
      </w:r>
      <w:r w:rsidRPr="00576ED7">
        <w:rPr>
          <w:szCs w:val="24"/>
        </w:rPr>
        <w:t>t</w:t>
      </w:r>
      <w:r w:rsidRPr="00576ED7">
        <w:rPr>
          <w:szCs w:val="24"/>
        </w:rPr>
        <w:t>ment will not diminish as the minerals are extracted and sold.</w:t>
      </w:r>
      <w:r w:rsidRPr="00576ED7">
        <w:rPr>
          <w:rStyle w:val="FootnoteReference"/>
          <w:szCs w:val="24"/>
        </w:rPr>
        <w:footnoteReference w:id="141"/>
      </w:r>
      <w:r w:rsidRPr="00576ED7">
        <w:rPr>
          <w:szCs w:val="24"/>
        </w:rPr>
        <w:t xml:space="preserve">  Despite this pu</w:t>
      </w:r>
      <w:r w:rsidRPr="00576ED7">
        <w:rPr>
          <w:szCs w:val="24"/>
        </w:rPr>
        <w:t>r</w:t>
      </w:r>
      <w:r w:rsidRPr="00576ED7">
        <w:rPr>
          <w:szCs w:val="24"/>
        </w:rPr>
        <w:t>pose, there is no requirement that the taxpayer invest any money in the mineral rights,</w:t>
      </w:r>
      <w:r w:rsidRPr="00576ED7">
        <w:rPr>
          <w:rStyle w:val="FootnoteReference"/>
          <w:szCs w:val="24"/>
        </w:rPr>
        <w:footnoteReference w:id="142"/>
      </w:r>
      <w:r w:rsidRPr="00576ED7">
        <w:rPr>
          <w:szCs w:val="24"/>
        </w:rPr>
        <w:t xml:space="preserve"> and taxpayer does not have to have legal title to take advantage of the deduction.</w:t>
      </w:r>
      <w:r w:rsidRPr="00576ED7">
        <w:rPr>
          <w:rStyle w:val="FootnoteReference"/>
          <w:szCs w:val="24"/>
        </w:rPr>
        <w:footnoteReference w:id="143"/>
      </w:r>
      <w:r w:rsidRPr="00576ED7">
        <w:rPr>
          <w:szCs w:val="24"/>
        </w:rPr>
        <w:t xml:space="preserve">  First codified in 1913, the depletion allowance deduction was orig</w:t>
      </w:r>
      <w:r w:rsidRPr="00576ED7">
        <w:rPr>
          <w:szCs w:val="24"/>
        </w:rPr>
        <w:t>i</w:t>
      </w:r>
      <w:r w:rsidRPr="00576ED7">
        <w:rPr>
          <w:szCs w:val="24"/>
        </w:rPr>
        <w:t>nally limited to mines – and only 5% of the gross value of a mine’s reserves could be deducted in a year.</w:t>
      </w:r>
      <w:r w:rsidRPr="00576ED7">
        <w:rPr>
          <w:rStyle w:val="FootnoteReference"/>
          <w:szCs w:val="24"/>
        </w:rPr>
        <w:footnoteReference w:id="144"/>
      </w:r>
      <w:r w:rsidRPr="00576ED7">
        <w:rPr>
          <w:szCs w:val="24"/>
        </w:rPr>
        <w:t xml:space="preserve">  Over time, the depletion allowance deduction has e</w:t>
      </w:r>
      <w:r w:rsidRPr="00576ED7">
        <w:rPr>
          <w:szCs w:val="24"/>
        </w:rPr>
        <w:t>x</w:t>
      </w:r>
      <w:r w:rsidRPr="00576ED7">
        <w:rPr>
          <w:szCs w:val="24"/>
        </w:rPr>
        <w:t>panded to include resources other than mining – such as oil, gas, and timber – and to allow for deductions greater than 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45"/>
      </w:r>
      <w:r w:rsidRPr="00576ED7">
        <w:rPr>
          <w:szCs w:val="24"/>
        </w:rPr>
        <w:t xml:space="preserve"> in the depletion allowance d</w:t>
      </w:r>
      <w:r w:rsidRPr="00576ED7">
        <w:rPr>
          <w:szCs w:val="24"/>
        </w:rPr>
        <w:t>e</w:t>
      </w:r>
      <w:r w:rsidRPr="00576ED7">
        <w:rPr>
          <w:szCs w:val="24"/>
        </w:rPr>
        <w:t>duction.</w:t>
      </w:r>
      <w:r w:rsidRPr="00576ED7">
        <w:rPr>
          <w:rStyle w:val="FootnoteReference"/>
          <w:szCs w:val="24"/>
        </w:rPr>
        <w:footnoteReference w:id="146"/>
      </w:r>
      <w:r w:rsidRPr="00576ED7">
        <w:rPr>
          <w:szCs w:val="24"/>
        </w:rPr>
        <w:t xml:space="preserve">  “An economic interest is possessed in every case in which the taxpa</w:t>
      </w:r>
      <w:r w:rsidRPr="00576ED7">
        <w:rPr>
          <w:szCs w:val="24"/>
        </w:rPr>
        <w:t>y</w:t>
      </w:r>
      <w:r w:rsidRPr="00576ED7">
        <w:rPr>
          <w:szCs w:val="24"/>
        </w:rPr>
        <w:t xml:space="preserve">er has acquired by investment any interest in mineral in place or standing timber </w:t>
      </w:r>
      <w:r w:rsidRPr="00576ED7">
        <w:rPr>
          <w:szCs w:val="24"/>
        </w:rPr>
        <w:lastRenderedPageBreak/>
        <w:t>and secures, by any form of legal relationship, income derived from the extraction of the mineral or severance of the timber, to which he must look for a return of his capital.”</w:t>
      </w:r>
      <w:r w:rsidRPr="00576ED7">
        <w:rPr>
          <w:rStyle w:val="FootnoteReference"/>
          <w:szCs w:val="24"/>
        </w:rPr>
        <w:footnoteReference w:id="147"/>
      </w:r>
      <w:r w:rsidRPr="00576ED7">
        <w:rPr>
          <w:szCs w:val="24"/>
        </w:rPr>
        <w:t xml:space="preserve">  A broad range of economic interests exists whose owners may claim the depletion allowance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now two ways to calculate a depletion allowance deduction, and ta</w:t>
      </w:r>
      <w:r w:rsidRPr="00576ED7">
        <w:rPr>
          <w:szCs w:val="24"/>
        </w:rPr>
        <w:t>x</w:t>
      </w:r>
      <w:r w:rsidRPr="00576ED7">
        <w:rPr>
          <w:szCs w:val="24"/>
        </w:rPr>
        <w:t>payer chooses the one that yields the greater deduction.  However, taxpayer may not choose percentage depletion in the case of an interest in timber.</w:t>
      </w:r>
      <w:r w:rsidRPr="00576ED7">
        <w:rPr>
          <w:rStyle w:val="FootnoteReference"/>
          <w:szCs w:val="24"/>
        </w:rPr>
        <w:footnoteReference w:id="14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49"/>
      </w:r>
      <w:r w:rsidRPr="00576ED7">
        <w:rPr>
          <w:szCs w:val="24"/>
        </w:rPr>
        <w:t xml:space="preserve"> to each recoverable unit.</w:t>
      </w:r>
      <w:r w:rsidRPr="00576ED7">
        <w:rPr>
          <w:rStyle w:val="FootnoteReference"/>
          <w:szCs w:val="24"/>
        </w:rPr>
        <w:footnoteReference w:id="150"/>
      </w:r>
      <w:r w:rsidRPr="00576ED7">
        <w:rPr>
          <w:szCs w:val="24"/>
        </w:rPr>
        <w:t xml:space="preserve">  Taxpayer may claim the deduction when it sells the unit</w:t>
      </w:r>
      <w:r w:rsidRPr="00576ED7">
        <w:rPr>
          <w:rStyle w:val="FootnoteReference"/>
          <w:szCs w:val="24"/>
        </w:rPr>
        <w:footnoteReference w:id="151"/>
      </w:r>
      <w:r w:rsidRPr="00576ED7">
        <w:rPr>
          <w:szCs w:val="24"/>
        </w:rPr>
        <w:t xml:space="preserve"> or cuts the timber.</w:t>
      </w:r>
      <w:r w:rsidRPr="00576ED7">
        <w:rPr>
          <w:rStyle w:val="FootnoteReference"/>
          <w:szCs w:val="24"/>
        </w:rPr>
        <w:footnoteReference w:id="152"/>
      </w:r>
      <w:r w:rsidRPr="00576ED7">
        <w:rPr>
          <w:szCs w:val="24"/>
        </w:rPr>
        <w:t xml:space="preserve">  Depletion allowance deductions – allowed or allowable – reduce taxpayer’s basis in the property until the basis is $0.</w:t>
      </w:r>
      <w:r w:rsidRPr="00576ED7">
        <w:rPr>
          <w:rStyle w:val="FootnoteReference"/>
          <w:szCs w:val="24"/>
        </w:rPr>
        <w:footnoteReference w:id="153"/>
      </w:r>
      <w:r w:rsidRPr="00576ED7">
        <w:rPr>
          <w:szCs w:val="24"/>
        </w:rPr>
        <w:t xml:space="preserve">  At that time, taxpayer may shift to percentage depletion, except when ta</w:t>
      </w:r>
      <w:r w:rsidRPr="00576ED7">
        <w:rPr>
          <w:szCs w:val="24"/>
        </w:rPr>
        <w:t>x</w:t>
      </w:r>
      <w:r w:rsidRPr="00576ED7">
        <w:rPr>
          <w:szCs w:val="24"/>
        </w:rPr>
        <w:t>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5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the activity</w:t>
      </w:r>
      <w:r w:rsidRPr="00576ED7">
        <w:rPr>
          <w:rStyle w:val="FootnoteReference"/>
          <w:szCs w:val="24"/>
        </w:rPr>
        <w:footnoteReference w:id="155"/>
      </w:r>
      <w:r w:rsidRPr="00576ED7">
        <w:rPr>
          <w:szCs w:val="24"/>
        </w:rPr>
        <w:t xml:space="preserve"> up to 50% of </w:t>
      </w:r>
      <w:r w:rsidRPr="00576ED7">
        <w:rPr>
          <w:i/>
          <w:szCs w:val="24"/>
        </w:rPr>
        <w:t>the tax</w:t>
      </w:r>
      <w:r w:rsidRPr="00576ED7">
        <w:rPr>
          <w:i/>
          <w:szCs w:val="24"/>
        </w:rPr>
        <w:t>a</w:t>
      </w:r>
      <w:r w:rsidRPr="00576ED7">
        <w:rPr>
          <w:i/>
          <w:szCs w:val="24"/>
        </w:rPr>
        <w:lastRenderedPageBreak/>
        <w:t>ble</w:t>
      </w:r>
      <w:r w:rsidRPr="00576ED7">
        <w:rPr>
          <w:szCs w:val="24"/>
        </w:rPr>
        <w:t xml:space="preserve"> income from the activity.</w:t>
      </w:r>
      <w:r w:rsidRPr="00576ED7">
        <w:rPr>
          <w:rStyle w:val="FootnoteReference"/>
          <w:szCs w:val="24"/>
        </w:rPr>
        <w:footnoteReference w:id="156"/>
      </w:r>
      <w:r w:rsidRPr="00576ED7">
        <w:rPr>
          <w:szCs w:val="24"/>
        </w:rPr>
        <w:t xml:space="preserve">  The limit is 100% of taxable income from oil and gas properties.</w:t>
      </w:r>
      <w:r w:rsidRPr="00576ED7">
        <w:rPr>
          <w:rStyle w:val="FootnoteReference"/>
          <w:szCs w:val="24"/>
        </w:rPr>
        <w:footnoteReference w:id="157"/>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58"/>
      </w:r>
      <w:r w:rsidRPr="00576ED7">
        <w:rPr>
          <w:szCs w:val="24"/>
        </w:rPr>
        <w:t xml:space="preserve">  Their percentage depl</w:t>
      </w:r>
      <w:r w:rsidRPr="00576ED7">
        <w:rPr>
          <w:szCs w:val="24"/>
        </w:rPr>
        <w:t>e</w:t>
      </w:r>
      <w:r w:rsidRPr="00576ED7">
        <w:rPr>
          <w:szCs w:val="24"/>
        </w:rPr>
        <w:t>tion allowance deduction is 15%</w:t>
      </w:r>
      <w:r w:rsidRPr="00576ED7">
        <w:rPr>
          <w:rStyle w:val="FootnoteReference"/>
          <w:szCs w:val="24"/>
        </w:rPr>
        <w:footnoteReference w:id="159"/>
      </w:r>
      <w:r w:rsidRPr="00576ED7">
        <w:rPr>
          <w:szCs w:val="24"/>
        </w:rPr>
        <w:t xml:space="preserve"> of gross income, limited to 65% of taxable income.</w:t>
      </w:r>
      <w:r w:rsidRPr="00576ED7">
        <w:rPr>
          <w:rStyle w:val="FootnoteReference"/>
          <w:szCs w:val="24"/>
        </w:rPr>
        <w:footnoteReference w:id="160"/>
      </w:r>
      <w:r w:rsidRPr="00576ED7">
        <w:rPr>
          <w:szCs w:val="24"/>
        </w:rPr>
        <w:t xml:space="preserve">  A percentage depletion allowance deduction is available even though taxpayer has no basis remaining in the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percentage depletion method serves to encourage the further development and exploitation of certain natural resources.  This is important in a time when we believe that preservation of natural resources should be national policy.</w:t>
      </w:r>
      <w:r w:rsidRPr="00576ED7">
        <w:rPr>
          <w:rStyle w:val="FootnoteReference"/>
          <w:szCs w:val="24"/>
        </w:rPr>
        <w:footnoteReference w:id="161"/>
      </w:r>
      <w:r w:rsidRPr="00576ED7">
        <w:rPr>
          <w:szCs w:val="24"/>
        </w:rPr>
        <w:t xml:space="preserve">  In r</w:t>
      </w:r>
      <w:r w:rsidRPr="00576ED7">
        <w:rPr>
          <w:szCs w:val="24"/>
        </w:rPr>
        <w:t>e</w:t>
      </w:r>
      <w:r w:rsidRPr="00576ED7">
        <w:rPr>
          <w:szCs w:val="24"/>
        </w:rPr>
        <w:t>cent years, depletion allowance deductions have increased significantly:  in 2003, total corporate depletion allowance deductions were nearly $10.2 billion, while in 2009, total corporate depletion allowance deductions rose to more than $21.5 bi</w:t>
      </w:r>
      <w:r w:rsidRPr="00576ED7">
        <w:rPr>
          <w:szCs w:val="24"/>
        </w:rPr>
        <w:t>l</w:t>
      </w:r>
      <w:r w:rsidRPr="00576ED7">
        <w:rPr>
          <w:szCs w:val="24"/>
        </w:rPr>
        <w:t>lion.</w:t>
      </w:r>
      <w:r w:rsidRPr="00576ED7">
        <w:rPr>
          <w:rStyle w:val="FootnoteReference"/>
          <w:szCs w:val="24"/>
        </w:rPr>
        <w:footnoteReference w:id="16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0" w:name="_Toc375132947"/>
      <w:r w:rsidRPr="00576ED7">
        <w:t>III.  Depreciation, Amortization, and Cost Recovery</w:t>
      </w:r>
      <w:bookmarkEnd w:id="60"/>
      <w:r w:rsidRPr="00576ED7">
        <w:fldChar w:fldCharType="begin"/>
      </w:r>
      <w:r w:rsidRPr="00576ED7">
        <w:instrText xml:space="preserve"> TC \l1 "III.  Depreciation, Amortization, and Cost Recovery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in order to generate taxable income entitles taxpayer to a deduction for only that amount of consumption.  Such consumption </w:t>
      </w:r>
      <w:r w:rsidRPr="00576ED7">
        <w:rPr>
          <w:szCs w:val="24"/>
        </w:rPr>
        <w:lastRenderedPageBreak/>
        <w:t>represents a taxpayer’s de-investment in the asset and results in a reduction of b</w:t>
      </w:r>
      <w:r w:rsidRPr="00576ED7">
        <w:rPr>
          <w:szCs w:val="24"/>
        </w:rPr>
        <w:t>a</w:t>
      </w:r>
      <w:r w:rsidRPr="00576ED7">
        <w:rPr>
          <w:szCs w:val="24"/>
        </w:rPr>
        <w:t>sis.  We take up here the actual mechanics of some of the Code’s depreciation provisions.  The following case provides a good review of depreciation principles and congressional tinkering with them as means of pursuing certain economic policies.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2B0045" w:rsidRPr="00576ED7">
        <w:rPr>
          <w:szCs w:val="24"/>
          <w:vertAlign w:val="superscript"/>
        </w:rPr>
        <w:t>rd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McKEE,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appeal from a decision of the United States Tax Court we are asked to d</w:t>
      </w:r>
      <w:r w:rsidRPr="00576ED7">
        <w:rPr>
          <w:szCs w:val="24"/>
        </w:rPr>
        <w:t>e</w:t>
      </w:r>
      <w:r w:rsidRPr="00576ED7">
        <w:rPr>
          <w:szCs w:val="24"/>
        </w:rPr>
        <w:t>cide if a valuable bass viol can be depreciated under the Accelerated Cost Reco</w:t>
      </w:r>
      <w:r w:rsidRPr="00576ED7">
        <w:rPr>
          <w:szCs w:val="24"/>
        </w:rPr>
        <w:t>v</w:t>
      </w:r>
      <w:r w:rsidRPr="00576ED7">
        <w:rPr>
          <w:szCs w:val="24"/>
        </w:rPr>
        <w:t>ery System when used as a tool of trade by a professional musician even though the instrument actually increased in value while the musician owned it. We d</w:t>
      </w:r>
      <w:r w:rsidRPr="00576ED7">
        <w:rPr>
          <w:szCs w:val="24"/>
        </w:rPr>
        <w:t>e</w:t>
      </w:r>
      <w:r w:rsidRPr="00576ED7">
        <w:rPr>
          <w:szCs w:val="24"/>
        </w:rPr>
        <w:t>termine that, under the facts before us, the taxpayer properly depreciated the i</w:t>
      </w:r>
      <w:r w:rsidRPr="00576ED7">
        <w:rPr>
          <w:szCs w:val="24"/>
        </w:rPr>
        <w:t>n</w:t>
      </w:r>
      <w:r w:rsidRPr="00576ED7">
        <w:rPr>
          <w:szCs w:val="24"/>
        </w:rPr>
        <w:t>strument and therefore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1984, after a season with the Philadelphia Orchestra, he purchased a 17th ce</w:t>
      </w:r>
      <w:r w:rsidRPr="00576ED7">
        <w:rPr>
          <w:szCs w:val="24"/>
        </w:rPr>
        <w:t>n</w:t>
      </w:r>
      <w:r w:rsidRPr="00576ED7">
        <w:rPr>
          <w:szCs w:val="24"/>
        </w:rPr>
        <w:t>tury bass viol made by Francesco Ruggeri (c. 1620-1695), a luthier who was a</w:t>
      </w:r>
      <w:r w:rsidRPr="00576ED7">
        <w:rPr>
          <w:szCs w:val="24"/>
        </w:rPr>
        <w:t>c</w:t>
      </w:r>
      <w:r w:rsidRPr="00576ED7">
        <w:rPr>
          <w:szCs w:val="24"/>
        </w:rPr>
        <w:t>tive in Cremona, Italy. Ruggeri studied stringed instrument construction under Nicolo Amati, who also instructed Antonio Stradivari. Ruggeri’s other contemp</w:t>
      </w:r>
      <w:r w:rsidRPr="00576ED7">
        <w:rPr>
          <w:szCs w:val="24"/>
        </w:rPr>
        <w:t>o</w:t>
      </w:r>
      <w:r w:rsidRPr="00576ED7">
        <w:rPr>
          <w:szCs w:val="24"/>
        </w:rPr>
        <w:t>raries include the craftsmen Guadanini and Guarneri. These artisans were me</w:t>
      </w:r>
      <w:r w:rsidRPr="00576ED7">
        <w:rPr>
          <w:szCs w:val="24"/>
        </w:rPr>
        <w:t>m</w:t>
      </w:r>
      <w:r w:rsidRPr="00576ED7">
        <w:rPr>
          <w:szCs w:val="24"/>
        </w:rPr>
        <w:t>bers of a group of instrument makers known as the Cremonese School.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w:t>
      </w:r>
      <w:r w:rsidRPr="00576ED7">
        <w:rPr>
          <w:szCs w:val="24"/>
        </w:rPr>
        <w:lastRenderedPageBreak/>
        <w:t>bass because he believed it would serve him throughout his professional career – anticipated to be 30 to 40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Despite the anticipated longevity of this instrument, the rigors of Liddle’s profe</w:t>
      </w:r>
      <w:r w:rsidRPr="00576ED7">
        <w:rPr>
          <w:szCs w:val="24"/>
        </w:rPr>
        <w:t>s</w:t>
      </w:r>
      <w:r w:rsidRPr="00576ED7">
        <w:rPr>
          <w:szCs w:val="24"/>
        </w:rPr>
        <w:t>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w:t>
      </w:r>
      <w:r w:rsidRPr="00576ED7">
        <w:rPr>
          <w:szCs w:val="24"/>
        </w:rPr>
        <w:t>u</w:t>
      </w:r>
      <w:r w:rsidRPr="00576ED7">
        <w:rPr>
          <w:szCs w:val="24"/>
        </w:rPr>
        <w:t>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w:t>
      </w:r>
      <w:r w:rsidRPr="00576ED7">
        <w:rPr>
          <w:szCs w:val="24"/>
        </w:rPr>
        <w:t>n</w:t>
      </w:r>
      <w:r w:rsidRPr="00576ED7">
        <w:rPr>
          <w:szCs w:val="24"/>
        </w:rPr>
        <w:t>struments are exposed to financial risks that do not threaten collectors who regard such instruments as works of art, and treat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a flourishing market among nonmusicians for Cremonese School instr</w:t>
      </w:r>
      <w:r w:rsidRPr="00576ED7">
        <w:rPr>
          <w:szCs w:val="24"/>
        </w:rPr>
        <w:t>u</w:t>
      </w:r>
      <w:r w:rsidRPr="00576ED7">
        <w:rPr>
          <w:szCs w:val="24"/>
        </w:rPr>
        <w:t>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w:t>
      </w:r>
      <w:r w:rsidRPr="00576ED7">
        <w:rPr>
          <w:szCs w:val="24"/>
        </w:rPr>
        <w:t>e</w:t>
      </w:r>
      <w:r w:rsidRPr="00576ED7">
        <w:rPr>
          <w:szCs w:val="24"/>
        </w:rPr>
        <w:t>struction over the years, the value of the remaining instruments as collectibles has experienced a corresponding increase.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w:t>
      </w:r>
      <w:r w:rsidRPr="00576ED7">
        <w:rPr>
          <w:szCs w:val="24"/>
        </w:rPr>
        <w:t>a</w:t>
      </w:r>
      <w:r w:rsidRPr="00576ED7">
        <w:rPr>
          <w:szCs w:val="24"/>
        </w:rPr>
        <w:t>ther than selling it, however, he traded it for a Domenico Busan 18th century bass in May of 1991. The Busan bass was appraised at $65,000 on the date of the e</w:t>
      </w:r>
      <w:r w:rsidRPr="00576ED7">
        <w:rPr>
          <w:szCs w:val="24"/>
        </w:rPr>
        <w:t>x</w:t>
      </w:r>
      <w:r w:rsidRPr="00576ED7">
        <w:rPr>
          <w:szCs w:val="24"/>
        </w:rPr>
        <w:t>change, but Liddle acquired it not for its superior value, but because of the greater tonal quality.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 168. [footnote omitted] The Commissioner disallowed the deduction asserting that the “Ruggeri bass in fact will appreciate in value and not depreciate.” Accordingly, the Commissioner assessed a deficiency of $602 for the </w:t>
      </w:r>
      <w:r w:rsidRPr="00576ED7">
        <w:rPr>
          <w:szCs w:val="24"/>
        </w:rPr>
        <w:lastRenderedPageBreak/>
        <w:t>tax year 1987. The Liddles then filed a petition with the Tax Court challenging the Commissioner’s assertion of the deficiency. A closely divided court entered a decision in favor of the Liddles. This appeal followed.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The Commissioner originally argued that the ACRS deduction under § 168 is i</w:t>
      </w:r>
      <w:r w:rsidRPr="00576ED7">
        <w:rPr>
          <w:szCs w:val="24"/>
        </w:rPr>
        <w:t>n</w:t>
      </w:r>
      <w:r w:rsidRPr="00576ED7">
        <w:rPr>
          <w:szCs w:val="24"/>
        </w:rPr>
        <w:t>appropriate here because the bass actually appreciated in value. However, the Commissioner has apparently abandoned that theory, presumably because an asset can appreciate in market value and still be subject to a depreciation deduction u</w:t>
      </w:r>
      <w:r w:rsidRPr="00576ED7">
        <w:rPr>
          <w:szCs w:val="24"/>
        </w:rPr>
        <w:t>n</w:t>
      </w:r>
      <w:r w:rsidRPr="00576ED7">
        <w:rPr>
          <w:szCs w:val="24"/>
        </w:rPr>
        <w:t xml:space="preserve">der tax law. </w:t>
      </w:r>
      <w:r w:rsidRPr="00576ED7">
        <w:rPr>
          <w:i/>
          <w:szCs w:val="24"/>
        </w:rPr>
        <w:t>Fribourg Navigation Co. v. Commissioner</w:t>
      </w:r>
      <w:r w:rsidRPr="00576ED7">
        <w:rPr>
          <w:szCs w:val="24"/>
        </w:rPr>
        <w:t>, 383 U.S. 272, 277 (1966) (“tax law has long recognized the accounting concept that depreciation is a pr</w:t>
      </w:r>
      <w:r w:rsidRPr="00576ED7">
        <w:rPr>
          <w:szCs w:val="24"/>
        </w:rPr>
        <w:t>o</w:t>
      </w:r>
      <w:r w:rsidRPr="00576ED7">
        <w:rPr>
          <w:szCs w:val="24"/>
        </w:rPr>
        <w:t>cess of estimated allocation which does not take account of fluctuations in valu</w:t>
      </w:r>
      <w:r w:rsidRPr="00576ED7">
        <w:rPr>
          <w:szCs w:val="24"/>
        </w:rPr>
        <w:t>a</w:t>
      </w:r>
      <w:r w:rsidRPr="00576ED7">
        <w:rPr>
          <w:szCs w:val="24"/>
        </w:rPr>
        <w:t xml:space="preserve">tion through market appreciation.”); </w:t>
      </w:r>
      <w:r w:rsidRPr="00576ED7">
        <w:rPr>
          <w:i/>
          <w:szCs w:val="24"/>
        </w:rPr>
        <w:t>Noyce v. Commissioner</w:t>
      </w:r>
      <w:r w:rsidRPr="00576ED7">
        <w:rPr>
          <w:szCs w:val="24"/>
        </w:rPr>
        <w:t>, 97 T.C. 670, 1991 WL 263146 (1991) (taxpayer allowed to deduct depreciation under § 168 on an airplane that appreciated in economic value from the date of purchase to the time of trial).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w:t>
      </w:r>
      <w:r w:rsidRPr="00576ED7">
        <w:rPr>
          <w:szCs w:val="24"/>
        </w:rPr>
        <w:t>n</w:t>
      </w:r>
      <w:r w:rsidRPr="00576ED7">
        <w:rPr>
          <w:szCs w:val="24"/>
        </w:rPr>
        <w:t>er argues that this instrument is a “work of art” which has an indeterminable us</w:t>
      </w:r>
      <w:r w:rsidRPr="00576ED7">
        <w:rPr>
          <w:szCs w:val="24"/>
        </w:rPr>
        <w:t>e</w:t>
      </w:r>
      <w:r w:rsidRPr="00576ED7">
        <w:rPr>
          <w:szCs w:val="24"/>
        </w:rPr>
        <w:t>ful life and is therefore not depreciable.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Prior to 1981, § 167 governed the allowance of depreciation deductions with respect to tangible and intangible personality. Section 167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167. DEPRECIATION</w:t>
      </w:r>
    </w:p>
    <w:p w:rsidR="0049128E" w:rsidRPr="00576ED7" w:rsidRDefault="0049128E" w:rsidP="00A6585D">
      <w:pPr>
        <w:widowControl w:val="0"/>
        <w:ind w:left="720"/>
        <w:jc w:val="both"/>
        <w:rPr>
          <w:szCs w:val="24"/>
        </w:rPr>
      </w:pPr>
      <w:r w:rsidRPr="00576ED7">
        <w:rPr>
          <w:szCs w:val="24"/>
        </w:rPr>
        <w:t>(a) General Rule. – There shall be allowed as a depreciation deduction a reasonable allowance for the exhaustion, wear and tear (including a re</w:t>
      </w:r>
      <w:r w:rsidRPr="00576ED7">
        <w:rPr>
          <w:szCs w:val="24"/>
        </w:rPr>
        <w:t>a</w:t>
      </w:r>
      <w:r w:rsidRPr="00576ED7">
        <w:rPr>
          <w:szCs w:val="24"/>
        </w:rPr>
        <w:t xml:space="preserve">sonable allowance for obsolescence) – </w:t>
      </w:r>
    </w:p>
    <w:p w:rsidR="0049128E" w:rsidRPr="00576ED7" w:rsidRDefault="0049128E" w:rsidP="00A6585D">
      <w:pPr>
        <w:widowControl w:val="0"/>
        <w:ind w:left="1440"/>
        <w:jc w:val="both"/>
        <w:rPr>
          <w:szCs w:val="24"/>
        </w:rPr>
      </w:pPr>
      <w:r w:rsidRPr="00576ED7">
        <w:rPr>
          <w:szCs w:val="24"/>
        </w:rPr>
        <w:t>(1) of property used in the trade or business, or</w:t>
      </w:r>
    </w:p>
    <w:p w:rsidR="0049128E" w:rsidRPr="00576ED7" w:rsidRDefault="0049128E" w:rsidP="00A6585D">
      <w:pPr>
        <w:widowControl w:val="0"/>
        <w:ind w:left="1440"/>
        <w:jc w:val="both"/>
        <w:rPr>
          <w:szCs w:val="24"/>
        </w:rPr>
      </w:pPr>
      <w:r w:rsidRPr="00576ED7">
        <w:rPr>
          <w:szCs w:val="24"/>
        </w:rPr>
        <w:t>(2) of property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26 U.S.C. § 167(a). The regulations promulgated under § 167 provided that in o</w:t>
      </w:r>
      <w:r w:rsidRPr="00576ED7">
        <w:rPr>
          <w:szCs w:val="24"/>
        </w:rPr>
        <w:t>r</w:t>
      </w:r>
      <w:r w:rsidRPr="00576ED7">
        <w:rPr>
          <w:szCs w:val="24"/>
        </w:rPr>
        <w:t xml:space="preserve">der to qualify for the depreciation deduction, the taxpayer had to establish that the property in question had a determinable useful life. Reg. § 1.167(a)-1(a) and (b). </w:t>
      </w:r>
      <w:r w:rsidRPr="00576ED7">
        <w:rPr>
          <w:szCs w:val="24"/>
        </w:rPr>
        <w:lastRenderedPageBreak/>
        <w:t>The useful life of an asset was not necessarily the useful life “inherent in the asset but [was] the period over which the asset may reasonably be expected to be useful to the taxpayer in his trade or business....” Reg. § 1.167(a)-1(b). Nonetheless, u</w:t>
      </w:r>
      <w:r w:rsidRPr="00576ED7">
        <w:rPr>
          <w:szCs w:val="24"/>
        </w:rPr>
        <w:t>n</w:t>
      </w:r>
      <w:r w:rsidRPr="00576ED7">
        <w:rPr>
          <w:szCs w:val="24"/>
        </w:rPr>
        <w:t xml:space="preserve">der § 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 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 1.167(a)-11. A ta</w:t>
      </w:r>
      <w:r w:rsidRPr="00576ED7">
        <w:rPr>
          <w:szCs w:val="24"/>
        </w:rPr>
        <w:t>x</w:t>
      </w:r>
      <w:r w:rsidRPr="00576ED7">
        <w:rPr>
          <w:szCs w:val="24"/>
        </w:rPr>
        <w:t>payer could claim a useful life up to 20% longer or shorter than the ADR guid</w:t>
      </w:r>
      <w:r w:rsidRPr="00576ED7">
        <w:rPr>
          <w:szCs w:val="24"/>
        </w:rPr>
        <w:t>e</w:t>
      </w:r>
      <w:r w:rsidRPr="00576ED7">
        <w:rPr>
          <w:szCs w:val="24"/>
        </w:rPr>
        <w:t>line life. Reg.§ 1.167(a)-11(4)(b). The ADR system was optional with the taxpa</w:t>
      </w:r>
      <w:r w:rsidRPr="00576ED7">
        <w:rPr>
          <w:szCs w:val="24"/>
        </w:rPr>
        <w:t>y</w:t>
      </w:r>
      <w:r w:rsidRPr="00576ED7">
        <w:rPr>
          <w:szCs w:val="24"/>
        </w:rPr>
        <w:t>er. Reg. § 1.167(a)-11(a). For personalty which was not eligible for ADR, and for taxpayers who did not choose to use ADR, the useful life of an asset was dete</w:t>
      </w:r>
      <w:r w:rsidRPr="00576ED7">
        <w:rPr>
          <w:szCs w:val="24"/>
        </w:rPr>
        <w:t>r</w:t>
      </w:r>
      <w:r w:rsidRPr="00576ED7">
        <w:rPr>
          <w:szCs w:val="24"/>
        </w:rPr>
        <w:t xml:space="preserve">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1981, convinced that tax reductions were needed to ensure the continued ec</w:t>
      </w:r>
      <w:r w:rsidRPr="00576ED7">
        <w:rPr>
          <w:szCs w:val="24"/>
        </w:rPr>
        <w:t>o</w:t>
      </w:r>
      <w:r w:rsidRPr="00576ED7">
        <w:rPr>
          <w:szCs w:val="24"/>
        </w:rPr>
        <w:t xml:space="preserve">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Congress felt that prior law and rules governing depreciation deductions need to be replaced “because they did not pr</w:t>
      </w:r>
      <w:r w:rsidRPr="00576ED7">
        <w:rPr>
          <w:szCs w:val="24"/>
        </w:rPr>
        <w:t>o</w:t>
      </w:r>
      <w:r w:rsidRPr="00576ED7">
        <w:rPr>
          <w:szCs w:val="24"/>
        </w:rPr>
        <w:t>vide the investment stimulus that was felt to be essential for economic expa</w:t>
      </w:r>
      <w:r w:rsidRPr="00576ED7">
        <w:rPr>
          <w:szCs w:val="24"/>
        </w:rPr>
        <w:t>n</w:t>
      </w:r>
      <w:r w:rsidRPr="00576ED7">
        <w:rPr>
          <w:szCs w:val="24"/>
        </w:rPr>
        <w:t xml:space="preserve">sion.” </w:t>
      </w:r>
      <w:r w:rsidRPr="00576ED7">
        <w:rPr>
          <w:i/>
          <w:szCs w:val="24"/>
        </w:rPr>
        <w:t>Id</w:t>
      </w:r>
      <w:r w:rsidRPr="00576ED7">
        <w:rPr>
          <w:szCs w:val="24"/>
        </w:rPr>
        <w:t>. Further, Congress believed that the true value of the depreciation dedu</w:t>
      </w:r>
      <w:r w:rsidRPr="00576ED7">
        <w:rPr>
          <w:szCs w:val="24"/>
        </w:rPr>
        <w:t>c</w:t>
      </w:r>
      <w:r w:rsidRPr="00576ED7">
        <w:rPr>
          <w:szCs w:val="24"/>
        </w:rPr>
        <w:t xml:space="preserve">tion had declined over the years because of high inflation rates. </w:t>
      </w:r>
      <w:r w:rsidRPr="00576ED7">
        <w:rPr>
          <w:i/>
          <w:szCs w:val="24"/>
        </w:rPr>
        <w:t>Id</w:t>
      </w:r>
      <w:r w:rsidRPr="00576ED7">
        <w:rPr>
          <w:szCs w:val="24"/>
        </w:rPr>
        <w:t>. As a result, Congress believed that a “substantial restructuring” of the depreciation rules would stimulate capital formation, increase productivity and improve the cou</w:t>
      </w:r>
      <w:r w:rsidRPr="00576ED7">
        <w:rPr>
          <w:szCs w:val="24"/>
        </w:rPr>
        <w:t>n</w:t>
      </w:r>
      <w:r w:rsidRPr="00576ED7">
        <w:rPr>
          <w:szCs w:val="24"/>
        </w:rPr>
        <w:t xml:space="preserve">try’s competitiveness in international trade. </w:t>
      </w:r>
      <w:r w:rsidRPr="00576ED7">
        <w:rPr>
          <w:i/>
          <w:szCs w:val="24"/>
        </w:rPr>
        <w:t>Id</w:t>
      </w:r>
      <w:r w:rsidRPr="00576ED7">
        <w:rPr>
          <w:szCs w:val="24"/>
        </w:rPr>
        <w:t>. Congress also felt that the prior rules concerning the determination of a useful life were “too complex”, “inheren</w:t>
      </w:r>
      <w:r w:rsidRPr="00576ED7">
        <w:rPr>
          <w:szCs w:val="24"/>
        </w:rPr>
        <w:t>t</w:t>
      </w:r>
      <w:r w:rsidRPr="00576ED7">
        <w:rPr>
          <w:szCs w:val="24"/>
        </w:rPr>
        <w:t xml:space="preserve">ly uncertain” and engendered “unproductive disagreements between taxpayers and the Internal Revenue Service.” </w:t>
      </w:r>
      <w:r w:rsidRPr="00576ED7">
        <w:rPr>
          <w:i/>
          <w:szCs w:val="24"/>
        </w:rPr>
        <w:t>Id</w:t>
      </w:r>
      <w:r w:rsidRPr="00576ED7">
        <w:rPr>
          <w:szCs w:val="24"/>
        </w:rPr>
        <w:t>. To remedy the situation, Congress decided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that a new capital cost recovery system should be structured which de-</w:t>
      </w:r>
      <w:r w:rsidRPr="00576ED7">
        <w:rPr>
          <w:szCs w:val="24"/>
        </w:rPr>
        <w:lastRenderedPageBreak/>
        <w:t>emphasizes the concept of useful life, minimizes the number of elections and exceptions and is easier to comply with and to administer.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1981 at 1450. ACRS was codified in I.R.C. § 168, which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168. Accelerated cost recovery system</w:t>
      </w:r>
    </w:p>
    <w:p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Amount of Deduction.--</w:t>
      </w:r>
    </w:p>
    <w:p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w:t>
      </w:r>
      <w:r w:rsidRPr="00576ED7">
        <w:rPr>
          <w:szCs w:val="24"/>
        </w:rPr>
        <w:t>a</w:t>
      </w:r>
      <w:r w:rsidRPr="00576ED7">
        <w:rPr>
          <w:szCs w:val="24"/>
        </w:rPr>
        <w:t>ble year shall be the aggregate amount determined by applying to the unadjusted basis of recovery property the applicable percentage determined in accordance with the following table:</w:t>
      </w:r>
    </w:p>
    <w:p w:rsidR="0049128E" w:rsidRPr="00576ED7" w:rsidRDefault="0049128E" w:rsidP="00A6585D">
      <w:pPr>
        <w:widowControl w:val="0"/>
        <w:ind w:left="1440"/>
        <w:jc w:val="both"/>
        <w:rPr>
          <w:szCs w:val="24"/>
        </w:rPr>
      </w:pPr>
      <w:r w:rsidRPr="00576ED7">
        <w:rPr>
          <w:szCs w:val="24"/>
        </w:rPr>
        <w:t>* *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 Recovery Property. – For purposes of this title – </w:t>
      </w:r>
    </w:p>
    <w:p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rsidR="0049128E" w:rsidRPr="00576ED7" w:rsidRDefault="0049128E" w:rsidP="00A6585D">
      <w:pPr>
        <w:widowControl w:val="0"/>
        <w:ind w:left="2160"/>
        <w:jc w:val="both"/>
        <w:rPr>
          <w:szCs w:val="24"/>
        </w:rPr>
      </w:pPr>
      <w:r w:rsidRPr="00576ED7">
        <w:rPr>
          <w:szCs w:val="24"/>
        </w:rPr>
        <w:t>(A) used in a trade or business,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(B)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26 U.S.C. § 168. ACRS is mandatory and applied to “recovery property” placed in service after 1980 and before 1987.</w:t>
      </w:r>
      <w:r w:rsidRPr="00576ED7">
        <w:rPr>
          <w:rStyle w:val="FootnoteReference"/>
          <w:szCs w:val="24"/>
        </w:rPr>
        <w:footnoteReference w:id="16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168(c)(2) grouped recovery property into five assigned categories: 3-year </w:t>
      </w:r>
      <w:r w:rsidRPr="00576ED7">
        <w:rPr>
          <w:szCs w:val="24"/>
        </w:rPr>
        <w:lastRenderedPageBreak/>
        <w:t>property, 5-year property, 10-year property, 15-year real property and 15-year public utility property. Three year property was defined as § 1245 property</w:t>
      </w:r>
      <w:r w:rsidRPr="00576ED7">
        <w:rPr>
          <w:rStyle w:val="FootnoteReference"/>
          <w:szCs w:val="24"/>
        </w:rPr>
        <w:footnoteReference w:id="164"/>
      </w:r>
      <w:r w:rsidRPr="00576ED7">
        <w:rPr>
          <w:szCs w:val="24"/>
        </w:rPr>
        <w:t xml:space="preserve"> with a class life of 4 years or less. Five year property is all § 1245 property with a class life of more than 4 years. Ten year property is primarily certain public utility property, railroad tank cars, coal-utilization property and certain real property d</w:t>
      </w:r>
      <w:r w:rsidRPr="00576ED7">
        <w:rPr>
          <w:szCs w:val="24"/>
        </w:rPr>
        <w:t>e</w:t>
      </w:r>
      <w:r w:rsidRPr="00576ED7">
        <w:rPr>
          <w:szCs w:val="24"/>
        </w:rPr>
        <w:t>scribed in I.R.C. § 1250(c). Other long-lived public utility property is in the 15-year class. § 168(a)(2)(A), (B) and (C). Basically, 3-year property includes certain short-lived assets such as automobiles and light-duty trucks, and 5-year property included all other tangible personal property that was not 3-year property. Most eligible personal property was in the 5-year class.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ERTA § 168 did not eliminate the pre-ERTA § 167 requirement that tangible personalty used in a trade or business must also have a determinable useful life in order to qualify for the ACRS deduction. She argues that the phrase “of a character subject to the allowance for depreciation” demonstrates that the pre-ERTA § 167 requirement for a determinable useful life is the threshold criterion for claiming the § 168 ACRS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Much of the difficulty inherent in this case arises from two related problems. First, Congress left § 167 unmodified when it added § 168; second, § 168 contains no standards for determining when property is “of a character subject to the a</w:t>
      </w:r>
      <w:r w:rsidRPr="00576ED7">
        <w:rPr>
          <w:szCs w:val="24"/>
        </w:rPr>
        <w:t>l</w:t>
      </w:r>
      <w:r w:rsidRPr="00576ED7">
        <w:rPr>
          <w:szCs w:val="24"/>
        </w:rPr>
        <w:t>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 167 must, of necessity, be imported into § 168. That importation would include the necessity that a taxpayer demonstrate that the asset have a demonstrable useful life, and (the argument co</w:t>
      </w:r>
      <w:r w:rsidRPr="00576ED7">
        <w:rPr>
          <w:szCs w:val="24"/>
        </w:rPr>
        <w:t>n</w:t>
      </w:r>
      <w:r w:rsidRPr="00576ED7">
        <w:rPr>
          <w:szCs w:val="24"/>
        </w:rPr>
        <w:t>tinues) satisfy the phrase “tangible property of a character subject to the allo</w:t>
      </w:r>
      <w:r w:rsidRPr="00576ED7">
        <w:rPr>
          <w:szCs w:val="24"/>
        </w:rPr>
        <w:t>w</w:t>
      </w:r>
      <w:r w:rsidRPr="00576ED7">
        <w:rPr>
          <w:szCs w:val="24"/>
        </w:rPr>
        <w:t>ance for depreciation” in § 168.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we do not believe that Congress intended the wholesale importation of § 167 rules and regulations into § 168. Such an interpretation would negate one of the major reasons for enacting the Accelerated Cost Recovery System. Rather, we </w:t>
      </w:r>
      <w:r w:rsidRPr="00576ED7">
        <w:rPr>
          <w:szCs w:val="24"/>
        </w:rPr>
        <w:lastRenderedPageBreak/>
        <w:t>believe that the phrase “of a character subject to the allowance for depreciation” refers only to that portion of § 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w:t>
      </w:r>
      <w:r w:rsidRPr="00576ED7">
        <w:rPr>
          <w:szCs w:val="24"/>
        </w:rPr>
        <w:t>l</w:t>
      </w:r>
      <w:r w:rsidRPr="00576ED7">
        <w:rPr>
          <w:szCs w:val="24"/>
        </w:rPr>
        <w:t>low that Congress intended to make the ACRS deduction subject to the § 167 us</w:t>
      </w:r>
      <w:r w:rsidRPr="00576ED7">
        <w:rPr>
          <w:szCs w:val="24"/>
        </w:rPr>
        <w:t>e</w:t>
      </w:r>
      <w:r w:rsidRPr="00576ED7">
        <w:rPr>
          <w:szCs w:val="24"/>
        </w:rPr>
        <w:t>ful life rules, and thereby breathe continued life into a regulatory scheme that was bewildering, and fraught with problems, and required “substantial restructuring.”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previously noted that Congress believed that prior depreciation rules and re</w:t>
      </w:r>
      <w:r w:rsidRPr="00576ED7">
        <w:rPr>
          <w:szCs w:val="24"/>
        </w:rPr>
        <w:t>g</w:t>
      </w:r>
      <w:r w:rsidRPr="00576ED7">
        <w:rPr>
          <w:szCs w:val="24"/>
        </w:rPr>
        <w:t>ulations did not provide the investment stimulus necessary for economic expa</w:t>
      </w:r>
      <w:r w:rsidRPr="00576ED7">
        <w:rPr>
          <w:szCs w:val="24"/>
        </w:rPr>
        <w:t>n</w:t>
      </w:r>
      <w:r w:rsidRPr="00576ED7">
        <w:rPr>
          <w:szCs w:val="24"/>
        </w:rPr>
        <w:t>sion. Further, Congress believed that the actual value of the depreciation dedu</w:t>
      </w:r>
      <w:r w:rsidRPr="00576ED7">
        <w:rPr>
          <w:szCs w:val="24"/>
        </w:rPr>
        <w:t>c</w:t>
      </w:r>
      <w:r w:rsidRPr="00576ED7">
        <w:rPr>
          <w:szCs w:val="24"/>
        </w:rPr>
        <w:t>tion declined over the years because of inflationary pressures. In addition, Co</w:t>
      </w:r>
      <w:r w:rsidRPr="00576ED7">
        <w:rPr>
          <w:szCs w:val="24"/>
        </w:rPr>
        <w:t>n</w:t>
      </w:r>
      <w:r w:rsidRPr="00576ED7">
        <w:rPr>
          <w:szCs w:val="24"/>
        </w:rPr>
        <w:t>gress felt that prior depreciation rules governing the determination of useful lives were much too complex and caused unproductive disagreements between taxpa</w:t>
      </w:r>
      <w:r w:rsidRPr="00576ED7">
        <w:rPr>
          <w:szCs w:val="24"/>
        </w:rPr>
        <w:t>y</w:t>
      </w:r>
      <w:r w:rsidRPr="00576ED7">
        <w:rPr>
          <w:szCs w:val="24"/>
        </w:rPr>
        <w:t xml:space="preserve">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1981 at 1449. Accordingly, we decline the Commissioner’s invitation to interpret § 168 in such a manner as to re-emphasize a concept which Congress has sought to “de-emphasize.”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w:t>
      </w:r>
      <w:r w:rsidRPr="00576ED7">
        <w:rPr>
          <w:szCs w:val="24"/>
        </w:rPr>
        <w:t>i</w:t>
      </w:r>
      <w:r w:rsidRPr="00576ED7">
        <w:rPr>
          <w:szCs w:val="24"/>
        </w:rPr>
        <w:t>tion of the Commissioner, if accepted, would reintroduce unproductive disputes over useful life between taxpayers and the Internal Revenue Service. Indeed, such is the plight of Mr. Liddle.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de-emphasized the § 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w:t>
      </w:r>
      <w:r w:rsidRPr="00576ED7">
        <w:rPr>
          <w:szCs w:val="24"/>
        </w:rPr>
        <w:t>i</w:t>
      </w:r>
      <w:r w:rsidRPr="00576ED7">
        <w:rPr>
          <w:szCs w:val="24"/>
        </w:rPr>
        <w:t>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w:t>
      </w:r>
      <w:r w:rsidRPr="00576ED7">
        <w:rPr>
          <w:szCs w:val="24"/>
        </w:rPr>
        <w:t>a</w:t>
      </w:r>
      <w:r w:rsidRPr="00576ED7">
        <w:rPr>
          <w:szCs w:val="24"/>
        </w:rPr>
        <w:lastRenderedPageBreak/>
        <w:t>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in order for the Liddles to claim an ACRS deduction, they must show that the bass is recovery property as defined in § 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w:t>
      </w:r>
      <w:r w:rsidRPr="00576ED7">
        <w:rPr>
          <w:szCs w:val="24"/>
        </w:rPr>
        <w:t>c</w:t>
      </w:r>
      <w:r w:rsidRPr="00576ED7">
        <w:rPr>
          <w:szCs w:val="24"/>
        </w:rPr>
        <w:t>tion for the tax year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Similarly, we are not persuaded by the Commissioner’s “work of art” theory, al</w:t>
      </w:r>
      <w:r w:rsidRPr="00576ED7">
        <w:rPr>
          <w:szCs w:val="24"/>
        </w:rPr>
        <w:t>t</w:t>
      </w:r>
      <w:r w:rsidRPr="00576ED7">
        <w:rPr>
          <w:szCs w:val="24"/>
        </w:rPr>
        <w:t>hough there are similarities between Mr. Liddle’s valuable bass, and a work of art. The bass, is highly prized by collectors; and, ironically, it actually increases in value with age much like a rare painting. Cases that addressed the availability for depreciation deductions under § 167 clearly establish that works of art and/or co</w:t>
      </w:r>
      <w:r w:rsidRPr="00576ED7">
        <w:rPr>
          <w:szCs w:val="24"/>
        </w:rPr>
        <w:t>l</w:t>
      </w:r>
      <w:r w:rsidRPr="00576ED7">
        <w:rPr>
          <w:szCs w:val="24"/>
        </w:rPr>
        <w:t xml:space="preserve">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713 F.2d 347 (8th Cir.1983) (art displayed in law o</w:t>
      </w:r>
      <w:r w:rsidRPr="00576ED7">
        <w:rPr>
          <w:szCs w:val="24"/>
        </w:rPr>
        <w:t>f</w:t>
      </w:r>
      <w:r w:rsidRPr="00576ED7">
        <w:rPr>
          <w:szCs w:val="24"/>
        </w:rPr>
        <w:t xml:space="preserve">fice not depreciable); </w:t>
      </w:r>
      <w:r w:rsidRPr="00576ED7">
        <w:rPr>
          <w:i/>
          <w:szCs w:val="24"/>
        </w:rPr>
        <w:t>Harrah’s Club v. United States</w:t>
      </w:r>
      <w:r w:rsidRPr="00576ED7">
        <w:rPr>
          <w:szCs w:val="24"/>
        </w:rPr>
        <w:t>, 661 F.2d 203 (1981) (a</w:t>
      </w:r>
      <w:r w:rsidRPr="00576ED7">
        <w:rPr>
          <w:szCs w:val="24"/>
        </w:rPr>
        <w:t>n</w:t>
      </w:r>
      <w:r w:rsidRPr="00576ED7">
        <w:rPr>
          <w:szCs w:val="24"/>
        </w:rPr>
        <w:t xml:space="preserve">tique automobiles in museum not depreciable). </w:t>
      </w:r>
      <w:r w:rsidRPr="00576ED7">
        <w:rPr>
          <w:i/>
          <w:szCs w:val="24"/>
        </w:rPr>
        <w:t>See also</w:t>
      </w:r>
      <w:r w:rsidRPr="00576ED7">
        <w:rPr>
          <w:szCs w:val="24"/>
        </w:rPr>
        <w:t>, Rev. Rul. 68-232 (“d</w:t>
      </w:r>
      <w:r w:rsidRPr="00576ED7">
        <w:rPr>
          <w:szCs w:val="24"/>
        </w:rPr>
        <w:t>e</w:t>
      </w:r>
      <w:r w:rsidRPr="00576ED7">
        <w:rPr>
          <w:szCs w:val="24"/>
        </w:rPr>
        <w:t>preciation of works of art generally is not allowable because ‘[a] valuable and treasured art piece does not have a determinable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lastRenderedPageBreak/>
        <w:t>Accordingly, for the reasons set forth above, we will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Note the court’s account of the evolution of depreciation law.  In its first foo</w:t>
      </w:r>
      <w:r w:rsidRPr="00576ED7">
        <w:rPr>
          <w:szCs w:val="24"/>
        </w:rPr>
        <w:t>t</w:t>
      </w:r>
      <w:r w:rsidRPr="00576ED7">
        <w:rPr>
          <w:szCs w:val="24"/>
        </w:rPr>
        <w:t>note, the court noted that “recovery property” is no longer part of § 168.  Section 168 now applies to “any tangible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actually been replaced – by § 168 for </w:t>
      </w:r>
      <w:r w:rsidRPr="00576ED7">
        <w:rPr>
          <w:i/>
          <w:szCs w:val="24"/>
        </w:rPr>
        <w:t>tangible</w:t>
      </w:r>
      <w:r w:rsidRPr="00576ED7">
        <w:rPr>
          <w:szCs w:val="24"/>
        </w:rPr>
        <w:t xml:space="preserve"> property – but not for </w:t>
      </w:r>
      <w:r w:rsidRPr="00576ED7">
        <w:rPr>
          <w:i/>
          <w:szCs w:val="24"/>
        </w:rPr>
        <w:t>intangible</w:t>
      </w:r>
      <w:r w:rsidRPr="00576ED7">
        <w:rPr>
          <w:szCs w:val="24"/>
        </w:rPr>
        <w:t xml:space="preserve"> property.  The allowable depreciation deduction of § 167(a) is what is described in § 168 when it is applicable.  § 168(a).  When § 168 is applicable, its application is mandatory.  § 168(a) (“shall be determined”).  Application of § 168 is much more mechanical and predictable than application of § 167.  The Third Circuit described the mechanics of applying § 167 – and of course, the greater accuracy that § 167 (may have) yielded came at a high administrative cost, both to the taxpayer and to the IRS.  The Commissioner’s argument that taxpayer must demonstrate that an asset has a “determinable useful life” in order to claim a d</w:t>
      </w:r>
      <w:r w:rsidRPr="00576ED7">
        <w:rPr>
          <w:szCs w:val="24"/>
        </w:rPr>
        <w:t>e</w:t>
      </w:r>
      <w:r w:rsidRPr="00576ED7">
        <w:rPr>
          <w:szCs w:val="24"/>
        </w:rPr>
        <w:t>duction for depreciation is an accurate statement of the law of § 167.  Applying § 167 required placing an asset in an “Asset Depreciation Range” (ADR), deriving its useful life, determining its future “salvage value,” and then calculating the a</w:t>
      </w:r>
      <w:r w:rsidRPr="00576ED7">
        <w:rPr>
          <w:szCs w:val="24"/>
        </w:rPr>
        <w:t>c</w:t>
      </w:r>
      <w:r w:rsidRPr="00576ED7">
        <w:rPr>
          <w:szCs w:val="24"/>
        </w:rPr>
        <w:t xml:space="preserve">tual depreciation deduction according to an allowable method.  The court in </w:t>
      </w:r>
      <w:r w:rsidRPr="00576ED7">
        <w:rPr>
          <w:i/>
          <w:szCs w:val="24"/>
        </w:rPr>
        <w:t>Li</w:t>
      </w:r>
      <w:r w:rsidRPr="00576ED7">
        <w:rPr>
          <w:i/>
          <w:szCs w:val="24"/>
        </w:rPr>
        <w:t>d</w:t>
      </w:r>
      <w:r w:rsidRPr="00576ED7">
        <w:rPr>
          <w:i/>
          <w:szCs w:val="24"/>
        </w:rPr>
        <w:t>dle</w:t>
      </w:r>
      <w:r w:rsidRPr="00576ED7">
        <w:rPr>
          <w:szCs w:val="24"/>
        </w:rPr>
        <w:t xml:space="preserve"> described this system as “bewildering, and fraught with problems[.]”  While ADRs are no longer law, they are still used to determine the “class life” of an a</w:t>
      </w:r>
      <w:r w:rsidRPr="00576ED7">
        <w:rPr>
          <w:szCs w:val="24"/>
        </w:rPr>
        <w:t>s</w:t>
      </w:r>
      <w:r w:rsidRPr="00576ED7">
        <w:rPr>
          <w:szCs w:val="24"/>
        </w:rPr>
        <w:t>set which in turn determines the type of property that it is – whether 3-year, 5-year, 7-year, 10-year, 15-year, or 20-year property.  § 168(e)(1).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late 1970s and early 1980s was a time of slow economic growth and very high inflation.  The court describes the congressional response, i.e., the Economic Recovery Tax Act of 1981 (ERTA).  Clearly, Congress – at the urging of Pres</w:t>
      </w:r>
      <w:r w:rsidRPr="00576ED7">
        <w:rPr>
          <w:szCs w:val="24"/>
        </w:rPr>
        <w:t>i</w:t>
      </w:r>
      <w:r w:rsidRPr="00576ED7">
        <w:rPr>
          <w:szCs w:val="24"/>
        </w:rPr>
        <w:t>dent Reagan – was using the tax rules as a device to stimulate the economy.  Co</w:t>
      </w:r>
      <w:r w:rsidRPr="00576ED7">
        <w:rPr>
          <w:szCs w:val="24"/>
        </w:rPr>
        <w:t>n</w:t>
      </w:r>
      <w:r w:rsidRPr="00576ED7">
        <w:rPr>
          <w:szCs w:val="24"/>
        </w:rPr>
        <w:lastRenderedPageBreak/>
        <w:t xml:space="preserve">gress modified the system so that property placed in service in 1986 and after would be subject to the “Modified Accelerated Cost Recovery System” (MACRS).  Sufficient time has passed that we do not often have to distinguish between ACRS and MACRS; often we simply refer to the current system as ACRS.  Notice that § 168 uses the phrase “accelerated cost recovery system” (ACRS) – implying that we no longer consider this to be depreciation.  As we see in the succeeding paragraphs, taxpayers who place property in service to which § 168 applies may “write it off” much faster than they could under the old rules.  The Third Circuit in </w:t>
      </w:r>
      <w:r w:rsidRPr="00576ED7">
        <w:rPr>
          <w:i/>
          <w:szCs w:val="24"/>
        </w:rPr>
        <w:t>Liddle</w:t>
      </w:r>
      <w:r w:rsidRPr="00576ED7">
        <w:rPr>
          <w:szCs w:val="24"/>
        </w:rPr>
        <w:t xml:space="preserve"> explained what Congress was trying to accomplish by adopting these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  § 168(e)(3).  Property not ot</w:t>
      </w:r>
      <w:r w:rsidRPr="00576ED7">
        <w:rPr>
          <w:szCs w:val="24"/>
        </w:rPr>
        <w:t>h</w:t>
      </w:r>
      <w:r w:rsidRPr="00576ED7">
        <w:rPr>
          <w:szCs w:val="24"/>
        </w:rPr>
        <w:t xml:space="preserve">erwise described is first defined according to the old class life rules, § 168(e)(1), § 168(i)(1), and then placed into one of these classifications.  For such properties, the recovery period corresponds to the classification of the property.  </w:t>
      </w:r>
      <w:r w:rsidRPr="00576ED7">
        <w:rPr>
          <w:i/>
          <w:szCs w:val="24"/>
        </w:rPr>
        <w:t>See</w:t>
      </w:r>
      <w:r w:rsidRPr="00576ED7">
        <w:rPr>
          <w:szCs w:val="24"/>
        </w:rPr>
        <w:t xml:space="preserve"> § 168(c).  In addition, § 168(b)(3) names certain properties whose recovery period is prescribed in § 168(c).</w:t>
      </w:r>
    </w:p>
    <w:p w:rsidR="0049128E" w:rsidRPr="00576ED7" w:rsidRDefault="0049128E" w:rsidP="00A6585D">
      <w:pPr>
        <w:widowControl w:val="0"/>
        <w:ind w:left="720"/>
        <w:jc w:val="both"/>
        <w:rPr>
          <w:szCs w:val="24"/>
        </w:rPr>
      </w:pPr>
      <w:r w:rsidRPr="00576ED7">
        <w:rPr>
          <w:szCs w:val="24"/>
        </w:rPr>
        <w:t>•You should read through these sub-sections – particularly (and in this o</w:t>
      </w:r>
      <w:r w:rsidRPr="00576ED7">
        <w:rPr>
          <w:szCs w:val="24"/>
        </w:rPr>
        <w:t>r</w:t>
      </w:r>
      <w:r w:rsidRPr="00576ED7">
        <w:rPr>
          <w:szCs w:val="24"/>
        </w:rPr>
        <w:t>der) § 168(e)(3), § 168(e)(1), § 168(</w:t>
      </w:r>
      <w:r w:rsidR="0086476E">
        <w:rPr>
          <w:szCs w:val="24"/>
        </w:rPr>
        <w:t>e</w:t>
      </w:r>
      <w:r w:rsidRPr="00576ED7">
        <w:rPr>
          <w:szCs w:val="24"/>
        </w:rPr>
        <w:t>)(3), and § 168(c).</w:t>
      </w:r>
    </w:p>
    <w:p w:rsidR="0049128E" w:rsidRPr="00576ED7" w:rsidRDefault="0049128E" w:rsidP="00A6585D">
      <w:pPr>
        <w:widowControl w:val="0"/>
        <w:ind w:left="720"/>
        <w:jc w:val="both"/>
        <w:rPr>
          <w:szCs w:val="24"/>
        </w:rPr>
      </w:pPr>
      <w:r w:rsidRPr="00576ED7">
        <w:rPr>
          <w:szCs w:val="24"/>
        </w:rPr>
        <w:t>•Notice that § 168(e)(3)(C)(v) provides that property without a class life and not otherwise classified is classified as 7-year property.  Section 168(e)(3)(C)(v) thus serves as a sort of “default” provision when taxpayers purchase items such as bass viols.  At the time the Liddles filed their tax return, the default period was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168(b)(4) treats salvage value as zero.  This completely eliminates one point of dispute between taxpayers and the IRS.  The basis for depreciation is the adjusted basis provided in § 1011.  § 167(c)(1).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 168 applies as if it were placed in service </w:t>
      </w:r>
      <w:r w:rsidRPr="00576ED7">
        <w:rPr>
          <w:i/>
          <w:szCs w:val="24"/>
        </w:rPr>
        <w:t>or</w:t>
      </w:r>
      <w:r w:rsidRPr="00576ED7">
        <w:rPr>
          <w:szCs w:val="24"/>
        </w:rPr>
        <w:t xml:space="preserve"> disposed of at the mi</w:t>
      </w:r>
      <w:r w:rsidRPr="00576ED7">
        <w:rPr>
          <w:szCs w:val="24"/>
        </w:rPr>
        <w:t>d</w:t>
      </w:r>
      <w:r w:rsidRPr="00576ED7">
        <w:rPr>
          <w:szCs w:val="24"/>
        </w:rPr>
        <w:t>point of the taxpayer’s taxable year.  § 168(d)(1 and 4(A) (“half-year conve</w:t>
      </w:r>
      <w:r w:rsidRPr="00576ED7">
        <w:rPr>
          <w:szCs w:val="24"/>
        </w:rPr>
        <w:t>n</w:t>
      </w:r>
      <w:r w:rsidRPr="00576ED7">
        <w:rPr>
          <w:szCs w:val="24"/>
        </w:rPr>
        <w:t xml:space="preserve">tion”)).  In the case of real property, we treat it as if it were placed in service or disposed of at the midpoint of the month in which it actually was placed in service or disposed of.  § 168(d)(2 and (4)(B) (“mid-month convention”)).  A special rule precludes the abuse of these conventions through back-loading.  We treat all property to which § 168 applies as if it were placed in service at the midpoint of </w:t>
      </w:r>
      <w:r w:rsidRPr="00576ED7">
        <w:rPr>
          <w:szCs w:val="24"/>
        </w:rPr>
        <w:lastRenderedPageBreak/>
        <w:t xml:space="preserve">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w:t>
      </w:r>
      <w:r w:rsidRPr="00576ED7">
        <w:rPr>
          <w:szCs w:val="24"/>
        </w:rPr>
        <w:t>y</w:t>
      </w:r>
      <w:r w:rsidRPr="00576ED7">
        <w:rPr>
          <w:szCs w:val="24"/>
        </w:rPr>
        <w:t>er’s tax year.  § 168(d)(3)(A).  In making this 40% determination, taxpayer does not count nonresidential real property, residential rental property, a railroad gra</w:t>
      </w:r>
      <w:r w:rsidRPr="00576ED7">
        <w:rPr>
          <w:szCs w:val="24"/>
        </w:rPr>
        <w:t>d</w:t>
      </w:r>
      <w:r w:rsidRPr="00576ED7">
        <w:rPr>
          <w:szCs w:val="24"/>
        </w:rPr>
        <w:t>ing or tunnel bore, and property placed in service and disposed of during the same taxable year.  § 168(d)(3)(B).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long.  </w:t>
      </w:r>
      <w:r w:rsidRPr="00576ED7">
        <w:rPr>
          <w:szCs w:val="24"/>
        </w:rPr>
        <w:t>§ 168(b)(3).  This of course means that taxpayer divides the item’s basis by the a</w:t>
      </w:r>
      <w:r w:rsidRPr="00576ED7">
        <w:rPr>
          <w:szCs w:val="24"/>
        </w:rPr>
        <w:t>p</w:t>
      </w:r>
      <w:r w:rsidRPr="00576ED7">
        <w:rPr>
          <w:szCs w:val="24"/>
        </w:rPr>
        <w:t>plicable recovery period.  In the first and last year of ownership, taxpayer applies the applicable convention to determine his/her/its “cost recovery” deduction.  A faster method of cost recovery applies to property whose classification is 15 or 20 years, i.e., 150% of declining balance.  § 168(b)(2)(A).  This method also applies to specifically named property.  § 168(b)(2)(B and C).  A faster method still of cost recovery applies to 3-year, 5-year, 7-year, and 10-year property, i.e., 200% of declining balance.  § 168(a).</w:t>
      </w:r>
    </w:p>
    <w:p w:rsidR="0049128E" w:rsidRPr="00576ED7" w:rsidRDefault="0049128E" w:rsidP="00A6585D">
      <w:pPr>
        <w:widowControl w:val="0"/>
        <w:ind w:left="720"/>
        <w:jc w:val="both"/>
        <w:rPr>
          <w:szCs w:val="24"/>
        </w:rPr>
      </w:pPr>
      <w:r w:rsidRPr="00576ED7">
        <w:rPr>
          <w:szCs w:val="24"/>
        </w:rPr>
        <w:t>•A taxpayer may irrevocably elect to apply one of the slower methods of cost recovery to one or more classes of property.  § 168(b)(2)(D), § 168(b)(3)(D), § 168(b)(5).</w:t>
      </w:r>
    </w:p>
    <w:p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rsidR="0049128E" w:rsidRPr="00576ED7" w:rsidRDefault="0049128E" w:rsidP="00A6585D">
      <w:pPr>
        <w:widowControl w:val="0"/>
        <w:ind w:left="720"/>
        <w:jc w:val="both"/>
        <w:rPr>
          <w:szCs w:val="24"/>
        </w:rPr>
      </w:pPr>
      <w:r w:rsidRPr="00576ED7">
        <w:rPr>
          <w:szCs w:val="24"/>
        </w:rPr>
        <w:t>•Familiarize yourself with these tables.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 168 noted thus far.  Taxpayer may irrevocably elect to apply the “alternate depreciation system” to </w:t>
      </w:r>
      <w:r w:rsidRPr="00576ED7">
        <w:rPr>
          <w:i/>
          <w:szCs w:val="24"/>
        </w:rPr>
        <w:t>all of the property in a particular class</w:t>
      </w:r>
      <w:r w:rsidRPr="00576ED7">
        <w:rPr>
          <w:szCs w:val="24"/>
        </w:rPr>
        <w:t xml:space="preserve"> placed in service during the taxable year.  § 168(g)(7).  Taxpayer may make this election separately with respect to each nonresidential real property or residential rental property.  § 168(f)(7).</w:t>
      </w:r>
    </w:p>
    <w:p w:rsidR="0049128E" w:rsidRPr="00576ED7" w:rsidRDefault="0049128E" w:rsidP="00A6585D">
      <w:pPr>
        <w:widowControl w:val="0"/>
        <w:ind w:left="720"/>
        <w:jc w:val="both"/>
        <w:rPr>
          <w:szCs w:val="24"/>
        </w:rPr>
      </w:pPr>
      <w:r w:rsidRPr="00576ED7">
        <w:rPr>
          <w:szCs w:val="24"/>
        </w:rPr>
        <w:t>•A taxpayer might make such an election in order to avoid paying the a</w:t>
      </w:r>
      <w:r w:rsidRPr="00576ED7">
        <w:rPr>
          <w:szCs w:val="24"/>
        </w:rPr>
        <w:t>l</w:t>
      </w:r>
      <w:r w:rsidRPr="00576ED7">
        <w:rPr>
          <w:szCs w:val="24"/>
        </w:rPr>
        <w:t xml:space="preserve">ternative minimum tax.  </w:t>
      </w:r>
      <w:r w:rsidRPr="00576ED7">
        <w:rPr>
          <w:i/>
          <w:szCs w:val="24"/>
        </w:rPr>
        <w:t>See</w:t>
      </w:r>
      <w:r w:rsidRPr="00576ED7">
        <w:rPr>
          <w:szCs w:val="24"/>
        </w:rPr>
        <w:t xml:space="preserve"> § 56(a)(1).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Accelerating cost recovery is one policy tool that Congress has to encourage i</w:t>
      </w:r>
      <w:r w:rsidRPr="00576ED7">
        <w:rPr>
          <w:szCs w:val="24"/>
        </w:rPr>
        <w:t>n</w:t>
      </w:r>
      <w:r w:rsidRPr="00576ED7">
        <w:rPr>
          <w:szCs w:val="24"/>
        </w:rPr>
        <w:t xml:space="preserve">vestment in certain types of property at certain times.  </w:t>
      </w:r>
      <w:r w:rsidRPr="00576ED7">
        <w:rPr>
          <w:i/>
          <w:szCs w:val="24"/>
        </w:rPr>
        <w:t>See</w:t>
      </w:r>
      <w:r w:rsidRPr="00576ED7">
        <w:rPr>
          <w:szCs w:val="24"/>
        </w:rPr>
        <w:t xml:space="preserve"> § 168(k).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w:t>
      </w:r>
    </w:p>
    <w:p w:rsidR="0049128E" w:rsidRPr="00576ED7" w:rsidRDefault="0049128E" w:rsidP="00A6585D">
      <w:pPr>
        <w:widowControl w:val="0"/>
        <w:jc w:val="both"/>
        <w:rPr>
          <w:szCs w:val="24"/>
        </w:rPr>
      </w:pPr>
      <w:r w:rsidRPr="00576ED7">
        <w:rPr>
          <w:szCs w:val="24"/>
        </w:rPr>
        <w:t>1.  Taxpayer purchased a racehorse on January 2, 2011 for $10,000 and “placed it in service” immediately.  Taxpayer purchased no other property subject to ACRS allowances during the year.</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sold the horse on December 31, 2013 for $9000.</w:t>
      </w:r>
    </w:p>
    <w:p w:rsidR="0049128E" w:rsidRPr="00576ED7" w:rsidRDefault="0049128E" w:rsidP="00A6585D">
      <w:pPr>
        <w:widowControl w:val="0"/>
        <w:ind w:left="720"/>
        <w:jc w:val="both"/>
        <w:rPr>
          <w:szCs w:val="24"/>
        </w:rPr>
      </w:pPr>
      <w:r w:rsidRPr="00576ED7">
        <w:rPr>
          <w:szCs w:val="24"/>
        </w:rPr>
        <w:t>•What is Taxpayer’s adjusted basis in the racehorse?</w:t>
      </w:r>
    </w:p>
    <w:p w:rsidR="0049128E" w:rsidRPr="00576ED7" w:rsidRDefault="0049128E" w:rsidP="00A6585D">
      <w:pPr>
        <w:widowControl w:val="0"/>
        <w:ind w:left="720"/>
        <w:jc w:val="both"/>
        <w:rPr>
          <w:szCs w:val="24"/>
        </w:rPr>
      </w:pPr>
      <w:r w:rsidRPr="00576ED7">
        <w:rPr>
          <w:szCs w:val="24"/>
        </w:rPr>
        <w:t>•What is Taxpayer’s taxable gain from this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Taxpayer purchased a “motorsports entertainment complex” on October 1, 2011 for $10M.  </w:t>
      </w:r>
      <w:r w:rsidRPr="00576ED7">
        <w:rPr>
          <w:i/>
          <w:szCs w:val="24"/>
        </w:rPr>
        <w:t>See</w:t>
      </w:r>
      <w:r w:rsidRPr="00576ED7">
        <w:rPr>
          <w:szCs w:val="24"/>
        </w:rPr>
        <w:t xml:space="preserve"> § 168(e)(3)(C)(ii).  Assume that there is no backloading problem.</w:t>
      </w:r>
    </w:p>
    <w:p w:rsidR="0049128E" w:rsidRPr="00576ED7" w:rsidRDefault="0049128E" w:rsidP="00A6585D">
      <w:pPr>
        <w:widowControl w:val="0"/>
        <w:ind w:left="720"/>
        <w:jc w:val="both"/>
        <w:rPr>
          <w:szCs w:val="24"/>
        </w:rPr>
      </w:pPr>
      <w:r w:rsidRPr="00576ED7">
        <w:rPr>
          <w:szCs w:val="24"/>
        </w:rPr>
        <w:t>•What is Taxpayer’s ACRS allowance for 2011?</w:t>
      </w:r>
    </w:p>
    <w:p w:rsidR="0049128E" w:rsidRPr="00576ED7" w:rsidRDefault="0049128E" w:rsidP="00A6585D">
      <w:pPr>
        <w:widowControl w:val="0"/>
        <w:ind w:left="720"/>
        <w:jc w:val="both"/>
        <w:rPr>
          <w:szCs w:val="24"/>
        </w:rPr>
      </w:pPr>
      <w:r w:rsidRPr="00576ED7">
        <w:rPr>
          <w:szCs w:val="24"/>
        </w:rPr>
        <w:t>•What is Taxpayer’s ACRS allowance for 2012?</w:t>
      </w:r>
    </w:p>
    <w:p w:rsidR="0049128E" w:rsidRPr="00576ED7" w:rsidRDefault="0049128E" w:rsidP="00A6585D">
      <w:pPr>
        <w:widowControl w:val="0"/>
        <w:ind w:left="720"/>
        <w:jc w:val="both"/>
        <w:rPr>
          <w:szCs w:val="24"/>
        </w:rPr>
      </w:pPr>
      <w:r w:rsidRPr="00576ED7">
        <w:rPr>
          <w:szCs w:val="24"/>
        </w:rPr>
        <w:t>•What is Taxpayer’s ACRS allowance for 2013?</w:t>
      </w:r>
    </w:p>
    <w:p w:rsidR="0049128E" w:rsidRPr="00576ED7" w:rsidRDefault="0049128E" w:rsidP="00A6585D">
      <w:pPr>
        <w:widowControl w:val="0"/>
        <w:ind w:left="720"/>
        <w:jc w:val="both"/>
        <w:rPr>
          <w:szCs w:val="24"/>
        </w:rPr>
      </w:pPr>
      <w:r w:rsidRPr="00576ED7">
        <w:rPr>
          <w:szCs w:val="24"/>
        </w:rPr>
        <w:t>•What is Taxpayer’s ACRS allowance for 2014?</w:t>
      </w:r>
    </w:p>
    <w:p w:rsidR="0049128E" w:rsidRPr="00576ED7" w:rsidRDefault="0049128E" w:rsidP="00A6585D">
      <w:pPr>
        <w:widowControl w:val="0"/>
        <w:ind w:left="720"/>
        <w:jc w:val="both"/>
        <w:rPr>
          <w:szCs w:val="24"/>
        </w:rPr>
      </w:pPr>
      <w:r w:rsidRPr="00576ED7">
        <w:rPr>
          <w:szCs w:val="24"/>
        </w:rPr>
        <w:t>•What is Taxpayer’s ACRS allowance for 2015?</w:t>
      </w:r>
    </w:p>
    <w:p w:rsidR="0049128E" w:rsidRPr="00576ED7" w:rsidRDefault="0049128E" w:rsidP="00A6585D">
      <w:pPr>
        <w:widowControl w:val="0"/>
        <w:ind w:left="720"/>
        <w:jc w:val="both"/>
        <w:rPr>
          <w:szCs w:val="24"/>
        </w:rPr>
      </w:pPr>
      <w:r w:rsidRPr="00576ED7">
        <w:rPr>
          <w:szCs w:val="24"/>
        </w:rPr>
        <w:t>•What is Taxpayer’s ACRS allowance for 2016?</w:t>
      </w:r>
    </w:p>
    <w:p w:rsidR="0049128E" w:rsidRPr="00576ED7" w:rsidRDefault="0049128E" w:rsidP="00A6585D">
      <w:pPr>
        <w:widowControl w:val="0"/>
        <w:ind w:left="720"/>
        <w:jc w:val="both"/>
        <w:rPr>
          <w:szCs w:val="24"/>
        </w:rPr>
      </w:pPr>
      <w:r w:rsidRPr="00576ED7">
        <w:rPr>
          <w:szCs w:val="24"/>
        </w:rPr>
        <w:t>•What is Taxpayer’s ACRS allowance for 2017?</w:t>
      </w:r>
    </w:p>
    <w:p w:rsidR="0049128E" w:rsidRPr="00576ED7" w:rsidRDefault="0049128E" w:rsidP="00A6585D">
      <w:pPr>
        <w:widowControl w:val="0"/>
        <w:ind w:left="720"/>
        <w:jc w:val="both"/>
        <w:rPr>
          <w:szCs w:val="24"/>
        </w:rPr>
      </w:pPr>
      <w:r w:rsidRPr="00576ED7">
        <w:rPr>
          <w:szCs w:val="24"/>
        </w:rPr>
        <w:t>•What is Taxpayer’s ACRS allowance for 2018?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179</w:t>
      </w:r>
      <w:r w:rsidRPr="00576ED7">
        <w:rPr>
          <w:szCs w:val="24"/>
        </w:rPr>
        <w:fldChar w:fldCharType="begin"/>
      </w:r>
      <w:r w:rsidRPr="00576ED7">
        <w:rPr>
          <w:i/>
          <w:szCs w:val="24"/>
        </w:rPr>
        <w:instrText xml:space="preserve"> TC \l2 "Section 179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179 permits a taxpayer to treat “the cost of any § 179 property as an e</w:t>
      </w:r>
      <w:r w:rsidRPr="00576ED7">
        <w:rPr>
          <w:szCs w:val="24"/>
        </w:rPr>
        <w:t>x</w:t>
      </w:r>
      <w:r w:rsidRPr="00576ED7">
        <w:rPr>
          <w:szCs w:val="24"/>
        </w:rPr>
        <w:t>pense which is not chargeable to capital account.”  §179(a).  The limit of this d</w:t>
      </w:r>
      <w:r w:rsidRPr="00576ED7">
        <w:rPr>
          <w:szCs w:val="24"/>
        </w:rPr>
        <w:t>e</w:t>
      </w:r>
      <w:r w:rsidRPr="00576ED7">
        <w:rPr>
          <w:szCs w:val="24"/>
        </w:rPr>
        <w:t>duction for 201</w:t>
      </w:r>
      <w:r w:rsidR="0086476E">
        <w:rPr>
          <w:szCs w:val="24"/>
        </w:rPr>
        <w:t xml:space="preserve">0, 2011, 2012, and 2013 </w:t>
      </w:r>
      <w:r w:rsidRPr="00576ED7">
        <w:rPr>
          <w:szCs w:val="24"/>
        </w:rPr>
        <w:t>is $500,000</w:t>
      </w:r>
      <w:r w:rsidR="00347645">
        <w:rPr>
          <w:szCs w:val="24"/>
        </w:rPr>
        <w:t>,</w:t>
      </w:r>
      <w:r w:rsidRPr="00576ED7">
        <w:rPr>
          <w:szCs w:val="24"/>
        </w:rPr>
        <w:t xml:space="preserve"> § 179(b)(1)(B).  I</w:t>
      </w:r>
      <w:r w:rsidR="0086476E">
        <w:rPr>
          <w:szCs w:val="24"/>
        </w:rPr>
        <w:t>t falls to</w:t>
      </w:r>
      <w:r w:rsidRPr="00576ED7">
        <w:rPr>
          <w:szCs w:val="24"/>
        </w:rPr>
        <w:t xml:space="preserve"> $25,000 after that, § 179(b)(1)(</w:t>
      </w:r>
      <w:r w:rsidR="0086476E">
        <w:rPr>
          <w:szCs w:val="24"/>
        </w:rPr>
        <w:t>C</w:t>
      </w:r>
      <w:r w:rsidRPr="00576ED7">
        <w:rPr>
          <w:szCs w:val="24"/>
        </w:rPr>
        <w:t>).  The limit is reduced dollar for dollar by the amount by which the cost of § 179 property that taxpayer places into service e</w:t>
      </w:r>
      <w:r w:rsidRPr="00576ED7">
        <w:rPr>
          <w:szCs w:val="24"/>
        </w:rPr>
        <w:t>x</w:t>
      </w:r>
      <w:r w:rsidRPr="00576ED7">
        <w:rPr>
          <w:szCs w:val="24"/>
        </w:rPr>
        <w:t>ceeds $2,000,000 in 201</w:t>
      </w:r>
      <w:r w:rsidR="0086476E">
        <w:rPr>
          <w:szCs w:val="24"/>
        </w:rPr>
        <w:t>0, 201</w:t>
      </w:r>
      <w:r w:rsidRPr="00576ED7">
        <w:rPr>
          <w:szCs w:val="24"/>
        </w:rPr>
        <w:t>1</w:t>
      </w:r>
      <w:r w:rsidR="0086476E">
        <w:rPr>
          <w:szCs w:val="24"/>
        </w:rPr>
        <w:t>, 2012, and 2013,</w:t>
      </w:r>
      <w:r w:rsidRPr="00576ED7">
        <w:rPr>
          <w:szCs w:val="24"/>
        </w:rPr>
        <w:t xml:space="preserve"> § 179(b)(2)(B), </w:t>
      </w:r>
      <w:r w:rsidR="0086476E">
        <w:rPr>
          <w:szCs w:val="24"/>
        </w:rPr>
        <w:t xml:space="preserve">and the amount by which such cost exceeds </w:t>
      </w:r>
      <w:r w:rsidRPr="00576ED7">
        <w:rPr>
          <w:szCs w:val="24"/>
        </w:rPr>
        <w:t>$</w:t>
      </w:r>
      <w:r w:rsidR="0086476E">
        <w:rPr>
          <w:szCs w:val="24"/>
        </w:rPr>
        <w:t>2</w:t>
      </w:r>
      <w:r w:rsidRPr="00576ED7">
        <w:rPr>
          <w:szCs w:val="24"/>
        </w:rPr>
        <w:t xml:space="preserve">00,000 </w:t>
      </w:r>
      <w:r w:rsidR="0086476E">
        <w:rPr>
          <w:szCs w:val="24"/>
        </w:rPr>
        <w:t xml:space="preserve">after that, </w:t>
      </w:r>
      <w:r w:rsidRPr="00576ED7">
        <w:rPr>
          <w:szCs w:val="24"/>
        </w:rPr>
        <w:t>§ 179(b)(2)(C)</w:t>
      </w:r>
      <w:r w:rsidR="0086476E">
        <w:rPr>
          <w:szCs w:val="24"/>
        </w:rPr>
        <w:t xml:space="preserve">.  </w:t>
      </w:r>
      <w:r w:rsidRPr="00576ED7">
        <w:rPr>
          <w:szCs w:val="24"/>
        </w:rPr>
        <w:t xml:space="preserve">Moreover, the § 179 deduction is limited to the amount of taxable income that taxpayer derived from the active conduct of a trade or business (computed without regard to any § 179 deduction) during the taxable year.  § 179(b)(3)(A).  Taxpayers whose § 179 deduction is subject to one of these limitations may carry it forward to succeeding years.  § 179(b)(3)(B).  </w:t>
      </w:r>
    </w:p>
    <w:p w:rsidR="0049128E" w:rsidRPr="00576ED7" w:rsidRDefault="0049128E" w:rsidP="00A6585D">
      <w:pPr>
        <w:widowControl w:val="0"/>
        <w:ind w:left="720"/>
        <w:jc w:val="both"/>
        <w:rPr>
          <w:szCs w:val="24"/>
        </w:rPr>
      </w:pPr>
      <w:r w:rsidRPr="00576ED7">
        <w:rPr>
          <w:szCs w:val="24"/>
        </w:rPr>
        <w:t>•Thus it seems that Congress intends § 179 to benefit small business ta</w:t>
      </w:r>
      <w:r w:rsidRPr="00576ED7">
        <w:rPr>
          <w:szCs w:val="24"/>
        </w:rPr>
        <w:t>x</w:t>
      </w:r>
      <w:r w:rsidRPr="00576ED7">
        <w:rPr>
          <w:szCs w:val="24"/>
        </w:rPr>
        <w:lastRenderedPageBreak/>
        <w:t>payers.</w:t>
      </w:r>
    </w:p>
    <w:p w:rsidR="0049128E" w:rsidRPr="00576ED7" w:rsidRDefault="0049128E" w:rsidP="00A6585D">
      <w:pPr>
        <w:widowControl w:val="0"/>
        <w:ind w:left="720"/>
        <w:jc w:val="both"/>
        <w:rPr>
          <w:szCs w:val="24"/>
        </w:rPr>
      </w:pPr>
      <w:r w:rsidRPr="00576ED7">
        <w:rPr>
          <w:szCs w:val="24"/>
        </w:rPr>
        <w:t>•In an effort to encourage small business investment during the recent r</w:t>
      </w:r>
      <w:r w:rsidRPr="00576ED7">
        <w:rPr>
          <w:szCs w:val="24"/>
        </w:rPr>
        <w:t>e</w:t>
      </w:r>
      <w:r w:rsidRPr="00576ED7">
        <w:rPr>
          <w:szCs w:val="24"/>
        </w:rPr>
        <w:t>cession, Congress dramatically increased the § 179 limit to the figures noted.   Hopefully, the recession will have passed by tax year 201</w:t>
      </w:r>
      <w:r w:rsidR="00347645">
        <w:rPr>
          <w:szCs w:val="24"/>
        </w:rPr>
        <w:t>4</w:t>
      </w:r>
      <w:r w:rsidRPr="00576ED7">
        <w:rPr>
          <w:szCs w:val="24"/>
        </w:rPr>
        <w:t xml:space="preserve"> when the limit falls back to $25,000.</w:t>
      </w:r>
    </w:p>
    <w:p w:rsidR="0049128E" w:rsidRPr="00576ED7" w:rsidRDefault="0049128E" w:rsidP="00A6585D">
      <w:pPr>
        <w:widowControl w:val="0"/>
        <w:ind w:left="720"/>
        <w:jc w:val="both"/>
        <w:rPr>
          <w:szCs w:val="24"/>
        </w:rPr>
      </w:pPr>
      <w:r w:rsidRPr="00576ED7">
        <w:rPr>
          <w:szCs w:val="24"/>
        </w:rPr>
        <w:t>•§ 179 property is tangible property to which § 168 applies or § 1245 property purchased “for use in the active conduct of a trade or business.”  § 179(d)(1).  Prior to 201</w:t>
      </w:r>
      <w:r w:rsidR="00347645">
        <w:rPr>
          <w:szCs w:val="24"/>
        </w:rPr>
        <w:t>4</w:t>
      </w:r>
      <w:r w:rsidRPr="00576ED7">
        <w:rPr>
          <w:szCs w:val="24"/>
        </w:rPr>
        <w:t>, § 179 property also includes computer sof</w:t>
      </w:r>
      <w:r w:rsidRPr="00576ED7">
        <w:rPr>
          <w:szCs w:val="24"/>
        </w:rPr>
        <w:t>t</w:t>
      </w:r>
      <w:r w:rsidRPr="00576ED7">
        <w:rPr>
          <w:szCs w:val="24"/>
        </w:rPr>
        <w:t>ware.  § 179(d)(1)(A)(ii).</w:t>
      </w:r>
    </w:p>
    <w:p w:rsidR="0049128E" w:rsidRPr="00576ED7" w:rsidRDefault="0049128E" w:rsidP="00A6585D">
      <w:pPr>
        <w:widowControl w:val="0"/>
        <w:ind w:left="720"/>
        <w:jc w:val="both"/>
        <w:rPr>
          <w:szCs w:val="24"/>
        </w:rPr>
      </w:pPr>
      <w:r w:rsidRPr="00576ED7">
        <w:rPr>
          <w:szCs w:val="24"/>
        </w:rPr>
        <w:t>•After taking a § 179 deduction, taxpayer may apply the rules of § 168 to his/her/its remaining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Other Code Provisions Providing for Cost Recovery or Amortization</w:t>
      </w:r>
      <w:r w:rsidRPr="00576ED7">
        <w:rPr>
          <w:szCs w:val="24"/>
        </w:rPr>
        <w:fldChar w:fldCharType="begin"/>
      </w:r>
      <w:r w:rsidRPr="00576ED7">
        <w:rPr>
          <w:i/>
          <w:szCs w:val="24"/>
        </w:rPr>
        <w:instrText xml:space="preserve"> TC \l2 "Other Code Provisions Providing for Cost Recovery or Amortization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Other provisions of the Code state rules applicable to specific investments – ge</w:t>
      </w:r>
      <w:r w:rsidRPr="00576ED7">
        <w:rPr>
          <w:szCs w:val="24"/>
        </w:rPr>
        <w:t>n</w:t>
      </w:r>
      <w:r w:rsidRPr="00576ED7">
        <w:rPr>
          <w:szCs w:val="24"/>
        </w:rPr>
        <w:t>erally with the intent of encouraging them.  For example, § 174 permits the e</w:t>
      </w:r>
      <w:r w:rsidRPr="00576ED7">
        <w:rPr>
          <w:szCs w:val="24"/>
        </w:rPr>
        <w:t>x</w:t>
      </w:r>
      <w:r w:rsidRPr="00576ED7">
        <w:rPr>
          <w:szCs w:val="24"/>
        </w:rPr>
        <w:t>pensing of research or experimental expenditures.  § 174(a)(1).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197 permits the amortization of § 197 intangibles.  § 197(a).  A § 197 i</w:t>
      </w:r>
      <w:r w:rsidRPr="00576ED7">
        <w:rPr>
          <w:szCs w:val="24"/>
        </w:rPr>
        <w:t>n</w:t>
      </w:r>
      <w:r w:rsidRPr="00576ED7">
        <w:rPr>
          <w:szCs w:val="24"/>
        </w:rPr>
        <w:t xml:space="preserve">cludes such intangibles as goodwill, going concern value, intellectual property, a license or permit granted by a government, etc.  § 197(d)(1).  Section 197 permits ratable amortization over 15 years of the </w:t>
      </w:r>
      <w:r w:rsidRPr="00576ED7">
        <w:rPr>
          <w:i/>
          <w:szCs w:val="24"/>
        </w:rPr>
        <w:t>purchase</w:t>
      </w:r>
      <w:r w:rsidRPr="00576ED7">
        <w:rPr>
          <w:szCs w:val="24"/>
        </w:rPr>
        <w:t xml:space="preserve"> (as opposed to self-creation) of such intangibles.   § 197(a), § 197(c)(2).</w:t>
      </w:r>
    </w:p>
    <w:p w:rsidR="0049128E" w:rsidRPr="00576ED7" w:rsidRDefault="0049128E" w:rsidP="00A6585D">
      <w:pPr>
        <w:widowControl w:val="0"/>
        <w:ind w:left="720"/>
        <w:jc w:val="both"/>
        <w:rPr>
          <w:szCs w:val="24"/>
        </w:rPr>
      </w:pPr>
      <w:r w:rsidRPr="00576ED7">
        <w:rPr>
          <w:szCs w:val="24"/>
        </w:rPr>
        <w:t>•Congress intended that § 197 put an end to expensive contests between the IRS and taxpayers over whether such items could be amortized at all, and if so, the applicable useful life.  Now a “one-size-fits-all” approach applies to all such intangibles.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B0CD0E2" wp14:editId="75B64192">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w:t>
      </w:r>
      <w:r w:rsidRPr="00576ED7">
        <w:rPr>
          <w:i/>
          <w:szCs w:val="24"/>
        </w:rPr>
        <w:t>e</w:t>
      </w:r>
      <w:r w:rsidRPr="00576ED7">
        <w:rPr>
          <w:i/>
          <w:szCs w:val="24"/>
        </w:rPr>
        <w:t>ciation, ACRS, and MACRS Concepts</w:t>
      </w:r>
      <w:r w:rsidRPr="00576ED7">
        <w:rPr>
          <w:szCs w:val="24"/>
        </w:rPr>
        <w:t>.</w:t>
      </w:r>
      <w:r w:rsidR="007D7D74">
        <w:rPr>
          <w:szCs w:val="24"/>
        </w:rPr>
        <w:t xml:space="preserve">  Do not worry about your answers to que</w:t>
      </w:r>
      <w:r w:rsidR="007D7D74">
        <w:rPr>
          <w:szCs w:val="24"/>
        </w:rPr>
        <w:t>s</w:t>
      </w:r>
      <w:r w:rsidR="007D7D74">
        <w:rPr>
          <w:szCs w:val="24"/>
        </w:rPr>
        <w:t>tions 10 and 11.  It is more important that you know how to compute § 179 limits.</w:t>
      </w:r>
    </w:p>
    <w:p w:rsidR="007D7D74" w:rsidRPr="00576ED7" w:rsidRDefault="007D7D74"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Section 280F: Mixing Business and Pleasure</w:t>
      </w:r>
      <w:r w:rsidRPr="00576ED7">
        <w:rPr>
          <w:szCs w:val="24"/>
        </w:rPr>
        <w:fldChar w:fldCharType="begin"/>
      </w:r>
      <w:r w:rsidRPr="00576ED7">
        <w:rPr>
          <w:i/>
          <w:szCs w:val="24"/>
        </w:rPr>
        <w:instrText xml:space="preserve"> TC \l2 "Section 280F: Mixing Business and Pleasure</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taxpayer’s personal life as well.  An automobile may fit this description.  So also may a personal computer.  These points may lead some ta</w:t>
      </w:r>
      <w:r w:rsidRPr="00576ED7">
        <w:rPr>
          <w:szCs w:val="24"/>
        </w:rPr>
        <w:t>x</w:t>
      </w:r>
      <w:r w:rsidRPr="00576ED7">
        <w:rPr>
          <w:szCs w:val="24"/>
        </w:rPr>
        <w:t>payers to purchase items that they might not otherwise purchase, or to purchase items that are more expensive than they might otherwise purchase.  Congress has addressed these points in § 280F.  It provides limitations on deductions associated with purchase and use of so-called “listed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w:t>
      </w:r>
      <w:r w:rsidR="007D7D74">
        <w:rPr>
          <w:szCs w:val="24"/>
        </w:rPr>
        <w:t>t</w:t>
      </w:r>
      <w:r w:rsidRPr="00576ED7">
        <w:rPr>
          <w:szCs w:val="24"/>
        </w:rPr>
        <w:t xml:space="preserve">ainment, recreation, or amusement, </w:t>
      </w:r>
      <w:r w:rsidR="007D7D74">
        <w:rPr>
          <w:szCs w:val="24"/>
        </w:rPr>
        <w:t xml:space="preserve">any computer or peripheral equipment, </w:t>
      </w:r>
      <w:r w:rsidRPr="00576ED7">
        <w:rPr>
          <w:szCs w:val="24"/>
        </w:rPr>
        <w:t>and any other property that the Secretary specifies.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280F(d)(3)(A) denies “employee” deductions for use of listed property unless “such use is for the convenience of the employer and required as a cond</w:t>
      </w:r>
      <w:r w:rsidRPr="00576ED7">
        <w:rPr>
          <w:szCs w:val="24"/>
        </w:rPr>
        <w:t>i</w:t>
      </w:r>
      <w:r w:rsidRPr="00576ED7">
        <w:rPr>
          <w:szCs w:val="24"/>
        </w:rPr>
        <w:t>tion of employment.”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 provides the following types of limitations on cost recovery and § 179 expensing deductions: an absolute dollar limit on such deductions for listed property, a percentage limitation on such deductions for listed property, and a combination of a percentage limitation on an absolute dollar limit on such dedu</w:t>
      </w:r>
      <w:r w:rsidRPr="00576ED7">
        <w:rPr>
          <w:szCs w:val="24"/>
        </w:rPr>
        <w:t>c</w:t>
      </w:r>
      <w:r w:rsidRPr="00576ED7">
        <w:rPr>
          <w:szCs w:val="24"/>
        </w:rPr>
        <w:t>tions.</w:t>
      </w:r>
    </w:p>
    <w:p w:rsidR="0049128E" w:rsidRPr="00576ED7" w:rsidRDefault="0049128E" w:rsidP="00A6585D">
      <w:pPr>
        <w:widowControl w:val="0"/>
        <w:ind w:left="720"/>
        <w:jc w:val="both"/>
        <w:rPr>
          <w:szCs w:val="24"/>
        </w:rPr>
      </w:pPr>
      <w:r w:rsidRPr="00576ED7">
        <w:rPr>
          <w:szCs w:val="24"/>
        </w:rPr>
        <w:t>•Absolute dollar limit on cost recovery and § 179 expensing deductions for listed property:  Sections 280F(a)(1)(A and B) place an absolute limit on the amount of depreciation allowable for any passenger automobile.  The amounts are indexed for inflation.  § 280F(d)(7).  Nevertheless, the a</w:t>
      </w:r>
      <w:r w:rsidRPr="00576ED7">
        <w:rPr>
          <w:szCs w:val="24"/>
        </w:rPr>
        <w:t>l</w:t>
      </w:r>
      <w:r w:rsidRPr="00576ED7">
        <w:rPr>
          <w:szCs w:val="24"/>
        </w:rPr>
        <w:t>lowable amounts would place a severe limitation on a taxpayer’s choice of automobile.</w:t>
      </w:r>
    </w:p>
    <w:p w:rsidR="0049128E" w:rsidRPr="00576ED7" w:rsidRDefault="0049128E" w:rsidP="00A6585D">
      <w:pPr>
        <w:widowControl w:val="0"/>
        <w:ind w:left="1440"/>
        <w:jc w:val="both"/>
        <w:rPr>
          <w:szCs w:val="24"/>
        </w:rPr>
      </w:pPr>
      <w:r w:rsidRPr="00576ED7">
        <w:rPr>
          <w:szCs w:val="24"/>
        </w:rPr>
        <w:t>•Read §§ 280F(a)(1)(A and B).  Consider this to be 1988.  Taxpa</w:t>
      </w:r>
      <w:r w:rsidRPr="00576ED7">
        <w:rPr>
          <w:szCs w:val="24"/>
        </w:rPr>
        <w:t>y</w:t>
      </w:r>
      <w:r w:rsidRPr="00576ED7">
        <w:rPr>
          <w:szCs w:val="24"/>
        </w:rPr>
        <w:t>er was a real estate agent and purchased a Mercedes-Benz for $100,000 in order to squire clients around from property-to-property.  An automobile is 5-year property.  § 168(e)(3)(B)(i).  Assume that taxpayer uses the automobile only for trade or bus</w:t>
      </w:r>
      <w:r w:rsidRPr="00576ED7">
        <w:rPr>
          <w:szCs w:val="24"/>
        </w:rPr>
        <w:t>i</w:t>
      </w:r>
      <w:r w:rsidRPr="00576ED7">
        <w:rPr>
          <w:szCs w:val="24"/>
        </w:rPr>
        <w:t>ness purposes.  Assume also that Taxpayer will not be using any § 179 expensing deduction.  What would have been taxpayer’s cost recovery deduction in 1988? – in 1989? – in 1990? When would taxpayer have recovered all of the cost of the automobile?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•Percentage limitation on cost recovery and § 179 expensing deductions for listed property: If a taxpayer uses property partly for business and par</w:t>
      </w:r>
      <w:r w:rsidRPr="00576ED7">
        <w:rPr>
          <w:szCs w:val="24"/>
        </w:rPr>
        <w:t>t</w:t>
      </w:r>
      <w:r w:rsidRPr="00576ED7">
        <w:rPr>
          <w:szCs w:val="24"/>
        </w:rPr>
        <w:t xml:space="preserve">ly for personal purposes, he/she/it must determine the percentage of total use that is trade or business use.  </w:t>
      </w:r>
      <w:r w:rsidRPr="00576ED7">
        <w:rPr>
          <w:i/>
          <w:szCs w:val="24"/>
        </w:rPr>
        <w:t>See</w:t>
      </w:r>
      <w:r w:rsidRPr="00576ED7">
        <w:rPr>
          <w:szCs w:val="24"/>
        </w:rPr>
        <w:t xml:space="preserve"> §§ 280F(d)(6)(A and B).  Only the trade or business use portion of the allowable accelerated cost recovery or § 179 expensing amount is deductible </w:t>
      </w:r>
      <w:r w:rsidRPr="00576ED7">
        <w:rPr>
          <w:i/>
          <w:szCs w:val="24"/>
        </w:rPr>
        <w:t>if</w:t>
      </w:r>
      <w:r w:rsidRPr="00576ED7">
        <w:rPr>
          <w:szCs w:val="24"/>
        </w:rPr>
        <w:t xml:space="preserve"> the percentage of total use is more than 50% for trade or business.  </w:t>
      </w:r>
      <w:r w:rsidRPr="00576ED7">
        <w:rPr>
          <w:i/>
          <w:szCs w:val="24"/>
        </w:rPr>
        <w:t>See</w:t>
      </w:r>
      <w:r w:rsidRPr="00576ED7">
        <w:rPr>
          <w:szCs w:val="24"/>
        </w:rPr>
        <w:t xml:space="preserve"> § 280F(b)(3).  If the percentage of t</w:t>
      </w:r>
      <w:r w:rsidRPr="00576ED7">
        <w:rPr>
          <w:szCs w:val="24"/>
        </w:rPr>
        <w:t>o</w:t>
      </w:r>
      <w:r w:rsidRPr="00576ED7">
        <w:rPr>
          <w:szCs w:val="24"/>
        </w:rPr>
        <w:t>tal use is not more than 50% trade or business, then Section 280F(b)(1) provides that the alternative depreciation system of § 168(g) applies.  Se</w:t>
      </w:r>
      <w:r w:rsidRPr="00576ED7">
        <w:rPr>
          <w:szCs w:val="24"/>
        </w:rPr>
        <w:t>c</w:t>
      </w:r>
      <w:r w:rsidRPr="00576ED7">
        <w:rPr>
          <w:szCs w:val="24"/>
        </w:rPr>
        <w:t>tions 168(g) of course prescribes less favorable straight-line cost recovery over a longer time period.  If taxpayer who has used an item predominan</w:t>
      </w:r>
      <w:r w:rsidRPr="00576ED7">
        <w:rPr>
          <w:szCs w:val="24"/>
        </w:rPr>
        <w:t>t</w:t>
      </w:r>
      <w:r w:rsidRPr="00576ED7">
        <w:rPr>
          <w:szCs w:val="24"/>
        </w:rPr>
        <w:t>ly for trade or business and elected to use an accelerated method of cost recovery subsequently makes a use that is not predominantly for trade or business, then taxpayer must recapture the cost recovery in excess of what would have been allowed under § 168(g).  § 280F(b)(2).</w:t>
      </w:r>
    </w:p>
    <w:p w:rsidR="0049128E" w:rsidRPr="00576ED7" w:rsidRDefault="0049128E" w:rsidP="00A6585D">
      <w:pPr>
        <w:widowControl w:val="0"/>
        <w:ind w:left="1440"/>
        <w:jc w:val="both"/>
        <w:rPr>
          <w:szCs w:val="24"/>
        </w:rPr>
      </w:pPr>
      <w:r w:rsidRPr="00576ED7">
        <w:rPr>
          <w:szCs w:val="24"/>
        </w:rPr>
        <w:t>•Consider: Taxpayer purchased a Hummer – which is not a pa</w:t>
      </w:r>
      <w:r w:rsidRPr="00576ED7">
        <w:rPr>
          <w:szCs w:val="24"/>
        </w:rPr>
        <w:t>s</w:t>
      </w:r>
      <w:r w:rsidRPr="00576ED7">
        <w:rPr>
          <w:szCs w:val="24"/>
        </w:rPr>
        <w:t xml:space="preserve">senger automobile.  </w:t>
      </w:r>
      <w:r w:rsidRPr="00576ED7">
        <w:rPr>
          <w:i/>
          <w:szCs w:val="24"/>
        </w:rPr>
        <w:t>See</w:t>
      </w:r>
      <w:r w:rsidRPr="00576ED7">
        <w:rPr>
          <w:szCs w:val="24"/>
        </w:rPr>
        <w:t xml:space="preserve"> § 280F(d)(5)(A).  However, it is property used for transportation.  Assume that a Hummer is 7-year property under § 168(e)(3)(B) with a class life of 10 years.  Taxpayer paid $100,000 for the Hummer.  Taxpayer used the Hummer 75% for trade or business in both 2011 and 2012.  In 2013, Taxpayer used the Hummer 25% for trade or business.  In 2014, and all subs</w:t>
      </w:r>
      <w:r w:rsidRPr="00576ED7">
        <w:rPr>
          <w:szCs w:val="24"/>
        </w:rPr>
        <w:t>e</w:t>
      </w:r>
      <w:r w:rsidRPr="00576ED7">
        <w:rPr>
          <w:szCs w:val="24"/>
        </w:rPr>
        <w:t>quent years, Taxpayer used the Hummer 75% for trade or business.  What is Taxpayer’s cost recovery allowance for 2011? – 2012? 2013? 2014? – 2015? – 2016? – 2017? – 2018? – 2019? – 2020? – 2021?</w:t>
      </w:r>
    </w:p>
    <w:p w:rsidR="0049128E" w:rsidRPr="00576ED7" w:rsidRDefault="0049128E" w:rsidP="00A6585D">
      <w:pPr>
        <w:widowControl w:val="0"/>
        <w:ind w:left="2160"/>
        <w:jc w:val="both"/>
        <w:rPr>
          <w:szCs w:val="24"/>
        </w:rPr>
      </w:pPr>
      <w:r w:rsidRPr="00576ED7">
        <w:rPr>
          <w:szCs w:val="24"/>
        </w:rPr>
        <w:t>•Perhaps we have discovered another reason to elect cost recovery under the alternative depreciation system of § 168(g).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Computation of cost recovery allowances in any year is based on an a</w:t>
      </w:r>
      <w:r w:rsidRPr="00576ED7">
        <w:rPr>
          <w:szCs w:val="24"/>
        </w:rPr>
        <w:t>s</w:t>
      </w:r>
      <w:r w:rsidRPr="00576ED7">
        <w:rPr>
          <w:szCs w:val="24"/>
        </w:rPr>
        <w:t>sumption that all of a taxpayer’s use of listed property was for trade or business purposes.  § 280F(d)(2).  Thus, a pro rata reduction of allowable cost recovery for less than predominantly business use does not merely e</w:t>
      </w:r>
      <w:r w:rsidRPr="00576ED7">
        <w:rPr>
          <w:szCs w:val="24"/>
        </w:rPr>
        <w:t>x</w:t>
      </w:r>
      <w:r w:rsidRPr="00576ED7">
        <w:rPr>
          <w:szCs w:val="24"/>
        </w:rPr>
        <w:t>tend the cost recovery period.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•Combination of a percentage limitation on an absolute dollar limit on cost recovery deductions: In the case of passenger automobiles, the absolute </w:t>
      </w:r>
      <w:r w:rsidRPr="00576ED7">
        <w:rPr>
          <w:szCs w:val="24"/>
        </w:rPr>
        <w:lastRenderedPageBreak/>
        <w:t>dollar limit on cost recovery deductions is applied first.  Then subsequent limitations based on less-than-predominantly trade or business use are a</w:t>
      </w:r>
      <w:r w:rsidRPr="00576ED7">
        <w:rPr>
          <w:szCs w:val="24"/>
        </w:rPr>
        <w:t>p</w:t>
      </w:r>
      <w:r w:rsidRPr="00576ED7">
        <w:rPr>
          <w:szCs w:val="24"/>
        </w:rPr>
        <w:t>plied.  § 280F(a)(2).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1" w:name="_Toc375132948"/>
      <w:r w:rsidRPr="00576ED7">
        <w:t>Wrap-Up Questions for Chapter 6</w:t>
      </w:r>
      <w:bookmarkEnd w:id="61"/>
      <w:r w:rsidRPr="00576ED7">
        <w:fldChar w:fldCharType="begin"/>
      </w:r>
      <w:r w:rsidRPr="00576ED7">
        <w:instrText xml:space="preserve"> TC \l1 "Wrap-Up Questions for Chapter 6</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the relationship between depreciation and basis? Why does the rel</w:t>
      </w:r>
      <w:r w:rsidRPr="00576ED7">
        <w:rPr>
          <w:szCs w:val="24"/>
        </w:rPr>
        <w:t>a</w:t>
      </w:r>
      <w:r w:rsidRPr="00576ED7">
        <w:rPr>
          <w:szCs w:val="24"/>
        </w:rPr>
        <w:t>tionship have to be what it is? Feel free to state your answer in Haig-Simons terms.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This chapter has offered three different tax treatments of expenses.  What are they? What are the rationales for adopting any one of them in a given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We tax net income? What economic distortions would occur if we taxed gross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economic distortions occur if we accelerate depreciation allowances? – if we give deductions to certain activities when they are profitable, for example § 199?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Do depletion allowances encourage (too much) exploitation of natural r</w:t>
      </w:r>
      <w:r w:rsidRPr="00576ED7">
        <w:rPr>
          <w:szCs w:val="24"/>
        </w:rPr>
        <w:t>e</w:t>
      </w:r>
      <w:r w:rsidRPr="00576ED7">
        <w:rPr>
          <w:szCs w:val="24"/>
        </w:rPr>
        <w:t>sources?</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62" w:name="_Toc375132949"/>
      <w:r w:rsidRPr="00576ED7">
        <w:t>Chapter 7: Personal Deductions</w:t>
      </w:r>
      <w:bookmarkEnd w:id="62"/>
      <w:r w:rsidRPr="00576ED7">
        <w:fldChar w:fldCharType="begin"/>
      </w:r>
      <w:r w:rsidRPr="00576ED7">
        <w:instrText xml:space="preserve"> TC \l1 "Chapter 7: Personal Deductions</w:instrText>
      </w:r>
      <w:r w:rsidRPr="00576ED7">
        <w:fldChar w:fldCharType="end"/>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4864" behindDoc="0" locked="0" layoutInCell="0" allowOverlap="1" wp14:anchorId="448CDDFC" wp14:editId="6B2CD3BA">
                <wp:simplePos x="0" y="0"/>
                <wp:positionH relativeFrom="margin">
                  <wp:posOffset>95250</wp:posOffset>
                </wp:positionH>
                <wp:positionV relativeFrom="paragraph">
                  <wp:posOffset>140335</wp:posOffset>
                </wp:positionV>
                <wp:extent cx="2517775" cy="2441575"/>
                <wp:effectExtent l="0" t="0" r="0" b="0"/>
                <wp:wrapSquare wrapText="largest"/>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1575"/>
                        </a:xfrm>
                        <a:prstGeom prst="rect">
                          <a:avLst/>
                        </a:prstGeom>
                        <a:solidFill>
                          <a:srgbClr val="FFFFFF"/>
                        </a:solidFill>
                        <a:ln w="12192">
                          <a:solidFill>
                            <a:srgbClr val="000000"/>
                          </a:solidFill>
                          <a:miter lim="800000"/>
                          <a:headEnd/>
                          <a:tailEnd/>
                        </a:ln>
                      </wps:spPr>
                      <wps:txbx>
                        <w:txbxContent>
                          <w:p w:rsidR="00FF5E72" w:rsidRDefault="00FF5E72" w:rsidP="00A8006A">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(gross income)</w:t>
                            </w:r>
                          </w:p>
                          <w:p w:rsidR="00FF5E72" w:rsidRDefault="00FF5E72"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A8006A">
                            <w:pPr>
                              <w:widowControl w:val="0"/>
                              <w:jc w:val="both"/>
                              <w:rPr>
                                <w:rFonts w:ascii="Tw Cen MT" w:hAnsi="Tw Cen MT"/>
                              </w:rPr>
                            </w:pPr>
                            <w:r>
                              <w:rPr>
                                <w:rFonts w:ascii="Tw Cen MT" w:hAnsi="Tw Cen MT"/>
                              </w:rPr>
                              <w:t>EQUALS (adjusted gross income (AGI))</w:t>
                            </w:r>
                          </w:p>
                          <w:p w:rsidR="00FF5E72" w:rsidRDefault="00FF5E72" w:rsidP="00A8006A">
                            <w:pPr>
                              <w:widowControl w:val="0"/>
                              <w:jc w:val="both"/>
                              <w:rPr>
                                <w:rFonts w:ascii="Tw Cen MT" w:hAnsi="Tw Cen MT"/>
                              </w:rPr>
                            </w:pPr>
                            <w:r>
                              <w:rPr>
                                <w:rFonts w:ascii="Tw Cen MT" w:hAnsi="Tw Cen MT"/>
                              </w:rPr>
                              <w:t>MINUS (standard deduction or</w:t>
                            </w:r>
                          </w:p>
                          <w:p w:rsidR="00FF5E72" w:rsidRDefault="00FF5E72" w:rsidP="00A8006A">
                            <w:pPr>
                              <w:widowControl w:val="0"/>
                              <w:jc w:val="both"/>
                              <w:rPr>
                                <w:rFonts w:ascii="Tw Cen MT" w:hAnsi="Tw Cen MT"/>
                              </w:rPr>
                            </w:pPr>
                            <w:r>
                              <w:rPr>
                                <w:rFonts w:ascii="Tw Cen MT" w:hAnsi="Tw Cen MT"/>
                              </w:rPr>
                              <w:t xml:space="preserve"> ➔itemized deductions)</w:t>
                            </w:r>
                          </w:p>
                          <w:p w:rsidR="00FF5E72" w:rsidRDefault="00FF5E72" w:rsidP="00A8006A">
                            <w:pPr>
                              <w:widowControl w:val="0"/>
                              <w:jc w:val="both"/>
                              <w:rPr>
                                <w:rFonts w:ascii="Tw Cen MT" w:hAnsi="Tw Cen MT"/>
                              </w:rPr>
                            </w:pPr>
                            <w:r>
                              <w:rPr>
                                <w:rFonts w:ascii="Tw Cen MT" w:hAnsi="Tw Cen MT"/>
                              </w:rPr>
                              <w:t>MINUS (personal exemptions)</w:t>
                            </w:r>
                          </w:p>
                          <w:p w:rsidR="00FF5E72" w:rsidRDefault="00FF5E72" w:rsidP="00A8006A">
                            <w:pPr>
                              <w:widowControl w:val="0"/>
                              <w:jc w:val="both"/>
                              <w:rPr>
                                <w:rFonts w:ascii="Tw Cen MT" w:hAnsi="Tw Cen MT"/>
                              </w:rPr>
                            </w:pPr>
                            <w:r>
                              <w:rPr>
                                <w:rFonts w:ascii="Tw Cen MT" w:hAnsi="Tw Cen MT"/>
                              </w:rPr>
                              <w:t>EQUALS (taxable income)</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A8006A">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0" type="#_x0000_t202" style="position:absolute;left:0;text-align:left;margin-left:7.5pt;margin-top:11.05pt;width:198.25pt;height:192.2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hYKgIAAFwEAAAOAAAAZHJzL2Uyb0RvYy54bWysVNuO2yAQfa/Uf0C8N46t3GrFWW2zTVVp&#10;e5F2+wEEYxsVGAokdvr1HXA2m95eqvoBMTCcmTlnxuubQStyFM5LMBXNJ1NKhOFQS9NW9Mvj7tWK&#10;Eh+YqZkCIyp6Ep7ebF6+WPe2FAV0oGrhCIIYX/a2ol0ItswyzzuhmZ+AFQYvG3CaBTRdm9WO9Yiu&#10;VVZMp4usB1dbB1x4j6d34yXdJPymETx8ahovAlEVxdxCWl1a93HNNmtWto7ZTvJzGuwfstBMGgx6&#10;gbpjgZGDk79BackdeGjChIPOoGkkF6kGrCaf/lLNQ8esSLUgOd5eaPL/D5Z/PH52RNYVnReUGKZR&#10;o0cxBPIGBrJYRX5660t0e7DoGAY8R51Trd7eA//qiYFtx0wrbp2DvhOsxvzy+DK7ejri+Aiy7z9A&#10;jXHYIUACGhqnI3lIB0F01Ol00SbmwvGwmOfL5XJOCce7YjbL52jEGKx8em6dD+8EaBI3FXUofoJn&#10;x3sfRtcnlxjNg5L1TiqVDNfut8qRI8NG2aXvjP6TmzKkx+KK/HUxUvBXjGn6/oShZcCWV1JXdHVx&#10;YmUk7q2pMU9WBibVuMfylDkzGckbaQzDfkiiLWYxQqR5D/UJuXUwtjiOJG46cN8p6bG9K+q/HZgT&#10;lKj3BvVZLnB6cB6uDXdt7K8NZjhCVTRQMm63YZyhg3Wy7TDS2BEGblHTRia2n7M6548tnPQ6j1uc&#10;kWs7eT3/FDY/AAAA//8DAFBLAwQUAAYACAAAACEAmJjsktwAAAAJAQAADwAAAGRycy9kb3ducmV2&#10;LnhtbEyPwU7DMBBE70j8g7VI3KiTiEYoxKmqSNybACpHN17iqPE6xG4T/p7lBLcdzWj2Tblb3Siu&#10;OIfBk4J0k4BA6rwZqFfw9vry8AQiRE1Gj55QwTcG2FW3N6UujF+owWsbe8ElFAqtwMY4FVKGzqLT&#10;YeMnJPY+/ex0ZDn30sx64XI3yixJcun0QPzB6glri925vTgFvmnq96z9OhzrxdT9cljj9GGVur9b&#10;988gIq7xLwy/+IwOFTOd/IVMECPrLU+JCrIsBcH+Y5puQZz4SPIcZFXK/wuqHwAAAP//AwBQSwEC&#10;LQAUAAYACAAAACEAtoM4kv4AAADhAQAAEwAAAAAAAAAAAAAAAAAAAAAAW0NvbnRlbnRfVHlwZXNd&#10;LnhtbFBLAQItABQABgAIAAAAIQA4/SH/1gAAAJQBAAALAAAAAAAAAAAAAAAAAC8BAABfcmVscy8u&#10;cmVsc1BLAQItABQABgAIAAAAIQCxwvhYKgIAAFwEAAAOAAAAAAAAAAAAAAAAAC4CAABkcnMvZTJv&#10;RG9jLnhtbFBLAQItABQABgAIAAAAIQCYmOyS3AAAAAkBAAAPAAAAAAAAAAAAAAAAAIQEAABkcnMv&#10;ZG93bnJldi54bWxQSwUGAAAAAAQABADzAAAAjQUAAAAA&#10;" o:allowincell="f" strokeweight=".96pt">
                <v:textbox inset="6pt,6pt,6pt,6pt">
                  <w:txbxContent>
                    <w:p w:rsidR="00FF5E72" w:rsidRDefault="00FF5E72" w:rsidP="00A8006A">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(gross income)</w:t>
                      </w:r>
                    </w:p>
                    <w:p w:rsidR="00FF5E72" w:rsidRDefault="00FF5E72" w:rsidP="00A8006A">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A8006A">
                      <w:pPr>
                        <w:widowControl w:val="0"/>
                        <w:jc w:val="both"/>
                        <w:rPr>
                          <w:rFonts w:ascii="Tw Cen MT" w:hAnsi="Tw Cen MT"/>
                        </w:rPr>
                      </w:pPr>
                      <w:r>
                        <w:rPr>
                          <w:rFonts w:ascii="Tw Cen MT" w:hAnsi="Tw Cen MT"/>
                        </w:rPr>
                        <w:t>EQUALS (adjusted gross income (AGI))</w:t>
                      </w:r>
                    </w:p>
                    <w:p w:rsidR="00FF5E72" w:rsidRDefault="00FF5E72" w:rsidP="00A8006A">
                      <w:pPr>
                        <w:widowControl w:val="0"/>
                        <w:jc w:val="both"/>
                        <w:rPr>
                          <w:rFonts w:ascii="Tw Cen MT" w:hAnsi="Tw Cen MT"/>
                        </w:rPr>
                      </w:pPr>
                      <w:r>
                        <w:rPr>
                          <w:rFonts w:ascii="Tw Cen MT" w:hAnsi="Tw Cen MT"/>
                        </w:rPr>
                        <w:t>MINUS (standard deduction or</w:t>
                      </w:r>
                    </w:p>
                    <w:p w:rsidR="00FF5E72" w:rsidRDefault="00FF5E72" w:rsidP="00A8006A">
                      <w:pPr>
                        <w:widowControl w:val="0"/>
                        <w:jc w:val="both"/>
                        <w:rPr>
                          <w:rFonts w:ascii="Tw Cen MT" w:hAnsi="Tw Cen MT"/>
                        </w:rPr>
                      </w:pPr>
                      <w:r>
                        <w:rPr>
                          <w:rFonts w:ascii="Tw Cen MT" w:hAnsi="Tw Cen MT"/>
                        </w:rPr>
                        <w:t xml:space="preserve"> ➔itemized deductions)</w:t>
                      </w:r>
                    </w:p>
                    <w:p w:rsidR="00FF5E72" w:rsidRDefault="00FF5E72" w:rsidP="00A8006A">
                      <w:pPr>
                        <w:widowControl w:val="0"/>
                        <w:jc w:val="both"/>
                        <w:rPr>
                          <w:rFonts w:ascii="Tw Cen MT" w:hAnsi="Tw Cen MT"/>
                        </w:rPr>
                      </w:pPr>
                      <w:r>
                        <w:rPr>
                          <w:rFonts w:ascii="Tw Cen MT" w:hAnsi="Tw Cen MT"/>
                        </w:rPr>
                        <w:t>MINUS (personal exemptions)</w:t>
                      </w:r>
                    </w:p>
                    <w:p w:rsidR="00FF5E72" w:rsidRDefault="00FF5E72" w:rsidP="00A8006A">
                      <w:pPr>
                        <w:widowControl w:val="0"/>
                        <w:jc w:val="both"/>
                        <w:rPr>
                          <w:rFonts w:ascii="Tw Cen MT" w:hAnsi="Tw Cen MT"/>
                        </w:rPr>
                      </w:pPr>
                      <w:r>
                        <w:rPr>
                          <w:rFonts w:ascii="Tw Cen MT" w:hAnsi="Tw Cen MT"/>
                        </w:rPr>
                        <w:t>EQUALS (taxable income)</w:t>
                      </w:r>
                    </w:p>
                    <w:p w:rsidR="00FF5E72" w:rsidRDefault="00FF5E72" w:rsidP="00A8006A">
                      <w:pPr>
                        <w:widowControl w:val="0"/>
                        <w:jc w:val="both"/>
                        <w:rPr>
                          <w:rFonts w:ascii="Tw Cen MT" w:hAnsi="Tw Cen MT"/>
                        </w:rPr>
                      </w:pPr>
                    </w:p>
                    <w:p w:rsidR="00FF5E72" w:rsidRDefault="00FF5E72" w:rsidP="00A8006A">
                      <w:pPr>
                        <w:widowControl w:val="0"/>
                        <w:jc w:val="both"/>
                        <w:rPr>
                          <w:rFonts w:ascii="Tw Cen MT" w:hAnsi="Tw Cen MT"/>
                        </w:rPr>
                      </w:pPr>
                      <w:r>
                        <w:rPr>
                          <w:rFonts w:ascii="Tw Cen MT" w:hAnsi="Tw Cen MT"/>
                        </w:rPr>
                        <w:t>Compute income tax liability from t</w:t>
                      </w:r>
                      <w:r>
                        <w:rPr>
                          <w:rFonts w:ascii="Tw Cen MT" w:hAnsi="Tw Cen MT"/>
                        </w:rPr>
                        <w:t>a</w:t>
                      </w:r>
                      <w:r>
                        <w:rPr>
                          <w:rFonts w:ascii="Tw Cen MT" w:hAnsi="Tw Cen MT"/>
                        </w:rPr>
                        <w:t>bles in § 1 (indexed for inflation)</w:t>
                      </w:r>
                    </w:p>
                    <w:p w:rsidR="00FF5E72" w:rsidRDefault="00FF5E72" w:rsidP="00A8006A">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consider the Code’s provisions for deductions and credits for certain personal e</w:t>
      </w:r>
      <w:r w:rsidR="0049128E" w:rsidRPr="00576ED7">
        <w:rPr>
          <w:szCs w:val="24"/>
        </w:rPr>
        <w:t>x</w:t>
      </w:r>
      <w:r w:rsidR="0049128E" w:rsidRPr="00576ED7">
        <w:rPr>
          <w:szCs w:val="24"/>
        </w:rPr>
        <w:t>penditures.  We select only a few</w:t>
      </w:r>
      <w:r w:rsidR="0049128E" w:rsidRPr="00576ED7">
        <w:rPr>
          <w:rStyle w:val="FootnoteReference"/>
          <w:szCs w:val="24"/>
        </w:rPr>
        <w:footnoteReference w:id="165"/>
      </w:r>
      <w:r w:rsidR="0049128E" w:rsidRPr="00576ED7">
        <w:rPr>
          <w:szCs w:val="24"/>
        </w:rPr>
        <w:t xml:space="preserve"> such provisions to exa</w:t>
      </w:r>
      <w:r w:rsidR="0049128E" w:rsidRPr="00576ED7">
        <w:rPr>
          <w:szCs w:val="24"/>
        </w:rPr>
        <w:t>m</w:t>
      </w:r>
      <w:r w:rsidR="0049128E" w:rsidRPr="00576ED7">
        <w:rPr>
          <w:szCs w:val="24"/>
        </w:rPr>
        <w:t>ine, namely § 165's allowance of a deduction for casualty losses, § 213's allo</w:t>
      </w:r>
      <w:r w:rsidR="0049128E" w:rsidRPr="00576ED7">
        <w:rPr>
          <w:szCs w:val="24"/>
        </w:rPr>
        <w:t>w</w:t>
      </w:r>
      <w:r w:rsidR="0049128E" w:rsidRPr="00576ED7">
        <w:rPr>
          <w:szCs w:val="24"/>
        </w:rPr>
        <w:t>ance of a deduction for medical and dental expenses, § 170's allowance of a d</w:t>
      </w:r>
      <w:r w:rsidR="0049128E" w:rsidRPr="00576ED7">
        <w:rPr>
          <w:szCs w:val="24"/>
        </w:rPr>
        <w:t>e</w:t>
      </w:r>
      <w:r w:rsidR="0049128E" w:rsidRPr="00576ED7">
        <w:rPr>
          <w:szCs w:val="24"/>
        </w:rPr>
        <w:t>duction for charitable contributions, §§ 164/275's allowance and disa</w:t>
      </w:r>
      <w:r w:rsidR="0049128E" w:rsidRPr="00576ED7">
        <w:rPr>
          <w:szCs w:val="24"/>
        </w:rPr>
        <w:t>l</w:t>
      </w:r>
      <w:r w:rsidR="0049128E" w:rsidRPr="00576ED7">
        <w:rPr>
          <w:szCs w:val="24"/>
        </w:rPr>
        <w:t>lowance for payment of certain ta</w:t>
      </w:r>
      <w:r w:rsidR="0049128E" w:rsidRPr="00576ED7">
        <w:rPr>
          <w:szCs w:val="24"/>
        </w:rPr>
        <w:t>x</w:t>
      </w:r>
      <w:r w:rsidR="0049128E" w:rsidRPr="00576ED7">
        <w:rPr>
          <w:szCs w:val="24"/>
        </w:rPr>
        <w:t>es, and §§ 82/132/217's, allowance of a deduction for mo</w:t>
      </w:r>
      <w:r w:rsidR="0049128E" w:rsidRPr="00576ED7">
        <w:rPr>
          <w:szCs w:val="24"/>
        </w:rPr>
        <w:t>v</w:t>
      </w:r>
      <w:r w:rsidR="0049128E" w:rsidRPr="00576ED7">
        <w:rPr>
          <w:szCs w:val="24"/>
        </w:rPr>
        <w:t>ing expenses or exclusion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why there should be an allowable deduction of, exclusion of, or credit for any personal expenses.  We might preliminarily observe that there are three basic purposes:</w:t>
      </w:r>
    </w:p>
    <w:p w:rsidR="0049128E" w:rsidRPr="007D7D74" w:rsidRDefault="007D7D74" w:rsidP="007D7D74">
      <w:pPr>
        <w:widowControl w:val="0"/>
        <w:ind w:left="360"/>
        <w:jc w:val="both"/>
        <w:rPr>
          <w:szCs w:val="24"/>
        </w:rPr>
      </w:pPr>
      <w:r>
        <w:rPr>
          <w:szCs w:val="24"/>
        </w:rPr>
        <w:t>1.</w:t>
      </w:r>
      <w:r w:rsidRPr="007D7D74">
        <w:rPr>
          <w:szCs w:val="24"/>
        </w:rPr>
        <w:t xml:space="preserve"> </w:t>
      </w:r>
      <w:r w:rsidR="0049128E" w:rsidRPr="007D7D74">
        <w:rPr>
          <w:szCs w:val="24"/>
        </w:rPr>
        <w:t>We want to encourage taxpayers to make a particular type of personal e</w:t>
      </w:r>
      <w:r w:rsidR="0049128E" w:rsidRPr="007D7D74">
        <w:rPr>
          <w:szCs w:val="24"/>
        </w:rPr>
        <w:t>x</w:t>
      </w:r>
      <w:r w:rsidR="0049128E" w:rsidRPr="007D7D74">
        <w:rPr>
          <w:szCs w:val="24"/>
        </w:rPr>
        <w:t>penditure.  We may choose to make a “tax expenditure.”  In this group, we should place deductions, credits, or exclusions for charitable contributions, for home mortgage interest, and for adoption expenses.</w:t>
      </w:r>
    </w:p>
    <w:p w:rsidR="002B0045" w:rsidRPr="00576ED7" w:rsidRDefault="002B0045" w:rsidP="007D7D74">
      <w:pPr>
        <w:widowControl w:val="0"/>
        <w:ind w:left="1080"/>
        <w:jc w:val="both"/>
        <w:rPr>
          <w:szCs w:val="24"/>
        </w:rPr>
      </w:pPr>
    </w:p>
    <w:p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We want to provide some relief to those taxpayers whose personal expend</w:t>
      </w:r>
      <w:r w:rsidR="0049128E" w:rsidRPr="007D7D74">
        <w:rPr>
          <w:szCs w:val="24"/>
        </w:rPr>
        <w:t>i</w:t>
      </w:r>
      <w:r w:rsidR="0049128E" w:rsidRPr="007D7D74">
        <w:rPr>
          <w:szCs w:val="24"/>
        </w:rPr>
        <w:t xml:space="preserve">tures result from the exercise of choice among unappealing alternatives.  When discretion among consumption choices is absent, a court is less likely to </w:t>
      </w:r>
      <w:r w:rsidR="0049128E" w:rsidRPr="007D7D74">
        <w:rPr>
          <w:szCs w:val="24"/>
        </w:rPr>
        <w:lastRenderedPageBreak/>
        <w:t xml:space="preserve">find that a taxpayer’s accession to wealth is in fact gross income.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49128E" w:rsidRPr="007D7D74">
        <w:rPr>
          <w:szCs w:val="24"/>
        </w:rPr>
        <w:t xml:space="preserve">.  Conversely, when taxpayers may spend an accession to wealth any way they choose – as when they receive cash – they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49128E" w:rsidRPr="007D7D74">
        <w:rPr>
          <w:szCs w:val="24"/>
        </w:rPr>
        <w:t>.  However, taxpayers must on occasion make some expenditures that we feel do not result from meaningful choices.  The Code names some occasions when the absence of such discretion entitles a taxpayer to deduct (or exclude) an expenditure from his/her gross income.  Examples include casualty losses and medical expenses.</w:t>
      </w:r>
    </w:p>
    <w:p w:rsidR="0049128E" w:rsidRPr="00576ED7" w:rsidRDefault="0049128E" w:rsidP="007D7D74">
      <w:pPr>
        <w:widowControl w:val="0"/>
        <w:jc w:val="both"/>
        <w:rPr>
          <w:szCs w:val="24"/>
        </w:rPr>
      </w:pPr>
    </w:p>
    <w:p w:rsidR="0049128E" w:rsidRPr="007D7D74"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 want to enlarge the tax base.  Some taxpayer expenditures are not ne</w:t>
      </w:r>
      <w:r w:rsidR="0049128E" w:rsidRPr="007D7D74">
        <w:rPr>
          <w:szCs w:val="24"/>
        </w:rPr>
        <w:t>c</w:t>
      </w:r>
      <w:r w:rsidR="0049128E" w:rsidRPr="007D7D74">
        <w:rPr>
          <w:szCs w:val="24"/>
        </w:rPr>
        <w:t>essarily trade or business expenses, but they in fact enhance a taxpayer’s abi</w:t>
      </w:r>
      <w:r w:rsidR="0049128E" w:rsidRPr="007D7D74">
        <w:rPr>
          <w:szCs w:val="24"/>
        </w:rPr>
        <w:t>l</w:t>
      </w:r>
      <w:r w:rsidR="0049128E" w:rsidRPr="007D7D74">
        <w:rPr>
          <w:szCs w:val="24"/>
        </w:rPr>
        <w:t>ity to generate taxable income.  If they do that, they would also increase tax revenues.  We should encourage taxpayers to make such expenditures.  In this group, we place the Code’s provisions for moving expenses and child care.</w:t>
      </w:r>
    </w:p>
    <w:p w:rsidR="0049128E" w:rsidRPr="00576ED7" w:rsidRDefault="0049128E" w:rsidP="007D7D74">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3" w:name="_Toc375132950"/>
      <w:r w:rsidRPr="00576ED7">
        <w:t>I.  “Tax Expenditures”</w:t>
      </w:r>
      <w:bookmarkEnd w:id="63"/>
      <w:r w:rsidRPr="00576ED7">
        <w:fldChar w:fldCharType="begin"/>
      </w:r>
      <w:r w:rsidRPr="00576ED7">
        <w:instrText xml:space="preserve"> TC \l1 "I.  “Tax Expenditures”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66"/>
      </w:r>
      <w:r w:rsidRPr="00576ED7">
        <w:rPr>
          <w:szCs w:val="24"/>
        </w:rPr>
        <w:t xml:space="preserve"> (at least not to discourage) taxpa</w:t>
      </w:r>
      <w:r w:rsidRPr="00576ED7">
        <w:rPr>
          <w:szCs w:val="24"/>
        </w:rPr>
        <w:t>y</w:t>
      </w:r>
      <w:r w:rsidRPr="00576ED7">
        <w:rPr>
          <w:szCs w:val="24"/>
        </w:rPr>
        <w:t>ers to make certain types of expenditures.  In § 170, Congress allows taxpayers a deduction for charitable contributions.  This, coupled with the exemption from income tax that many charities enjoy,</w:t>
      </w:r>
      <w:r w:rsidRPr="00576ED7">
        <w:rPr>
          <w:rStyle w:val="FootnoteReference"/>
          <w:szCs w:val="24"/>
        </w:rPr>
        <w:footnoteReference w:id="167"/>
      </w:r>
      <w:r w:rsidRPr="00576ED7">
        <w:rPr>
          <w:szCs w:val="24"/>
        </w:rPr>
        <w:t xml:space="preserve"> may provide sufficient incentive for some taxpayers to support the good work certain charities do.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 164, Congress has allowed a deduction for certain taxes that taxpayer has paid or accrued.  Section 275 specifically disallows a deduction for certain taxes that taxpayer may have paid or accrued.  This pattern may encourage some ta</w:t>
      </w:r>
      <w:r w:rsidRPr="00576ED7">
        <w:rPr>
          <w:szCs w:val="24"/>
        </w:rPr>
        <w:t>x</w:t>
      </w:r>
      <w:r w:rsidRPr="00576ED7">
        <w:rPr>
          <w:szCs w:val="24"/>
        </w:rPr>
        <w:t>payers to engage in activities subject to a deductible tax, most notably, owning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respect to both charitable contributions and payment of taxes, a taxpayer may try to characterize payments that provide a benefit for the taxpayer as either a charitable contribution or as payment of a tax.  For example, a taxpayer might </w:t>
      </w:r>
      <w:r w:rsidRPr="00576ED7">
        <w:rPr>
          <w:szCs w:val="24"/>
        </w:rPr>
        <w:lastRenderedPageBreak/>
        <w:t>contribute money to a university on the condition that the university grant a scholarship to taxpayer’s daughter.  Or a taxpayer may pay his or her share of a condominium-owners’ association’s assessment to remodel the association’s common areas.  In neither case should taxpayer be permitted to claim a deduction.  Instead the taxpayer has simply “purchased something.”  These are easy cases.  How do we determine whether taxpayer has merely bought something – or has made a charitable contribution or paid a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Taxpayers entered into an agreement to purchase certain property co</w:t>
      </w:r>
      <w:r w:rsidRPr="00576ED7">
        <w:rPr>
          <w:szCs w:val="24"/>
        </w:rPr>
        <w:t>n</w:t>
      </w:r>
      <w:r w:rsidRPr="00576ED7">
        <w:rPr>
          <w:szCs w:val="24"/>
        </w:rPr>
        <w:t>tingent on the City Council rezoning it to permit use for a trailer court and sho</w:t>
      </w:r>
      <w:r w:rsidRPr="00576ED7">
        <w:rPr>
          <w:szCs w:val="24"/>
        </w:rPr>
        <w:t>p</w:t>
      </w:r>
      <w:r w:rsidRPr="00576ED7">
        <w:rPr>
          <w:szCs w:val="24"/>
        </w:rPr>
        <w:t>ping center. To assure access to the portion intended for a mobile home develo</w:t>
      </w:r>
      <w:r w:rsidRPr="00576ED7">
        <w:rPr>
          <w:szCs w:val="24"/>
        </w:rPr>
        <w:t>p</w:t>
      </w:r>
      <w:r w:rsidRPr="00576ED7">
        <w:rPr>
          <w:szCs w:val="24"/>
        </w:rPr>
        <w:t>ment</w:t>
      </w:r>
      <w:r w:rsidR="00EB3553">
        <w:rPr>
          <w:szCs w:val="24"/>
        </w:rPr>
        <w:t>,</w:t>
      </w:r>
      <w:r w:rsidRPr="00576ED7">
        <w:rPr>
          <w:szCs w:val="24"/>
        </w:rPr>
        <w:t xml:space="preserve"> the rezoning proposal provided for dedication of a strip of the property for a public road. The road would also provide access or frontage for a public school, for a church, and for a home for the aged. Taxpayers completed their purchase and made the contemplated transfer to the city. The City Council formally adop</w:t>
      </w:r>
      <w:r w:rsidRPr="00576ED7">
        <w:rPr>
          <w:szCs w:val="24"/>
        </w:rPr>
        <w:t>t</w:t>
      </w:r>
      <w:r w:rsidRPr="00576ED7">
        <w:rPr>
          <w:szCs w:val="24"/>
        </w:rPr>
        <w:t>ed the rezoning ordinance.</w:t>
      </w:r>
    </w:p>
    <w:p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rsidR="0049128E" w:rsidRPr="00576ED7" w:rsidRDefault="0049128E" w:rsidP="00A6585D">
      <w:pPr>
        <w:widowControl w:val="0"/>
        <w:ind w:left="1440"/>
        <w:jc w:val="both"/>
        <w:rPr>
          <w:szCs w:val="24"/>
        </w:rPr>
      </w:pPr>
      <w:r w:rsidRPr="00576ED7">
        <w:rPr>
          <w:szCs w:val="24"/>
        </w:rPr>
        <w:t>•Should the fact that the City of Tucson benefitted from taxpayer’s having provided the land, irrespective of taxpayer’s motive in ma</w:t>
      </w:r>
      <w:r w:rsidRPr="00576ED7">
        <w:rPr>
          <w:szCs w:val="24"/>
        </w:rPr>
        <w:t>k</w:t>
      </w:r>
      <w:r w:rsidRPr="00576ED7">
        <w:rPr>
          <w:szCs w:val="24"/>
        </w:rPr>
        <w:t>ing the donation, be sufficient in itself to permit taxpayer a dedu</w:t>
      </w:r>
      <w:r w:rsidRPr="00576ED7">
        <w:rPr>
          <w:szCs w:val="24"/>
        </w:rPr>
        <w:t>c</w:t>
      </w:r>
      <w:r w:rsidRPr="00576ED7">
        <w:rPr>
          <w:szCs w:val="24"/>
        </w:rPr>
        <w:t>tion?</w:t>
      </w:r>
    </w:p>
    <w:p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HAMILTON,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Taxpayers Theodore R. Rolfs and his wife Julia Gallagher (collectively, the Rolfs) purchased a three-acre lakefront property in the Village of Chenequa, Wi</w:t>
      </w:r>
      <w:r w:rsidRPr="00576ED7">
        <w:rPr>
          <w:szCs w:val="24"/>
        </w:rPr>
        <w:t>s</w:t>
      </w:r>
      <w:r w:rsidRPr="00576ED7">
        <w:rPr>
          <w:szCs w:val="24"/>
        </w:rPr>
        <w:t>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w:t>
      </w:r>
      <w:r w:rsidRPr="00576ED7">
        <w:rPr>
          <w:szCs w:val="24"/>
        </w:rPr>
        <w:t>e</w:t>
      </w:r>
      <w:r w:rsidRPr="00576ED7">
        <w:rPr>
          <w:szCs w:val="24"/>
        </w:rPr>
        <w:t>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w:t>
      </w:r>
      <w:r w:rsidRPr="00576ED7">
        <w:rPr>
          <w:szCs w:val="24"/>
        </w:rPr>
        <w:t>e</w:t>
      </w:r>
      <w:r w:rsidRPr="00576ED7">
        <w:rPr>
          <w:szCs w:val="24"/>
        </w:rPr>
        <w:t>struction requirement would certainly be less than the value of the returned ben</w:t>
      </w:r>
      <w:r w:rsidRPr="00576ED7">
        <w:rPr>
          <w:szCs w:val="24"/>
        </w:rPr>
        <w:t>e</w:t>
      </w:r>
      <w:r w:rsidRPr="00576ED7">
        <w:rPr>
          <w:szCs w:val="24"/>
        </w:rPr>
        <w:t xml:space="preserve">fit. We find no error in the court’s factual or legal analysis. The IRS analogies </w:t>
      </w:r>
      <w:r w:rsidRPr="00576ED7">
        <w:rPr>
          <w:szCs w:val="24"/>
        </w:rPr>
        <w:lastRenderedPageBreak/>
        <w:t>provide reasonable methods for approximating the fair market value of the gift here. The before-and-after method does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 Legal Background Concerning Charitable Donations Under Section 170(a)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requirements for a charitable deduction are governed by statute. Taxpayers may deduct from their return the verifiable amount of charitable contributions made to qualified organizations. 26 U.S.C. § 170(a)(1). Everyone agrees that the Village of Chenequa and its volunteer fire department are valid recipients of cha</w:t>
      </w:r>
      <w:r w:rsidRPr="00576ED7">
        <w:rPr>
          <w:szCs w:val="24"/>
        </w:rPr>
        <w:t>r</w:t>
      </w:r>
      <w:r w:rsidRPr="00576ED7">
        <w:rPr>
          <w:szCs w:val="24"/>
        </w:rPr>
        <w:t xml:space="preserve">itable contributions as defined under section 170(c). To qualify for deduction, contributions must also be unrequited—that is, made with “no expectation of a financial return commensurate with the amount of the gift.” </w:t>
      </w:r>
      <w:r w:rsidRPr="00576ED7">
        <w:rPr>
          <w:i/>
          <w:szCs w:val="24"/>
        </w:rPr>
        <w:t>Hernandez v. Comm’r of Internal Revenue</w:t>
      </w:r>
      <w:r w:rsidRPr="00576ED7">
        <w:rPr>
          <w:szCs w:val="24"/>
        </w:rPr>
        <w:t>, 490 U.S. 680, 690 (1989). The IRS and the courts look to the objective features of the transaction, not the subjective motives of the donor, to determine whether a gift was intended or whether a commensurate r</w:t>
      </w:r>
      <w:r w:rsidRPr="00576ED7">
        <w:rPr>
          <w:szCs w:val="24"/>
        </w:rPr>
        <w:t>e</w:t>
      </w:r>
      <w:r w:rsidRPr="00576ED7">
        <w:rPr>
          <w:szCs w:val="24"/>
        </w:rPr>
        <w:t xml:space="preserve">turn could be expected as part of a quid pro quo exchange. </w:t>
      </w:r>
      <w:r w:rsidRPr="00576ED7">
        <w:rPr>
          <w:i/>
          <w:szCs w:val="24"/>
        </w:rPr>
        <w:t>Id</w:t>
      </w:r>
      <w:r w:rsidRPr="00576ED7">
        <w:rPr>
          <w:szCs w:val="24"/>
        </w:rPr>
        <w:t>. at 690–91.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Treasury regulations implement the details of section 170, instructing taxpa</w:t>
      </w:r>
      <w:r w:rsidRPr="00576ED7">
        <w:rPr>
          <w:szCs w:val="24"/>
        </w:rPr>
        <w:t>y</w:t>
      </w:r>
      <w:r w:rsidRPr="00576ED7">
        <w:rPr>
          <w:szCs w:val="24"/>
        </w:rPr>
        <w:t>ers how to prove a deduction to the IRS and how to value donated property using its fair market value. Under section 1.170A–1(c) of the regulations, fair market value is to be determined as of the time of the contribution and under the hyp</w:t>
      </w:r>
      <w:r w:rsidRPr="00576ED7">
        <w:rPr>
          <w:szCs w:val="24"/>
        </w:rPr>
        <w:t>o</w:t>
      </w:r>
      <w:r w:rsidRPr="00576ED7">
        <w:rPr>
          <w:szCs w:val="24"/>
        </w:rPr>
        <w:t>thetical willing buyer/willing seller rule, wherein both parties to the imagined transaction are assumed to be aware of relevant facts and free from external co</w:t>
      </w:r>
      <w:r w:rsidRPr="00576ED7">
        <w:rPr>
          <w:szCs w:val="24"/>
        </w:rPr>
        <w:t>m</w:t>
      </w:r>
      <w:r w:rsidRPr="00576ED7">
        <w:rPr>
          <w:szCs w:val="24"/>
        </w:rPr>
        <w:t>pulsion to buy or sell. 26 C.F.R. § 1.170A–1(c). As with the question of the pu</w:t>
      </w:r>
      <w:r w:rsidRPr="00576ED7">
        <w:rPr>
          <w:szCs w:val="24"/>
        </w:rPr>
        <w:t>r</w:t>
      </w:r>
      <w:r w:rsidRPr="00576ED7">
        <w:rPr>
          <w:szCs w:val="24"/>
        </w:rPr>
        <w:t>pose of the claimed gift, fair market value requires an objective, economic inquiry and is a question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w:t>
      </w:r>
      <w:r w:rsidRPr="00576ED7">
        <w:rPr>
          <w:szCs w:val="24"/>
        </w:rPr>
        <w:lastRenderedPageBreak/>
        <w:t>the value of the donated property exceeded the value of the benefit they received. We also agree with these findings. There was no net deductible value in this don</w:t>
      </w:r>
      <w:r w:rsidRPr="00576ED7">
        <w:rPr>
          <w:szCs w:val="24"/>
        </w:rPr>
        <w:t>a</w:t>
      </w:r>
      <w:r w:rsidRPr="00576ED7">
        <w:rPr>
          <w:szCs w:val="24"/>
        </w:rPr>
        <w:t>tion in light of the return benefit to the Rolfs.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477 U.S. 105, 118 (1986). A charitable deduction is not automatically disallowed if the donor r</w:t>
      </w:r>
      <w:r w:rsidRPr="00576ED7">
        <w:rPr>
          <w:szCs w:val="24"/>
        </w:rPr>
        <w:t>e</w:t>
      </w:r>
      <w:r w:rsidRPr="00576ED7">
        <w:rPr>
          <w:szCs w:val="24"/>
        </w:rPr>
        <w:t xml:space="preserve">ceived any consideration in return. Instead, as the Supreme Court observed in </w:t>
      </w:r>
      <w:r w:rsidRPr="00576ED7">
        <w:rPr>
          <w:i/>
          <w:szCs w:val="24"/>
        </w:rPr>
        <w:t>American Bar Endowment</w:t>
      </w:r>
      <w:r w:rsidRPr="00576ED7">
        <w:rPr>
          <w:szCs w:val="24"/>
        </w:rPr>
        <w:t>, some donations may have a dual purpose, as when a donor overpays for admission to a fund-raising dinner, but does in fact expect to enjoy the proverbial rubber-chicken dinner and accompanying entertainment. Where “the size of the payment is clearly out of proportion to the benefit r</w:t>
      </w:r>
      <w:r w:rsidRPr="00576ED7">
        <w:rPr>
          <w:szCs w:val="24"/>
        </w:rPr>
        <w:t>e</w:t>
      </w:r>
      <w:r w:rsidRPr="00576ED7">
        <w:rPr>
          <w:szCs w:val="24"/>
        </w:rPr>
        <w:t xml:space="preserve">ceived,” taxpayers can deduct the excess, provided that they objectively intended it as a gift. </w:t>
      </w:r>
      <w:r w:rsidRPr="00576ED7">
        <w:rPr>
          <w:i/>
          <w:szCs w:val="24"/>
        </w:rPr>
        <w:t>Id</w:t>
      </w:r>
      <w:r w:rsidRPr="00576ED7">
        <w:rPr>
          <w:szCs w:val="24"/>
        </w:rPr>
        <w:t>. at 116–18 (...). In practice then, the fair market value of any su</w:t>
      </w:r>
      <w:r w:rsidRPr="00576ED7">
        <w:rPr>
          <w:szCs w:val="24"/>
        </w:rPr>
        <w:t>b</w:t>
      </w:r>
      <w:r w:rsidRPr="00576ED7">
        <w:rPr>
          <w:szCs w:val="24"/>
        </w:rPr>
        <w:t>stantial returned benefit must be subtracted from the fair market value of the d</w:t>
      </w:r>
      <w:r w:rsidRPr="00576ED7">
        <w:rPr>
          <w:szCs w:val="24"/>
        </w:rPr>
        <w:t>o</w:t>
      </w:r>
      <w:r w:rsidRPr="00576ED7">
        <w:rPr>
          <w:szCs w:val="24"/>
        </w:rPr>
        <w:t>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w:t>
      </w:r>
      <w:r w:rsidRPr="00576ED7">
        <w:rPr>
          <w:szCs w:val="24"/>
        </w:rPr>
        <w:t>t</w:t>
      </w:r>
      <w:r w:rsidRPr="00576ED7">
        <w:rPr>
          <w:szCs w:val="24"/>
        </w:rPr>
        <w:t>ers, and found that the public benefit substantially exceeded the private return benefit. Thus, the donation was deemed allowable as a legitimate charitable d</w:t>
      </w:r>
      <w:r w:rsidRPr="00576ED7">
        <w:rPr>
          <w:szCs w:val="24"/>
        </w:rPr>
        <w:t>e</w:t>
      </w:r>
      <w:r w:rsidRPr="00576ED7">
        <w:rPr>
          <w:szCs w:val="24"/>
        </w:rPr>
        <w:t>duction, and the court proceeded to value the donation using the established i</w:t>
      </w:r>
      <w:r w:rsidRPr="00576ED7">
        <w:rPr>
          <w:szCs w:val="24"/>
        </w:rPr>
        <w:t>n</w:t>
      </w:r>
      <w:r w:rsidRPr="00576ED7">
        <w:rPr>
          <w:szCs w:val="24"/>
        </w:rPr>
        <w:t xml:space="preserve">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The Supreme Court did not rely on amorphous co</w:t>
      </w:r>
      <w:r w:rsidRPr="00576ED7">
        <w:rPr>
          <w:szCs w:val="24"/>
        </w:rPr>
        <w:t>n</w:t>
      </w:r>
      <w:r w:rsidRPr="00576ED7">
        <w:rPr>
          <w:szCs w:val="24"/>
        </w:rPr>
        <w:t xml:space="preserve">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w:t>
      </w:r>
      <w:r w:rsidRPr="00576ED7">
        <w:rPr>
          <w:szCs w:val="24"/>
        </w:rPr>
        <w:lastRenderedPageBreak/>
        <w:t xml:space="preserve">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w:t>
      </w:r>
      <w:r w:rsidRPr="00576ED7">
        <w:rPr>
          <w:i/>
          <w:szCs w:val="24"/>
        </w:rPr>
        <w:t>r</w:t>
      </w:r>
      <w:r w:rsidRPr="00576ED7">
        <w:rPr>
          <w:i/>
          <w:szCs w:val="24"/>
        </w:rPr>
        <w:t>nal Revenue</w:t>
      </w:r>
      <w:r w:rsidRPr="00576ED7">
        <w:rPr>
          <w:szCs w:val="24"/>
        </w:rPr>
        <w:t>, 33 T.C. 223, 225 (1959) (“property otherwise intrinsically more va</w:t>
      </w:r>
      <w:r w:rsidRPr="00576ED7">
        <w:rPr>
          <w:szCs w:val="24"/>
        </w:rPr>
        <w:t>l</w:t>
      </w:r>
      <w:r w:rsidRPr="00576ED7">
        <w:rPr>
          <w:szCs w:val="24"/>
        </w:rPr>
        <w:t>uable which is encumbered by some restriction or condition limiting its market</w:t>
      </w:r>
      <w:r w:rsidRPr="00576ED7">
        <w:rPr>
          <w:szCs w:val="24"/>
        </w:rPr>
        <w:t>a</w:t>
      </w:r>
      <w:r w:rsidRPr="00576ED7">
        <w:rPr>
          <w:szCs w:val="24"/>
        </w:rPr>
        <w:t>bility must be valued in light of such limitation”).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II. Valuation Methods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this case demonstrates, however, knowing that one must account for a cond</w:t>
      </w:r>
      <w:r w:rsidRPr="00576ED7">
        <w:rPr>
          <w:szCs w:val="24"/>
        </w:rPr>
        <w:t>i</w:t>
      </w:r>
      <w:r w:rsidRPr="00576ED7">
        <w:rPr>
          <w:szCs w:val="24"/>
        </w:rPr>
        <w:t>tion in a valuation opens up a second tier of questions about exactly how to do so. The Tax Court weighed conflicting evidence on valuation and rejected the ta</w:t>
      </w:r>
      <w:r w:rsidRPr="00576ED7">
        <w:rPr>
          <w:szCs w:val="24"/>
        </w:rPr>
        <w:t>x</w:t>
      </w:r>
      <w:r w:rsidRPr="00576ED7">
        <w:rPr>
          <w:szCs w:val="24"/>
        </w:rPr>
        <w:t>payers’ evidence claiming that the donated house had a value of $76,000. The Tax Court found instead that the condition requiring destruction of the house meant that the donated property had essentially no value. 135 T.C. at 494. The Tax Court did not err.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there is no evidence of an actual market for, and thus no real or hyp</w:t>
      </w:r>
      <w:r w:rsidRPr="00576ED7">
        <w:rPr>
          <w:szCs w:val="24"/>
        </w:rPr>
        <w:t>o</w:t>
      </w:r>
      <w:r w:rsidRPr="00576ED7">
        <w:rPr>
          <w:szCs w:val="24"/>
        </w:rPr>
        <w:t>thetical willing buyers of, doomed houses as firefighter training sites. ... Som</w:t>
      </w:r>
      <w:r w:rsidRPr="00576ED7">
        <w:rPr>
          <w:szCs w:val="24"/>
        </w:rPr>
        <w:t>e</w:t>
      </w:r>
      <w:r w:rsidRPr="00576ED7">
        <w:rPr>
          <w:szCs w:val="24"/>
        </w:rPr>
        <w:t>times fire departments ... conduct exercises using donated or abandoned property, but there is also no record evidence of any fire departments paying for such pro</w:t>
      </w:r>
      <w:r w:rsidRPr="00576ED7">
        <w:rPr>
          <w:szCs w:val="24"/>
        </w:rPr>
        <w:t>p</w:t>
      </w:r>
      <w:r w:rsidRPr="00576ED7">
        <w:rPr>
          <w:szCs w:val="24"/>
        </w:rPr>
        <w:t>erty. Without comparators from any established markets, the parties presented competing experts who advocated different valuation methods. The taxpayers r</w:t>
      </w:r>
      <w:r w:rsidRPr="00576ED7">
        <w:rPr>
          <w:szCs w:val="24"/>
        </w:rPr>
        <w:t>e</w:t>
      </w:r>
      <w:r w:rsidRPr="00576ED7">
        <w:rPr>
          <w:szCs w:val="24"/>
        </w:rPr>
        <w:t>lied on the conventional real estate market, as if they had given the fire depar</w:t>
      </w:r>
      <w:r w:rsidRPr="00576ED7">
        <w:rPr>
          <w:szCs w:val="24"/>
        </w:rPr>
        <w:t>t</w:t>
      </w:r>
      <w:r w:rsidRPr="00576ED7">
        <w:rPr>
          <w:szCs w:val="24"/>
        </w:rPr>
        <w:t>ment fee ownership of the house. The IRS relied on the salvage market and the market for relocated houses, attempting to account for the conditions proposed in the gift.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expert witness is a residential appraiser. ... The taxpayers argued that the “before-and-after” method should be applied. Their appraiser started with an estimated value of $675,000 for the land and house together, based on compa</w:t>
      </w:r>
      <w:r w:rsidRPr="00576ED7">
        <w:rPr>
          <w:szCs w:val="24"/>
        </w:rPr>
        <w:t>r</w:t>
      </w:r>
      <w:r w:rsidRPr="00576ED7">
        <w:rPr>
          <w:szCs w:val="24"/>
        </w:rPr>
        <w:t>isons to recent sales of similar properties in the area. Using the same method, he estimated a value of $599,000 for the land alone, without any house on it. He su</w:t>
      </w:r>
      <w:r w:rsidRPr="00576ED7">
        <w:rPr>
          <w:szCs w:val="24"/>
        </w:rPr>
        <w:t>b</w:t>
      </w:r>
      <w:r w:rsidRPr="00576ED7">
        <w:rPr>
          <w:szCs w:val="24"/>
        </w:rPr>
        <w:t>tracted the latter from the former to estimate $76,000 as the value of the house alone.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before-and-after approach is used most often to value conservation eas</w:t>
      </w:r>
      <w:r w:rsidRPr="00576ED7">
        <w:rPr>
          <w:szCs w:val="24"/>
        </w:rPr>
        <w:t>e</w:t>
      </w:r>
      <w:r w:rsidRPr="00576ED7">
        <w:rPr>
          <w:szCs w:val="24"/>
        </w:rPr>
        <w:t xml:space="preserve">ments, where it is hard to put a value on the donated conservation use. Experts can estimate both the value of land without the encumbrance and the value of the </w:t>
      </w:r>
      <w:r w:rsidRPr="00576ED7">
        <w:rPr>
          <w:szCs w:val="24"/>
        </w:rPr>
        <w:lastRenderedPageBreak/>
        <w:t>land if sold with the specified use limitations, using the difference to estimate the value of the limitations imposed by the donor. As we explain below, there are si</w:t>
      </w:r>
      <w:r w:rsidRPr="00576ED7">
        <w:rPr>
          <w:szCs w:val="24"/>
        </w:rPr>
        <w:t>g</w:t>
      </w:r>
      <w:r w:rsidRPr="00576ED7">
        <w:rPr>
          <w:szCs w:val="24"/>
        </w:rPr>
        <w:t>nificant differences between the Rolfs’ donation and a conservation easement. 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w:t>
      </w:r>
      <w:r w:rsidRPr="00576ED7">
        <w:rPr>
          <w:szCs w:val="24"/>
        </w:rPr>
        <w:t>r</w:t>
      </w:r>
      <w:r w:rsidRPr="00576ED7">
        <w:rPr>
          <w:szCs w:val="24"/>
        </w:rPr>
        <w:t>rounding area was too valuable to warrant moving such a modest house to a lot in the neighborhood. George also opined that the salvage value of the component materials of the house was minimal and would be offset by the labor cost of hau</w:t>
      </w:r>
      <w:r w:rsidRPr="00576ED7">
        <w:rPr>
          <w:szCs w:val="24"/>
        </w:rPr>
        <w:t>l</w:t>
      </w:r>
      <w:r w:rsidRPr="00576ED7">
        <w:rPr>
          <w:szCs w:val="24"/>
        </w:rPr>
        <w:t>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w:t>
      </w:r>
      <w:r w:rsidRPr="00576ED7">
        <w:rPr>
          <w:szCs w:val="24"/>
        </w:rPr>
        <w:t>s</w:t>
      </w:r>
      <w:r w:rsidRPr="00576ED7">
        <w:rPr>
          <w:szCs w:val="24"/>
        </w:rPr>
        <w:t>ured the value of a house that remained a house, on the land, and available for re</w:t>
      </w:r>
      <w:r w:rsidRPr="00576ED7">
        <w:rPr>
          <w:szCs w:val="24"/>
        </w:rPr>
        <w:t>s</w:t>
      </w:r>
      <w:r w:rsidRPr="00576ED7">
        <w:rPr>
          <w:szCs w:val="24"/>
        </w:rPr>
        <w:t>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w:t>
      </w:r>
      <w:r w:rsidRPr="00576ED7">
        <w:rPr>
          <w:szCs w:val="24"/>
        </w:rPr>
        <w:t>o</w:t>
      </w:r>
      <w:r w:rsidRPr="00576ED7">
        <w:rPr>
          <w:szCs w:val="24"/>
        </w:rPr>
        <w:t xml:space="preserve">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w:t>
      </w:r>
      <w:r w:rsidRPr="00576ED7">
        <w:rPr>
          <w:szCs w:val="24"/>
        </w:rPr>
        <w:lastRenderedPageBreak/>
        <w:t>put on their donation. The Tax Court correctly required, as a matter of law, that the valuation must incorporate any reduction in market value resulting from a r</w:t>
      </w:r>
      <w:r w:rsidRPr="00576ED7">
        <w:rPr>
          <w:szCs w:val="24"/>
        </w:rPr>
        <w:t>e</w:t>
      </w:r>
      <w:r w:rsidRPr="00576ED7">
        <w:rPr>
          <w:szCs w:val="24"/>
        </w:rPr>
        <w:t xml:space="preserve">striction on the gift. We review the Tax Court’s findings of fact for clear error and its conclusions of law de novo.  </w:t>
      </w:r>
      <w:r w:rsidRPr="00576ED7">
        <w:rPr>
          <w:i/>
          <w:szCs w:val="24"/>
        </w:rPr>
        <w:t>Freda v. Comm’r of Internal Revenue</w:t>
      </w:r>
      <w:r w:rsidRPr="00576ED7">
        <w:rPr>
          <w:szCs w:val="24"/>
        </w:rPr>
        <w:t>, 656 F.3d 570, 573 (7th Cir.</w:t>
      </w:r>
      <w:r w:rsidR="007807DB" w:rsidRPr="00576ED7">
        <w:rPr>
          <w:szCs w:val="24"/>
        </w:rPr>
        <w:t xml:space="preserve"> </w:t>
      </w:r>
      <w:r w:rsidRPr="00576ED7">
        <w:rPr>
          <w:szCs w:val="24"/>
        </w:rPr>
        <w:t>2011). We find no clear error in the factual findings and co</w:t>
      </w:r>
      <w:r w:rsidRPr="00576ED7">
        <w:rPr>
          <w:szCs w:val="24"/>
        </w:rPr>
        <w:t>n</w:t>
      </w:r>
      <w:r w:rsidRPr="00576ED7">
        <w:rPr>
          <w:szCs w:val="24"/>
        </w:rPr>
        <w:t>clude further that it would have been an error of law to ascribe any weight to the taxpayers’ before-and-after valuation evidence.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0D7DBB" w:rsidRPr="00576ED7" w:rsidRDefault="000D7DBB" w:rsidP="00A6585D">
      <w:pPr>
        <w:widowControl w:val="0"/>
        <w:jc w:val="both"/>
        <w:rPr>
          <w:szCs w:val="24"/>
        </w:rPr>
      </w:pPr>
    </w:p>
    <w:p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w:t>
      </w:r>
      <w:r w:rsidRPr="00576ED7">
        <w:rPr>
          <w:szCs w:val="24"/>
        </w:rPr>
        <w:t>b</w:t>
      </w:r>
      <w:r w:rsidRPr="00576ED7">
        <w:rPr>
          <w:szCs w:val="24"/>
        </w:rPr>
        <w:t>stantial sum. ... The demolition condition placed on the donation of the house r</w:t>
      </w:r>
      <w:r w:rsidRPr="00576ED7">
        <w:rPr>
          <w:szCs w:val="24"/>
        </w:rPr>
        <w:t>e</w:t>
      </w:r>
      <w:r w:rsidRPr="00576ED7">
        <w:rPr>
          <w:szCs w:val="24"/>
        </w:rPr>
        <w:t>duced the fair market value of the house to a negligible amount, well enough a</w:t>
      </w:r>
      <w:r w:rsidRPr="00576ED7">
        <w:rPr>
          <w:szCs w:val="24"/>
        </w:rPr>
        <w:t>p</w:t>
      </w:r>
      <w:r w:rsidRPr="00576ED7">
        <w:rPr>
          <w:szCs w:val="24"/>
        </w:rPr>
        <w:t>proximated by its negligible salvage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authorities the taxpayers cite to support the before-and-after valuation method relate to conservation easements and other restrictive covenants, but the features of this donation are quite different from such an easement. When an easement is granted, part of the landowners’ rights are carved out and transferred to the recip</w:t>
      </w:r>
      <w:r w:rsidRPr="00576ED7">
        <w:rPr>
          <w:szCs w:val="24"/>
        </w:rPr>
        <w:t>i</w:t>
      </w:r>
      <w:r w:rsidRPr="00576ED7">
        <w:rPr>
          <w:szCs w:val="24"/>
        </w:rPr>
        <w:t>ent. For example, the Forest Service might be given the right to manage undeve</w:t>
      </w:r>
      <w:r w:rsidRPr="00576ED7">
        <w:rPr>
          <w:szCs w:val="24"/>
        </w:rPr>
        <w:t>l</w:t>
      </w:r>
      <w:r w:rsidRPr="00576ED7">
        <w:rPr>
          <w:szCs w:val="24"/>
        </w:rPr>
        <w:t>oped land, or a conservation trust might be given the right to control disposition of property. Because it can be difficult to measure the value of this sort of right in isolation, experts instead estimate the difference in sale price for property with and without similar encumbrances. Here, in contrast, the initial value of the home can be estimated with the before-and-after method, but the donation destroyed that residential value rather than transferred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That’s why conservation easements provide a poor model for the situation here, and other possible valuation models suffer from a lack of supporting evidence. The value of the training exercises to the fire department is not in evidence. The fire chief testified in the Tax Court that he could not assign a specific value to the significant public benefit of the training—but in any event, we know from </w:t>
      </w:r>
      <w:r w:rsidRPr="00576ED7">
        <w:rPr>
          <w:i/>
          <w:szCs w:val="24"/>
        </w:rPr>
        <w:t>Amer</w:t>
      </w:r>
      <w:r w:rsidRPr="00576ED7">
        <w:rPr>
          <w:i/>
          <w:szCs w:val="24"/>
        </w:rPr>
        <w:t>i</w:t>
      </w:r>
      <w:r w:rsidRPr="00576ED7">
        <w:rPr>
          <w:i/>
          <w:szCs w:val="24"/>
        </w:rPr>
        <w:t>can Bar Endowment</w:t>
      </w:r>
      <w:r w:rsidRPr="00576ED7">
        <w:rPr>
          <w:szCs w:val="24"/>
        </w:rPr>
        <w:t xml:space="preserve"> that trying to measure the benefit to the charity is not the a</w:t>
      </w:r>
      <w:r w:rsidRPr="00576ED7">
        <w:rPr>
          <w:szCs w:val="24"/>
        </w:rPr>
        <w:t>p</w:t>
      </w:r>
      <w:r w:rsidRPr="00576ED7">
        <w:rPr>
          <w:szCs w:val="24"/>
        </w:rPr>
        <w:t>propriate approach.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also undertook a fair market valuation of the benefit received by the taxpayers. The expert witnesses for the IRS both agreed with Mr. Rolfs’ own testimony (based on his investigation) that the house would cost upwards of </w:t>
      </w:r>
      <w:r w:rsidRPr="00576ED7">
        <w:rPr>
          <w:szCs w:val="24"/>
        </w:rPr>
        <w:lastRenderedPageBreak/>
        <w:t>$10,000 to demolish. ... We see no error in the Tax Court’s factual determination, based on the available evidence and testimony, that the Rolfs received a benefit worth at least $10,000.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w:t>
      </w:r>
      <w:r w:rsidRPr="00576ED7">
        <w:rPr>
          <w:szCs w:val="24"/>
        </w:rPr>
        <w:t>i</w:t>
      </w:r>
      <w:r w:rsidRPr="00576ED7">
        <w:rPr>
          <w:szCs w:val="24"/>
        </w:rPr>
        <w:t>tion, the value of the gift did not exceed the fair market value of the benefit that the donating taxpayers received in return. Accordingly, the judgment of the Tax Court is Affirmed.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rsidR="0049128E" w:rsidRPr="00576ED7" w:rsidRDefault="0049128E" w:rsidP="00A6585D">
      <w:pPr>
        <w:widowControl w:val="0"/>
        <w:ind w:left="720"/>
        <w:jc w:val="both"/>
        <w:rPr>
          <w:szCs w:val="24"/>
        </w:rPr>
      </w:pPr>
      <w:r w:rsidRPr="00576ED7">
        <w:rPr>
          <w:szCs w:val="24"/>
        </w:rPr>
        <w:t>•Basis is how a taxpayer keeps score with the government.  No one’s a</w:t>
      </w:r>
      <w:r w:rsidRPr="00576ED7">
        <w:rPr>
          <w:szCs w:val="24"/>
        </w:rPr>
        <w:t>r</w:t>
      </w:r>
      <w:r w:rsidRPr="00576ED7">
        <w:rPr>
          <w:szCs w:val="24"/>
        </w:rPr>
        <w:t xml:space="preserve">gument in </w:t>
      </w:r>
      <w:r w:rsidRPr="00576ED7">
        <w:rPr>
          <w:i/>
          <w:szCs w:val="24"/>
        </w:rPr>
        <w:t>Rolfs</w:t>
      </w:r>
      <w:r w:rsidRPr="00576ED7">
        <w:rPr>
          <w:szCs w:val="24"/>
        </w:rPr>
        <w:t xml:space="preserve"> concerning an allowable charitable contribution deduction involved consideration of the house’s pro-rated share of the overall basis of the property.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taxpayer be able to claim the fmv of the property as the amount to be deducted when that amount is greater than the adjusted basis of the property?</w:t>
      </w:r>
    </w:p>
    <w:p w:rsidR="0049128E" w:rsidRPr="00576ED7" w:rsidRDefault="0049128E" w:rsidP="00A6585D">
      <w:pPr>
        <w:widowControl w:val="0"/>
        <w:ind w:left="720"/>
        <w:jc w:val="both"/>
        <w:rPr>
          <w:szCs w:val="24"/>
        </w:rPr>
      </w:pPr>
      <w:r w:rsidRPr="00576ED7">
        <w:rPr>
          <w:szCs w:val="24"/>
        </w:rPr>
        <w:t>•Shouldn’t taxpayer be limited to a deduction equal to the property’s a</w:t>
      </w:r>
      <w:r w:rsidRPr="00576ED7">
        <w:rPr>
          <w:szCs w:val="24"/>
        </w:rPr>
        <w:t>d</w:t>
      </w:r>
      <w:r w:rsidRPr="00576ED7">
        <w:rPr>
          <w:szCs w:val="24"/>
        </w:rPr>
        <w:t xml:space="preserve">justed basis? </w:t>
      </w:r>
      <w:r w:rsidRPr="00576ED7">
        <w:rPr>
          <w:i/>
          <w:szCs w:val="24"/>
        </w:rPr>
        <w:t>See</w:t>
      </w:r>
      <w:r w:rsidRPr="00576ED7">
        <w:rPr>
          <w:szCs w:val="24"/>
        </w:rPr>
        <w:t xml:space="preserve"> § 170(e)(1)(A).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Supreme Court construed the meaning of the phrase “to or for the use of” in § 170(c) in </w:t>
      </w:r>
      <w:r w:rsidRPr="00576ED7">
        <w:rPr>
          <w:i/>
          <w:szCs w:val="24"/>
        </w:rPr>
        <w:t>Davis v. United States</w:t>
      </w:r>
      <w:r w:rsidRPr="00576ED7">
        <w:rPr>
          <w:szCs w:val="24"/>
        </w:rPr>
        <w:t>, 495 U.S. 472 (1990).  Taxpayers’ sons were missionaries for the Church of Jesus Christ of Latter-Day Saints.  Taxpayers d</w:t>
      </w:r>
      <w:r w:rsidRPr="00576ED7">
        <w:rPr>
          <w:szCs w:val="24"/>
        </w:rPr>
        <w:t>e</w:t>
      </w:r>
      <w:r w:rsidRPr="00576ED7">
        <w:rPr>
          <w:szCs w:val="24"/>
        </w:rPr>
        <w:t>posited amounts into the individual accounts of their sons.  The Church had r</w:t>
      </w:r>
      <w:r w:rsidRPr="00576ED7">
        <w:rPr>
          <w:szCs w:val="24"/>
        </w:rPr>
        <w:t>e</w:t>
      </w:r>
      <w:r w:rsidRPr="00576ED7">
        <w:rPr>
          <w:szCs w:val="24"/>
        </w:rPr>
        <w:t>quested the payments and set their amounts.  The Church issued written guid</w:t>
      </w:r>
      <w:r w:rsidRPr="00576ED7">
        <w:rPr>
          <w:szCs w:val="24"/>
        </w:rPr>
        <w:t>e</w:t>
      </w:r>
      <w:r w:rsidRPr="00576ED7">
        <w:rPr>
          <w:szCs w:val="24"/>
        </w:rPr>
        <w:t>lines, instructing that the funds be used exclusively for missionary work. In a</w:t>
      </w:r>
      <w:r w:rsidRPr="00576ED7">
        <w:rPr>
          <w:szCs w:val="24"/>
        </w:rPr>
        <w:t>c</w:t>
      </w:r>
      <w:r w:rsidRPr="00576ED7">
        <w:rPr>
          <w:szCs w:val="24"/>
        </w:rPr>
        <w:t>cordance with the guidelines, petitioners’ sons used the money primarily to pay for rent, food, transportation, and personal needs while on their missions.  Ta</w:t>
      </w:r>
      <w:r w:rsidRPr="00576ED7">
        <w:rPr>
          <w:szCs w:val="24"/>
        </w:rPr>
        <w:t>x</w:t>
      </w:r>
      <w:r w:rsidRPr="00576ED7">
        <w:rPr>
          <w:szCs w:val="24"/>
        </w:rPr>
        <w:t>payers claimed that these amounts were deductible under § 170.  The Supreme Court denied the deductibility of such payments and adopted the IRS’s interpret</w:t>
      </w:r>
      <w:r w:rsidRPr="00576ED7">
        <w:rPr>
          <w:szCs w:val="24"/>
        </w:rPr>
        <w:t>a</w:t>
      </w:r>
      <w:r w:rsidRPr="00576ED7">
        <w:rPr>
          <w:szCs w:val="24"/>
        </w:rPr>
        <w:t>tion of the phrase.  “[W]e conclude that a gift or contribution is ‘for the use of’ a qualified organization when it is held in a legally enforceable trust for the qual</w:t>
      </w:r>
      <w:r w:rsidRPr="00576ED7">
        <w:rPr>
          <w:szCs w:val="24"/>
        </w:rPr>
        <w:t>i</w:t>
      </w:r>
      <w:r w:rsidRPr="00576ED7">
        <w:rPr>
          <w:szCs w:val="24"/>
        </w:rPr>
        <w:t xml:space="preserve">fied organization or in a similar legal arrangement.”  </w:t>
      </w:r>
      <w:r w:rsidRPr="00576ED7">
        <w:rPr>
          <w:i/>
          <w:szCs w:val="24"/>
        </w:rPr>
        <w:t>Id.</w:t>
      </w:r>
      <w:r w:rsidRPr="00576ED7">
        <w:rPr>
          <w:szCs w:val="24"/>
        </w:rPr>
        <w:t xml:space="preserve"> at 485.  “[B]ecause pet</w:t>
      </w:r>
      <w:r w:rsidRPr="00576ED7">
        <w:rPr>
          <w:szCs w:val="24"/>
        </w:rPr>
        <w:t>i</w:t>
      </w:r>
      <w:r w:rsidRPr="00576ED7">
        <w:rPr>
          <w:szCs w:val="24"/>
        </w:rPr>
        <w:t>tioners did not donate the funds in trust for the Church, or in a similarly enforce</w:t>
      </w:r>
      <w:r w:rsidRPr="00576ED7">
        <w:rPr>
          <w:szCs w:val="24"/>
        </w:rPr>
        <w:t>a</w:t>
      </w:r>
      <w:r w:rsidRPr="00576ED7">
        <w:rPr>
          <w:szCs w:val="24"/>
        </w:rPr>
        <w:t xml:space="preserve">ble legal arrangement for the benefit of the Church, the funds were not donated </w:t>
      </w:r>
      <w:r w:rsidRPr="00576ED7">
        <w:rPr>
          <w:szCs w:val="24"/>
        </w:rPr>
        <w:lastRenderedPageBreak/>
        <w:t xml:space="preserve">‘for the use of’ the Church for purposes of § 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w:t>
      </w:r>
      <w:r w:rsidRPr="00576ED7">
        <w:rPr>
          <w:szCs w:val="24"/>
        </w:rPr>
        <w:t>n</w:t>
      </w:r>
      <w:r w:rsidRPr="00576ED7">
        <w:rPr>
          <w:szCs w:val="24"/>
        </w:rPr>
        <w:t>ization)] must have significant legal rights with respect to the disposition of d</w:t>
      </w:r>
      <w:r w:rsidRPr="00576ED7">
        <w:rPr>
          <w:szCs w:val="24"/>
        </w:rPr>
        <w:t>o</w:t>
      </w:r>
      <w:r w:rsidRPr="00576ED7">
        <w:rPr>
          <w:szCs w:val="24"/>
        </w:rPr>
        <w:t xml:space="preserve">nated funds.”  </w:t>
      </w:r>
      <w:r w:rsidRPr="00576ED7">
        <w:rPr>
          <w:i/>
          <w:szCs w:val="24"/>
        </w:rPr>
        <w:t>Id.</w:t>
      </w:r>
      <w:r w:rsidRPr="00576ED7">
        <w:rPr>
          <w:szCs w:val="24"/>
        </w:rPr>
        <w:t xml:space="preserve"> at 483.</w:t>
      </w:r>
    </w:p>
    <w:p w:rsidR="007807DB" w:rsidRPr="00576ED7" w:rsidRDefault="007807DB" w:rsidP="00A6585D">
      <w:pPr>
        <w:widowControl w:val="0"/>
        <w:jc w:val="both"/>
        <w:rPr>
          <w:szCs w:val="24"/>
        </w:rPr>
      </w:pPr>
    </w:p>
    <w:p w:rsidR="0049128E" w:rsidRPr="00576ED7" w:rsidRDefault="0049128E" w:rsidP="00A6585D">
      <w:pPr>
        <w:widowControl w:val="0"/>
        <w:jc w:val="both"/>
        <w:rPr>
          <w:szCs w:val="24"/>
        </w:rPr>
      </w:pPr>
      <w:r w:rsidRPr="00576ED7">
        <w:rPr>
          <w:szCs w:val="24"/>
        </w:rPr>
        <w:t>4.  In 1971, the IRS issued Rev. Rul. 71-447 in which it stated the position that a private school that does not have a racially non-discriminatory policy as to st</w:t>
      </w:r>
      <w:r w:rsidRPr="00576ED7">
        <w:rPr>
          <w:szCs w:val="24"/>
        </w:rPr>
        <w:t>u</w:t>
      </w:r>
      <w:r w:rsidRPr="00576ED7">
        <w:rPr>
          <w:szCs w:val="24"/>
        </w:rPr>
        <w:t>dents is not “charitable” within the common-law concepts reflected in  §§ 170 and 501(c)(3).  The IRS relied on this position to revoke the tax-exempt status of two private schools.  The United States Supreme Court upheld this determination: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can thus be no question that the interpretation of § 170 and § 501(c)(3) announced by the IRS in 1970 was correct. That it may be seen as belated does not undermine its soundness. It would be wholly inco</w:t>
      </w:r>
      <w:r w:rsidRPr="00576ED7">
        <w:rPr>
          <w:szCs w:val="24"/>
        </w:rPr>
        <w:t>m</w:t>
      </w:r>
      <w:r w:rsidRPr="00576ED7">
        <w:rPr>
          <w:szCs w:val="24"/>
        </w:rPr>
        <w:t>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w:t>
      </w:r>
      <w:r w:rsidRPr="00576ED7">
        <w:rPr>
          <w:szCs w:val="24"/>
        </w:rPr>
        <w:t>a</w:t>
      </w:r>
      <w:r w:rsidRPr="00576ED7">
        <w:rPr>
          <w:szCs w:val="24"/>
        </w:rPr>
        <w:t>tion is contrary to public policy. Racially discriminatory educational inst</w:t>
      </w:r>
      <w:r w:rsidRPr="00576ED7">
        <w:rPr>
          <w:szCs w:val="24"/>
        </w:rPr>
        <w:t>i</w:t>
      </w:r>
      <w:r w:rsidRPr="00576ED7">
        <w:rPr>
          <w:szCs w:val="24"/>
        </w:rPr>
        <w:t>tutions cannot be viewed as conferring a public benefit within the “char</w:t>
      </w:r>
      <w:r w:rsidRPr="00576ED7">
        <w:rPr>
          <w:szCs w:val="24"/>
        </w:rPr>
        <w:t>i</w:t>
      </w:r>
      <w:r w:rsidRPr="00576ED7">
        <w:rPr>
          <w:szCs w:val="24"/>
        </w:rPr>
        <w:t>table” concept discussed earlier, or within the Congressional intent unde</w:t>
      </w:r>
      <w:r w:rsidRPr="00576ED7">
        <w:rPr>
          <w:szCs w:val="24"/>
        </w:rPr>
        <w:t>r</w:t>
      </w:r>
      <w:r w:rsidRPr="00576ED7">
        <w:rPr>
          <w:szCs w:val="24"/>
        </w:rPr>
        <w:t>lying § 170 and § 501(c)(3).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Bob Jones University v. United States</w:t>
      </w:r>
      <w:r w:rsidRPr="00576ED7">
        <w:rPr>
          <w:szCs w:val="24"/>
        </w:rPr>
        <w:t>, 461 U.S. 574, 595-96 (1983).  The schools’ tax-exempt status was lost.  Donors could not claim a charitable contr</w:t>
      </w:r>
      <w:r w:rsidRPr="00576ED7">
        <w:rPr>
          <w:szCs w:val="24"/>
        </w:rPr>
        <w:t>i</w:t>
      </w:r>
      <w:r w:rsidRPr="00576ED7">
        <w:rPr>
          <w:szCs w:val="24"/>
        </w:rPr>
        <w:t>bution deduction for contributing money to it.</w:t>
      </w:r>
    </w:p>
    <w:p w:rsidR="0049128E" w:rsidRPr="00576ED7"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are limits to the amount of a charitable contribution that a taxpayer may deduct.  Section 170's rules are complex.</w:t>
      </w:r>
    </w:p>
    <w:p w:rsidR="0049128E" w:rsidRPr="00576ED7" w:rsidRDefault="0049128E" w:rsidP="00A6585D">
      <w:pPr>
        <w:widowControl w:val="0"/>
        <w:ind w:left="720"/>
        <w:jc w:val="both"/>
        <w:rPr>
          <w:szCs w:val="24"/>
        </w:rPr>
      </w:pPr>
      <w:r w:rsidRPr="00576ED7">
        <w:rPr>
          <w:szCs w:val="24"/>
        </w:rPr>
        <w:t>•An individual has a “contribution base,” i.e., adjusted gross income wit</w:t>
      </w:r>
      <w:r w:rsidRPr="00576ED7">
        <w:rPr>
          <w:szCs w:val="24"/>
        </w:rPr>
        <w:t>h</w:t>
      </w:r>
      <w:r w:rsidRPr="00576ED7">
        <w:rPr>
          <w:szCs w:val="24"/>
        </w:rPr>
        <w:t>out regard to an NOL carryback.  § 170(b)(1)(G).</w:t>
      </w:r>
    </w:p>
    <w:p w:rsidR="0049128E" w:rsidRPr="00576ED7" w:rsidRDefault="0049128E" w:rsidP="00A6585D">
      <w:pPr>
        <w:widowControl w:val="0"/>
        <w:ind w:left="720"/>
        <w:jc w:val="both"/>
        <w:rPr>
          <w:szCs w:val="24"/>
        </w:rPr>
      </w:pPr>
      <w:r w:rsidRPr="00576ED7">
        <w:rPr>
          <w:szCs w:val="24"/>
        </w:rPr>
        <w:t>•A taxpayer may deduct in a taxable year only a certain percentage of his/her “contribution base,” the percentage limit dependent on the type of charity to which the contribution is made</w:t>
      </w:r>
      <w:r w:rsidR="000D7DBB">
        <w:rPr>
          <w:szCs w:val="24"/>
        </w:rPr>
        <w:t xml:space="preserve"> and the form of the </w:t>
      </w:r>
      <w:r w:rsidR="004020EF">
        <w:rPr>
          <w:szCs w:val="24"/>
        </w:rPr>
        <w:t>contribution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6.  Section 170(c) describes five numbered types of charities.</w:t>
      </w:r>
    </w:p>
    <w:p w:rsidR="0049128E" w:rsidRPr="00576ED7" w:rsidRDefault="0049128E" w:rsidP="00A6585D">
      <w:pPr>
        <w:widowControl w:val="0"/>
        <w:ind w:left="720"/>
        <w:jc w:val="both"/>
        <w:rPr>
          <w:szCs w:val="24"/>
        </w:rPr>
      </w:pPr>
      <w:r w:rsidRPr="00576ED7">
        <w:rPr>
          <w:szCs w:val="24"/>
        </w:rPr>
        <w:lastRenderedPageBreak/>
        <w:t>•The Code creates so-called “A” charities, § 170(b)(1)(A), and “B” char</w:t>
      </w:r>
      <w:r w:rsidRPr="00576ED7">
        <w:rPr>
          <w:szCs w:val="24"/>
        </w:rPr>
        <w:t>i</w:t>
      </w:r>
      <w:r w:rsidRPr="00576ED7">
        <w:rPr>
          <w:szCs w:val="24"/>
        </w:rPr>
        <w:t>ties, § 170(b)(1)(B).</w:t>
      </w:r>
    </w:p>
    <w:p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168"/>
      </w:r>
      <w:r w:rsidRPr="00576ED7">
        <w:rPr>
          <w:szCs w:val="24"/>
        </w:rPr>
        <w:t xml:space="preserve"> “A” charities include churches, educational organizations, an organization whose principal purpose is medical research or education, university endowment funds, governmental units if the gift is for public purposes, publicly supported organizations with certain specified purpo</w:t>
      </w:r>
      <w:r w:rsidRPr="00576ED7">
        <w:rPr>
          <w:szCs w:val="24"/>
        </w:rPr>
        <w:t>s</w:t>
      </w:r>
      <w:r w:rsidRPr="00576ED7">
        <w:rPr>
          <w:szCs w:val="24"/>
        </w:rPr>
        <w:t>es, certain private foundations, and organizations that support certain other tax-exempt organizations.  § 170(b)(1)(A).</w:t>
      </w:r>
    </w:p>
    <w:p w:rsidR="0049128E" w:rsidRPr="00576ED7" w:rsidRDefault="0049128E" w:rsidP="00A6585D">
      <w:pPr>
        <w:widowControl w:val="0"/>
        <w:ind w:left="720"/>
        <w:jc w:val="both"/>
        <w:rPr>
          <w:szCs w:val="24"/>
        </w:rPr>
      </w:pPr>
      <w:r w:rsidRPr="00576ED7">
        <w:rPr>
          <w:szCs w:val="24"/>
        </w:rPr>
        <w:t xml:space="preserve">•“B” charities are all other charities.  § 170(b)(1)(B).  This </w:t>
      </w:r>
      <w:r w:rsidRPr="00576ED7">
        <w:rPr>
          <w:i/>
          <w:szCs w:val="24"/>
        </w:rPr>
        <w:t>generally</w:t>
      </w:r>
      <w:r w:rsidRPr="00576ED7">
        <w:rPr>
          <w:rStyle w:val="FootnoteReference"/>
          <w:szCs w:val="24"/>
        </w:rPr>
        <w:footnoteReference w:id="169"/>
      </w:r>
      <w:r w:rsidRPr="00576ED7">
        <w:rPr>
          <w:szCs w:val="24"/>
        </w:rPr>
        <w:t xml:space="preserve"> i</w:t>
      </w:r>
      <w:r w:rsidRPr="00576ED7">
        <w:rPr>
          <w:szCs w:val="24"/>
        </w:rPr>
        <w:t>n</w:t>
      </w:r>
      <w:r w:rsidRPr="00576ED7">
        <w:rPr>
          <w:szCs w:val="24"/>
        </w:rPr>
        <w:t>cludes veterans’ organizations, fraternal societies, nonprofit cemeteries, and certain nonoperating foundations.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A charitable contribution may take one of several forms:</w:t>
      </w:r>
    </w:p>
    <w:p w:rsidR="0049128E" w:rsidRPr="00576ED7" w:rsidRDefault="0049128E" w:rsidP="00A6585D">
      <w:pPr>
        <w:widowControl w:val="0"/>
        <w:ind w:left="720"/>
        <w:jc w:val="both"/>
        <w:rPr>
          <w:szCs w:val="24"/>
        </w:rPr>
      </w:pPr>
      <w:r w:rsidRPr="00576ED7">
        <w:rPr>
          <w:szCs w:val="24"/>
        </w:rPr>
        <w:t>•A charitable contribution may be of “capital gain property,” i.e., a “cap</w:t>
      </w:r>
      <w:r w:rsidRPr="00576ED7">
        <w:rPr>
          <w:szCs w:val="24"/>
        </w:rPr>
        <w:t>i</w:t>
      </w:r>
      <w:r w:rsidRPr="00576ED7">
        <w:rPr>
          <w:szCs w:val="24"/>
        </w:rPr>
        <w:t>tal asset the sale of which at its fair market value at the time of the contr</w:t>
      </w:r>
      <w:r w:rsidRPr="00576ED7">
        <w:rPr>
          <w:szCs w:val="24"/>
        </w:rPr>
        <w:t>i</w:t>
      </w:r>
      <w:r w:rsidRPr="00576ED7">
        <w:rPr>
          <w:szCs w:val="24"/>
        </w:rPr>
        <w:t>bution would have resulted in gain which would have been long-term capital gain” (LTCG) or § 1231 property.  § 170(b)(1)(C)(iv).</w:t>
      </w:r>
    </w:p>
    <w:p w:rsidR="0049128E" w:rsidRPr="00576ED7" w:rsidRDefault="0049128E" w:rsidP="00A6585D">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  Reg. § 1.170A-1(c)(1).  This means that the LTCG on such prope</w:t>
      </w:r>
      <w:r w:rsidRPr="00576ED7">
        <w:rPr>
          <w:szCs w:val="24"/>
        </w:rPr>
        <w:t>r</w:t>
      </w:r>
      <w:r w:rsidRPr="00576ED7">
        <w:rPr>
          <w:szCs w:val="24"/>
        </w:rPr>
        <w:t xml:space="preserve">ty </w:t>
      </w:r>
      <w:r w:rsidRPr="00576ED7">
        <w:rPr>
          <w:i/>
          <w:szCs w:val="24"/>
        </w:rPr>
        <w:t>is never taxed</w:t>
      </w:r>
      <w:r w:rsidRPr="00576ED7">
        <w:rPr>
          <w:szCs w:val="24"/>
        </w:rPr>
        <w:t xml:space="preserve"> – thus creating a true loophole.</w:t>
      </w:r>
      <w:r w:rsidRPr="00576ED7">
        <w:rPr>
          <w:rStyle w:val="FootnoteReference"/>
          <w:szCs w:val="24"/>
        </w:rPr>
        <w:footnoteReference w:id="170"/>
      </w:r>
    </w:p>
    <w:p w:rsidR="0049128E" w:rsidRPr="00576ED7" w:rsidRDefault="0049128E" w:rsidP="00A6585D">
      <w:pPr>
        <w:widowControl w:val="0"/>
        <w:ind w:left="1440"/>
        <w:jc w:val="both"/>
        <w:rPr>
          <w:szCs w:val="24"/>
        </w:rPr>
      </w:pPr>
      <w:r w:rsidRPr="00576ED7">
        <w:rPr>
          <w:szCs w:val="24"/>
        </w:rPr>
        <w:t>•If the donee’s use of the property is unrelated to the charity’s pu</w:t>
      </w:r>
      <w:r w:rsidRPr="00576ED7">
        <w:rPr>
          <w:szCs w:val="24"/>
        </w:rPr>
        <w:t>r</w:t>
      </w:r>
      <w:r w:rsidRPr="00576ED7">
        <w:rPr>
          <w:szCs w:val="24"/>
        </w:rPr>
        <w:t>pose, the charity disposes of the property before the last day of the taxable year, the charity is a certain type of private foundation, the property was intellectual property, or the property is self-created taxidermy property – then the deduction is limited to the taxpayer’s basis in the property or its fmv, whichever is lower.  § 170(e)(1)(B).</w:t>
      </w:r>
    </w:p>
    <w:p w:rsidR="0049128E" w:rsidRPr="00576ED7" w:rsidRDefault="0049128E" w:rsidP="00A6585D">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rsidR="0049128E" w:rsidRPr="00576ED7" w:rsidRDefault="0049128E" w:rsidP="00A6585D">
      <w:pPr>
        <w:widowControl w:val="0"/>
        <w:ind w:left="1440"/>
        <w:jc w:val="both"/>
        <w:rPr>
          <w:szCs w:val="24"/>
        </w:rPr>
      </w:pPr>
      <w:r w:rsidRPr="00576ED7">
        <w:rPr>
          <w:szCs w:val="24"/>
        </w:rPr>
        <w:t xml:space="preserve">•The taxpayer’s deduction is limited to his/her adjusted basis in the </w:t>
      </w:r>
      <w:r w:rsidRPr="00576ED7">
        <w:rPr>
          <w:szCs w:val="24"/>
        </w:rPr>
        <w:lastRenderedPageBreak/>
        <w:t>property or its fmv, whichever is less.  § 170(e)(1)(A).</w:t>
      </w:r>
    </w:p>
    <w:p w:rsidR="0049128E" w:rsidRPr="00576ED7" w:rsidRDefault="0049128E" w:rsidP="00A6585D">
      <w:pPr>
        <w:widowControl w:val="0"/>
        <w:ind w:left="720"/>
        <w:jc w:val="both"/>
        <w:rPr>
          <w:szCs w:val="24"/>
        </w:rPr>
      </w:pPr>
      <w:r w:rsidRPr="00576ED7">
        <w:rPr>
          <w:szCs w:val="24"/>
        </w:rPr>
        <w:t xml:space="preserve">•If a charitable contribution of property is partly a sale, then the taxpayer’s basis in the property is allocated pro rata according to the amount realized on the sale portion of the transaction and the fmv of the property.  § 170(e)(2); Reg. § </w:t>
      </w:r>
      <w:r w:rsidR="000D7DBB">
        <w:rPr>
          <w:szCs w:val="24"/>
        </w:rPr>
        <w:t>1.</w:t>
      </w:r>
      <w:r w:rsidRPr="00576ED7">
        <w:rPr>
          <w:szCs w:val="24"/>
        </w:rPr>
        <w:t>1011-2</w:t>
      </w:r>
      <w:r w:rsidR="000D7DBB">
        <w:rPr>
          <w:szCs w:val="24"/>
        </w:rPr>
        <w:t>(b)</w:t>
      </w:r>
      <w:r w:rsidRPr="00576ED7">
        <w:rPr>
          <w:szCs w:val="24"/>
        </w:rPr>
        <w:t>.  Taxpayer recognizes gain on the sale po</w:t>
      </w:r>
      <w:r w:rsidRPr="00576ED7">
        <w:rPr>
          <w:szCs w:val="24"/>
        </w:rPr>
        <w:t>r</w:t>
      </w:r>
      <w:r w:rsidRPr="00576ED7">
        <w:rPr>
          <w:szCs w:val="24"/>
        </w:rPr>
        <w:t>tion of such a transaction.</w:t>
      </w:r>
    </w:p>
    <w:p w:rsidR="0049128E" w:rsidRPr="00576ED7" w:rsidRDefault="0049128E" w:rsidP="00A6585D">
      <w:pPr>
        <w:widowControl w:val="0"/>
        <w:ind w:left="720"/>
        <w:jc w:val="both"/>
        <w:rPr>
          <w:szCs w:val="24"/>
        </w:rPr>
      </w:pPr>
      <w:r w:rsidRPr="00576ED7">
        <w:rPr>
          <w:szCs w:val="24"/>
        </w:rPr>
        <w:t xml:space="preserve">•Of course a charitable contribution may take the form of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A taxpayer’s allowable contributions are subject to the following limitations:</w:t>
      </w:r>
    </w:p>
    <w:p w:rsidR="0049128E" w:rsidRPr="00576ED7" w:rsidRDefault="0049128E" w:rsidP="00A6585D">
      <w:pPr>
        <w:widowControl w:val="0"/>
        <w:ind w:left="720"/>
        <w:jc w:val="both"/>
        <w:rPr>
          <w:szCs w:val="24"/>
        </w:rPr>
      </w:pPr>
      <w:r w:rsidRPr="00576ED7">
        <w:rPr>
          <w:szCs w:val="24"/>
        </w:rPr>
        <w:t>•Taxpayer may deduct up to 50% of his/her contribution base to “A” cha</w:t>
      </w:r>
      <w:r w:rsidRPr="00576ED7">
        <w:rPr>
          <w:szCs w:val="24"/>
        </w:rPr>
        <w:t>r</w:t>
      </w:r>
      <w:r w:rsidRPr="00576ED7">
        <w:rPr>
          <w:szCs w:val="24"/>
        </w:rPr>
        <w:t>ities, § 170(b)(1)(A);</w:t>
      </w:r>
    </w:p>
    <w:p w:rsidR="0049128E" w:rsidRPr="00576ED7" w:rsidRDefault="0049128E" w:rsidP="00A6585D">
      <w:pPr>
        <w:widowControl w:val="0"/>
        <w:ind w:left="720"/>
        <w:jc w:val="both"/>
        <w:rPr>
          <w:szCs w:val="24"/>
        </w:rPr>
      </w:pPr>
      <w:r w:rsidRPr="00576ED7">
        <w:rPr>
          <w:szCs w:val="24"/>
        </w:rPr>
        <w:t>•Taxpayer may carry excess contributions to “A” charities to each of the succeeding five tax years in sequence, § 170(d)(1)(A);</w:t>
      </w:r>
    </w:p>
    <w:p w:rsidR="0049128E" w:rsidRPr="00576ED7" w:rsidRDefault="0049128E" w:rsidP="00A6585D">
      <w:pPr>
        <w:widowControl w:val="0"/>
        <w:ind w:left="720"/>
        <w:jc w:val="both"/>
        <w:rPr>
          <w:szCs w:val="24"/>
        </w:rPr>
      </w:pPr>
      <w:r w:rsidRPr="00576ED7">
        <w:rPr>
          <w:szCs w:val="24"/>
        </w:rPr>
        <w:t>•Taxpayer may deduct up to 30% of his/her contribution base to “B” charities, § 170(b)(1)(B);</w:t>
      </w:r>
    </w:p>
    <w:p w:rsidR="0049128E" w:rsidRPr="00576ED7" w:rsidRDefault="0049128E" w:rsidP="00A6585D">
      <w:pPr>
        <w:widowControl w:val="0"/>
        <w:ind w:left="720"/>
        <w:jc w:val="both"/>
        <w:rPr>
          <w:szCs w:val="24"/>
        </w:rPr>
      </w:pPr>
      <w:r w:rsidRPr="00576ED7">
        <w:rPr>
          <w:szCs w:val="24"/>
        </w:rPr>
        <w:t>•Taxpayer may carry excess contributions to “B” charities to each of the succeeding five tax years in sequence, §§ 170(d)(1)(B), 170(d)(1)(A).</w:t>
      </w:r>
    </w:p>
    <w:p w:rsidR="0049128E" w:rsidRPr="00576ED7" w:rsidRDefault="0049128E" w:rsidP="00A6585D">
      <w:pPr>
        <w:widowControl w:val="0"/>
        <w:ind w:left="720"/>
        <w:jc w:val="both"/>
        <w:rPr>
          <w:szCs w:val="24"/>
        </w:rPr>
      </w:pPr>
      <w:r w:rsidRPr="00576ED7">
        <w:rPr>
          <w:szCs w:val="24"/>
        </w:rPr>
        <w:t>•Taxpayer may deduct up to 30% of his/her contribution base to “A” cha</w:t>
      </w:r>
      <w:r w:rsidRPr="00576ED7">
        <w:rPr>
          <w:szCs w:val="24"/>
        </w:rPr>
        <w:t>r</w:t>
      </w:r>
      <w:r w:rsidRPr="00576ED7">
        <w:rPr>
          <w:szCs w:val="24"/>
        </w:rPr>
        <w:t>ities of “capital gain property,” § 170(b)(1)(C)(i);</w:t>
      </w:r>
    </w:p>
    <w:p w:rsidR="0049128E" w:rsidRPr="00576ED7" w:rsidRDefault="0049128E" w:rsidP="00A6585D">
      <w:pPr>
        <w:widowControl w:val="0"/>
        <w:ind w:left="720"/>
        <w:jc w:val="both"/>
        <w:rPr>
          <w:szCs w:val="24"/>
        </w:rPr>
      </w:pPr>
      <w:r w:rsidRPr="00576ED7">
        <w:rPr>
          <w:szCs w:val="24"/>
        </w:rPr>
        <w:t>•Taxpayer may carry excess contributions of “capital gain property” to “A” charities to each of the succeeding five tax years in sequence, §§ 170(b)(1)(C)(ii), 170(d)(1)(A);</w:t>
      </w:r>
    </w:p>
    <w:p w:rsidR="0049128E" w:rsidRPr="00576ED7" w:rsidRDefault="000D7DB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5888" behindDoc="0" locked="0" layoutInCell="0" allowOverlap="1" wp14:anchorId="31C375D7" wp14:editId="328C88E8">
                <wp:simplePos x="0" y="0"/>
                <wp:positionH relativeFrom="margin">
                  <wp:posOffset>2081530</wp:posOffset>
                </wp:positionH>
                <wp:positionV relativeFrom="paragraph">
                  <wp:posOffset>478790</wp:posOffset>
                </wp:positionV>
                <wp:extent cx="2971800" cy="1559560"/>
                <wp:effectExtent l="0" t="0" r="19050" b="21590"/>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5956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1" type="#_x0000_t202" style="position:absolute;left:0;text-align:left;margin-left:163.9pt;margin-top:37.7pt;width:234pt;height:122.8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tLAIAAFwEAAAOAAAAZHJzL2Uyb0RvYy54bWysVFFv0zAQfkfiP1h+p0kqtVujptPoKEIa&#10;DGnjBziOk1jYPmO7Tcqv5+x0XTXgBZEHy2efv7v7vrusb0atyEE4L8FUtJjllAjDoZGmq+i3p927&#10;a0p8YKZhCoyo6FF4erN5+2Y92FLMoQfVCEcQxPhysBXtQ7BllnneC838DKwweNmC0yyg6bqscWxA&#10;dK2yeZ4vswFcYx1w4T2e3k2XdJPw21bw8NC2XgSiKoq5hbS6tNZxzTZrVnaO2V7yUxrsH7LQTBoM&#10;eoa6Y4GRvZO/QWnJHXhow4yDzqBtJRepBqymyF9V89gzK1ItSI63Z5r8/4PlXw5fHZFNRRcFJYZp&#10;1OhJjIG8h5EsV5GfwfoS3R4tOoYRz1HnVKu398C/e2Jg2zPTiVvnYOgFazC/Ir7MLp5OOD6C1MNn&#10;aDAO2wdIQGPrdCQP6SCIjjodz9rEXDgezldXxXWOVxzvisVitVgm9TJWPj+3zoePAjSJm4o6FD/B&#10;s8O9DzEdVj67xGgelGx2UqlkuK7eKkcODBtll75UwSs3ZciA4efFaj5R8FeMPH1/wtAyYMsrqSuK&#10;BeEXnVgZiftgmrQPTKppjzkrc2IykjfRGMZ6TKItF/FxpLmG5ojcOphaHEcSNz24n5QM2N4V9T/2&#10;zAlK1CeD+lwtcXpwHi4Nd2nUlwYzHKEqGiiZttswzdDeOtn1GGnqCAO3qGkrE9svWZ3yxxZOIpzG&#10;Lc7IpZ28Xn4Km18AAAD//wMAUEsDBBQABgAIAAAAIQC5Y9Rc3QAAAAoBAAAPAAAAZHJzL2Rvd25y&#10;ZXYueG1sTI/BTsMwEETvSPyDtUjcqNNACYQ4FYrEvUlBcHTjJY6I1yF2m/D3bE9wnJ3RzNtiu7hB&#10;nHAKvScF61UCAqn1pqdOwev+5eYBRIiajB48oYIfDLAtLy8KnRs/U42nJnaCSyjkWoGNccylDK1F&#10;p8PKj0jsffrJ6chy6qSZ9MzlbpBpktxLp3viBatHrCy2X83RKfB1Xb2lzffuvZpN1c27JY4fVqnr&#10;q+X5CUTEJf6F4YzP6FAy08EfyQQxKLhNM0aPCrLNHQgOZI8bPhzOzjoBWRby/wvlLwAAAP//AwBQ&#10;SwECLQAUAAYACAAAACEAtoM4kv4AAADhAQAAEwAAAAAAAAAAAAAAAAAAAAAAW0NvbnRlbnRfVHlw&#10;ZXNdLnhtbFBLAQItABQABgAIAAAAIQA4/SH/1gAAAJQBAAALAAAAAAAAAAAAAAAAAC8BAABfcmVs&#10;cy8ucmVsc1BLAQItABQABgAIAAAAIQD+qeztLAIAAFwEAAAOAAAAAAAAAAAAAAAAAC4CAABkcnMv&#10;ZTJvRG9jLnhtbFBLAQItABQABgAIAAAAIQC5Y9Rc3QAAAAoBAAAPAAAAAAAAAAAAAAAAAIYEAABk&#10;cnMvZG93bnJldi54bWxQSwUGAAAAAAQABADzAAAAkAU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w:t>
                      </w:r>
                      <w:r>
                        <w:rPr>
                          <w:rFonts w:ascii="Tw Cen MT" w:hAnsi="Tw Cen MT"/>
                        </w:rPr>
                        <w:t>n</w:t>
                      </w:r>
                      <w:r>
                        <w:rPr>
                          <w:rFonts w:ascii="Tw Cen MT" w:hAnsi="Tw Cen MT"/>
                        </w:rPr>
                        <w:t>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v:textbox>
                <w10:wrap type="square" side="largest" anchorx="margin"/>
              </v:shape>
            </w:pict>
          </mc:Fallback>
        </mc:AlternateContent>
      </w:r>
      <w:r w:rsidR="0049128E" w:rsidRPr="00576ED7">
        <w:rPr>
          <w:szCs w:val="24"/>
        </w:rPr>
        <w:t>•Taxpayer may deduct up to 20% of his/her contribution base to “B” charities of “capital gain property, § 170(b)(1)(D)(i);</w:t>
      </w:r>
    </w:p>
    <w:p w:rsidR="0049128E" w:rsidRPr="00576ED7" w:rsidRDefault="0049128E" w:rsidP="00A6585D">
      <w:pPr>
        <w:widowControl w:val="0"/>
        <w:ind w:left="720" w:hanging="720"/>
        <w:jc w:val="both"/>
        <w:rPr>
          <w:szCs w:val="24"/>
        </w:rPr>
      </w:pPr>
      <w:r w:rsidRPr="00576ED7">
        <w:rPr>
          <w:szCs w:val="24"/>
        </w:rPr>
        <w:tab/>
        <w:t>•Taxpayer may carry excess contributions of “capital gain property” to “B” charities to each of the succeeding five tax years in sequence, §§ 170(b)(1)(D)(ii), 170(d)(1)(A).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limitations are presented in a certain order.  Every type of contribution is subject to the limitations imposed on gifts above it.</w:t>
      </w:r>
    </w:p>
    <w:p w:rsidR="0049128E" w:rsidRPr="00576ED7" w:rsidRDefault="0049128E" w:rsidP="00A6585D">
      <w:pPr>
        <w:widowControl w:val="0"/>
        <w:ind w:left="720"/>
        <w:jc w:val="both"/>
        <w:rPr>
          <w:szCs w:val="24"/>
        </w:rPr>
      </w:pPr>
      <w:r w:rsidRPr="00576ED7">
        <w:rPr>
          <w:szCs w:val="24"/>
        </w:rPr>
        <w:t xml:space="preserve">•Example: Taxpayer contributed 40% of her contribution base in cash to an “A” charity.  Taxpayer also contributed “capital gain property” with a </w:t>
      </w:r>
      <w:r w:rsidRPr="00576ED7">
        <w:rPr>
          <w:szCs w:val="24"/>
        </w:rPr>
        <w:lastRenderedPageBreak/>
        <w:t>fmv equal to 20% of her contribution base to “A” charities.  Taxpayer must carry half of her “capital gain property” contributions to the next succeeding tax year as a contribution of “capital gain property” to an “A” charity.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as the sequence of the list implies, carryovers may be used only su</w:t>
      </w:r>
      <w:r w:rsidRPr="00576ED7">
        <w:rPr>
          <w:szCs w:val="24"/>
        </w:rPr>
        <w:t>b</w:t>
      </w:r>
      <w:r w:rsidRPr="00576ED7">
        <w:rPr>
          <w:szCs w:val="24"/>
        </w:rPr>
        <w:t>ject to the contribution limits of the succeeding year.  § 170(d)(1)(A)(i).   The ca</w:t>
      </w:r>
      <w:r w:rsidRPr="00576ED7">
        <w:rPr>
          <w:szCs w:val="24"/>
        </w:rPr>
        <w:t>r</w:t>
      </w:r>
      <w:r w:rsidRPr="00576ED7">
        <w:rPr>
          <w:szCs w:val="24"/>
        </w:rPr>
        <w:t>ryforward period is five years.  § 170(d)(1)(A).  This may discourage particularly generous taxpayers from making contributions in excess of the limits any more frequently than once every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income as charitable contributions.  § 170(b)(2)(A).  A corporation may not circumvent this limitation by recharacterizing a contribution or gift that qualifies as a charitable contribution as a business expenditure.  § 162(b).  A corporation computes its ta</w:t>
      </w:r>
      <w:r w:rsidRPr="00576ED7">
        <w:rPr>
          <w:szCs w:val="24"/>
        </w:rPr>
        <w:t>x</w:t>
      </w:r>
      <w:r w:rsidRPr="00576ED7">
        <w:rPr>
          <w:szCs w:val="24"/>
        </w:rPr>
        <w:t>able income for purposes of calculating this limit without regard to any dividends-received  deduction, NOL carryback, § 199 deduction for domestic production activities, and capital loss carryback.  § 170(b)(2)(C).  A corporation may carry over an excess contribution to each of the next succeeding five tax years.  § 170(d)(2)(A).   The carryover cannot operate to increase an NOL in a succeeding year.  § 170(d)(2)(B).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Taxpayer made a $1000 contribution to WKNO-FM, the local public radio station.  WKNO-FM is an “A” organization.  Because Taxpayer gave “at the $1000 level,” WKNO-FM presented Taxpayer with a HD radio.  WKNO-FM had purchased several such radios for its fund-raising drive at a cost of $163 each.  The fmv of the radio was $200.  Taxpayer already owned an HD radio so s/he put the new one – still in the box it came in – in the attic.  How much may Taxpayer deduct as a charitable contribution?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 play it is cu</w:t>
      </w:r>
      <w:r w:rsidRPr="00576ED7">
        <w:rPr>
          <w:szCs w:val="24"/>
        </w:rPr>
        <w:t>r</w:t>
      </w:r>
      <w:r w:rsidRPr="00576ED7">
        <w:rPr>
          <w:szCs w:val="24"/>
        </w:rPr>
        <w:t>rently showing.  A ticket to see the same play on Saturday night – the immediat</w:t>
      </w:r>
      <w:r w:rsidRPr="00576ED7">
        <w:rPr>
          <w:szCs w:val="24"/>
        </w:rPr>
        <w:t>e</w:t>
      </w:r>
      <w:r w:rsidRPr="00576ED7">
        <w:rPr>
          <w:szCs w:val="24"/>
        </w:rPr>
        <w:t>ly preceding night – normally costs $35.  Many charities engage Playhouse on the Circle to raise funds for their organization.  St. Marlboro, an “A” organization e</w:t>
      </w:r>
      <w:r w:rsidRPr="00576ED7">
        <w:rPr>
          <w:szCs w:val="24"/>
        </w:rPr>
        <w:t>n</w:t>
      </w:r>
      <w:r w:rsidRPr="00576ED7">
        <w:rPr>
          <w:szCs w:val="24"/>
        </w:rPr>
        <w:t xml:space="preserve">gaged in medical research to determine the consequences of smoking only a few cigarettes a day, has “bought the house” and is selling tickets for $35/each.  If </w:t>
      </w:r>
      <w:r w:rsidRPr="00576ED7">
        <w:rPr>
          <w:szCs w:val="24"/>
        </w:rPr>
        <w:lastRenderedPageBreak/>
        <w:t>Taxpayer purchased four tickets at a total cost of $140, how much should Ta</w:t>
      </w:r>
      <w:r w:rsidRPr="00576ED7">
        <w:rPr>
          <w:szCs w:val="24"/>
        </w:rPr>
        <w:t>x</w:t>
      </w:r>
      <w:r w:rsidRPr="00576ED7">
        <w:rPr>
          <w:szCs w:val="24"/>
        </w:rPr>
        <w:t>payer be permitted to deduct as a charitable contribution if Taxpayer throws the tickets away because s/he is not the least bit interested in seeing the play that Playhouse is currently showing?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 (Example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10b.  Taxpayer has $200,000 of adjusted gross income and no NOL carryback.  Taxpayer made the following charitable contributions:</w:t>
      </w:r>
    </w:p>
    <w:p w:rsidR="0049128E" w:rsidRPr="00576ED7" w:rsidRDefault="0049128E" w:rsidP="00A6585D">
      <w:pPr>
        <w:widowControl w:val="0"/>
        <w:ind w:left="720"/>
        <w:jc w:val="both"/>
        <w:rPr>
          <w:szCs w:val="24"/>
        </w:rPr>
      </w:pPr>
      <w:r w:rsidRPr="00576ED7">
        <w:rPr>
          <w:szCs w:val="24"/>
        </w:rPr>
        <w:t>•$20,000 cash to her church, an “A” charity;</w:t>
      </w:r>
    </w:p>
    <w:p w:rsidR="0049128E" w:rsidRPr="00576ED7" w:rsidRDefault="0049128E" w:rsidP="00A6585D">
      <w:pPr>
        <w:widowControl w:val="0"/>
        <w:ind w:left="720"/>
        <w:jc w:val="both"/>
        <w:rPr>
          <w:szCs w:val="24"/>
        </w:rPr>
      </w:pPr>
      <w:r w:rsidRPr="00576ED7">
        <w:rPr>
          <w:szCs w:val="24"/>
        </w:rPr>
        <w:t>•”long-term capital gain property” to her favorite university, an “A” char</w:t>
      </w:r>
      <w:r w:rsidRPr="00576ED7">
        <w:rPr>
          <w:szCs w:val="24"/>
        </w:rPr>
        <w:t>i</w:t>
      </w:r>
      <w:r w:rsidRPr="00576ED7">
        <w:rPr>
          <w:szCs w:val="24"/>
        </w:rPr>
        <w:t>ty, ab = $10,000, fmv = $80,000;</w:t>
      </w:r>
    </w:p>
    <w:p w:rsidR="0049128E" w:rsidRPr="00576ED7" w:rsidRDefault="0049128E" w:rsidP="00A6585D">
      <w:pPr>
        <w:widowControl w:val="0"/>
        <w:ind w:left="720"/>
        <w:jc w:val="both"/>
        <w:rPr>
          <w:szCs w:val="24"/>
        </w:rPr>
      </w:pPr>
      <w:r w:rsidRPr="00576ED7">
        <w:rPr>
          <w:szCs w:val="24"/>
        </w:rPr>
        <w:t>•”long-term capital gain property” to the sorority of which she was a member during her years in college, a “B” organization, ab = $15,000, fmv = $40,000.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10c.  Taxpayer has $200,000 of adjusted gross income and no NOL carryback.  Taxpayer made no charitable contributions except for the following transaction:</w:t>
      </w:r>
    </w:p>
    <w:p w:rsidR="0049128E" w:rsidRPr="00576ED7" w:rsidRDefault="0049128E" w:rsidP="00A6585D">
      <w:pPr>
        <w:widowControl w:val="0"/>
        <w:ind w:left="720"/>
        <w:jc w:val="both"/>
        <w:rPr>
          <w:szCs w:val="24"/>
        </w:rPr>
      </w:pPr>
      <w:r w:rsidRPr="00576ED7">
        <w:rPr>
          <w:szCs w:val="24"/>
        </w:rPr>
        <w:t>•Taxpayer sold to a “B” charity some stock that he purchased many years ago for $10,000.  Its current fmv = $50,000.  Taxpayer sold the stock to the charity for $10,000.</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What are the tax consequences to Taxpayer?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46CF0EA" wp14:editId="72632988">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11.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Deductions: Charit</w:t>
      </w:r>
      <w:r w:rsidR="0049128E" w:rsidRPr="00576ED7">
        <w:rPr>
          <w:i/>
          <w:szCs w:val="24"/>
        </w:rPr>
        <w:t>a</w:t>
      </w:r>
      <w:r w:rsidR="0049128E" w:rsidRPr="00576ED7">
        <w:rPr>
          <w:i/>
          <w:szCs w:val="24"/>
        </w:rPr>
        <w:t>ble Contribution Deductions: Basic Concepts and Computations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164 names some taxes that are deductible, irrespective of the circu</w:t>
      </w:r>
      <w:r w:rsidRPr="00576ED7">
        <w:rPr>
          <w:szCs w:val="24"/>
        </w:rPr>
        <w:t>m</w:t>
      </w:r>
      <w:r w:rsidRPr="00576ED7">
        <w:rPr>
          <w:szCs w:val="24"/>
        </w:rPr>
        <w:t>stances of the taxpayer.  The payments do not have to be connected with a trade or business, or for the production of income.  They are deductible simply because taxpayer paid them.  Section 275 names certain taxes that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of course an involuntary element of paying any of the taxes that § 164 </w:t>
      </w:r>
      <w:r w:rsidRPr="00576ED7">
        <w:rPr>
          <w:szCs w:val="24"/>
        </w:rPr>
        <w:lastRenderedPageBreak/>
        <w:t>names.  However, there is also an element of choice involved in the sense that some taxes are simply the cost of owning property – wherever situated – or ma</w:t>
      </w:r>
      <w:r w:rsidRPr="00576ED7">
        <w:rPr>
          <w:szCs w:val="24"/>
        </w:rPr>
        <w:t>k</w:t>
      </w:r>
      <w:r w:rsidRPr="00576ED7">
        <w:rPr>
          <w:szCs w:val="24"/>
        </w:rPr>
        <w:t>ing income in one place rather than another.  Moreover, the taxes named support governments other than the federal government.  Thus the taxpayer’s costs of ta</w:t>
      </w:r>
      <w:r w:rsidRPr="00576ED7">
        <w:rPr>
          <w:szCs w:val="24"/>
        </w:rPr>
        <w:t>x</w:t>
      </w:r>
      <w:r w:rsidRPr="00576ED7">
        <w:rPr>
          <w:szCs w:val="24"/>
        </w:rPr>
        <w:t>es associated with the choices that taxpayer makes are borne at least in part by the federal government.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Some important points about §§ 164/275 are the following:</w:t>
      </w:r>
    </w:p>
    <w:p w:rsidR="0049128E" w:rsidRPr="00576ED7" w:rsidRDefault="0049128E" w:rsidP="00A6585D">
      <w:pPr>
        <w:widowControl w:val="0"/>
        <w:ind w:left="720"/>
        <w:jc w:val="both"/>
        <w:rPr>
          <w:szCs w:val="24"/>
        </w:rPr>
      </w:pPr>
      <w:r w:rsidRPr="00576ED7">
        <w:rPr>
          <w:szCs w:val="24"/>
        </w:rPr>
        <w:t>•To be deductible, a “personal property tax” must be an ad valorem tax, § 164(b)(1), i.e., “substantially in proportion to the value of the personal property.”  Reg. § 1.164-3(c)(1).  Thus payment of a uniform “wheel tax” imposed on automobiles is not deductible.</w:t>
      </w:r>
    </w:p>
    <w:p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 164(b)(5)(A).  For a time, state and local sales taxes were not deductible.</w:t>
      </w:r>
    </w:p>
    <w:p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w:t>
      </w:r>
      <w:r w:rsidRPr="00576ED7">
        <w:rPr>
          <w:szCs w:val="24"/>
        </w:rPr>
        <w:t>v</w:t>
      </w:r>
      <w:r w:rsidRPr="00576ED7">
        <w:rPr>
          <w:szCs w:val="24"/>
        </w:rPr>
        <w:t>enue through income taxes, through sales taxes, or through a co</w:t>
      </w:r>
      <w:r w:rsidRPr="00576ED7">
        <w:rPr>
          <w:szCs w:val="24"/>
        </w:rPr>
        <w:t>m</w:t>
      </w:r>
      <w:r w:rsidRPr="00576ED7">
        <w:rPr>
          <w:szCs w:val="24"/>
        </w:rPr>
        <w:t>bination of income and sales taxes?</w:t>
      </w:r>
    </w:p>
    <w:p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assessed” are not deductible.  Reg. § 1.164-4(a) provides in part: “A tax is considered a</w:t>
      </w:r>
      <w:r w:rsidRPr="00576ED7">
        <w:rPr>
          <w:szCs w:val="24"/>
        </w:rPr>
        <w:t>s</w:t>
      </w:r>
      <w:r w:rsidRPr="00576ED7">
        <w:rPr>
          <w:szCs w:val="24"/>
        </w:rPr>
        <w:t>sessed against local benefits when the property subject to the tax is limited to property benefited.  Special assessments are not deductible, even though an incidental benefit may inure to the public welfare.  The real property taxes deductible are those levied for the general public welfare by the proper taxing authorities at a like rate against all property in the territory over which such authorities have jurisdiction.”</w:t>
      </w:r>
    </w:p>
    <w:p w:rsidR="0049128E" w:rsidRPr="00576ED7" w:rsidRDefault="0049128E" w:rsidP="00A6585D">
      <w:pPr>
        <w:widowControl w:val="0"/>
        <w:ind w:left="1440"/>
        <w:jc w:val="both"/>
        <w:rPr>
          <w:szCs w:val="24"/>
        </w:rPr>
      </w:pPr>
      <w:r w:rsidRPr="00576ED7">
        <w:rPr>
          <w:szCs w:val="24"/>
        </w:rPr>
        <w:t>•If a property owner may not deduct an assessment for the co</w:t>
      </w:r>
      <w:r w:rsidRPr="00576ED7">
        <w:rPr>
          <w:szCs w:val="24"/>
        </w:rPr>
        <w:t>n</w:t>
      </w:r>
      <w:r w:rsidRPr="00576ED7">
        <w:rPr>
          <w:szCs w:val="24"/>
        </w:rPr>
        <w:t>struction of, say, sidewalks in his/her neighborhood, should the property owner be permitted to add the amount of the assessment to his/her basis in his/her property?</w:t>
      </w:r>
    </w:p>
    <w:p w:rsidR="0049128E" w:rsidRPr="00576ED7" w:rsidRDefault="0049128E" w:rsidP="00A6585D">
      <w:pPr>
        <w:widowControl w:val="0"/>
        <w:ind w:left="720"/>
        <w:jc w:val="both"/>
        <w:rPr>
          <w:szCs w:val="24"/>
        </w:rPr>
      </w:pPr>
      <w:r w:rsidRPr="00576ED7">
        <w:rPr>
          <w:szCs w:val="24"/>
        </w:rPr>
        <w:t>•If real property is sold during a tax year, § 164(d) pro rates the real pro</w:t>
      </w:r>
      <w:r w:rsidRPr="00576ED7">
        <w:rPr>
          <w:szCs w:val="24"/>
        </w:rPr>
        <w:t>p</w:t>
      </w:r>
      <w:r w:rsidRPr="00576ED7">
        <w:rPr>
          <w:szCs w:val="24"/>
        </w:rPr>
        <w:t>erty tax allocable to seller and buyer by the number of days each owned the property.  The seller is treated as owning the property up to the day b</w:t>
      </w:r>
      <w:r w:rsidRPr="00576ED7">
        <w:rPr>
          <w:szCs w:val="24"/>
        </w:rPr>
        <w:t>e</w:t>
      </w:r>
      <w:r w:rsidRPr="00576ED7">
        <w:rPr>
          <w:szCs w:val="24"/>
        </w:rPr>
        <w:t>fore the sale.  § 164(d)(1)(A).</w:t>
      </w:r>
    </w:p>
    <w:p w:rsidR="0049128E" w:rsidRPr="00576ED7" w:rsidRDefault="0049128E" w:rsidP="00A6585D">
      <w:pPr>
        <w:widowControl w:val="0"/>
        <w:ind w:left="1440"/>
        <w:jc w:val="both"/>
        <w:rPr>
          <w:szCs w:val="24"/>
        </w:rPr>
      </w:pPr>
      <w:r w:rsidRPr="00576ED7">
        <w:rPr>
          <w:szCs w:val="24"/>
        </w:rPr>
        <w:t>•How should a seller treat real estate taxes that the seller has a</w:t>
      </w:r>
      <w:r w:rsidRPr="00576ED7">
        <w:rPr>
          <w:szCs w:val="24"/>
        </w:rPr>
        <w:t>l</w:t>
      </w:r>
      <w:r w:rsidRPr="00576ED7">
        <w:rPr>
          <w:szCs w:val="24"/>
        </w:rPr>
        <w:t xml:space="preserve">ready paid and for which s/he received reimbursement from the buyer? </w:t>
      </w:r>
      <w:r w:rsidRPr="00576ED7">
        <w:rPr>
          <w:i/>
          <w:szCs w:val="24"/>
        </w:rPr>
        <w:t>See</w:t>
      </w:r>
      <w:r w:rsidRPr="00576ED7">
        <w:rPr>
          <w:szCs w:val="24"/>
        </w:rPr>
        <w:t xml:space="preserve"> § 1001(b)(1).</w:t>
      </w:r>
    </w:p>
    <w:p w:rsidR="0049128E" w:rsidRPr="00576ED7" w:rsidRDefault="0049128E" w:rsidP="00A6585D">
      <w:pPr>
        <w:widowControl w:val="0"/>
        <w:ind w:left="1440"/>
        <w:jc w:val="both"/>
        <w:rPr>
          <w:szCs w:val="24"/>
        </w:rPr>
      </w:pPr>
      <w:r w:rsidRPr="00576ED7">
        <w:rPr>
          <w:szCs w:val="24"/>
        </w:rPr>
        <w:lastRenderedPageBreak/>
        <w:t xml:space="preserve">•How should a seller treat real estate taxes that are the obligation of the seller but which the purchaser pays, perhaps because they are only due after the date of sale? </w:t>
      </w:r>
      <w:r w:rsidRPr="00576ED7">
        <w:rPr>
          <w:i/>
          <w:szCs w:val="24"/>
        </w:rPr>
        <w:t>See</w:t>
      </w:r>
      <w:r w:rsidRPr="00576ED7">
        <w:rPr>
          <w:szCs w:val="24"/>
        </w:rPr>
        <w:t xml:space="preserve"> § 1001(b)(2).</w:t>
      </w:r>
    </w:p>
    <w:p w:rsidR="0049128E" w:rsidRPr="00576ED7" w:rsidRDefault="0049128E" w:rsidP="00A6585D">
      <w:pPr>
        <w:widowControl w:val="0"/>
        <w:ind w:left="720"/>
        <w:jc w:val="both"/>
        <w:rPr>
          <w:szCs w:val="24"/>
        </w:rPr>
      </w:pPr>
      <w:r w:rsidRPr="00576ED7">
        <w:rPr>
          <w:szCs w:val="24"/>
        </w:rPr>
        <w:t>•The last sentence of § 164(a) provides that taxes paid in connection with the sale or acquisition of property are to be treated as amount realized or cost.</w:t>
      </w:r>
    </w:p>
    <w:p w:rsidR="0049128E" w:rsidRPr="00576ED7" w:rsidRDefault="0049128E" w:rsidP="00A6585D">
      <w:pPr>
        <w:widowControl w:val="0"/>
        <w:ind w:left="1440"/>
        <w:jc w:val="both"/>
        <w:rPr>
          <w:szCs w:val="24"/>
        </w:rPr>
      </w:pPr>
      <w:r w:rsidRPr="00576ED7">
        <w:rPr>
          <w:szCs w:val="24"/>
        </w:rPr>
        <w:t>•If this treatment of such taxes does not (ultimately) alter taxpa</w:t>
      </w:r>
      <w:r w:rsidRPr="00576ED7">
        <w:rPr>
          <w:szCs w:val="24"/>
        </w:rPr>
        <w:t>y</w:t>
      </w:r>
      <w:r w:rsidRPr="00576ED7">
        <w:rPr>
          <w:szCs w:val="24"/>
        </w:rPr>
        <w:t>er’s taxable income, what difference does it make to deduct a pa</w:t>
      </w:r>
      <w:r w:rsidRPr="00576ED7">
        <w:rPr>
          <w:szCs w:val="24"/>
        </w:rPr>
        <w:t>y</w:t>
      </w:r>
      <w:r w:rsidRPr="00576ED7">
        <w:rPr>
          <w:szCs w:val="24"/>
        </w:rPr>
        <w:t>ment as opposed to reducing the amount realized or increasing the cost?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13D2F28" wp14:editId="0346E8D4">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4" w:name="_Toc375132951"/>
      <w:r w:rsidRPr="00576ED7">
        <w:t>II.  Denial of Discretion in Choosing How or What to Consume</w:t>
      </w:r>
      <w:bookmarkEnd w:id="64"/>
      <w:r w:rsidRPr="00576ED7">
        <w:fldChar w:fldCharType="begin"/>
      </w:r>
      <w:r w:rsidRPr="00576ED7">
        <w:instrText xml:space="preserve"> TC \l1 "II.  Denial of Discretion in Choosing How or What to Consume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insurance or otherwise” to the extent such expenses exceed 10% of the taxpayer’s adjusted gross income.  This includes the expenses of </w:t>
      </w:r>
      <w:r w:rsidRPr="00576ED7">
        <w:rPr>
          <w:i/>
          <w:szCs w:val="24"/>
        </w:rPr>
        <w:t>prescription</w:t>
      </w:r>
      <w:r w:rsidRPr="00576ED7">
        <w:rPr>
          <w:szCs w:val="24"/>
        </w:rPr>
        <w:t xml:space="preserve"> drugs.  § 213(b).  Section 213(d)(1)(A) defines “medical care” expenses to include expenditures “for  the diagnosis, cure, mitigation, treatment, or prevention of disease, or for the purpose of affecting any structure or function of the body.”  Medical care expenses also includes the expenses of tran</w:t>
      </w:r>
      <w:r w:rsidRPr="00576ED7">
        <w:rPr>
          <w:szCs w:val="24"/>
        </w:rPr>
        <w:t>s</w:t>
      </w:r>
      <w:r w:rsidRPr="00576ED7">
        <w:rPr>
          <w:szCs w:val="24"/>
        </w:rPr>
        <w:t>portation “primarily for and essential to medical care,” certain long-term care se</w:t>
      </w:r>
      <w:r w:rsidRPr="00576ED7">
        <w:rPr>
          <w:szCs w:val="24"/>
        </w:rPr>
        <w:t>r</w:t>
      </w:r>
      <w:r w:rsidRPr="00576ED7">
        <w:rPr>
          <w:szCs w:val="24"/>
        </w:rPr>
        <w:t>vices, and insurance that covers “medical care” as so defined.</w:t>
      </w:r>
    </w:p>
    <w:p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w:t>
      </w:r>
      <w:r w:rsidRPr="00576ED7">
        <w:rPr>
          <w:i/>
          <w:szCs w:val="24"/>
        </w:rPr>
        <w:t>m</w:t>
      </w:r>
      <w:r w:rsidRPr="00576ED7">
        <w:rPr>
          <w:i/>
          <w:szCs w:val="24"/>
        </w:rPr>
        <w:t>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Pr="00576ED7">
        <w:rPr>
          <w:szCs w:val="24"/>
        </w:rPr>
        <w:t xml:space="preserve">  What type of medical expenditures are such taxpayers likely to make?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are met once again by the chicken-and-egg question of when taxpayer’s pe</w:t>
      </w:r>
      <w:r w:rsidRPr="00576ED7">
        <w:rPr>
          <w:szCs w:val="24"/>
        </w:rPr>
        <w:t>r</w:t>
      </w:r>
      <w:r w:rsidRPr="00576ED7">
        <w:rPr>
          <w:szCs w:val="24"/>
        </w:rPr>
        <w:t xml:space="preserve">sonal circumstances can support a deduction for certain expenditures.   </w:t>
      </w:r>
      <w:r w:rsidRPr="00576ED7">
        <w:rPr>
          <w:i/>
          <w:szCs w:val="24"/>
        </w:rPr>
        <w:t>Why</w:t>
      </w:r>
      <w:r w:rsidRPr="00576ED7">
        <w:rPr>
          <w:szCs w:val="24"/>
        </w:rPr>
        <w:t xml:space="preserve"> did taxpayer have little choice in making the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2d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raised by this appeal is whether the taxpayer Samuel Ochs was ent</w:t>
      </w:r>
      <w:r w:rsidRPr="00576ED7">
        <w:rPr>
          <w:szCs w:val="24"/>
        </w:rPr>
        <w:t>i</w:t>
      </w:r>
      <w:r w:rsidRPr="00576ED7">
        <w:rPr>
          <w:szCs w:val="24"/>
        </w:rPr>
        <w:t>tled under § [213] of the Internal Revenue Code to deduct the sum of $1,456.50 paid by him for maintaining his two minor children in day school and boarding school as medical expenses incurred for the benefit of his wife.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made the following findings: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w:t>
      </w:r>
      <w:r w:rsidRPr="00576ED7">
        <w:rPr>
          <w:szCs w:val="24"/>
        </w:rPr>
        <w:t>r</w:t>
      </w:r>
      <w:r w:rsidRPr="00576ED7">
        <w:rPr>
          <w:szCs w:val="24"/>
        </w:rPr>
        <w:t>ing the latter half of the year at a cost of $1,456.50. Petitioner deducted this sum from his income for the year 1946 as a medical expense under § [213]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w:t>
      </w:r>
      <w:r w:rsidRPr="00576ED7">
        <w:rPr>
          <w:szCs w:val="24"/>
        </w:rPr>
        <w:t>e</w:t>
      </w:r>
      <w:r w:rsidRPr="00576ED7">
        <w:rPr>
          <w:szCs w:val="24"/>
        </w:rPr>
        <w:t>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w:t>
      </w:r>
      <w:r w:rsidRPr="00576ED7">
        <w:rPr>
          <w:szCs w:val="24"/>
        </w:rPr>
        <w:t>s</w:t>
      </w:r>
      <w:r w:rsidRPr="00576ED7">
        <w:rPr>
          <w:szCs w:val="24"/>
        </w:rPr>
        <w:t>ness and irritation might cause a recurrence of the cancer. Petitioner co</w:t>
      </w:r>
      <w:r w:rsidRPr="00576ED7">
        <w:rPr>
          <w:szCs w:val="24"/>
        </w:rPr>
        <w:t>n</w:t>
      </w:r>
      <w:r w:rsidRPr="00576ED7">
        <w:rPr>
          <w:szCs w:val="24"/>
        </w:rPr>
        <w:t>tinued to maintain his children in boarding school after the taxable year here involved until up to the end of five years following the operation of December 10, 1943, petitioner having been advised that if there was no r</w:t>
      </w:r>
      <w:r w:rsidRPr="00576ED7">
        <w:rPr>
          <w:szCs w:val="24"/>
        </w:rPr>
        <w:t>e</w:t>
      </w:r>
      <w:r w:rsidRPr="00576ED7">
        <w:rPr>
          <w:szCs w:val="24"/>
        </w:rPr>
        <w:lastRenderedPageBreak/>
        <w:t>currence of the cancer during that time his wife could be considered as having recovered from the cancer.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w:t>
      </w:r>
      <w:r w:rsidRPr="00576ED7">
        <w:rPr>
          <w:szCs w:val="24"/>
        </w:rPr>
        <w:t>e</w:t>
      </w:r>
      <w:r w:rsidRPr="00576ED7">
        <w:rPr>
          <w:szCs w:val="24"/>
        </w:rPr>
        <w:t>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w:t>
      </w:r>
      <w:r w:rsidRPr="00576ED7">
        <w:rPr>
          <w:szCs w:val="24"/>
        </w:rPr>
        <w:t>e</w:t>
      </w:r>
      <w:r w:rsidRPr="00576ED7">
        <w:rPr>
          <w:szCs w:val="24"/>
        </w:rPr>
        <w:t>covered the use of her voice and seems to have entirely recovered from her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said in its opinion that it had no reason to doubt the good faith and truthfulness of the taxpayer ..., but it nevertheless held that the expense of sending the children to school was not deductible as a medical expense under the prov</w:t>
      </w:r>
      <w:r w:rsidRPr="00576ED7">
        <w:rPr>
          <w:szCs w:val="24"/>
        </w:rPr>
        <w:t>i</w:t>
      </w:r>
      <w:r w:rsidRPr="00576ED7">
        <w:rPr>
          <w:szCs w:val="24"/>
        </w:rPr>
        <w:t>sions of § [213]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expenses incurred by the taxpayer were non-deductible family expenses within the meaning of § [262(a)] of the Code rather than medical e</w:t>
      </w:r>
      <w:r w:rsidRPr="00576ED7">
        <w:rPr>
          <w:szCs w:val="24"/>
        </w:rPr>
        <w:t>x</w:t>
      </w:r>
      <w:r w:rsidRPr="00576ED7">
        <w:rPr>
          <w:szCs w:val="24"/>
        </w:rPr>
        <w:t>penses. Concededly the line between the two is a difficult one to draw, but this only reflects the fact that expenditures made on behalf of some members of a fa</w:t>
      </w:r>
      <w:r w:rsidRPr="00576ED7">
        <w:rPr>
          <w:szCs w:val="24"/>
        </w:rPr>
        <w:t>m</w:t>
      </w:r>
      <w:r w:rsidRPr="00576ED7">
        <w:rPr>
          <w:szCs w:val="24"/>
        </w:rPr>
        <w:t xml:space="preserve">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w:t>
      </w:r>
      <w:r w:rsidRPr="00576ED7">
        <w:rPr>
          <w:szCs w:val="24"/>
        </w:rPr>
        <w:lastRenderedPageBreak/>
        <w:t>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FRANK,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only sensible criterion of a ‘medical expense’ – and I think this criterion sa</w:t>
      </w:r>
      <w:r w:rsidRPr="00576ED7">
        <w:rPr>
          <w:szCs w:val="24"/>
        </w:rPr>
        <w:t>t</w:t>
      </w:r>
      <w:r w:rsidRPr="00576ED7">
        <w:rPr>
          <w:szCs w:val="24"/>
        </w:rPr>
        <w: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w:t>
      </w:r>
      <w:r w:rsidRPr="00576ED7">
        <w:rPr>
          <w:szCs w:val="24"/>
        </w:rPr>
        <w:t>r</w:t>
      </w:r>
      <w:r w:rsidRPr="00576ED7">
        <w:rPr>
          <w:szCs w:val="24"/>
        </w:rPr>
        <w:lastRenderedPageBreak/>
        <w:t>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 Is the treatment closely geared to a particular condition and not just to the patient’s general good health or well-being?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My colleagues are particularly worried about family expenses, traditionally no</w:t>
      </w:r>
      <w:r w:rsidRPr="00576ED7">
        <w:rPr>
          <w:szCs w:val="24"/>
        </w:rPr>
        <w:t>n</w:t>
      </w:r>
      <w:r w:rsidRPr="00576ED7">
        <w:rPr>
          <w:szCs w:val="24"/>
        </w:rPr>
        <w:t>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w:t>
      </w:r>
      <w:r w:rsidRPr="00576ED7">
        <w:rPr>
          <w:szCs w:val="24"/>
        </w:rPr>
        <w:t>e</w:t>
      </w:r>
      <w:r w:rsidRPr="00576ED7">
        <w:rPr>
          <w:szCs w:val="24"/>
        </w:rPr>
        <w:t>cause there was no one to take care of them. Och’s expenditures fit into the Co</w:t>
      </w:r>
      <w:r w:rsidRPr="00576ED7">
        <w:rPr>
          <w:szCs w:val="24"/>
        </w:rPr>
        <w:t>n</w:t>
      </w:r>
      <w:r w:rsidRPr="00576ED7">
        <w:rPr>
          <w:szCs w:val="24"/>
        </w:rPr>
        <w:t>gressional test for medical deductions because he was compelled to go to the e</w:t>
      </w:r>
      <w:r w:rsidRPr="00576ED7">
        <w:rPr>
          <w:szCs w:val="24"/>
        </w:rPr>
        <w:t>x</w:t>
      </w:r>
      <w:r w:rsidRPr="00576ED7">
        <w:rPr>
          <w:szCs w:val="24"/>
        </w:rPr>
        <w:t>pense of putting the children away primarily for the benefit of his sick wife. E</w:t>
      </w:r>
      <w:r w:rsidRPr="00576ED7">
        <w:rPr>
          <w:szCs w:val="24"/>
        </w:rPr>
        <w:t>x</w:t>
      </w:r>
      <w:r w:rsidRPr="00576ED7">
        <w:rPr>
          <w:szCs w:val="24"/>
        </w:rPr>
        <w:t xml:space="preserve">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w:t>
      </w:r>
      <w:r w:rsidRPr="00576ED7">
        <w:rPr>
          <w:szCs w:val="24"/>
        </w:rPr>
        <w:t>r</w:t>
      </w:r>
      <w:r w:rsidRPr="00576ED7">
        <w:rPr>
          <w:szCs w:val="24"/>
        </w:rPr>
        <w:t>ing for a healthy infant whose mother had died in childbirth. The case turned on the simple fact that, where there is no patient, there can be no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w:t>
      </w:r>
      <w:r w:rsidRPr="00576ED7">
        <w:rPr>
          <w:i/>
          <w:szCs w:val="24"/>
        </w:rPr>
        <w:t>s</w:t>
      </w:r>
      <w:r w:rsidRPr="00576ED7">
        <w:rPr>
          <w:i/>
          <w:szCs w:val="24"/>
        </w:rPr>
        <w:t>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w:t>
      </w:r>
      <w:r w:rsidRPr="00576ED7">
        <w:rPr>
          <w:szCs w:val="24"/>
        </w:rPr>
        <w:t>h</w:t>
      </w:r>
      <w:r w:rsidRPr="00576ED7">
        <w:rPr>
          <w:szCs w:val="24"/>
        </w:rPr>
        <w:t xml:space="preserve">erwise be around the mother. ...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How much discretion did taxpayer have in incurring the particular expense in </w:t>
      </w:r>
      <w:r w:rsidRPr="00576ED7">
        <w:rPr>
          <w:i/>
          <w:szCs w:val="24"/>
        </w:rPr>
        <w:t>Ochs</w:t>
      </w:r>
      <w:r w:rsidRPr="00576ED7">
        <w:rPr>
          <w:szCs w:val="24"/>
        </w:rPr>
        <w:t>? If taxpayer had paid for Mrs. Ochs to reside in a sanitarium, that expense would qualify as a medical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  In 1962 she ran away from mental hospitals twice after voluntarily entering them. Her doctors advised Mr. Gerstac</w:t>
      </w:r>
      <w:r w:rsidRPr="00576ED7">
        <w:rPr>
          <w:szCs w:val="24"/>
        </w:rPr>
        <w:t>k</w:t>
      </w:r>
      <w:r w:rsidRPr="00576ED7">
        <w:rPr>
          <w:szCs w:val="24"/>
        </w:rPr>
        <w:t>er that successful treatment required continuing control of the doctors so that Mrs. Gerstacker could not leave and disrupt her therapy. They recommended guardia</w:t>
      </w:r>
      <w:r w:rsidRPr="00576ED7">
        <w:rPr>
          <w:szCs w:val="24"/>
        </w:rPr>
        <w:t>n</w:t>
      </w:r>
      <w:r w:rsidRPr="00576ED7">
        <w:rPr>
          <w:szCs w:val="24"/>
        </w:rPr>
        <w:t xml:space="preserve">ship proceedings and hospitalization in Milwaukee Sanitarium, </w:t>
      </w:r>
      <w:r w:rsidR="004020EF" w:rsidRPr="00576ED7">
        <w:rPr>
          <w:szCs w:val="24"/>
        </w:rPr>
        <w:t>Wauwatosa</w:t>
      </w:r>
      <w:r w:rsidRPr="00576ED7">
        <w:rPr>
          <w:szCs w:val="24"/>
        </w:rPr>
        <w:t>, Wi</w:t>
      </w:r>
      <w:r w:rsidRPr="00576ED7">
        <w:rPr>
          <w:szCs w:val="24"/>
        </w:rPr>
        <w:t>s</w:t>
      </w:r>
      <w:r w:rsidRPr="00576ED7">
        <w:rPr>
          <w:szCs w:val="24"/>
        </w:rPr>
        <w:t>consin. Mr. Gerstacker instituted guardianship proceedings.  Both Mr. and Mrs. Gerstacker employed attorneys. 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25EB194" wp14:editId="15CF6D30">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Medical Expense D</w:t>
      </w:r>
      <w:r w:rsidR="0049128E" w:rsidRPr="00576ED7">
        <w:rPr>
          <w:i/>
          <w:szCs w:val="24"/>
        </w:rPr>
        <w:t>e</w:t>
      </w:r>
      <w:r w:rsidR="0049128E" w:rsidRPr="00576ED7">
        <w:rPr>
          <w:i/>
          <w:szCs w:val="24"/>
        </w:rPr>
        <w:t>ductions</w:t>
      </w:r>
      <w:r w:rsidR="0049128E" w:rsidRPr="00576ED7">
        <w:rPr>
          <w:szCs w:val="24"/>
        </w:rPr>
        <w:t>.</w:t>
      </w:r>
      <w:r w:rsidR="00B1126A">
        <w:rPr>
          <w:szCs w:val="24"/>
        </w:rPr>
        <w:t xml:space="preserve">  Do not worry about question17.  The floor is now 10%.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165(c)(3), § 165(e), § 165(h), § 165(i).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Losses caused by “fire, storm, shipwreck, or other casualty, or from theft” do not usually result from personal consumption choices.  Hence, a deduction seems a</w:t>
      </w:r>
      <w:r w:rsidRPr="00576ED7">
        <w:rPr>
          <w:szCs w:val="24"/>
        </w:rPr>
        <w:t>p</w:t>
      </w:r>
      <w:r w:rsidRPr="00576ED7">
        <w:rPr>
          <w:szCs w:val="24"/>
        </w:rPr>
        <w:t>propriate.  From the beginning, a problem has been to distinguish between a “bad hair day” and the type of damage that represents  such a deprivation of consum</w:t>
      </w:r>
      <w:r w:rsidRPr="00576ED7">
        <w:rPr>
          <w:szCs w:val="24"/>
        </w:rPr>
        <w:t>p</w:t>
      </w:r>
      <w:r w:rsidRPr="00576ED7">
        <w:rPr>
          <w:szCs w:val="24"/>
        </w:rPr>
        <w:t>tion choice that a taxpayer should be permitted to share his/her burden with other taxpayers.  This has not proved to be an easy line to draw – and one does not have to search the digests very hard to find contradictory results.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Courts have had great difficulty defining “casualty,” and there is no definition in the regulations.  Certain considerations seem relevant:</w:t>
      </w:r>
    </w:p>
    <w:p w:rsidR="0049128E" w:rsidRPr="00576ED7" w:rsidRDefault="0049128E" w:rsidP="00A6585D">
      <w:pPr>
        <w:widowControl w:val="0"/>
        <w:ind w:left="720"/>
        <w:jc w:val="both"/>
        <w:rPr>
          <w:szCs w:val="24"/>
        </w:rPr>
      </w:pPr>
      <w:r w:rsidRPr="00576ED7">
        <w:rPr>
          <w:szCs w:val="24"/>
        </w:rPr>
        <w:t>•Not every loss should be treated as resulting from a casualty.  We drop a plate, and it breaks.  It’s called “life,” not a casualty.</w:t>
      </w:r>
    </w:p>
    <w:p w:rsidR="0049128E" w:rsidRPr="00576ED7" w:rsidRDefault="0049128E" w:rsidP="00A6585D">
      <w:pPr>
        <w:widowControl w:val="0"/>
        <w:ind w:left="720"/>
        <w:jc w:val="both"/>
        <w:rPr>
          <w:szCs w:val="24"/>
        </w:rPr>
      </w:pPr>
      <w:r w:rsidRPr="00576ED7">
        <w:rPr>
          <w:szCs w:val="24"/>
        </w:rPr>
        <w:t xml:space="preserve">•There are certain risks that we may willingly assume.  When something untoward materializes, we are in no position to complain.  We own a cat and an expensive vase and put both of them in the same room at the same time.  The cat knocks the vase over, and it breaks.  </w:t>
      </w:r>
      <w:r w:rsidRPr="00576ED7">
        <w:rPr>
          <w:i/>
          <w:szCs w:val="24"/>
        </w:rPr>
        <w:t>See</w:t>
      </w:r>
      <w:r w:rsidRPr="00576ED7">
        <w:rPr>
          <w:szCs w:val="24"/>
        </w:rPr>
        <w:t xml:space="preserve"> </w:t>
      </w:r>
      <w:r w:rsidRPr="00576ED7">
        <w:rPr>
          <w:i/>
          <w:szCs w:val="24"/>
        </w:rPr>
        <w:t>Dyer v. Commi</w:t>
      </w:r>
      <w:r w:rsidRPr="00576ED7">
        <w:rPr>
          <w:i/>
          <w:szCs w:val="24"/>
        </w:rPr>
        <w:t>s</w:t>
      </w:r>
      <w:r w:rsidRPr="00576ED7">
        <w:rPr>
          <w:i/>
          <w:szCs w:val="24"/>
        </w:rPr>
        <w:t>sioner</w:t>
      </w:r>
      <w:r w:rsidRPr="00576ED7">
        <w:rPr>
          <w:szCs w:val="24"/>
        </w:rPr>
        <w:t xml:space="preserve">, T.C. Memo. 1961-141, 1961 WL 424 (1961). </w:t>
      </w:r>
    </w:p>
    <w:p w:rsidR="0049128E" w:rsidRPr="00576ED7" w:rsidRDefault="0049128E" w:rsidP="00A6585D">
      <w:pPr>
        <w:widowControl w:val="0"/>
        <w:ind w:left="720"/>
        <w:jc w:val="both"/>
        <w:rPr>
          <w:szCs w:val="24"/>
        </w:rPr>
      </w:pPr>
      <w:r w:rsidRPr="00576ED7">
        <w:rPr>
          <w:szCs w:val="24"/>
        </w:rPr>
        <w:t>•We certainly should not complain when the casualty is the result of our deliberate conduct.  The arsonist should not be permitted to claim a cas</w:t>
      </w:r>
      <w:r w:rsidRPr="00576ED7">
        <w:rPr>
          <w:szCs w:val="24"/>
        </w:rPr>
        <w:t>u</w:t>
      </w:r>
      <w:r w:rsidRPr="00576ED7">
        <w:rPr>
          <w:szCs w:val="24"/>
        </w:rPr>
        <w:t xml:space="preserve">alty loss deduction when he burns down his own house, even though his 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w:t>
      </w:r>
      <w:r w:rsidR="00945CC6" w:rsidRPr="00576ED7">
        <w:rPr>
          <w:szCs w:val="24"/>
        </w:rPr>
        <w:t>1</w:t>
      </w:r>
      <w:r w:rsidR="00945CC6" w:rsidRPr="00576ED7">
        <w:rPr>
          <w:szCs w:val="24"/>
          <w:vertAlign w:val="superscript"/>
        </w:rPr>
        <w:t>st</w:t>
      </w:r>
      <w:r w:rsidR="00945CC6" w:rsidRPr="00576ED7">
        <w:rPr>
          <w:szCs w:val="24"/>
        </w:rPr>
        <w:t xml:space="preserve"> Cir. </w:t>
      </w:r>
      <w:r w:rsidRPr="00576ED7">
        <w:rPr>
          <w:szCs w:val="24"/>
        </w:rPr>
        <w:t>1988) (violation of public policy).</w:t>
      </w:r>
    </w:p>
    <w:p w:rsidR="0049128E" w:rsidRPr="00576ED7" w:rsidRDefault="0049128E" w:rsidP="00A6585D">
      <w:pPr>
        <w:widowControl w:val="0"/>
        <w:ind w:left="720"/>
        <w:jc w:val="both"/>
        <w:rPr>
          <w:szCs w:val="24"/>
        </w:rPr>
      </w:pPr>
      <w:r w:rsidRPr="00576ED7">
        <w:rPr>
          <w:szCs w:val="24"/>
        </w:rPr>
        <w:t>•We engage in a business where a certain amount of breakage is predict</w:t>
      </w:r>
      <w:r w:rsidRPr="00576ED7">
        <w:rPr>
          <w:szCs w:val="24"/>
        </w:rPr>
        <w:t>a</w:t>
      </w:r>
      <w:r w:rsidRPr="00576ED7">
        <w:rPr>
          <w:szCs w:val="24"/>
        </w:rPr>
        <w:t>ble.  Taxpayer operates a fleet of taxicabs, and a few of them are damaged in traffic accidents.</w:t>
      </w:r>
    </w:p>
    <w:p w:rsidR="0049128E" w:rsidRPr="00576ED7" w:rsidRDefault="0049128E" w:rsidP="00A6585D">
      <w:pPr>
        <w:widowControl w:val="0"/>
        <w:ind w:left="720"/>
        <w:jc w:val="both"/>
        <w:rPr>
          <w:szCs w:val="24"/>
        </w:rPr>
      </w:pPr>
      <w:r w:rsidRPr="00576ED7">
        <w:rPr>
          <w:szCs w:val="24"/>
        </w:rPr>
        <w:t>•There are risks that we should be expected to address.  When damage o</w:t>
      </w:r>
      <w:r w:rsidRPr="00576ED7">
        <w:rPr>
          <w:szCs w:val="24"/>
        </w:rPr>
        <w:t>c</w:t>
      </w:r>
      <w:r w:rsidRPr="00576ED7">
        <w:rPr>
          <w:szCs w:val="24"/>
        </w:rPr>
        <w:t>curs over a period of time, perhaps taxpayer should be expected to take measures to address the problem.  There are many cases involving damage that termites caused, and the results are not entirely consistent.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clues does the IRS provide in the following revenue ruling to help dete</w:t>
      </w:r>
      <w:r w:rsidRPr="00576ED7">
        <w:rPr>
          <w:szCs w:val="24"/>
        </w:rPr>
        <w:t>r</w:t>
      </w:r>
      <w:r w:rsidRPr="00576ED7">
        <w:rPr>
          <w:szCs w:val="24"/>
        </w:rPr>
        <w:t>mine just what is a deductible casualty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b/>
          <w:szCs w:val="24"/>
        </w:rPr>
        <w:t>Rev. Rul. 76-134</w:t>
      </w:r>
      <w:r w:rsidRPr="00576ED7">
        <w:rPr>
          <w:szCs w:val="24"/>
        </w:rPr>
        <w:fldChar w:fldCharType="begin"/>
      </w:r>
      <w:r w:rsidRPr="00576ED7">
        <w:rPr>
          <w:b/>
          <w:szCs w:val="24"/>
        </w:rPr>
        <w:instrText xml:space="preserve"> TC \l3 "Rev. Rul. 76-134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CASUALTY LOSS DUE TO FLOOD DAMAGE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questions presented are (1) whether losses from damage to property resulting from abnormally high water levels on bodies of water and (2) amounts expended for the construction of protective works or for moving homes back from their original locations to prevent probable losses from future storms are deductible as casualty losses under § 165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165(a) of the Code provides the general rule that there shall be allowed as a deduction any loss sustained during the taxable year and not compensated for by insurance or otherwise. Section 165(c) provides, in part, that in the case of an i</w:t>
      </w:r>
      <w:r w:rsidRPr="00576ED7">
        <w:rPr>
          <w:szCs w:val="24"/>
        </w:rPr>
        <w:t>n</w:t>
      </w:r>
      <w:r w:rsidRPr="00576ED7">
        <w:rPr>
          <w:szCs w:val="24"/>
        </w:rPr>
        <w:t>dividual, the deduction is limited to (1) losses incurred in a trade or business, (2) losses incurred in any transaction entered into for profit, though not connected with a trade or business, and (3) losses of property not connected with a trade or business, if such losses arise from fire, storm, shipwreck, or other casualty, or from theft. In respect of property not connected with a trade or business, a loss shall be allowed only to the extent that the amount of loss to such individual ari</w:t>
      </w:r>
      <w:r w:rsidRPr="00576ED7">
        <w:rPr>
          <w:szCs w:val="24"/>
        </w:rPr>
        <w:t>s</w:t>
      </w:r>
      <w:r w:rsidRPr="00576ED7">
        <w:rPr>
          <w:szCs w:val="24"/>
        </w:rPr>
        <w:t>ing from each casualty, or from each theft, exceeds $100.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263 of the Code provides that no deduction shall be allowed for any amount paid out for new buildings or for permanent improvements or betterments made to increase the value of any property or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Court decisions and revenue rulings have established standards for the application of the above provisions, and have developed the overall concept that the term ‘casualty’ as used in such provisions refers to an identifiable event of a sudden, unexpected, or unusual nature and that damage or loss resulting from progressive deterioration of property through a steadily operating cause would not be a casua</w:t>
      </w:r>
      <w:r w:rsidRPr="00576ED7">
        <w:rPr>
          <w:szCs w:val="24"/>
        </w:rPr>
        <w:t>l</w:t>
      </w:r>
      <w:r w:rsidRPr="00576ED7">
        <w:rPr>
          <w:szCs w:val="24"/>
        </w:rPr>
        <w:t>ty loss.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losses due to physical damage to property, such as buildings, docks, seawalls, etc., as a result of wave action and wind during a storm are deductible as casualty losses under § 165 of the Code. Similarly, losses due to flooding of buildings and basements as a result of a storm and the complete destruction of buildings, occurring as a result of storm damage, are deductible casualty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However, there are situations in which damage or expenditures may be incurred due to high water on bodies of water that may not be casualty losses under § 165 of the Code such as damage or loss of value due to gradual erosion or inundation occurring at still water levels. The term ‘still water levels’ as used herein means normal seasonal variations in the water level of a body of water.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variations are not such sudden and identifiable events that the gradual er</w:t>
      </w:r>
      <w:r w:rsidRPr="00576ED7">
        <w:rPr>
          <w:szCs w:val="24"/>
        </w:rPr>
        <w:t>o</w:t>
      </w:r>
      <w:r w:rsidRPr="00576ED7">
        <w:rPr>
          <w:szCs w:val="24"/>
        </w:rPr>
        <w:t>sion resulting therefrom may be attributed to a specific period of time. The rise and fall of the water levels of a body of water is a normal process, and damage resulting from normal high water levels alone lacks the characteristics of a casua</w:t>
      </w:r>
      <w:r w:rsidRPr="00576ED7">
        <w:rPr>
          <w:szCs w:val="24"/>
        </w:rPr>
        <w:t>l</w:t>
      </w:r>
      <w:r w:rsidRPr="00576ED7">
        <w:rPr>
          <w:szCs w:val="24"/>
        </w:rPr>
        <w:t>ty loss under § 165. Thus, where the taxpayer’s loss was due to progressive det</w:t>
      </w:r>
      <w:r w:rsidRPr="00576ED7">
        <w:rPr>
          <w:szCs w:val="24"/>
        </w:rPr>
        <w:t>e</w:t>
      </w:r>
      <w:r w:rsidRPr="00576ED7">
        <w:rPr>
          <w:szCs w:val="24"/>
        </w:rPr>
        <w:t>rioration rather than some sudden, unexpected, or unusual cause, such loss is not a deductible casualty loss for Federal income tax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Another situation involves expenditures by taxpayers for the construction of pr</w:t>
      </w:r>
      <w:r w:rsidRPr="00576ED7">
        <w:rPr>
          <w:szCs w:val="24"/>
        </w:rPr>
        <w:t>o</w:t>
      </w:r>
      <w:r w:rsidRPr="00576ED7">
        <w:rPr>
          <w:szCs w:val="24"/>
        </w:rPr>
        <w:t>tective works or for moving their homes back from their original locations to pr</w:t>
      </w:r>
      <w:r w:rsidRPr="00576ED7">
        <w:rPr>
          <w:szCs w:val="24"/>
        </w:rPr>
        <w:t>e</w:t>
      </w:r>
      <w:r w:rsidRPr="00576ED7">
        <w:rPr>
          <w:szCs w:val="24"/>
        </w:rPr>
        <w:t>vent probable losses from future storms. In such cases, no casualty loss deduction is allowable under § 165 of the Code because § 165(c) expressly limits a casualty loss deduction to losses of property. Such expenditures are within the purview of § 263, which provides that no deduction shall be allowed for any amount paid out for new buildings or for permanent improvements or betterments made to increase the value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Where a casualty loss is allowed for the loss of property, the amount of loss d</w:t>
      </w:r>
      <w:r w:rsidRPr="00576ED7">
        <w:rPr>
          <w:szCs w:val="24"/>
        </w:rPr>
        <w:t>e</w:t>
      </w:r>
      <w:r w:rsidRPr="00576ED7">
        <w:rPr>
          <w:szCs w:val="24"/>
        </w:rPr>
        <w:t>ductible is measured by the excess of the value of the property just before the ca</w:t>
      </w:r>
      <w:r w:rsidRPr="00576ED7">
        <w:rPr>
          <w:szCs w:val="24"/>
        </w:rPr>
        <w:t>s</w:t>
      </w:r>
      <w:r w:rsidRPr="00576ED7">
        <w:rPr>
          <w:szCs w:val="24"/>
        </w:rPr>
        <w:t>ualty over its value immediately after the casualty (but not more than the cost or other adjusted basis of the property), reduced by any insurance or compensation received. In the case of property not used in a trade or business, such amount is further reduced by $100 for each casualty.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For which of the following do you think there should be an allowable dedu</w:t>
      </w:r>
      <w:r w:rsidRPr="00576ED7">
        <w:rPr>
          <w:szCs w:val="24"/>
        </w:rPr>
        <w:t>c</w:t>
      </w:r>
      <w:r w:rsidRPr="00576ED7">
        <w:rPr>
          <w:szCs w:val="24"/>
        </w:rPr>
        <w:t>tion for a casualty loss?</w:t>
      </w:r>
    </w:p>
    <w:p w:rsidR="0049128E" w:rsidRPr="00576ED7" w:rsidRDefault="0049128E" w:rsidP="00A6585D">
      <w:pPr>
        <w:widowControl w:val="0"/>
        <w:ind w:left="720"/>
        <w:jc w:val="both"/>
        <w:rPr>
          <w:szCs w:val="24"/>
        </w:rPr>
      </w:pPr>
      <w:r w:rsidRPr="00576ED7">
        <w:rPr>
          <w:szCs w:val="24"/>
        </w:rPr>
        <w:t>•moth damage to a fur coat?</w:t>
      </w:r>
    </w:p>
    <w:p w:rsidR="0049128E" w:rsidRPr="00576ED7" w:rsidRDefault="0049128E" w:rsidP="00A6585D">
      <w:pPr>
        <w:widowControl w:val="0"/>
        <w:ind w:left="720"/>
        <w:jc w:val="both"/>
        <w:rPr>
          <w:szCs w:val="24"/>
        </w:rPr>
      </w:pPr>
      <w:r w:rsidRPr="00576ED7">
        <w:rPr>
          <w:szCs w:val="24"/>
        </w:rPr>
        <w:t>•damage caused by a quarry blast?</w:t>
      </w:r>
    </w:p>
    <w:p w:rsidR="0049128E" w:rsidRPr="00576ED7" w:rsidRDefault="0049128E" w:rsidP="00A6585D">
      <w:pPr>
        <w:widowControl w:val="0"/>
        <w:ind w:left="720"/>
        <w:jc w:val="both"/>
        <w:rPr>
          <w:szCs w:val="24"/>
        </w:rPr>
      </w:pPr>
      <w:r w:rsidRPr="00576ED7">
        <w:rPr>
          <w:szCs w:val="24"/>
        </w:rPr>
        <w:t>•freezing and bursting of water pipes?</w:t>
      </w:r>
    </w:p>
    <w:p w:rsidR="0049128E" w:rsidRPr="00576ED7" w:rsidRDefault="0049128E" w:rsidP="00A6585D">
      <w:pPr>
        <w:widowControl w:val="0"/>
        <w:ind w:left="720"/>
        <w:jc w:val="both"/>
        <w:rPr>
          <w:szCs w:val="24"/>
        </w:rPr>
      </w:pPr>
      <w:r w:rsidRPr="00576ED7">
        <w:rPr>
          <w:szCs w:val="24"/>
        </w:rPr>
        <w:lastRenderedPageBreak/>
        <w:t>•damage from disease and insect attack to a tree?</w:t>
      </w:r>
    </w:p>
    <w:p w:rsidR="0049128E" w:rsidRPr="00576ED7" w:rsidRDefault="0049128E" w:rsidP="00A6585D">
      <w:pPr>
        <w:widowControl w:val="0"/>
        <w:ind w:left="720"/>
        <w:jc w:val="both"/>
        <w:rPr>
          <w:szCs w:val="24"/>
        </w:rPr>
      </w:pPr>
      <w:r w:rsidRPr="00576ED7">
        <w:rPr>
          <w:szCs w:val="24"/>
        </w:rPr>
        <w:t>•damage to automobile engine caused by freezing conditions?</w:t>
      </w:r>
    </w:p>
    <w:p w:rsidR="0049128E" w:rsidRPr="00576ED7" w:rsidRDefault="0049128E" w:rsidP="00A6585D">
      <w:pPr>
        <w:widowControl w:val="0"/>
        <w:ind w:left="720"/>
        <w:jc w:val="both"/>
        <w:rPr>
          <w:szCs w:val="24"/>
        </w:rPr>
      </w:pPr>
      <w:r w:rsidRPr="00576ED7">
        <w:rPr>
          <w:szCs w:val="24"/>
        </w:rPr>
        <w:t>•damage to automobile caused by taxpayer’s negligent driving?</w:t>
      </w:r>
    </w:p>
    <w:p w:rsidR="0049128E" w:rsidRPr="00576ED7" w:rsidRDefault="0049128E" w:rsidP="00A6585D">
      <w:pPr>
        <w:widowControl w:val="0"/>
        <w:ind w:left="720"/>
        <w:jc w:val="both"/>
        <w:rPr>
          <w:szCs w:val="24"/>
        </w:rPr>
      </w:pPr>
      <w:r w:rsidRPr="00576ED7">
        <w:rPr>
          <w:szCs w:val="24"/>
        </w:rPr>
        <w:t>•damage to automobile caused by rusting and corrosion?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See generally</w:t>
      </w:r>
      <w:r w:rsidRPr="00576ED7">
        <w:rPr>
          <w:szCs w:val="24"/>
        </w:rPr>
        <w:t xml:space="preserve"> </w:t>
      </w:r>
      <w:r w:rsidRPr="00576ED7">
        <w:rPr>
          <w:smallCaps/>
          <w:szCs w:val="24"/>
        </w:rPr>
        <w:t xml:space="preserve">Standard Federal Income Tax Reporter </w:t>
      </w:r>
      <w:r w:rsidRPr="00576ED7">
        <w:rPr>
          <w:szCs w:val="24"/>
        </w:rPr>
        <w:t>(2011), ¶ 10,005.023.</w:t>
      </w:r>
    </w:p>
    <w:p w:rsidR="009732DF" w:rsidRPr="00576ED7" w:rsidRDefault="009732DF" w:rsidP="00A6585D">
      <w:pPr>
        <w:widowControl w:val="0"/>
        <w:jc w:val="both"/>
        <w:rPr>
          <w:szCs w:val="24"/>
        </w:rPr>
      </w:pPr>
    </w:p>
    <w:p w:rsidR="0049128E" w:rsidRPr="00576ED7" w:rsidRDefault="0049128E" w:rsidP="00A6585D">
      <w:pPr>
        <w:widowControl w:val="0"/>
        <w:jc w:val="both"/>
        <w:rPr>
          <w:szCs w:val="24"/>
        </w:rPr>
      </w:pPr>
      <w:r w:rsidRPr="00576ED7">
        <w:rPr>
          <w:szCs w:val="24"/>
        </w:rPr>
        <w:t>2.  Upon what narrow ground does Revenue Ruling 76-134 deny a casualty loss deduction? What tax treatment does the Revenue Ruling specify for such expend</w:t>
      </w:r>
      <w:r w:rsidRPr="00576ED7">
        <w:rPr>
          <w:szCs w:val="24"/>
        </w:rPr>
        <w:t>i</w:t>
      </w:r>
      <w:r w:rsidRPr="00576ED7">
        <w:rPr>
          <w:szCs w:val="24"/>
        </w:rPr>
        <w:t>tures?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t>
      </w:r>
      <w:r w:rsidRPr="00576ED7">
        <w:rPr>
          <w:i/>
          <w:szCs w:val="24"/>
        </w:rPr>
        <w:t>Calculation of the personal casualty loss deduction</w:t>
      </w:r>
      <w:r w:rsidRPr="00576ED7">
        <w:rPr>
          <w:szCs w:val="24"/>
        </w:rPr>
        <w:t>.</w:t>
      </w:r>
    </w:p>
    <w:p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rsidR="0049128E" w:rsidRPr="00576ED7" w:rsidRDefault="0049128E" w:rsidP="00A6585D">
      <w:pPr>
        <w:widowControl w:val="0"/>
        <w:ind w:left="720"/>
        <w:jc w:val="both"/>
        <w:rPr>
          <w:szCs w:val="24"/>
        </w:rPr>
      </w:pPr>
      <w:r w:rsidRPr="00576ED7">
        <w:rPr>
          <w:szCs w:val="24"/>
        </w:rPr>
        <w:t xml:space="preserve">•Reg. § 1.165-7(b)(1) limits </w:t>
      </w:r>
      <w:r w:rsidRPr="00576ED7">
        <w:rPr>
          <w:i/>
          <w:szCs w:val="24"/>
        </w:rPr>
        <w:t>all</w:t>
      </w:r>
      <w:r w:rsidRPr="00576ED7">
        <w:rPr>
          <w:szCs w:val="24"/>
        </w:rPr>
        <w:t xml:space="preserve"> casualty losses – whether trade or bus</w:t>
      </w:r>
      <w:r w:rsidRPr="00576ED7">
        <w:rPr>
          <w:szCs w:val="24"/>
        </w:rPr>
        <w:t>i</w:t>
      </w:r>
      <w:r w:rsidRPr="00576ED7">
        <w:rPr>
          <w:szCs w:val="24"/>
        </w:rPr>
        <w:t>ness, transactions entered into for profit, or personal – to the lesser of the property’s fmv before the casualty reduced by the fmv of the property a</w:t>
      </w:r>
      <w:r w:rsidRPr="00576ED7">
        <w:rPr>
          <w:szCs w:val="24"/>
        </w:rPr>
        <w:t>f</w:t>
      </w:r>
      <w:r w:rsidRPr="00576ED7">
        <w:rPr>
          <w:szCs w:val="24"/>
        </w:rPr>
        <w:t>ter the casualty OR the property’s adjusted basis.</w:t>
      </w:r>
    </w:p>
    <w:p w:rsidR="0049128E" w:rsidRPr="00576ED7" w:rsidRDefault="0049128E" w:rsidP="00A6585D">
      <w:pPr>
        <w:widowControl w:val="0"/>
        <w:ind w:left="1440"/>
        <w:jc w:val="both"/>
        <w:rPr>
          <w:szCs w:val="24"/>
        </w:rPr>
      </w:pPr>
      <w:r w:rsidRPr="00576ED7">
        <w:rPr>
          <w:szCs w:val="24"/>
        </w:rPr>
        <w:t>•If the property is used in a trade or business or held for the pr</w:t>
      </w:r>
      <w:r w:rsidRPr="00576ED7">
        <w:rPr>
          <w:szCs w:val="24"/>
        </w:rPr>
        <w:t>o</w:t>
      </w:r>
      <w:r w:rsidRPr="00576ED7">
        <w:rPr>
          <w:szCs w:val="24"/>
        </w:rPr>
        <w:t>duction of income AND it is totally destroyed by the casualty, the allowable loss is limited to the adjusted basis of the property.</w:t>
      </w:r>
    </w:p>
    <w:p w:rsidR="0049128E" w:rsidRPr="00576ED7" w:rsidRDefault="0049128E" w:rsidP="00A6585D">
      <w:pPr>
        <w:widowControl w:val="0"/>
        <w:ind w:left="1440"/>
        <w:jc w:val="both"/>
        <w:rPr>
          <w:szCs w:val="24"/>
        </w:rPr>
      </w:pPr>
      <w:r w:rsidRPr="00576ED7">
        <w:rPr>
          <w:szCs w:val="24"/>
        </w:rPr>
        <w:t>•What is the theoretical underpinning of these limitations?</w:t>
      </w:r>
    </w:p>
    <w:p w:rsidR="0049128E" w:rsidRPr="00576ED7" w:rsidRDefault="0049128E" w:rsidP="00A6585D">
      <w:pPr>
        <w:widowControl w:val="0"/>
        <w:ind w:left="720"/>
        <w:jc w:val="both"/>
        <w:rPr>
          <w:szCs w:val="24"/>
        </w:rPr>
      </w:pPr>
      <w:r w:rsidRPr="00576ED7">
        <w:rPr>
          <w:szCs w:val="24"/>
        </w:rPr>
        <w:t xml:space="preserve">•Section 165(h)(1) limits the deductibility of the personal loss for  </w:t>
      </w:r>
      <w:r w:rsidRPr="00576ED7">
        <w:rPr>
          <w:i/>
          <w:szCs w:val="24"/>
        </w:rPr>
        <w:t>each</w:t>
      </w:r>
      <w:r w:rsidRPr="00576ED7">
        <w:rPr>
          <w:szCs w:val="24"/>
        </w:rPr>
        <w:t xml:space="preserve"> casualty  to the amount by which the loss exceeds $100.</w:t>
      </w:r>
    </w:p>
    <w:p w:rsidR="0049128E" w:rsidRPr="00576ED7" w:rsidRDefault="0049128E" w:rsidP="00A6585D">
      <w:pPr>
        <w:widowControl w:val="0"/>
        <w:ind w:left="720"/>
        <w:jc w:val="both"/>
        <w:rPr>
          <w:szCs w:val="24"/>
        </w:rPr>
      </w:pPr>
      <w:r w:rsidRPr="00576ED7">
        <w:rPr>
          <w:szCs w:val="24"/>
        </w:rPr>
        <w:t>•Section 165(h)(4)(A) defines “personal casualty gain” to be “recognized gain from any involuntary conversion of property” resulting from a casua</w:t>
      </w:r>
      <w:r w:rsidRPr="00576ED7">
        <w:rPr>
          <w:szCs w:val="24"/>
        </w:rPr>
        <w:t>l</w:t>
      </w:r>
      <w:r w:rsidRPr="00576ED7">
        <w:rPr>
          <w:szCs w:val="24"/>
        </w:rPr>
        <w:t>ty.  Section 165(h)(4)(B) defines “personal casualty loss” to be a casualty loss after reduction by $100.</w:t>
      </w:r>
    </w:p>
    <w:p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  Ta</w:t>
      </w:r>
      <w:r w:rsidRPr="00576ED7">
        <w:rPr>
          <w:szCs w:val="24"/>
        </w:rPr>
        <w:t>x</w:t>
      </w:r>
      <w:r w:rsidRPr="00576ED7">
        <w:rPr>
          <w:szCs w:val="24"/>
        </w:rPr>
        <w:t>payer may reduce his/her adjusted gross income by the net personal cas</w:t>
      </w:r>
      <w:r w:rsidRPr="00576ED7">
        <w:rPr>
          <w:szCs w:val="24"/>
        </w:rPr>
        <w:t>u</w:t>
      </w:r>
      <w:r w:rsidRPr="00576ED7">
        <w:rPr>
          <w:szCs w:val="24"/>
        </w:rPr>
        <w:t>alty loss in making this 10% determination.  § 165(h)(5)(A).</w:t>
      </w:r>
    </w:p>
    <w:p w:rsidR="0049128E" w:rsidRPr="00576ED7"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  § 165(h)(2)(B).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A taxpayer suffering a casualty loss in a federally declared disaster area may </w:t>
      </w:r>
      <w:r w:rsidRPr="00576ED7">
        <w:rPr>
          <w:szCs w:val="24"/>
        </w:rPr>
        <w:lastRenderedPageBreak/>
        <w:t>elect to claim the casualty loss deduction for the taxable year immediately prece</w:t>
      </w:r>
      <w:r w:rsidRPr="00576ED7">
        <w:rPr>
          <w:szCs w:val="24"/>
        </w:rPr>
        <w:t>d</w:t>
      </w:r>
      <w:r w:rsidRPr="00576ED7">
        <w:rPr>
          <w:szCs w:val="24"/>
        </w:rPr>
        <w:t>ing the taxable year in which the disaster occurred.  § 165(i)(1).  The casualty loss is then treated as having occurred in the year in which the deduction is claimed.  § 165(i)(2).  This provision may help get funds into the hands of the victims of fe</w:t>
      </w:r>
      <w:r w:rsidRPr="00576ED7">
        <w:rPr>
          <w:szCs w:val="24"/>
        </w:rPr>
        <w:t>d</w:t>
      </w:r>
      <w:r w:rsidRPr="00576ED7">
        <w:rPr>
          <w:szCs w:val="24"/>
        </w:rPr>
        <w:t>erally declared disasters quickly.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19C7C90" wp14:editId="7B638E01">
            <wp:extent cx="704850" cy="190500"/>
            <wp:effectExtent l="0" t="0" r="0" b="0"/>
            <wp:docPr id="24" name="Picture 2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CALI </w:t>
      </w:r>
      <w:r w:rsidR="0093600D" w:rsidRPr="00576ED7">
        <w:rPr>
          <w:szCs w:val="24"/>
        </w:rPr>
        <w:t>Lesson</w:t>
      </w:r>
      <w:r w:rsidR="0049128E" w:rsidRPr="00576ED7">
        <w:rPr>
          <w:szCs w:val="24"/>
        </w:rPr>
        <w:t xml:space="preserve">, </w:t>
      </w:r>
      <w:r w:rsidR="0049128E" w:rsidRPr="00576ED7">
        <w:rPr>
          <w:i/>
          <w:szCs w:val="24"/>
        </w:rPr>
        <w:t>Basic Federal Income Taxation: Deductions: Personal Ca</w:t>
      </w:r>
      <w:r w:rsidR="0049128E" w:rsidRPr="00576ED7">
        <w:rPr>
          <w:i/>
          <w:szCs w:val="24"/>
        </w:rPr>
        <w:t>s</w:t>
      </w:r>
      <w:r w:rsidR="0049128E" w:rsidRPr="00576ED7">
        <w:rPr>
          <w:i/>
          <w:szCs w:val="24"/>
        </w:rPr>
        <w:t>ualty Loss Deduction: Computation, Limitations</w:t>
      </w:r>
      <w:r w:rsidR="0049128E" w:rsidRPr="00576ED7">
        <w:rPr>
          <w:szCs w:val="24"/>
        </w:rPr>
        <w:t xml:space="preserve">.  </w:t>
      </w:r>
    </w:p>
    <w:p w:rsidR="0049128E" w:rsidRPr="00576ED7" w:rsidRDefault="0049128E" w:rsidP="00A6585D">
      <w:pPr>
        <w:widowControl w:val="0"/>
        <w:jc w:val="both"/>
        <w:rPr>
          <w:szCs w:val="24"/>
        </w:rPr>
      </w:pPr>
    </w:p>
    <w:p w:rsidR="0049128E" w:rsidRPr="00576ED7" w:rsidRDefault="0049128E" w:rsidP="00910345">
      <w:pPr>
        <w:pStyle w:val="Heading3"/>
      </w:pPr>
      <w:bookmarkStart w:id="65" w:name="_Toc375132952"/>
      <w:r w:rsidRPr="00576ED7">
        <w:t>III.  Creating a More Efficient and Productive Economy</w:t>
      </w:r>
      <w:bookmarkEnd w:id="65"/>
      <w:r w:rsidRPr="00576ED7">
        <w:fldChar w:fldCharType="begin"/>
      </w:r>
      <w:r w:rsidRPr="00576ED7">
        <w:instrText xml:space="preserve"> TC \l1 "III.  Creating a More Efficient and Productive Economy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some deductions that the Code permits that promote a more efficient or productive economy.  Under this heading, we might include dependent care e</w:t>
      </w:r>
      <w:r w:rsidRPr="00576ED7">
        <w:rPr>
          <w:szCs w:val="24"/>
        </w:rPr>
        <w:t>x</w:t>
      </w:r>
      <w:r w:rsidRPr="00576ED7">
        <w:rPr>
          <w:szCs w:val="24"/>
        </w:rPr>
        <w:t>penses incurred so that taxpayer can work.  We have already examined such e</w:t>
      </w:r>
      <w:r w:rsidRPr="00576ED7">
        <w:rPr>
          <w:szCs w:val="24"/>
        </w:rPr>
        <w:t>x</w:t>
      </w:r>
      <w:r w:rsidRPr="00576ED7">
        <w:rPr>
          <w:szCs w:val="24"/>
        </w:rPr>
        <w:t>penditures.  We should also include provisions that give taxpayers credits against tax liability for investing in making themselves more productive, i.e., in educ</w:t>
      </w:r>
      <w:r w:rsidRPr="00576ED7">
        <w:rPr>
          <w:szCs w:val="24"/>
        </w:rPr>
        <w:t>a</w:t>
      </w:r>
      <w:r w:rsidRPr="00576ED7">
        <w:rPr>
          <w:szCs w:val="24"/>
        </w:rPr>
        <w:t>tion, and for working.  Also under this heading are the expenses of moving to a better – and presumably more valuable – job.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Moving Expenses</w:t>
      </w:r>
      <w:r w:rsidRPr="00576ED7">
        <w:rPr>
          <w:szCs w:val="24"/>
        </w:rPr>
        <w:fldChar w:fldCharType="begin"/>
      </w:r>
      <w:r w:rsidRPr="00576ED7">
        <w:rPr>
          <w:i/>
          <w:szCs w:val="24"/>
        </w:rPr>
        <w:instrText xml:space="preserve"> TC \l2 "A.  Moving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82, 217, 62(a)(15), 132(a)(6), and 132(g).  These provisions interlock to assure that a taxpayer does not pay income tax on certain moving expenses, as § 217 defines and limits them.</w:t>
      </w:r>
    </w:p>
    <w:p w:rsidR="0049128E" w:rsidRPr="00576ED7" w:rsidRDefault="0049128E" w:rsidP="00A6585D">
      <w:pPr>
        <w:widowControl w:val="0"/>
        <w:ind w:left="720"/>
        <w:jc w:val="both"/>
        <w:rPr>
          <w:szCs w:val="24"/>
        </w:rPr>
      </w:pPr>
      <w:r w:rsidRPr="00576ED7">
        <w:rPr>
          <w:szCs w:val="24"/>
        </w:rPr>
        <w:t>•Section 82 provides that a taxpayer who receives, directly or indirectly, payment for or reimbursement of moving expenses must include such payment in his/her gross income.</w:t>
      </w:r>
    </w:p>
    <w:p w:rsidR="0049128E" w:rsidRPr="00576ED7" w:rsidRDefault="0049128E" w:rsidP="00A6585D">
      <w:pPr>
        <w:widowControl w:val="0"/>
        <w:ind w:left="720"/>
        <w:jc w:val="both"/>
        <w:rPr>
          <w:szCs w:val="24"/>
        </w:rPr>
      </w:pPr>
      <w:r w:rsidRPr="00576ED7">
        <w:rPr>
          <w:szCs w:val="24"/>
        </w:rPr>
        <w:t>•Section 217 permits taxpayer to deduct certain expenses of moving.  § 217(b).  This deduction is above-the-line, i.e., it reduces taxpayer’s agi.  § 62(a)(15).</w:t>
      </w:r>
    </w:p>
    <w:p w:rsidR="0049128E" w:rsidRPr="00576ED7" w:rsidRDefault="0049128E" w:rsidP="00A6585D">
      <w:pPr>
        <w:widowControl w:val="0"/>
        <w:ind w:left="1440"/>
        <w:jc w:val="both"/>
        <w:rPr>
          <w:szCs w:val="24"/>
        </w:rPr>
      </w:pPr>
      <w:r w:rsidRPr="00576ED7">
        <w:rPr>
          <w:szCs w:val="24"/>
        </w:rPr>
        <w:t>•Thus taxpayer must include in his/her gross income an employer’s payment of taxpayer’s moving expenses, but paying or incurring moving expenses named in § 217(b) entitles taxpayer to a dedu</w:t>
      </w:r>
      <w:r w:rsidRPr="00576ED7">
        <w:rPr>
          <w:szCs w:val="24"/>
        </w:rPr>
        <w:t>c</w:t>
      </w:r>
      <w:r w:rsidRPr="00576ED7">
        <w:rPr>
          <w:szCs w:val="24"/>
        </w:rPr>
        <w:t>tion.  These amounts could offset.</w:t>
      </w:r>
    </w:p>
    <w:p w:rsidR="0049128E" w:rsidRPr="00576ED7" w:rsidRDefault="0049128E" w:rsidP="00A6585D">
      <w:pPr>
        <w:widowControl w:val="0"/>
        <w:ind w:left="1440"/>
        <w:jc w:val="both"/>
        <w:rPr>
          <w:szCs w:val="24"/>
        </w:rPr>
      </w:pPr>
      <w:r w:rsidRPr="00576ED7">
        <w:rPr>
          <w:szCs w:val="24"/>
        </w:rPr>
        <w:t xml:space="preserve">•Of course, if an employer pays for expenses that are not included in the statutory definition of “moving expenses,” the net result is </w:t>
      </w:r>
      <w:r w:rsidRPr="00576ED7">
        <w:rPr>
          <w:szCs w:val="24"/>
        </w:rPr>
        <w:lastRenderedPageBreak/>
        <w:t>that those amounts will be included in taxpayer’s gross income as compensation income.</w:t>
      </w:r>
    </w:p>
    <w:p w:rsidR="0049128E" w:rsidRPr="00576ED7" w:rsidRDefault="0049128E" w:rsidP="00A6585D">
      <w:pPr>
        <w:widowControl w:val="0"/>
        <w:ind w:left="1440"/>
        <w:jc w:val="both"/>
        <w:rPr>
          <w:szCs w:val="24"/>
        </w:rPr>
      </w:pPr>
      <w:r w:rsidRPr="00576ED7">
        <w:rPr>
          <w:szCs w:val="24"/>
        </w:rPr>
        <w:t>•If an employer does not pay for all of the expenses that are i</w:t>
      </w:r>
      <w:r w:rsidRPr="00576ED7">
        <w:rPr>
          <w:szCs w:val="24"/>
        </w:rPr>
        <w:t>n</w:t>
      </w:r>
      <w:r w:rsidRPr="00576ED7">
        <w:rPr>
          <w:szCs w:val="24"/>
        </w:rPr>
        <w:t>cluded in the statutory definition of “moving expenses,” the net r</w:t>
      </w:r>
      <w:r w:rsidRPr="00576ED7">
        <w:rPr>
          <w:szCs w:val="24"/>
        </w:rPr>
        <w:t>e</w:t>
      </w:r>
      <w:r w:rsidRPr="00576ED7">
        <w:rPr>
          <w:szCs w:val="24"/>
        </w:rPr>
        <w:t>sult is that taxpayer may deduct these unreimbursed amounts, and these deductions will reduce his/her adjusted gross income.</w:t>
      </w:r>
    </w:p>
    <w:p w:rsidR="0049128E" w:rsidRPr="00576ED7" w:rsidRDefault="0049128E" w:rsidP="00A6585D">
      <w:pPr>
        <w:widowControl w:val="0"/>
        <w:ind w:left="720"/>
        <w:jc w:val="both"/>
        <w:rPr>
          <w:szCs w:val="24"/>
        </w:rPr>
      </w:pPr>
      <w:r w:rsidRPr="00576ED7">
        <w:rPr>
          <w:szCs w:val="24"/>
        </w:rPr>
        <w:t>•Sections 132(a)(6) and 132(g) exclude an employer’s direct or indirect payment of an individual’s moving expenses, to the extent those expenses are within § 217(b), from the individual’s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217(c) establishes the rules for deductibility/excludability of moving e</w:t>
      </w:r>
      <w:r w:rsidRPr="00576ED7">
        <w:rPr>
          <w:szCs w:val="24"/>
        </w:rPr>
        <w:t>x</w:t>
      </w:r>
      <w:r w:rsidRPr="00576ED7">
        <w:rPr>
          <w:szCs w:val="24"/>
        </w:rPr>
        <w:t>penses.</w:t>
      </w:r>
    </w:p>
    <w:p w:rsidR="0049128E" w:rsidRPr="00576ED7" w:rsidRDefault="0049128E" w:rsidP="00A6585D">
      <w:pPr>
        <w:widowControl w:val="0"/>
        <w:ind w:left="720"/>
        <w:jc w:val="both"/>
        <w:rPr>
          <w:szCs w:val="24"/>
        </w:rPr>
      </w:pPr>
      <w:r w:rsidRPr="00576ED7">
        <w:rPr>
          <w:szCs w:val="24"/>
        </w:rPr>
        <w:t>•Taxpayer’s new “principal place of work” must be “at least 50 miles fa</w:t>
      </w:r>
      <w:r w:rsidRPr="00576ED7">
        <w:rPr>
          <w:szCs w:val="24"/>
        </w:rPr>
        <w:t>r</w:t>
      </w:r>
      <w:r w:rsidRPr="00576ED7">
        <w:rPr>
          <w:szCs w:val="24"/>
        </w:rPr>
        <w:t>ther from his former residence than was his former principal place of work,” § 217(c)(1)(A), OR if taxpayer had no former principal place of work, then his/her new “principal place of work” must be at least 50 miles from his/her former residence, § 217(c)(1)(B).</w:t>
      </w:r>
    </w:p>
    <w:p w:rsidR="0049128E" w:rsidRPr="00576ED7" w:rsidRDefault="0049128E" w:rsidP="00A6585D">
      <w:pPr>
        <w:widowControl w:val="0"/>
        <w:ind w:left="1440"/>
        <w:jc w:val="both"/>
        <w:rPr>
          <w:szCs w:val="24"/>
        </w:rPr>
      </w:pPr>
      <w:r w:rsidRPr="00576ED7">
        <w:rPr>
          <w:szCs w:val="24"/>
        </w:rPr>
        <w:t>•Taxpayer need not have a job in the place that s/he leaves.  Mo</w:t>
      </w:r>
      <w:r w:rsidRPr="00576ED7">
        <w:rPr>
          <w:szCs w:val="24"/>
        </w:rPr>
        <w:t>v</w:t>
      </w:r>
      <w:r w:rsidRPr="00576ED7">
        <w:rPr>
          <w:szCs w:val="24"/>
        </w:rPr>
        <w:t>ing expenses are deductible if incurred to travel to a new job or to become self-employed full-time.</w:t>
      </w:r>
    </w:p>
    <w:p w:rsidR="0049128E" w:rsidRPr="00576ED7" w:rsidRDefault="0049128E" w:rsidP="00A6585D">
      <w:pPr>
        <w:widowControl w:val="0"/>
        <w:ind w:left="1440"/>
        <w:jc w:val="both"/>
        <w:rPr>
          <w:szCs w:val="24"/>
        </w:rPr>
      </w:pPr>
      <w:r w:rsidRPr="00576ED7">
        <w:rPr>
          <w:szCs w:val="24"/>
        </w:rPr>
        <w:t>•The regulations also create a “reasonable proximity” requirement concerning the new residence with respect to both time and di</w:t>
      </w:r>
      <w:r w:rsidRPr="00576ED7">
        <w:rPr>
          <w:szCs w:val="24"/>
        </w:rPr>
        <w:t>s</w:t>
      </w:r>
      <w:r w:rsidRPr="00576ED7">
        <w:rPr>
          <w:szCs w:val="24"/>
        </w:rPr>
        <w:t>tance.  Reg. § 1.217-2(a)(3)(i).</w:t>
      </w:r>
    </w:p>
    <w:p w:rsidR="0049128E" w:rsidRPr="00576ED7" w:rsidRDefault="0049128E" w:rsidP="00A6585D">
      <w:pPr>
        <w:widowControl w:val="0"/>
        <w:ind w:left="1440"/>
        <w:jc w:val="both"/>
        <w:rPr>
          <w:szCs w:val="24"/>
        </w:rPr>
      </w:pPr>
      <w:r w:rsidRPr="00576ED7">
        <w:rPr>
          <w:szCs w:val="24"/>
        </w:rPr>
        <w:t>•Moving expenses incurred within one year of the date of co</w:t>
      </w:r>
      <w:r w:rsidRPr="00576ED7">
        <w:rPr>
          <w:szCs w:val="24"/>
        </w:rPr>
        <w:t>m</w:t>
      </w:r>
      <w:r w:rsidRPr="00576ED7">
        <w:rPr>
          <w:szCs w:val="24"/>
        </w:rPr>
        <w:t>mencing work at the new location are presumed to be reasonably proximate.  Reg. § 1.217-2(a)(3)(i).</w:t>
      </w:r>
    </w:p>
    <w:p w:rsidR="0049128E" w:rsidRPr="00576ED7" w:rsidRDefault="0049128E" w:rsidP="00A6585D">
      <w:pPr>
        <w:widowControl w:val="0"/>
        <w:ind w:left="1440"/>
        <w:jc w:val="both"/>
        <w:rPr>
          <w:szCs w:val="24"/>
        </w:rPr>
      </w:pPr>
      <w:r w:rsidRPr="00576ED7">
        <w:rPr>
          <w:szCs w:val="24"/>
        </w:rPr>
        <w:t>•Generally, a taxpayer’s commute at the new location may not be longer than his/her commute at the old location.  Reg. § 1.217-2(a)(3)(i).</w:t>
      </w:r>
    </w:p>
    <w:p w:rsidR="0049128E" w:rsidRPr="00576ED7" w:rsidRDefault="0049128E" w:rsidP="00A6585D">
      <w:pPr>
        <w:widowControl w:val="0"/>
        <w:ind w:left="720"/>
        <w:jc w:val="both"/>
        <w:rPr>
          <w:szCs w:val="24"/>
        </w:rPr>
      </w:pPr>
      <w:r w:rsidRPr="00576ED7">
        <w:rPr>
          <w:szCs w:val="24"/>
        </w:rPr>
        <w:t xml:space="preserve">•Taxpayer must be a </w:t>
      </w:r>
      <w:r w:rsidRPr="00576ED7">
        <w:rPr>
          <w:i/>
          <w:szCs w:val="24"/>
        </w:rPr>
        <w:t>full-time employee</w:t>
      </w:r>
      <w:r w:rsidRPr="00576ED7">
        <w:rPr>
          <w:szCs w:val="24"/>
        </w:rPr>
        <w:t xml:space="preserve"> for at least 39 weeks during the 12-month period immediately following his/her arrival in the general loc</w:t>
      </w:r>
      <w:r w:rsidRPr="00576ED7">
        <w:rPr>
          <w:szCs w:val="24"/>
        </w:rPr>
        <w:t>a</w:t>
      </w:r>
      <w:r w:rsidRPr="00576ED7">
        <w:rPr>
          <w:szCs w:val="24"/>
        </w:rPr>
        <w:t xml:space="preserve">tion of his/her principal place or work, § 217(c)(2)(A), OR during the 24 month period immediately following his/her arrival, must be a </w:t>
      </w:r>
      <w:r w:rsidRPr="00576ED7">
        <w:rPr>
          <w:i/>
          <w:szCs w:val="24"/>
        </w:rPr>
        <w:t>full-time employee or self-employed</w:t>
      </w:r>
      <w:r w:rsidRPr="00576ED7">
        <w:rPr>
          <w:szCs w:val="24"/>
        </w:rPr>
        <w:t xml:space="preserve"> on a full-time basis during at least 78 weeks, not less than 39 of which are during the 12-month period immediately fo</w:t>
      </w:r>
      <w:r w:rsidRPr="00576ED7">
        <w:rPr>
          <w:szCs w:val="24"/>
        </w:rPr>
        <w:t>l</w:t>
      </w:r>
      <w:r w:rsidRPr="00576ED7">
        <w:rPr>
          <w:szCs w:val="24"/>
        </w:rPr>
        <w:t>lowing arrival in the general location of his/her principal place of work, § 217(c)(2)(B).</w:t>
      </w:r>
    </w:p>
    <w:p w:rsidR="0049128E" w:rsidRPr="00576ED7" w:rsidRDefault="0049128E" w:rsidP="00A6585D">
      <w:pPr>
        <w:widowControl w:val="0"/>
        <w:ind w:left="1440"/>
        <w:jc w:val="both"/>
        <w:rPr>
          <w:szCs w:val="24"/>
        </w:rPr>
      </w:pPr>
      <w:r w:rsidRPr="00576ED7">
        <w:rPr>
          <w:szCs w:val="24"/>
        </w:rPr>
        <w:t>•If a taxpayer has not fulfill</w:t>
      </w:r>
      <w:r w:rsidR="007F322C" w:rsidRPr="00576ED7">
        <w:rPr>
          <w:szCs w:val="24"/>
        </w:rPr>
        <w:t xml:space="preserve">ed the employment requirements </w:t>
      </w:r>
      <w:r w:rsidRPr="00576ED7">
        <w:rPr>
          <w:szCs w:val="24"/>
        </w:rPr>
        <w:t xml:space="preserve">at the time of filing the return for the taxable year during which s/he paid </w:t>
      </w:r>
      <w:r w:rsidRPr="00576ED7">
        <w:rPr>
          <w:szCs w:val="24"/>
        </w:rPr>
        <w:lastRenderedPageBreak/>
        <w:t>or incurred moving expenses but may yet satisfy them, then ta</w:t>
      </w:r>
      <w:r w:rsidRPr="00576ED7">
        <w:rPr>
          <w:szCs w:val="24"/>
        </w:rPr>
        <w:t>x</w:t>
      </w:r>
      <w:r w:rsidRPr="00576ED7">
        <w:rPr>
          <w:szCs w:val="24"/>
        </w:rPr>
        <w:t>payer may elect to deduct them.  § 217(d)(2).</w:t>
      </w:r>
    </w:p>
    <w:p w:rsidR="0049128E" w:rsidRPr="00576ED7" w:rsidRDefault="0049128E" w:rsidP="00A6585D">
      <w:pPr>
        <w:widowControl w:val="0"/>
        <w:ind w:left="1440"/>
        <w:jc w:val="both"/>
        <w:rPr>
          <w:szCs w:val="24"/>
        </w:rPr>
      </w:pPr>
      <w:r w:rsidRPr="00576ED7">
        <w:rPr>
          <w:szCs w:val="24"/>
        </w:rPr>
        <w:t>•However, if taxpayer makes such an election and later fails to fu</w:t>
      </w:r>
      <w:r w:rsidRPr="00576ED7">
        <w:rPr>
          <w:szCs w:val="24"/>
        </w:rPr>
        <w:t>l</w:t>
      </w:r>
      <w:r w:rsidRPr="00576ED7">
        <w:rPr>
          <w:szCs w:val="24"/>
        </w:rPr>
        <w:t>fill the employment requirements, taxpayer must recapture the amount previously deducted as gross income.  § 217(d)(3).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217(b) names the moving expenses that taxpayer may deduct/exclude.  These include the expenses “of moving household goods and personal effects from the former residence to the new residence[.]”  § 217(b)(1)(A).  “Moving e</w:t>
      </w:r>
      <w:r w:rsidRPr="00576ED7">
        <w:rPr>
          <w:szCs w:val="24"/>
        </w:rPr>
        <w:t>x</w:t>
      </w:r>
      <w:r w:rsidRPr="00576ED7">
        <w:rPr>
          <w:szCs w:val="24"/>
        </w:rPr>
        <w:t>penses” also include travel expenses, including lodging, but not meal expenses.  § 217(b)(1)(B).  Taxpayer may deduct as “moving expenses” the moving expenses of any member of the taxpayer’s household who has both the “former residence and the new residence as his principal place of abode[.]”  § 217(b)(2).</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54BB992" wp14:editId="351ADD99">
            <wp:extent cx="704850" cy="190500"/>
            <wp:effectExtent l="0" t="0" r="0" b="0"/>
            <wp:docPr id="25" name="Picture 2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7064D0" w:rsidRPr="00576ED7">
        <w:rPr>
          <w:i/>
          <w:szCs w:val="24"/>
        </w:rPr>
        <w:t xml:space="preserve">Federal </w:t>
      </w:r>
      <w:r w:rsidRPr="00576ED7">
        <w:rPr>
          <w:i/>
          <w:szCs w:val="24"/>
        </w:rPr>
        <w:t>Income Taxation: Deductions: Moving E</w:t>
      </w:r>
      <w:r w:rsidRPr="00576ED7">
        <w:rPr>
          <w:i/>
          <w:szCs w:val="24"/>
        </w:rPr>
        <w:t>x</w:t>
      </w:r>
      <w:r w:rsidRPr="00576ED7">
        <w:rPr>
          <w:i/>
          <w:szCs w:val="24"/>
        </w:rPr>
        <w:t>penses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Credits Against Tax</w:t>
      </w:r>
      <w:r w:rsidRPr="00576ED7">
        <w:rPr>
          <w:szCs w:val="24"/>
        </w:rPr>
        <w:fldChar w:fldCharType="begin"/>
      </w:r>
      <w:r w:rsidRPr="00576ED7">
        <w:rPr>
          <w:i/>
          <w:szCs w:val="24"/>
        </w:rPr>
        <w:instrText xml:space="preserve"> TC \l2 "B.  Credits Against Tax</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Code provides that certain expenditures count as credits against the taxpa</w:t>
      </w:r>
      <w:r w:rsidRPr="00576ED7">
        <w:rPr>
          <w:szCs w:val="24"/>
        </w:rPr>
        <w:t>y</w:t>
      </w:r>
      <w:r w:rsidRPr="00576ED7">
        <w:rPr>
          <w:szCs w:val="24"/>
        </w:rPr>
        <w:t>er’s tax liability.  Some of these credits promote a more efficient or productive economy, i.e., the credit for dependent care services necessary for gainful e</w:t>
      </w:r>
      <w:r w:rsidRPr="00576ED7">
        <w:rPr>
          <w:szCs w:val="24"/>
        </w:rPr>
        <w:t>m</w:t>
      </w:r>
      <w:r w:rsidRPr="00576ED7">
        <w:rPr>
          <w:szCs w:val="24"/>
        </w:rPr>
        <w:t>ployment (§ 21) and the Hope and Lifetime Learning Credits for some educatio</w:t>
      </w:r>
      <w:r w:rsidRPr="00576ED7">
        <w:rPr>
          <w:szCs w:val="24"/>
        </w:rPr>
        <w:t>n</w:t>
      </w:r>
      <w:r w:rsidRPr="00576ED7">
        <w:rPr>
          <w:szCs w:val="24"/>
        </w:rPr>
        <w:t>al expenses (§ 25A).  They are subject to income phasedowns (§ 21) or phaseouts (§ 25A).  This implies that taxpayers with higher incomes do not need strong i</w:t>
      </w:r>
      <w:r w:rsidRPr="00576ED7">
        <w:rPr>
          <w:szCs w:val="24"/>
        </w:rPr>
        <w:t>n</w:t>
      </w:r>
      <w:r w:rsidRPr="00576ED7">
        <w:rPr>
          <w:szCs w:val="24"/>
        </w:rPr>
        <w:t>centives or do not need incentives at all in order to incur such expenses.  These credits are not refundable, meaning that they can reduce taxpayer’s tax liability to $0, but no more.</w:t>
      </w:r>
    </w:p>
    <w:p w:rsidR="00955575" w:rsidRDefault="00955575" w:rsidP="00A6585D">
      <w:pPr>
        <w:widowControl w:val="0"/>
        <w:jc w:val="both"/>
        <w:rPr>
          <w:szCs w:val="24"/>
        </w:rPr>
      </w:pPr>
    </w:p>
    <w:p w:rsidR="00955575" w:rsidRPr="00576ED7" w:rsidRDefault="00955575" w:rsidP="00A6585D">
      <w:pPr>
        <w:widowControl w:val="0"/>
        <w:jc w:val="both"/>
        <w:rPr>
          <w:szCs w:val="24"/>
        </w:rPr>
      </w:pPr>
      <w:r>
        <w:rPr>
          <w:szCs w:val="24"/>
        </w:rPr>
        <w:t xml:space="preserve">Section 24 provides a “child tax credit” of $1000 for each qualifying child of the taxpayer who is 16 or younger and a resident or citizen of the United States.  The credit is subject to a phaseout as taxpayer’s </w:t>
      </w:r>
      <w:r w:rsidR="00276AF7">
        <w:rPr>
          <w:szCs w:val="24"/>
        </w:rPr>
        <w:t>income increases.  A portion of this credit is refundable through tax year 2017.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earned income credit (§ 32) is available to lower-income taxpayers who work.  The tax credit first increases with earned income and then phases out co</w:t>
      </w:r>
      <w:r w:rsidRPr="00576ED7">
        <w:rPr>
          <w:szCs w:val="24"/>
        </w:rPr>
        <w:t>m</w:t>
      </w:r>
      <w:r w:rsidRPr="00576ED7">
        <w:rPr>
          <w:szCs w:val="24"/>
        </w:rPr>
        <w:t xml:space="preserve">pletely.  The idea here is to encourage lower-income taxpayers to work and to </w:t>
      </w:r>
      <w:r w:rsidRPr="00576ED7">
        <w:rPr>
          <w:szCs w:val="24"/>
        </w:rPr>
        <w:lastRenderedPageBreak/>
        <w:t xml:space="preserve">earn more.  This credit is refundable, meaning that taxpayer is entitled to a refund if the credit is for more than taxpayer’s tax liability.  </w:t>
      </w:r>
      <w:r w:rsidR="001E347C">
        <w:rPr>
          <w:szCs w:val="24"/>
        </w:rPr>
        <w:t>Section 36B provides a r</w:t>
      </w:r>
      <w:r w:rsidR="001E347C">
        <w:rPr>
          <w:szCs w:val="24"/>
        </w:rPr>
        <w:t>e</w:t>
      </w:r>
      <w:r w:rsidR="001E347C">
        <w:rPr>
          <w:szCs w:val="24"/>
        </w:rPr>
        <w:t>fundable credit to low income taxpayers who purchase health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955575" w:rsidP="00A6585D">
      <w:pPr>
        <w:widowControl w:val="0"/>
        <w:jc w:val="both"/>
        <w:rPr>
          <w:szCs w:val="24"/>
        </w:rPr>
      </w:pPr>
      <w:r>
        <w:rPr>
          <w:i/>
          <w:szCs w:val="24"/>
        </w:rPr>
        <w:t xml:space="preserve">Note </w:t>
      </w:r>
      <w:r w:rsidR="00D45FF1">
        <w:rPr>
          <w:i/>
          <w:szCs w:val="24"/>
        </w:rPr>
        <w:t>a</w:t>
      </w:r>
      <w:r>
        <w:rPr>
          <w:i/>
          <w:szCs w:val="24"/>
        </w:rPr>
        <w:t>bout</w:t>
      </w:r>
      <w:r w:rsidR="00D45FF1">
        <w:rPr>
          <w:i/>
          <w:szCs w:val="24"/>
        </w:rPr>
        <w:t xml:space="preserve"> </w:t>
      </w:r>
      <w:r w:rsidR="0049128E" w:rsidRPr="00576ED7">
        <w:rPr>
          <w:i/>
          <w:szCs w:val="24"/>
        </w:rPr>
        <w:t>Tax Credits</w:t>
      </w:r>
      <w:r w:rsidR="0049128E" w:rsidRPr="00576ED7">
        <w:rPr>
          <w:szCs w:val="24"/>
        </w:rPr>
        <w:fldChar w:fldCharType="begin"/>
      </w:r>
      <w:r w:rsidR="0049128E" w:rsidRPr="00576ED7">
        <w:rPr>
          <w:i/>
          <w:szCs w:val="24"/>
        </w:rPr>
        <w:instrText xml:space="preserve"> TC \l2 "Note About Tax Credits</w:instrText>
      </w:r>
      <w:r w:rsidR="0049128E"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should note that Congress can use credits to target tax benefits to certain ta</w:t>
      </w:r>
      <w:r w:rsidRPr="00576ED7">
        <w:rPr>
          <w:szCs w:val="24"/>
        </w:rPr>
        <w:t>x</w:t>
      </w:r>
      <w:r w:rsidRPr="00576ED7">
        <w:rPr>
          <w:szCs w:val="24"/>
        </w:rPr>
        <w:t>payers.  Congress can target tax benefits by phasing out or phasing down entitl</w:t>
      </w:r>
      <w:r w:rsidRPr="00576ED7">
        <w:rPr>
          <w:szCs w:val="24"/>
        </w:rPr>
        <w:t>e</w:t>
      </w:r>
      <w:r w:rsidRPr="00576ED7">
        <w:rPr>
          <w:szCs w:val="24"/>
        </w:rPr>
        <w:t>ment to them as taxpayer’s adjusted gross income increases.  Congress can also target greater benefits to those in certain tax brackets, even if a tax credit is not subject to a phasedown or phaseout.  We earlier noted the “upside down” effect of progressive tax rates on deductions.  Higher income taxpayers benefit more from a deduction than lower income taxpayers.  A credit can reverse this.  The amount of a tax credit can be dependent on the amount that taxpayer spends on a certain item, e.g., 20%.  That percentage will provide a greater benefit to those taxpayers whose marginal tax bracket is lower than 20% than a deduction would.  The co</w:t>
      </w:r>
      <w:r w:rsidRPr="00576ED7">
        <w:rPr>
          <w:szCs w:val="24"/>
        </w:rPr>
        <w:t>n</w:t>
      </w:r>
      <w:r w:rsidRPr="00576ED7">
        <w:rPr>
          <w:szCs w:val="24"/>
        </w:rPr>
        <w:t>verse is true for those taxpayers whose marginal tax bracket is above 20%; those whose tax brackets are more than 20% would have benefit more from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this example: Taxpayer has $100,000 of taxable income on which s/he pays $20,000 of income tax.  Congress wishes to “reward” Taxpayer for having spent the last $1000 that Taxpayer earned on a particular item.  The net after-tax cost to the Taxpayer for having spent the money in this way would be the follo</w:t>
      </w:r>
      <w:r w:rsidRPr="00576ED7">
        <w:rPr>
          <w:szCs w:val="24"/>
        </w:rPr>
        <w:t>w</w:t>
      </w:r>
      <w:r w:rsidRPr="00576ED7">
        <w:rPr>
          <w:szCs w:val="24"/>
        </w:rPr>
        <w:t>ing for taxpayers in each of the current tax brackets with either a deduction or a credit.</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lastRenderedPageBreak/>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Net Cost of Benefit with a 20% Tax Credit</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28%</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$720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33%</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$670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r w:rsidR="0049128E" w:rsidRPr="00576ED7">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39.6%</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$604</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can see from the table that taxpayers in the 10% and 15% brackets should prefer a credit.  Taxpayers in the brackets above 20% should prefer a deduction or exclusion.  By setting the credit amount between the marginal tax rates, Congress can favor those taxpayers whose tax brackets are lower than the credit amount, and disfavor those taxpayers whose tax brackets are higher than the credit amount.</w:t>
      </w:r>
    </w:p>
    <w:p w:rsidR="0049128E" w:rsidRPr="00576ED7" w:rsidRDefault="0049128E" w:rsidP="00A6585D">
      <w:pPr>
        <w:widowControl w:val="0"/>
        <w:ind w:left="720"/>
        <w:jc w:val="both"/>
        <w:rPr>
          <w:szCs w:val="24"/>
        </w:rPr>
      </w:pPr>
    </w:p>
    <w:p w:rsidR="0049128E" w:rsidRDefault="0049128E" w:rsidP="00A6585D">
      <w:pPr>
        <w:widowControl w:val="0"/>
        <w:jc w:val="both"/>
        <w:rPr>
          <w:szCs w:val="24"/>
        </w:rPr>
      </w:pPr>
      <w:r w:rsidRPr="00576ED7">
        <w:rPr>
          <w:szCs w:val="24"/>
        </w:rPr>
        <w:t>Do you think that Congress should make more use of tax credits? Less use? Why?</w:t>
      </w:r>
    </w:p>
    <w:p w:rsidR="001E347C" w:rsidRDefault="001E347C" w:rsidP="00A6585D">
      <w:pPr>
        <w:widowControl w:val="0"/>
        <w:jc w:val="both"/>
        <w:rPr>
          <w:szCs w:val="24"/>
        </w:rPr>
      </w:pPr>
    </w:p>
    <w:p w:rsidR="001E347C" w:rsidRDefault="001E347C" w:rsidP="00A6585D">
      <w:pPr>
        <w:widowControl w:val="0"/>
        <w:jc w:val="both"/>
        <w:rPr>
          <w:szCs w:val="24"/>
        </w:rPr>
      </w:pPr>
    </w:p>
    <w:p w:rsidR="001E347C" w:rsidRDefault="001E347C" w:rsidP="00A6585D">
      <w:pPr>
        <w:widowControl w:val="0"/>
        <w:jc w:val="both"/>
        <w:rPr>
          <w:szCs w:val="24"/>
        </w:rPr>
      </w:pPr>
      <w:r w:rsidRPr="001E347C">
        <w:rPr>
          <w:i/>
          <w:szCs w:val="24"/>
        </w:rPr>
        <w:t>Limitations on Deductions: Floors, Phaseouts, and Phaseouts</w:t>
      </w:r>
    </w:p>
    <w:p w:rsidR="00C7257A" w:rsidRDefault="00C7257A" w:rsidP="00A6585D">
      <w:pPr>
        <w:widowControl w:val="0"/>
        <w:jc w:val="both"/>
        <w:rPr>
          <w:szCs w:val="24"/>
        </w:rPr>
      </w:pPr>
    </w:p>
    <w:p w:rsidR="00C7257A" w:rsidRPr="00C7257A" w:rsidRDefault="00C7257A" w:rsidP="00A6585D">
      <w:pPr>
        <w:widowControl w:val="0"/>
        <w:jc w:val="both"/>
        <w:rPr>
          <w:szCs w:val="24"/>
        </w:rPr>
      </w:pPr>
      <w:r>
        <w:rPr>
          <w:szCs w:val="24"/>
        </w:rPr>
        <w:t xml:space="preserve">Section 67 limits so-called “miscellaneous deductions” to the amount by which they exceed 2% of taxpayer’s AGI.  In addition, Congress recently reinstated a phasedown of high income taxpayers’ itemized deductions and a phaseout of high income taxpayers’ deduction for personal exemptions.  </w:t>
      </w:r>
      <w:r w:rsidR="00267B65">
        <w:rPr>
          <w:szCs w:val="24"/>
        </w:rPr>
        <w:t>Section 68 reduces the itemized deductions</w:t>
      </w:r>
      <w:r w:rsidR="00EE2523">
        <w:rPr>
          <w:rStyle w:val="FootnoteReference"/>
          <w:szCs w:val="24"/>
        </w:rPr>
        <w:footnoteReference w:id="171"/>
      </w:r>
      <w:r w:rsidR="00267B65">
        <w:rPr>
          <w:szCs w:val="24"/>
        </w:rPr>
        <w:t xml:space="preserve"> of taxpayers whose AGI is above a threshold amount by 3% of the excess, but no more than 80% of taxpayer’s itemized deductions.  </w:t>
      </w:r>
      <w:r w:rsidR="001D4B9B">
        <w:rPr>
          <w:szCs w:val="24"/>
        </w:rPr>
        <w:t>The threshold amount is $300,000 for a joint return or surviving spouse, ½ that amount for a married individual filing separately, $275,000 for a head of hous</w:t>
      </w:r>
      <w:r w:rsidR="001D4B9B">
        <w:rPr>
          <w:szCs w:val="24"/>
        </w:rPr>
        <w:t>e</w:t>
      </w:r>
      <w:r w:rsidR="001D4B9B">
        <w:rPr>
          <w:szCs w:val="24"/>
        </w:rPr>
        <w:lastRenderedPageBreak/>
        <w:t>hold, and $250,000 for all others.  § 68(b))(1).  These amounts are subject to a</w:t>
      </w:r>
      <w:r w:rsidR="001D4B9B">
        <w:rPr>
          <w:szCs w:val="24"/>
        </w:rPr>
        <w:t>d</w:t>
      </w:r>
      <w:r w:rsidR="001D4B9B">
        <w:rPr>
          <w:szCs w:val="24"/>
        </w:rPr>
        <w:t xml:space="preserve">justments for inflation after 2013.  § 68(b)(2).  </w:t>
      </w:r>
      <w:r w:rsidR="00267B65">
        <w:rPr>
          <w:szCs w:val="24"/>
        </w:rPr>
        <w:t>Section 151(d)</w:t>
      </w:r>
      <w:r w:rsidR="00EE2523">
        <w:rPr>
          <w:szCs w:val="24"/>
        </w:rPr>
        <w:t>(</w:t>
      </w:r>
      <w:r w:rsidR="00267B65">
        <w:rPr>
          <w:szCs w:val="24"/>
        </w:rPr>
        <w:t>3</w:t>
      </w:r>
      <w:r w:rsidR="00EE2523">
        <w:rPr>
          <w:szCs w:val="24"/>
        </w:rPr>
        <w:t xml:space="preserve">) phases down </w:t>
      </w:r>
      <w:r w:rsidR="001D4B9B">
        <w:rPr>
          <w:szCs w:val="24"/>
        </w:rPr>
        <w:t xml:space="preserve">a </w:t>
      </w:r>
      <w:r w:rsidR="00EE2523">
        <w:rPr>
          <w:szCs w:val="24"/>
        </w:rPr>
        <w:t>taxpayer’s deduction for personal exemptions by a certain percentage, that pe</w:t>
      </w:r>
      <w:r w:rsidR="00EE2523">
        <w:rPr>
          <w:szCs w:val="24"/>
        </w:rPr>
        <w:t>r</w:t>
      </w:r>
      <w:r w:rsidR="00EE2523">
        <w:rPr>
          <w:szCs w:val="24"/>
        </w:rPr>
        <w:t xml:space="preserve">centage increasing in 2% increments for every $2500 by which taxpayer’s AGI exceeds the threshold of § 68, </w:t>
      </w:r>
      <w:r w:rsidR="003B68FB">
        <w:rPr>
          <w:szCs w:val="24"/>
        </w:rPr>
        <w:t xml:space="preserve">but no more than </w:t>
      </w:r>
      <w:r w:rsidR="00EE2523">
        <w:rPr>
          <w:szCs w:val="24"/>
        </w:rPr>
        <w:t>100% of taxpayer’s deductions for personal exemptions.</w:t>
      </w:r>
      <w:r w:rsidR="00267B65">
        <w:rPr>
          <w:szCs w:val="24"/>
        </w:rPr>
        <w:t xml:space="preserve"> </w:t>
      </w:r>
    </w:p>
    <w:p w:rsidR="0049128E" w:rsidRPr="001E347C" w:rsidRDefault="0049128E" w:rsidP="00A6585D">
      <w:pPr>
        <w:widowControl w:val="0"/>
        <w:jc w:val="both"/>
        <w:rPr>
          <w:i/>
          <w:szCs w:val="24"/>
        </w:rPr>
      </w:pPr>
    </w:p>
    <w:p w:rsidR="0049128E" w:rsidRPr="00576ED7" w:rsidRDefault="0049128E" w:rsidP="00910345">
      <w:pPr>
        <w:pStyle w:val="Heading3"/>
      </w:pPr>
      <w:bookmarkStart w:id="66" w:name="_Toc375132953"/>
      <w:r w:rsidRPr="00576ED7">
        <w:t>Wrap-Up Questions for Chapter 7</w:t>
      </w:r>
      <w:bookmarkEnd w:id="66"/>
      <w:r w:rsidRPr="00576ED7">
        <w:fldChar w:fldCharType="begin"/>
      </w:r>
      <w:r w:rsidRPr="00576ED7">
        <w:instrText xml:space="preserve"> TC \l1 "Wrap-Up Questions for Chapter 7</w:instrText>
      </w:r>
      <w:r w:rsidRPr="00576ED7">
        <w:fldChar w:fldCharType="end"/>
      </w:r>
    </w:p>
    <w:p w:rsidR="0049128E" w:rsidRPr="00576ED7" w:rsidRDefault="0049128E" w:rsidP="00A6585D">
      <w:pPr>
        <w:widowControl w:val="0"/>
        <w:jc w:val="both"/>
        <w:rPr>
          <w:szCs w:val="24"/>
        </w:rPr>
      </w:pPr>
      <w:r w:rsidRPr="00576ED7">
        <w:rPr>
          <w:szCs w:val="24"/>
        </w:rPr>
        <w:t>1.  Describe how § 170(e)(1)(A), which permits a deduction of the fmv of gifts of property to charity rather than the adjusted basis of the property creates a “true” loophole.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Congress recently increased the floor for medical deductions from 7.5% of agi to 10% of agi.  The floor used to be 3%.  The general trend of this floor has been upward.  How are these movements in the floor likely to affect who may take the medical expense deduction and how big a deduction they may take?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When a taxpayer is entitled to deduct moving expenses, why should a taxpayer be permitted to deduct the expense associated with a move of kenneling a dog but not the cost of a meal while en route to taxpayer’s new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rsidR="007F322C" w:rsidRPr="00576ED7" w:rsidRDefault="0049128E" w:rsidP="00A6585D">
      <w:pPr>
        <w:widowControl w:val="0"/>
        <w:jc w:val="both"/>
        <w:rPr>
          <w:szCs w:val="24"/>
        </w:rPr>
      </w:pPr>
      <w:r w:rsidRPr="00576ED7">
        <w:rPr>
          <w:szCs w:val="24"/>
        </w:rPr>
        <w:br w:type="page"/>
      </w:r>
    </w:p>
    <w:p w:rsidR="0049128E" w:rsidRPr="00576ED7" w:rsidRDefault="0049128E" w:rsidP="00AB61A1">
      <w:pPr>
        <w:pStyle w:val="Heading2"/>
      </w:pPr>
      <w:bookmarkStart w:id="67" w:name="_Toc375132954"/>
      <w:r w:rsidRPr="00576ED7">
        <w:lastRenderedPageBreak/>
        <w:t>Chapter 8: Tax Consequences of Divorce and I</w:t>
      </w:r>
      <w:r w:rsidRPr="00576ED7">
        <w:t>n</w:t>
      </w:r>
      <w:r w:rsidRPr="00576ED7">
        <w:t>tra-Family Transactions</w:t>
      </w:r>
      <w:bookmarkEnd w:id="67"/>
      <w:r w:rsidRPr="00576ED7">
        <w:fldChar w:fldCharType="begin"/>
      </w:r>
      <w:r w:rsidRPr="00576ED7">
        <w:instrText xml:space="preserve"> TC \l1 "Chapter 8: Tax Consequences of Divorce and Intra-Family Transactions</w:instrText>
      </w:r>
      <w:r w:rsidRPr="00576ED7">
        <w:fldChar w:fldCharType="end"/>
      </w:r>
    </w:p>
    <w:p w:rsidR="0049128E" w:rsidRPr="00576ED7" w:rsidRDefault="0049128E" w:rsidP="00A6585D">
      <w:pPr>
        <w:widowControl w:val="0"/>
        <w:jc w:val="both"/>
        <w:rPr>
          <w:szCs w:val="24"/>
        </w:rPr>
      </w:pPr>
    </w:p>
    <w:p w:rsidR="0049128E" w:rsidRPr="00576ED7" w:rsidRDefault="0049128E" w:rsidP="00910345">
      <w:pPr>
        <w:pStyle w:val="Heading3"/>
      </w:pPr>
      <w:bookmarkStart w:id="68" w:name="_Toc375132955"/>
      <w:r w:rsidRPr="00576ED7">
        <w:t>I.  Introduction</w:t>
      </w:r>
      <w:bookmarkEnd w:id="68"/>
      <w:r w:rsidRPr="00576ED7">
        <w:fldChar w:fldCharType="begin"/>
      </w:r>
      <w:r w:rsidRPr="00576ED7">
        <w:instrText xml:space="preserve"> TC \l1 "I.  Introduction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consequences of marriage, support of a family, and divorce </w:t>
      </w:r>
      <w:r w:rsidR="000F1FEF">
        <w:rPr>
          <w:szCs w:val="24"/>
        </w:rPr>
        <w:t xml:space="preserve">reflect </w:t>
      </w:r>
      <w:r w:rsidRPr="00576ED7">
        <w:rPr>
          <w:szCs w:val="24"/>
        </w:rPr>
        <w:t xml:space="preserve">how we choose to apply the basic principles that we tax income once and only once and that expenditures for personal consumption are not deductible.  Taxpayer chooses whether to have a spouse or a child, so expenditures for the support of a spouse or a child presumably are not deductible.  The Supreme Court’s decision in </w:t>
      </w:r>
      <w:r w:rsidRPr="00576ED7">
        <w:rPr>
          <w:i/>
          <w:szCs w:val="24"/>
        </w:rPr>
        <w:t>Poe v. Seaborn</w:t>
      </w:r>
      <w:r w:rsidRPr="00576ED7">
        <w:rPr>
          <w:szCs w:val="24"/>
        </w:rPr>
        <w:t xml:space="preserve"> </w:t>
      </w:r>
      <w:r w:rsidR="007F322C" w:rsidRPr="00576ED7">
        <w:rPr>
          <w:szCs w:val="24"/>
        </w:rPr>
        <w:t xml:space="preserve">assured that </w:t>
      </w:r>
      <w:r w:rsidRPr="00576ED7">
        <w:rPr>
          <w:szCs w:val="24"/>
        </w:rPr>
        <w:t>the legal ownership of income within a family unit would be an important issue.  We consider now the extent to which we recognize the family as a taxpaying unit.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6912" behindDoc="0" locked="0" layoutInCell="0" allowOverlap="1" wp14:anchorId="7EE168ED" wp14:editId="28834808">
                <wp:simplePos x="0" y="0"/>
                <wp:positionH relativeFrom="margin">
                  <wp:posOffset>5080</wp:posOffset>
                </wp:positionH>
                <wp:positionV relativeFrom="paragraph">
                  <wp:posOffset>22860</wp:posOffset>
                </wp:positionV>
                <wp:extent cx="1921510" cy="3108960"/>
                <wp:effectExtent l="0" t="0" r="0" b="0"/>
                <wp:wrapSquare wrapText="largest"/>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0896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(gross income)</w:t>
                            </w:r>
                          </w:p>
                          <w:p w:rsidR="00FF5E72" w:rsidRDefault="00FF5E72"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FF5E72" w:rsidRDefault="00FF5E72"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136963">
                            <w:pPr>
                              <w:widowControl w:val="0"/>
                              <w:jc w:val="both"/>
                              <w:rPr>
                                <w:rFonts w:ascii="Tw Cen MT" w:hAnsi="Tw Cen MT"/>
                              </w:rPr>
                            </w:pPr>
                            <w:r>
                              <w:rPr>
                                <w:rFonts w:ascii="Tw Cen MT" w:hAnsi="Tw Cen MT"/>
                              </w:rPr>
                              <w:t>MINUS (standard deduction or</w:t>
                            </w:r>
                          </w:p>
                          <w:p w:rsidR="00FF5E72" w:rsidRDefault="00FF5E72" w:rsidP="00136963">
                            <w:pPr>
                              <w:widowControl w:val="0"/>
                              <w:jc w:val="both"/>
                              <w:rPr>
                                <w:rFonts w:ascii="Tw Cen MT" w:hAnsi="Tw Cen MT"/>
                              </w:rPr>
                            </w:pPr>
                            <w:r>
                              <w:rPr>
                                <w:rFonts w:ascii="Tw Cen MT" w:hAnsi="Tw Cen MT"/>
                              </w:rPr>
                              <w:t xml:space="preserve"> itemized deductions)</w:t>
                            </w:r>
                          </w:p>
                          <w:p w:rsidR="00FF5E72" w:rsidRDefault="00FF5E72"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136963">
                            <w:pPr>
                              <w:widowControl w:val="0"/>
                              <w:jc w:val="both"/>
                              <w:rPr>
                                <w:rFonts w:ascii="Tw Cen MT" w:hAnsi="Tw Cen MT"/>
                              </w:rPr>
                            </w:pPr>
                            <w:r>
                              <w:rPr>
                                <w:rFonts w:ascii="Tw Cen MT" w:hAnsi="Tw Cen MT"/>
                              </w:rPr>
                              <w:t>EQUALS (taxable income)</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Compute income tax liability from tables in § 1 (indexed for inflation)</w:t>
                            </w:r>
                          </w:p>
                          <w:p w:rsidR="00FF5E72" w:rsidRDefault="00FF5E72" w:rsidP="0013696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2" type="#_x0000_t202" style="position:absolute;left:0;text-align:left;margin-left:.4pt;margin-top:1.8pt;width:151.3pt;height:244.8pt;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83KgIAAFwEAAAOAAAAZHJzL2Uyb0RvYy54bWysVNtu2zAMfR+wfxD0vtjO0LQ14hRdugwD&#10;ugvQ7gNoWY6FyaImKbGzrx8lp2nQbS/D/CCIEnV4eEh6eTP2mu2l8wpNxYtZzpk0AhtlthX/9rh5&#10;c8WZD2Aa0GhkxQ/S85vV61fLwZZyjh3qRjpGIMaXg614F4Its8yLTvbgZ2ilocsWXQ+BTLfNGgcD&#10;ofc6m+f5IhvQNdahkN7T6d10yVcJv22lCF/a1svAdMWJW0irS2sd12y1hHLrwHZKHGnAP7DoQRkK&#10;eoK6gwBs59RvUL0SDj22YSawz7BtlZApB8qmyF9k89CBlSkXEsfbk0z+/8GKz/uvjqmm4hckj4Ge&#10;avQox8De4cgukz6D9SW5PVhyDCOdU51Trt7eo/jumcF1B2Yrb53DoZPQEL8iKpudPY0V8aWPIPXw&#10;CRuKA7uACWhsXR/FIzkYoRORw6k2kYuIIa/nxUVBV4Lu3hb51fUiscugfHpunQ8fJPYsbiruqPgJ&#10;Hvb3PkQ6UD65xGgetWo2SutkuG291o7tgRplk76UwQs3bdhAXObEZpLgrxh5+v6E0atALa9VX/Gr&#10;kxOUUbj3pkkNGUDpaU+ctTkqGcWbZAxjPaaiLRYxQlS2xuZA2jqcWpxGkjYdup+cDdTeFfc/duAk&#10;Z/qjofpcLmh6aB7ODXdu1OcGGEFQFQ+cTdt1mGZoZ53adhRp6giDt1TTViW1n1kd+VMLpyIcxy3O&#10;yLmdvJ5/CqtfAAAA//8DAFBLAwQUAAYACAAAACEAScGEdNoAAAAGAQAADwAAAGRycy9kb3ducmV2&#10;LnhtbEzOQU+DQBAF4LtJ/8NmmnizS6FpFBmahsR7QY0et+zIEtlZZLcF/73rSY+TN3nvKw6LHcSV&#10;Jt87RthuEhDErdM9dwgvz0939yB8UKzV4JgQvsnDoVzdFCrXbuaark3oRCxhnysEE8KYS+lbQ1b5&#10;jRuJY/bhJqtCPKdO6knNsdwOMk2SvbSq57hg1EiVofazuVgEV9fVa9p8nd6qWVfdfFrC+G4Qb9fL&#10;8RFEoCX8PcMvP9KhjKazu7D2YkCI7oCQ7UHEMEuyHYgzwu4hS0GWhfzPL38AAAD//wMAUEsBAi0A&#10;FAAGAAgAAAAhALaDOJL+AAAA4QEAABMAAAAAAAAAAAAAAAAAAAAAAFtDb250ZW50X1R5cGVzXS54&#10;bWxQSwECLQAUAAYACAAAACEAOP0h/9YAAACUAQAACwAAAAAAAAAAAAAAAAAvAQAAX3JlbHMvLnJl&#10;bHNQSwECLQAUAAYACAAAACEAjbifNyoCAABcBAAADgAAAAAAAAAAAAAAAAAuAgAAZHJzL2Uyb0Rv&#10;Yy54bWxQSwECLQAUAAYACAAAACEAScGEdNoAAAAGAQAADwAAAAAAAAAAAAAAAACEBAAAZHJzL2Rv&#10;d25yZXYueG1sUEsFBgAAAAAEAAQA8wAAAIs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(gross income)</w:t>
                      </w:r>
                    </w:p>
                    <w:p w:rsidR="00FF5E72" w:rsidRDefault="00FF5E72" w:rsidP="00136963">
                      <w:pPr>
                        <w:widowControl w:val="0"/>
                        <w:jc w:val="both"/>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p>
                    <w:p w:rsidR="00FF5E72" w:rsidRDefault="00FF5E72" w:rsidP="0013696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136963">
                      <w:pPr>
                        <w:widowControl w:val="0"/>
                        <w:jc w:val="both"/>
                        <w:rPr>
                          <w:rFonts w:ascii="Tw Cen MT" w:hAnsi="Tw Cen MT"/>
                        </w:rPr>
                      </w:pPr>
                      <w:r>
                        <w:rPr>
                          <w:rFonts w:ascii="Tw Cen MT" w:hAnsi="Tw Cen MT"/>
                        </w:rPr>
                        <w:t>MINUS (standard deduction or</w:t>
                      </w:r>
                    </w:p>
                    <w:p w:rsidR="00FF5E72" w:rsidRDefault="00FF5E72" w:rsidP="00136963">
                      <w:pPr>
                        <w:widowControl w:val="0"/>
                        <w:jc w:val="both"/>
                        <w:rPr>
                          <w:rFonts w:ascii="Tw Cen MT" w:hAnsi="Tw Cen MT"/>
                        </w:rPr>
                      </w:pPr>
                      <w:r>
                        <w:rPr>
                          <w:rFonts w:ascii="Tw Cen MT" w:hAnsi="Tw Cen MT"/>
                        </w:rPr>
                        <w:t xml:space="preserve"> itemized deductions)</w:t>
                      </w:r>
                    </w:p>
                    <w:p w:rsidR="00FF5E72" w:rsidRDefault="00FF5E72" w:rsidP="0013696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136963">
                      <w:pPr>
                        <w:widowControl w:val="0"/>
                        <w:jc w:val="both"/>
                        <w:rPr>
                          <w:rFonts w:ascii="Tw Cen MT" w:hAnsi="Tw Cen MT"/>
                        </w:rPr>
                      </w:pPr>
                      <w:r>
                        <w:rPr>
                          <w:rFonts w:ascii="Tw Cen MT" w:hAnsi="Tw Cen MT"/>
                        </w:rPr>
                        <w:t>EQUALS (taxable income)</w:t>
                      </w:r>
                    </w:p>
                    <w:p w:rsidR="00FF5E72" w:rsidRDefault="00FF5E72" w:rsidP="00136963">
                      <w:pPr>
                        <w:widowControl w:val="0"/>
                        <w:jc w:val="both"/>
                        <w:rPr>
                          <w:rFonts w:ascii="Tw Cen MT" w:hAnsi="Tw Cen MT"/>
                        </w:rPr>
                      </w:pPr>
                    </w:p>
                    <w:p w:rsidR="00FF5E72" w:rsidRDefault="00FF5E72" w:rsidP="00136963">
                      <w:pPr>
                        <w:widowControl w:val="0"/>
                        <w:jc w:val="both"/>
                        <w:rPr>
                          <w:rFonts w:ascii="Tw Cen MT" w:hAnsi="Tw Cen MT"/>
                        </w:rPr>
                      </w:pPr>
                      <w:r>
                        <w:rPr>
                          <w:rFonts w:ascii="Tw Cen MT" w:hAnsi="Tw Cen MT"/>
                        </w:rPr>
                        <w:t>Compute income tax liability from tables in § 1 (indexed for inflation)</w:t>
                      </w:r>
                    </w:p>
                    <w:p w:rsidR="00FF5E72" w:rsidRDefault="00FF5E72" w:rsidP="0013696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contribute to its taxable income.  The fact that a taxpayer provides financial support to another person may give that other person the tax status of “dependent” and entitle taxpayer to a d</w:t>
      </w:r>
      <w:r w:rsidRPr="00576ED7">
        <w:rPr>
          <w:szCs w:val="24"/>
        </w:rPr>
        <w:t>e</w:t>
      </w:r>
      <w:r w:rsidRPr="00576ED7">
        <w:rPr>
          <w:szCs w:val="24"/>
        </w:rPr>
        <w:t>pendent deduction.  We learn shortly that whether taxpayer may claim another as a d</w:t>
      </w:r>
      <w:r w:rsidRPr="00576ED7">
        <w:rPr>
          <w:szCs w:val="24"/>
        </w:rPr>
        <w:t>e</w:t>
      </w:r>
      <w:r w:rsidRPr="00576ED7">
        <w:rPr>
          <w:szCs w:val="24"/>
        </w:rPr>
        <w:t>pendent usually turns on the existence of a fa</w:t>
      </w:r>
      <w:r w:rsidRPr="00576ED7">
        <w:rPr>
          <w:szCs w:val="24"/>
        </w:rPr>
        <w:t>m</w:t>
      </w:r>
      <w:r w:rsidRPr="00576ED7">
        <w:rPr>
          <w:szCs w:val="24"/>
        </w:rPr>
        <w:t>ily relationship.</w:t>
      </w:r>
    </w:p>
    <w:p w:rsidR="0049128E" w:rsidRPr="00576ED7" w:rsidRDefault="0049128E" w:rsidP="00A6585D">
      <w:pPr>
        <w:widowControl w:val="0"/>
        <w:jc w:val="both"/>
        <w:rPr>
          <w:szCs w:val="24"/>
        </w:rPr>
      </w:pPr>
      <w:r w:rsidRPr="00576ED7">
        <w:rPr>
          <w:szCs w:val="24"/>
        </w:rPr>
        <w:t xml:space="preserve"> </w:t>
      </w:r>
    </w:p>
    <w:p w:rsidR="000F1FEF" w:rsidRDefault="000F1FEF" w:rsidP="00A6585D">
      <w:pPr>
        <w:widowControl w:val="0"/>
        <w:jc w:val="both"/>
        <w:rPr>
          <w:szCs w:val="24"/>
        </w:rPr>
      </w:pPr>
    </w:p>
    <w:p w:rsidR="0049128E" w:rsidRPr="00576ED7" w:rsidRDefault="000F1FEF" w:rsidP="00A6585D">
      <w:pPr>
        <w:widowControl w:val="0"/>
        <w:jc w:val="both"/>
        <w:rPr>
          <w:szCs w:val="24"/>
        </w:rPr>
      </w:pPr>
      <w:r>
        <w:rPr>
          <w:szCs w:val="24"/>
        </w:rPr>
        <w:t>The definition of “marriage” is a matter of s</w:t>
      </w:r>
      <w:r w:rsidR="0049128E" w:rsidRPr="00576ED7">
        <w:rPr>
          <w:szCs w:val="24"/>
        </w:rPr>
        <w:t>tate law</w:t>
      </w:r>
      <w:r>
        <w:rPr>
          <w:szCs w:val="24"/>
        </w:rPr>
        <w:t xml:space="preserve">; states law determines </w:t>
      </w:r>
      <w:r w:rsidR="0049128E" w:rsidRPr="00576ED7">
        <w:rPr>
          <w:szCs w:val="24"/>
        </w:rPr>
        <w:t xml:space="preserve">who is and who is not married.  State law </w:t>
      </w:r>
      <w:r>
        <w:rPr>
          <w:szCs w:val="24"/>
        </w:rPr>
        <w:t xml:space="preserve">also </w:t>
      </w:r>
      <w:r w:rsidR="0049128E" w:rsidRPr="00576ED7">
        <w:rPr>
          <w:szCs w:val="24"/>
        </w:rPr>
        <w:t xml:space="preserve">defines the rights that husband and wife have with respect to their property and income before, within, and after the marriage.  State law governs adoptions and so is determinative of who is a “child” of the taxpayer.  State (or local) law also governs the placement of foster children.  State law defines the obligations that family members have towards each other – notably that parents have obligations of support for their children up </w:t>
      </w:r>
      <w:r w:rsidR="0049128E" w:rsidRPr="00576ED7">
        <w:rPr>
          <w:szCs w:val="24"/>
        </w:rPr>
        <w:lastRenderedPageBreak/>
        <w:t>to a certain age.  This may affect whether one person is a dependent of a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69" w:name="_Toc375132956"/>
      <w:r w:rsidRPr="00576ED7">
        <w:t>II.  Before Marriage</w:t>
      </w:r>
      <w:bookmarkEnd w:id="69"/>
      <w:r w:rsidRPr="00576ED7">
        <w:fldChar w:fldCharType="begin"/>
      </w:r>
      <w:r w:rsidRPr="00576ED7">
        <w:instrText xml:space="preserve"> TC \l1 "II.  Before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Code treats a married husband and wife as a single taxpayer – although they may elect to be taxed separately.  </w:t>
      </w:r>
      <w:r w:rsidRPr="00576ED7">
        <w:rPr>
          <w:i/>
          <w:szCs w:val="24"/>
        </w:rPr>
        <w:t>Until</w:t>
      </w:r>
      <w:r w:rsidRPr="00576ED7">
        <w:rPr>
          <w:szCs w:val="24"/>
        </w:rPr>
        <w:t xml:space="preserve"> they are married, they remain separate taxpayers – although one might be a dependent of the other.  Taxpayers may enter certain transactions with each other in contemplation of marriage., but presum</w:t>
      </w:r>
      <w:r w:rsidRPr="00576ED7">
        <w:rPr>
          <w:szCs w:val="24"/>
        </w:rPr>
        <w:t>p</w:t>
      </w:r>
      <w:r w:rsidRPr="00576ED7">
        <w:rPr>
          <w:szCs w:val="24"/>
        </w:rPr>
        <w:t>tively such transactions are arm’s-length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 xml:space="preserve">2d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CHASE, Circuit Judge.</w:t>
      </w:r>
    </w:p>
    <w:p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w:t>
      </w:r>
      <w:r w:rsidRPr="00576ED7">
        <w:rPr>
          <w:szCs w:val="24"/>
        </w:rPr>
        <w:t>e</w:t>
      </w:r>
      <w:r w:rsidRPr="00576ED7">
        <w:rPr>
          <w:szCs w:val="24"/>
        </w:rPr>
        <w:t>termined the deficiency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is an American citizen who filed her income tax return for the ca</w:t>
      </w:r>
      <w:r w:rsidRPr="00576ED7">
        <w:rPr>
          <w:szCs w:val="24"/>
        </w:rPr>
        <w:t>l</w:t>
      </w:r>
      <w:r w:rsidRPr="00576ED7">
        <w:rPr>
          <w:szCs w:val="24"/>
        </w:rPr>
        <w:t>endar year 1938 ... and ... reported sales during that year of 12,000 shares of the common stock of the S.S. Kresge Company at varying prices per share, for the total sum of $230,802.36 which admittedly was in excess of their cost to her. ...</w:t>
      </w:r>
    </w:p>
    <w:p w:rsidR="00F44A8A" w:rsidRPr="00576ED7" w:rsidRDefault="00F44A8A" w:rsidP="00A6585D">
      <w:pPr>
        <w:widowControl w:val="0"/>
        <w:jc w:val="both"/>
        <w:rPr>
          <w:szCs w:val="24"/>
        </w:rPr>
      </w:pPr>
    </w:p>
    <w:p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w:t>
      </w:r>
      <w:r w:rsidRPr="00576ED7">
        <w:rPr>
          <w:szCs w:val="24"/>
        </w:rPr>
        <w:t>n</w:t>
      </w:r>
      <w:r w:rsidRPr="00576ED7">
        <w:rPr>
          <w:szCs w:val="24"/>
        </w:rPr>
        <w:lastRenderedPageBreak/>
        <w:t>templated marriage between the petitioner and said Kresge.” The latter was d</w:t>
      </w:r>
      <w:r w:rsidRPr="00576ED7">
        <w:rPr>
          <w:szCs w:val="24"/>
        </w:rPr>
        <w:t>i</w:t>
      </w:r>
      <w:r w:rsidRPr="00576ED7">
        <w:rPr>
          <w:szCs w:val="24"/>
        </w:rPr>
        <w:t>vorced from his wife on January 9, 1924, and on or about January 23, 1924 he delivered to the petitioner 1800 additional common shares of S.S. Kresge Comp</w:t>
      </w:r>
      <w:r w:rsidRPr="00576ED7">
        <w:rPr>
          <w:szCs w:val="24"/>
        </w:rPr>
        <w:t>a</w:t>
      </w:r>
      <w:r w:rsidRPr="00576ED7">
        <w:rPr>
          <w:szCs w:val="24"/>
        </w:rPr>
        <w:t>ny which were also ... to be held by the petitioner for the same purposes as were the first 700 shares he had delivered to her. On April 24, 1924, and when the pet</w:t>
      </w:r>
      <w:r w:rsidRPr="00576ED7">
        <w:rPr>
          <w:szCs w:val="24"/>
        </w:rPr>
        <w:t>i</w:t>
      </w:r>
      <w:r w:rsidRPr="00576ED7">
        <w:rPr>
          <w:szCs w:val="24"/>
        </w:rPr>
        <w:t>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w:t>
      </w:r>
      <w:r w:rsidRPr="00576ED7">
        <w:rPr>
          <w:szCs w:val="24"/>
        </w:rPr>
        <w:t>d</w:t>
      </w:r>
      <w:r w:rsidRPr="00576ED7">
        <w:rPr>
          <w:szCs w:val="24"/>
        </w:rPr>
        <w:t>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 [102] and, as the transfer to her was after December 31, 1920, used as the basis for determining the gain on her sale of it the basis it would have </w:t>
      </w:r>
      <w:r w:rsidRPr="00576ED7">
        <w:rPr>
          <w:szCs w:val="24"/>
        </w:rPr>
        <w:lastRenderedPageBreak/>
        <w:t>had in the hands of the donor. This was correct if the just mentioned statute is a</w:t>
      </w:r>
      <w:r w:rsidRPr="00576ED7">
        <w:rPr>
          <w:szCs w:val="24"/>
        </w:rPr>
        <w:t>p</w:t>
      </w:r>
      <w:r w:rsidRPr="00576ED7">
        <w:rPr>
          <w:szCs w:val="24"/>
        </w:rPr>
        <w:t xml:space="preserve">plicable, and the Tax Court held it was on the authority of </w:t>
      </w:r>
      <w:r w:rsidRPr="00576ED7">
        <w:rPr>
          <w:i/>
          <w:szCs w:val="24"/>
        </w:rPr>
        <w:t>Wemyss v. Commi</w:t>
      </w:r>
      <w:r w:rsidRPr="00576ED7">
        <w:rPr>
          <w:i/>
          <w:szCs w:val="24"/>
        </w:rPr>
        <w:t>s</w:t>
      </w:r>
      <w:r w:rsidRPr="00576ED7">
        <w:rPr>
          <w:i/>
          <w:szCs w:val="24"/>
        </w:rPr>
        <w:t>sioner</w:t>
      </w:r>
      <w:r w:rsidRPr="00576ED7">
        <w:rPr>
          <w:szCs w:val="24"/>
        </w:rPr>
        <w:t xml:space="preserve">, 324 U.S. 303, and </w:t>
      </w:r>
      <w:r w:rsidRPr="00576ED7">
        <w:rPr>
          <w:i/>
          <w:szCs w:val="24"/>
        </w:rPr>
        <w:t>Merrill v. Fahs</w:t>
      </w:r>
      <w:r w:rsidRPr="00576ED7">
        <w:rPr>
          <w:szCs w:val="24"/>
        </w:rPr>
        <w:t>, 324 U.S. 308.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w:t>
      </w:r>
      <w:r w:rsidRPr="00576ED7">
        <w:rPr>
          <w:szCs w:val="24"/>
        </w:rPr>
        <w:t>m</w:t>
      </w:r>
      <w:r w:rsidRPr="00576ED7">
        <w:rPr>
          <w:szCs w:val="24"/>
        </w:rPr>
        <w:t>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w:t>
      </w:r>
      <w:r w:rsidRPr="00576ED7">
        <w:rPr>
          <w:szCs w:val="24"/>
        </w:rPr>
        <w:t>n</w:t>
      </w:r>
      <w:r w:rsidRPr="00576ED7">
        <w:rPr>
          <w:szCs w:val="24"/>
        </w:rPr>
        <w:t>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w:t>
      </w:r>
      <w:r w:rsidRPr="00576ED7">
        <w:rPr>
          <w:szCs w:val="24"/>
        </w:rPr>
        <w:t>n</w:t>
      </w:r>
      <w:r w:rsidRPr="00576ED7">
        <w:rPr>
          <w:szCs w:val="24"/>
        </w:rPr>
        <w:t xml:space="preserve">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w:t>
      </w:r>
      <w:r w:rsidRPr="00576ED7">
        <w:rPr>
          <w:szCs w:val="24"/>
        </w:rPr>
        <w:t>e</w:t>
      </w:r>
      <w:r w:rsidRPr="00576ED7">
        <w:rPr>
          <w:szCs w:val="24"/>
        </w:rPr>
        <w:t>placed the words “fair consideration” in the 1924 Act limiting the deductibility of claims against an estate with the words “adequate and full consideration in money or money’s worth” and in 1932 the gift tax statute as enacted limited consider</w:t>
      </w:r>
      <w:r w:rsidRPr="00576ED7">
        <w:rPr>
          <w:szCs w:val="24"/>
        </w:rPr>
        <w:t>a</w:t>
      </w:r>
      <w:r w:rsidRPr="00576ED7">
        <w:rPr>
          <w:szCs w:val="24"/>
        </w:rPr>
        <w:t xml:space="preserve">tion in the same way. </w:t>
      </w:r>
      <w:r w:rsidR="004020EF" w:rsidRPr="00576ED7">
        <w:rPr>
          <w:szCs w:val="24"/>
        </w:rPr>
        <w:t>Rev.</w:t>
      </w:r>
      <w:r w:rsidR="004020EF">
        <w:rPr>
          <w:szCs w:val="24"/>
        </w:rPr>
        <w:t xml:space="preserve"> </w:t>
      </w:r>
      <w:r w:rsidR="004020EF" w:rsidRPr="00576ED7">
        <w:rPr>
          <w:szCs w:val="24"/>
        </w:rPr>
        <w:t>Act</w:t>
      </w:r>
      <w:r w:rsidRPr="00576ED7">
        <w:rPr>
          <w:szCs w:val="24"/>
        </w:rPr>
        <w:t xml:space="preserve"> 1932, § 503. Although Congress in 1932 also e</w:t>
      </w:r>
      <w:r w:rsidRPr="00576ED7">
        <w:rPr>
          <w:szCs w:val="24"/>
        </w:rPr>
        <w:t>x</w:t>
      </w:r>
      <w:r w:rsidRPr="00576ED7">
        <w:rPr>
          <w:szCs w:val="24"/>
        </w:rPr>
        <w:t>pressly provided that the release of marital rights should not be treated as a co</w:t>
      </w:r>
      <w:r w:rsidRPr="00576ED7">
        <w:rPr>
          <w:szCs w:val="24"/>
        </w:rPr>
        <w:t>n</w:t>
      </w:r>
      <w:r w:rsidRPr="00576ED7">
        <w:rPr>
          <w:szCs w:val="24"/>
        </w:rPr>
        <w:t xml:space="preserve">sideration in money or money’s worth in administering the estate tax law, Rev. Act of 1932, § 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find in this decision no indication, however, that the term “gift” as used in the income tax statute should be construed to include a transfer which, if made when the gift tax were effective, would be taxable to the transferor as a gift merely b</w:t>
      </w:r>
      <w:r w:rsidRPr="00576ED7">
        <w:rPr>
          <w:szCs w:val="24"/>
        </w:rPr>
        <w:t>e</w:t>
      </w:r>
      <w:r w:rsidRPr="00576ED7">
        <w:rPr>
          <w:szCs w:val="24"/>
        </w:rPr>
        <w:t>cause of the special provisions in the gift tax statute defining and restricting co</w:t>
      </w:r>
      <w:r w:rsidRPr="00576ED7">
        <w:rPr>
          <w:szCs w:val="24"/>
        </w:rPr>
        <w:t>n</w:t>
      </w:r>
      <w:r w:rsidRPr="00576ED7">
        <w:rPr>
          <w:szCs w:val="24"/>
        </w:rPr>
        <w:t>sideration for gift tax purposes. A fortiori, it would seem that limitations found in the estate tax law upon according the usual legal effect to proof that a transfer was made for a fair consideration should not be imported into the income tax law e</w:t>
      </w:r>
      <w:r w:rsidRPr="00576ED7">
        <w:rPr>
          <w:szCs w:val="24"/>
        </w:rPr>
        <w:t>x</w:t>
      </w:r>
      <w:r w:rsidRPr="00576ED7">
        <w:rPr>
          <w:szCs w:val="24"/>
        </w:rPr>
        <w:t>cept by action of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w:t>
      </w:r>
      <w:r w:rsidRPr="00576ED7">
        <w:rPr>
          <w:szCs w:val="24"/>
        </w:rPr>
        <w:t>b</w:t>
      </w:r>
      <w:r w:rsidRPr="00576ED7">
        <w:rPr>
          <w:szCs w:val="24"/>
        </w:rPr>
        <w:t>lished by statute in those instances when the resulting gain or loss is recognized for income tax purposes and the basis for succeeding sales or exchanges will, th</w:t>
      </w:r>
      <w:r w:rsidRPr="00576ED7">
        <w:rPr>
          <w:szCs w:val="24"/>
        </w:rPr>
        <w:t>e</w:t>
      </w:r>
      <w:r w:rsidRPr="00576ED7">
        <w:rPr>
          <w:szCs w:val="24"/>
        </w:rPr>
        <w:t>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w:t>
      </w:r>
      <w:r w:rsidRPr="00576ED7">
        <w:rPr>
          <w:szCs w:val="24"/>
        </w:rPr>
        <w:t>d</w:t>
      </w:r>
      <w:r w:rsidRPr="00576ED7">
        <w:rPr>
          <w:szCs w:val="24"/>
        </w:rPr>
        <w:t>ing and the donee might take advantage of any shrinkage in such increment after the acquisition by gift in computing gain or loss upon a subsequent sale or e</w:t>
      </w:r>
      <w:r w:rsidRPr="00576ED7">
        <w:rPr>
          <w:szCs w:val="24"/>
        </w:rPr>
        <w:t>x</w:t>
      </w:r>
      <w:r w:rsidRPr="00576ED7">
        <w:rPr>
          <w:szCs w:val="24"/>
        </w:rPr>
        <w:t>change. It was to close this loophole that Congress provided that the donee should take the donor’s basis when property was transferred by gift. Report of Ways and Means Committee (No. 350, P. 9, 67th Cong., 1st Sess.). This change in the sta</w:t>
      </w:r>
      <w:r w:rsidRPr="00576ED7">
        <w:rPr>
          <w:szCs w:val="24"/>
        </w:rPr>
        <w:t>t</w:t>
      </w:r>
      <w:r w:rsidRPr="00576ED7">
        <w:rPr>
          <w:szCs w:val="24"/>
        </w:rPr>
        <w: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w:t>
      </w:r>
      <w:r w:rsidRPr="00576ED7">
        <w:rPr>
          <w:szCs w:val="24"/>
        </w:rPr>
        <w:t>n</w:t>
      </w:r>
      <w:r w:rsidRPr="00576ED7">
        <w:rPr>
          <w:szCs w:val="24"/>
        </w:rPr>
        <w:t xml:space="preserve">come-tax-wise. Though such a consideration as this petitioner gave for the shares of stock she acquired from Mr. Kresge might not have relieved him from liability for a gift tax, had the present gift tax then been in effect, it was nevertheless a fair </w:t>
      </w:r>
      <w:r w:rsidRPr="00576ED7">
        <w:rPr>
          <w:szCs w:val="24"/>
        </w:rPr>
        <w:lastRenderedPageBreak/>
        <w:t>consideration which prevented her taking the shares as a gift under the income tax law since it precluded the existence of a donative intent.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the transfers of the stock made both in December 1923, and in the fo</w:t>
      </w:r>
      <w:r w:rsidRPr="00576ED7">
        <w:rPr>
          <w:szCs w:val="24"/>
        </w:rPr>
        <w:t>l</w:t>
      </w:r>
      <w:r w:rsidRPr="00576ED7">
        <w:rPr>
          <w:szCs w:val="24"/>
        </w:rPr>
        <w:t xml:space="preserve">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in consideration for her promise to marry him coupled with her promise to relinquish all rights in and to his property which she would otherwise acquire by the marriage. Her i</w:t>
      </w:r>
      <w:r w:rsidRPr="00576ED7">
        <w:rPr>
          <w:szCs w:val="24"/>
        </w:rPr>
        <w:t>n</w:t>
      </w:r>
      <w:r w:rsidRPr="00576ED7">
        <w:rPr>
          <w:szCs w:val="24"/>
        </w:rPr>
        <w:t xml:space="preserve">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r w:rsidRPr="00576ED7">
        <w:rPr>
          <w:szCs w:val="24"/>
        </w:rPr>
        <w:t>Decision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CLARK, Circuit Judge (di</w:t>
      </w:r>
      <w:r w:rsidRPr="00576ED7">
        <w:rPr>
          <w:szCs w:val="24"/>
        </w:rPr>
        <w:t>s</w:t>
      </w:r>
      <w:r w:rsidRPr="00576ED7">
        <w:rPr>
          <w:szCs w:val="24"/>
        </w:rPr>
        <w:t>senting) (omitted).</w:t>
      </w:r>
    </w:p>
    <w:p w:rsidR="0049128E" w:rsidRPr="00576ED7" w:rsidRDefault="000F1FEF" w:rsidP="00A6585D">
      <w:pPr>
        <w:widowControl w:val="0"/>
        <w:jc w:val="both"/>
        <w:rPr>
          <w:szCs w:val="24"/>
        </w:rPr>
      </w:pPr>
      <w:r w:rsidRPr="00576ED7">
        <w:rPr>
          <w:noProof/>
          <w:szCs w:val="24"/>
        </w:rPr>
        <mc:AlternateContent>
          <mc:Choice Requires="wps">
            <w:drawing>
              <wp:anchor distT="152400" distB="152400" distL="152400" distR="152400" simplePos="0" relativeHeight="251687936" behindDoc="0" locked="0" layoutInCell="0" allowOverlap="1" wp14:anchorId="4F6F1F04" wp14:editId="7505BA8F">
                <wp:simplePos x="0" y="0"/>
                <wp:positionH relativeFrom="margin">
                  <wp:posOffset>2029460</wp:posOffset>
                </wp:positionH>
                <wp:positionV relativeFrom="paragraph">
                  <wp:posOffset>113665</wp:posOffset>
                </wp:positionV>
                <wp:extent cx="2971800" cy="943610"/>
                <wp:effectExtent l="0" t="0" r="19050" b="2794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610"/>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3" type="#_x0000_t202" style="position:absolute;left:0;text-align:left;margin-left:159.8pt;margin-top:8.95pt;width:234pt;height:74.3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L1LgIAAFsEAAAOAAAAZHJzL2Uyb0RvYy54bWysVNuO2yAQfa/Uf0C8N7bTVbKx4qy22aaq&#10;tN1W2u0HYIxtVGAokNjbr++AkzS9vVTlATEwHGbOmWF9M2pFDsJ5CaaixSynRBgOjTRdRT8/7V5d&#10;U+IDMw1TYERFn4WnN5uXL9aDLcUcelCNcARBjC8HW9E+BFtmmee90MzPwAqDhy04zQKarssaxwZE&#10;1yqb5/kiG8A11gEX3uPu3XRINwm/bQUPH9vWi0BURTG2kGaX5jrO2WbNys4x20t+DIP9QxSaSYOP&#10;nqHuWGBk7+RvUFpyBx7aMOOgM2hbyUXKAbMp8l+yeeyZFSkXJMfbM03+/8Hyh8MnR2RT0asVJYZp&#10;1OhJjIG8gZEsi8jPYH2Jbo8WHcOI+6hzytXbe+BfPDGw7ZnpxK1zMPSCNRhfupldXJ1wfASphw/Q&#10;4DtsHyABja3TkTykgyA66vR81ibGwnFzvloW1zkecTxbXb1eFEm8jJWn29b58E6AJnFRUYfaJ3R2&#10;uPcB80DXk0t8zIOSzU4qlQzX1VvlyIFhnezSiKnjlZ/clCED5jYvVvOJgb9i5Gn8CUPLgBWvpK4o&#10;5oNjqsHI21vTpHoMTKppjQEog3FEIiN3E4thrMek2WJ5EqiG5hmpdTBVOHYkLnpw3ygZsLor6r/u&#10;mROUqPcG5VkusHmwHS4Nd2nUlwYzHKEqGiiZltswtdDeOtn1+NJUEAZuUdJWJrZjyFNUx/ixghOj&#10;x26LLXJpJ68ff8LmOwAAAP//AwBQSwMEFAAGAAgAAAAhALIifIjcAAAACgEAAA8AAABkcnMvZG93&#10;bnJldi54bWxMj8FOwzAQRO9I/IO1SNyo0yKSNsSpUCTuTSiCoxsvcUS8DrHbhL9nOcFxZ55mZ4r9&#10;4gZxwSn0nhSsVwkIpNabnjoFx5fnuy2IEDUZPXhCBd8YYF9eXxU6N36mGi9N7ASHUMi1AhvjmEsZ&#10;WotOh5Ufkdj78JPTkc+pk2bSM4e7QW6SJJVO98QfrB6xsth+NmenwNd19bppvg5v1Wyqbj4scXy3&#10;St3eLE+PICIu8Q+G3/pcHUrudPJnMkEMCu7Xu5RRNrIdCAaybcbCiYU0fQBZFvL/hPIHAAD//wMA&#10;UEsBAi0AFAAGAAgAAAAhALaDOJL+AAAA4QEAABMAAAAAAAAAAAAAAAAAAAAAAFtDb250ZW50X1R5&#10;cGVzXS54bWxQSwECLQAUAAYACAAAACEAOP0h/9YAAACUAQAACwAAAAAAAAAAAAAAAAAvAQAAX3Jl&#10;bHMvLnJlbHNQSwECLQAUAAYACAAAACEAsHAS9S4CAABbBAAADgAAAAAAAAAAAAAAAAAuAgAAZHJz&#10;L2Uyb0RvYy54bWxQSwECLQAUAAYACAAAACEAsiJ8iNwAAAAKAQAADwAAAAAAAAAAAAAAAACIBAAA&#10;ZHJzL2Rvd25yZXYueG1sUEsFBgAAAAAEAAQA8wAAAJE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rsidR="0049128E" w:rsidRPr="00576ED7" w:rsidRDefault="0049128E" w:rsidP="00A6585D">
      <w:pPr>
        <w:widowControl w:val="0"/>
        <w:ind w:left="720"/>
        <w:jc w:val="both"/>
        <w:rPr>
          <w:szCs w:val="24"/>
        </w:rPr>
      </w:pPr>
      <w:r w:rsidRPr="00576ED7">
        <w:rPr>
          <w:szCs w:val="24"/>
        </w:rPr>
        <w:t>•Remember: the use of property whose value has appreciated or deprecia</w:t>
      </w:r>
      <w:r w:rsidRPr="00576ED7">
        <w:rPr>
          <w:szCs w:val="24"/>
        </w:rPr>
        <w:t>t</w:t>
      </w:r>
      <w:r w:rsidRPr="00576ED7">
        <w:rPr>
          <w:szCs w:val="24"/>
        </w:rPr>
        <w:t>ed to pay for something is a recognition event.  Why?</w:t>
      </w:r>
    </w:p>
    <w:p w:rsidR="0049128E" w:rsidRPr="00576ED7" w:rsidRDefault="000F1FEF"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88960" behindDoc="0" locked="0" layoutInCell="0" allowOverlap="1" wp14:anchorId="77D3058B" wp14:editId="7588A09A">
                <wp:simplePos x="0" y="0"/>
                <wp:positionH relativeFrom="margin">
                  <wp:posOffset>2058670</wp:posOffset>
                </wp:positionH>
                <wp:positionV relativeFrom="paragraph">
                  <wp:posOffset>62230</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4" type="#_x0000_t202" style="position:absolute;left:0;text-align:left;margin-left:162.1pt;margin-top:4.9pt;width:234pt;height:54.4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yE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ebX8XFkuYH2iNQ6mDocJxI3PbjvlAzY3TX13/bM&#10;CUrUe4PyLOY4PDgOl4a7NJpLgxmOUDUNlEzbTZhGaG+d3PUYaWoIA7coaScT289ZnfLHDk4inKYt&#10;jsilnbye/wnrHwAAAP//AwBQSwMEFAAGAAgAAAAhANEhefTbAAAACQEAAA8AAABkcnMvZG93bnJl&#10;di54bWxMj8FOwzAQRO9I/IO1SNyoU4NoG+JUKBL3JoDg6MZLHBGvQ+w24e9ZTnAczWjmTbFf/CDO&#10;OMU+kIb1KgOB1AbbU6fh5fnpZgsiJkPWDIFQwzdG2JeXF4XJbZipxnOTOsElFHOjwaU05lLG1qE3&#10;cRVGJPY+wuRNYjl10k5m5nI/SJVl99KbnnjBmRErh+1nc/IaQl1Xr6r5OrxVs626+bCk8d1pfX21&#10;PD6ASLikvzD84jM6lMx0DCeyUQwabtWd4qiGHT9gf7NTrI8cXG83IMtC/n9Q/gAAAP//AwBQSwEC&#10;LQAUAAYACAAAACEAtoM4kv4AAADhAQAAEwAAAAAAAAAAAAAAAAAAAAAAW0NvbnRlbnRfVHlwZXNd&#10;LnhtbFBLAQItABQABgAIAAAAIQA4/SH/1gAAAJQBAAALAAAAAAAAAAAAAAAAAC8BAABfcmVscy8u&#10;cmVsc1BLAQItABQABgAIAAAAIQCKX7yEKwIAAFsEAAAOAAAAAAAAAAAAAAAAAC4CAABkcnMvZTJv&#10;RG9jLnhtbFBLAQItABQABgAIAAAAIQDRIXn02wAAAAkBAAAPAAAAAAAAAAAAAAAAAIUEAABkcnMv&#10;ZG93bnJldi54bWxQSwUGAAAAAAQABADzAAAAjQU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r w:rsidR="0049128E" w:rsidRPr="00576ED7">
        <w:rPr>
          <w:szCs w:val="24"/>
        </w:rPr>
        <w:t>•What did the parties buy and sell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2.  What did taxpayer give as consideration in this case? What did she pay for it? When was the money that she used to pay for it subject to income tax?</w:t>
      </w:r>
    </w:p>
    <w:p w:rsidR="0049128E" w:rsidRPr="00576ED7" w:rsidRDefault="0049128E" w:rsidP="00A6585D">
      <w:pPr>
        <w:widowControl w:val="0"/>
        <w:ind w:left="720"/>
        <w:jc w:val="both"/>
        <w:rPr>
          <w:szCs w:val="24"/>
        </w:rPr>
      </w:pPr>
      <w:r w:rsidRPr="00576ED7">
        <w:rPr>
          <w:szCs w:val="24"/>
        </w:rPr>
        <w:t>•How is this contrary to the sale-of-blood cases – where the amount rea</w:t>
      </w:r>
      <w:r w:rsidRPr="00576ED7">
        <w:rPr>
          <w:szCs w:val="24"/>
        </w:rPr>
        <w:t>l</w:t>
      </w:r>
      <w:r w:rsidRPr="00576ED7">
        <w:rPr>
          <w:szCs w:val="24"/>
        </w:rPr>
        <w:t>ized is taxed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w:t>
      </w:r>
      <w:r w:rsidRPr="00576ED7">
        <w:rPr>
          <w:szCs w:val="24"/>
        </w:rPr>
        <w:t>e</w:t>
      </w:r>
      <w:r w:rsidRPr="00576ED7">
        <w:rPr>
          <w:szCs w:val="24"/>
        </w:rPr>
        <w:t>ment with the same terms as the ante-nuptial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0" w:name="_Toc375132957"/>
      <w:r w:rsidRPr="00576ED7">
        <w:t>III.  During Marriage</w:t>
      </w:r>
      <w:bookmarkEnd w:id="70"/>
      <w:r w:rsidRPr="00576ED7">
        <w:fldChar w:fldCharType="begin"/>
      </w:r>
      <w:r w:rsidRPr="00576ED7">
        <w:instrText xml:space="preserve"> TC \l1 "III.  During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 1972): Dependent daughter without her parents’ knowledge made an appointment with Dr. White to be fitted for contact lenses.  Dr. White ordered the contact lenses, and they were of no use to anyone except for daughter Cidis.  Daughter Cidis was a minor, and her contracts were voidable under state law.  Father Cidis elected to void the contract.  Dr. White sued for quasi-contract and restitution.</w:t>
      </w:r>
    </w:p>
    <w:p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rsidR="0049128E" w:rsidRPr="00576ED7" w:rsidRDefault="0049128E" w:rsidP="00A6585D">
      <w:pPr>
        <w:widowControl w:val="0"/>
        <w:ind w:left="720"/>
        <w:jc w:val="both"/>
        <w:rPr>
          <w:szCs w:val="24"/>
        </w:rPr>
      </w:pPr>
      <w:r w:rsidRPr="00576ED7">
        <w:rPr>
          <w:szCs w:val="24"/>
        </w:rPr>
        <w:t>•Should Father Cidis be liable for the fmv of the contact lenses – not on the theory that there was a contract that was admittedly voidable, but b</w:t>
      </w:r>
      <w:r w:rsidRPr="00576ED7">
        <w:rPr>
          <w:szCs w:val="24"/>
        </w:rPr>
        <w:t>e</w:t>
      </w:r>
      <w:r w:rsidRPr="00576ED7">
        <w:rPr>
          <w:szCs w:val="24"/>
        </w:rPr>
        <w:t>cause Dr. White provided his daughter with a “necessary?”</w:t>
      </w:r>
    </w:p>
    <w:p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rsidR="0049128E" w:rsidRPr="00576ED7" w:rsidRDefault="0049128E" w:rsidP="00A6585D">
      <w:pPr>
        <w:widowControl w:val="0"/>
        <w:ind w:left="1440"/>
        <w:jc w:val="both"/>
        <w:rPr>
          <w:szCs w:val="24"/>
        </w:rPr>
      </w:pPr>
      <w:r w:rsidRPr="00576ED7">
        <w:rPr>
          <w:szCs w:val="24"/>
        </w:rPr>
        <w:t>•Would it matter that contact lenses are cheaper than spectacles?</w:t>
      </w:r>
    </w:p>
    <w:p w:rsidR="0049128E" w:rsidRPr="00576ED7" w:rsidRDefault="0049128E" w:rsidP="00A6585D">
      <w:pPr>
        <w:widowControl w:val="0"/>
        <w:ind w:left="720"/>
        <w:jc w:val="both"/>
        <w:rPr>
          <w:szCs w:val="24"/>
        </w:rPr>
      </w:pPr>
      <w:r w:rsidRPr="00576ED7">
        <w:rPr>
          <w:szCs w:val="24"/>
        </w:rPr>
        <w:t xml:space="preserve">•If contact lenses are a “necessary” and neither Father Cidis nor Daughter Cidis pays for the contact lenses and Dr. White finally gives up trying to collect from either, does </w:t>
      </w:r>
      <w:r w:rsidRPr="00576ED7">
        <w:rPr>
          <w:i/>
          <w:szCs w:val="24"/>
        </w:rPr>
        <w:t>Father Cidis</w:t>
      </w:r>
      <w:r w:rsidRPr="00576ED7">
        <w:rPr>
          <w:szCs w:val="24"/>
        </w:rPr>
        <w:t xml:space="preserve"> have gross income?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We know that the “filing status” of a taxpayer determines the tax rate applicable to particular increments of income.  We also know that there are such things as a “marriage bonus” and a “marriage penalty” – depending on the relative income levels of husband and wife.  We have already considered the relative burdens of each of the filing statuses.  Now we briefly consider the rules that place a taxpayer in one filing status or another.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Section 1(a) provides that married persons who file a single tax return and certain surviving spouses must pay an income tax at the tax brackets specified.  For income tax purposes, state law determines whether two persons are married.</w:t>
      </w:r>
    </w:p>
    <w:p w:rsidR="00AB0E9C" w:rsidRDefault="00AB0E9C" w:rsidP="00AB0E9C">
      <w:pPr>
        <w:widowControl w:val="0"/>
        <w:ind w:left="720"/>
        <w:jc w:val="both"/>
        <w:rPr>
          <w:szCs w:val="24"/>
        </w:rPr>
      </w:pPr>
      <w:r>
        <w:rPr>
          <w:szCs w:val="24"/>
        </w:rPr>
        <w:t xml:space="preserve">•In </w:t>
      </w:r>
      <w:r w:rsidRPr="00AB0E9C">
        <w:rPr>
          <w:i/>
          <w:szCs w:val="24"/>
        </w:rPr>
        <w:t>United States v. Windsor</w:t>
      </w:r>
      <w:r>
        <w:rPr>
          <w:szCs w:val="24"/>
        </w:rPr>
        <w:t>, ___ U.S. ___, 133 S. Ct. 2675 (2013), the United States Supreme Court held § 3 of the Defense of Marriage to be unconstitutional.  States may choose to recognize marriages between pe</w:t>
      </w:r>
      <w:r>
        <w:rPr>
          <w:szCs w:val="24"/>
        </w:rPr>
        <w:t>r</w:t>
      </w:r>
      <w:r>
        <w:rPr>
          <w:szCs w:val="24"/>
        </w:rPr>
        <w:t xml:space="preserve">sons of the same sex.  </w:t>
      </w:r>
      <w:r w:rsidR="00194930">
        <w:rPr>
          <w:szCs w:val="24"/>
        </w:rPr>
        <w:t xml:space="preserve">Not every state does.  </w:t>
      </w:r>
      <w:r>
        <w:rPr>
          <w:szCs w:val="24"/>
        </w:rPr>
        <w:t xml:space="preserve">The IRS has issued a revenue ruling </w:t>
      </w:r>
      <w:r w:rsidR="00194930">
        <w:rPr>
          <w:szCs w:val="24"/>
        </w:rPr>
        <w:t>to clarify its position.</w:t>
      </w:r>
    </w:p>
    <w:p w:rsidR="00AB0E9C" w:rsidRDefault="00AB0E9C" w:rsidP="00AB0E9C">
      <w:pPr>
        <w:widowControl w:val="0"/>
        <w:ind w:left="720"/>
        <w:jc w:val="both"/>
        <w:rPr>
          <w:szCs w:val="24"/>
        </w:rPr>
      </w:pPr>
    </w:p>
    <w:p w:rsidR="00AB0E9C" w:rsidRDefault="00AB0E9C" w:rsidP="00AB0E9C">
      <w:pPr>
        <w:widowControl w:val="0"/>
        <w:ind w:left="1440"/>
        <w:jc w:val="both"/>
        <w:rPr>
          <w:szCs w:val="24"/>
        </w:rPr>
      </w:pPr>
      <w:r>
        <w:rPr>
          <w:szCs w:val="24"/>
        </w:rPr>
        <w:t>[T]he Service has determined to interpret the Code as incorpora</w:t>
      </w:r>
      <w:r>
        <w:rPr>
          <w:szCs w:val="24"/>
        </w:rPr>
        <w:t>t</w:t>
      </w:r>
      <w:r>
        <w:rPr>
          <w:szCs w:val="24"/>
        </w:rPr>
        <w:t>ing a general rule, for Federal tax purposes, that recognizes the v</w:t>
      </w:r>
      <w:r>
        <w:rPr>
          <w:szCs w:val="24"/>
        </w:rPr>
        <w:t>a</w:t>
      </w:r>
      <w:r>
        <w:rPr>
          <w:szCs w:val="24"/>
        </w:rPr>
        <w:t>lidity of a same-sex marriage that was valid in the state where it was entered into, regardless of the married couple’s place of dom</w:t>
      </w:r>
      <w:r>
        <w:rPr>
          <w:szCs w:val="24"/>
        </w:rPr>
        <w:t>i</w:t>
      </w:r>
      <w:r>
        <w:rPr>
          <w:szCs w:val="24"/>
        </w:rPr>
        <w:t>cile. …</w:t>
      </w:r>
    </w:p>
    <w:p w:rsidR="00AB0E9C" w:rsidRDefault="00AB0E9C" w:rsidP="00AB0E9C">
      <w:pPr>
        <w:widowControl w:val="0"/>
        <w:ind w:left="1440"/>
        <w:jc w:val="both"/>
        <w:rPr>
          <w:szCs w:val="24"/>
        </w:rPr>
      </w:pPr>
    </w:p>
    <w:p w:rsidR="00AB0E9C" w:rsidRDefault="00AB0E9C" w:rsidP="00AB0E9C">
      <w:pPr>
        <w:widowControl w:val="0"/>
        <w:ind w:left="1440"/>
        <w:jc w:val="both"/>
        <w:rPr>
          <w:szCs w:val="24"/>
        </w:rPr>
      </w:pPr>
      <w:r>
        <w:rPr>
          <w:szCs w:val="24"/>
        </w:rPr>
        <w:t>Under this rule, individuals of the same sex will be considered to be lawfully married under the code as long as they were married in a state whose laws authorize the marriage of two individuals of the same sex, even if they are domiciled in a state that does not reco</w:t>
      </w:r>
      <w:r>
        <w:rPr>
          <w:szCs w:val="24"/>
        </w:rPr>
        <w:t>g</w:t>
      </w:r>
      <w:r>
        <w:rPr>
          <w:szCs w:val="24"/>
        </w:rPr>
        <w:t>nize the validity of same-sex marriages.</w:t>
      </w:r>
    </w:p>
    <w:p w:rsidR="00AB0E9C" w:rsidRDefault="00AB0E9C" w:rsidP="00AB0E9C">
      <w:pPr>
        <w:widowControl w:val="0"/>
        <w:ind w:left="1440"/>
        <w:jc w:val="both"/>
        <w:rPr>
          <w:szCs w:val="24"/>
        </w:rPr>
      </w:pPr>
    </w:p>
    <w:p w:rsidR="00AB0E9C" w:rsidRDefault="00AB0E9C" w:rsidP="00AB0E9C">
      <w:pPr>
        <w:widowControl w:val="0"/>
        <w:ind w:left="720"/>
        <w:jc w:val="both"/>
        <w:rPr>
          <w:szCs w:val="24"/>
        </w:rPr>
      </w:pPr>
      <w:r>
        <w:rPr>
          <w:szCs w:val="24"/>
        </w:rPr>
        <w:t>Rev. Rul. 2013-17.  “Valid somewhere, valid everywhere.”</w:t>
      </w:r>
    </w:p>
    <w:p w:rsidR="00AB0E9C" w:rsidRPr="00576ED7" w:rsidRDefault="00AB0E9C" w:rsidP="00AB0E9C">
      <w:pPr>
        <w:widowControl w:val="0"/>
        <w:ind w:left="1440"/>
        <w:jc w:val="both"/>
        <w:rPr>
          <w:szCs w:val="24"/>
        </w:rPr>
      </w:pPr>
    </w:p>
    <w:p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  Read it.</w:t>
      </w:r>
    </w:p>
    <w:p w:rsidR="0049128E" w:rsidRPr="00576ED7" w:rsidRDefault="0049128E" w:rsidP="00A6585D">
      <w:pPr>
        <w:widowControl w:val="0"/>
        <w:ind w:left="1440"/>
        <w:jc w:val="both"/>
        <w:rPr>
          <w:szCs w:val="24"/>
        </w:rPr>
      </w:pPr>
      <w:r w:rsidRPr="00576ED7">
        <w:rPr>
          <w:szCs w:val="24"/>
        </w:rPr>
        <w:t>•What is the rule established by § 7703(a)(1)?</w:t>
      </w:r>
    </w:p>
    <w:p w:rsidR="0049128E" w:rsidRPr="00576ED7" w:rsidRDefault="0049128E" w:rsidP="00A6585D">
      <w:pPr>
        <w:widowControl w:val="0"/>
        <w:ind w:left="1440"/>
        <w:jc w:val="both"/>
        <w:rPr>
          <w:szCs w:val="24"/>
        </w:rPr>
      </w:pPr>
      <w:r w:rsidRPr="00576ED7">
        <w:rPr>
          <w:szCs w:val="24"/>
        </w:rPr>
        <w:t>•What is the rule established by § 7703(a)(2)?</w:t>
      </w:r>
    </w:p>
    <w:p w:rsidR="0049128E" w:rsidRPr="00576ED7" w:rsidRDefault="0049128E" w:rsidP="00A6585D">
      <w:pPr>
        <w:widowControl w:val="0"/>
        <w:ind w:left="1440"/>
        <w:jc w:val="both"/>
        <w:rPr>
          <w:szCs w:val="24"/>
        </w:rPr>
      </w:pPr>
      <w:r w:rsidRPr="00576ED7">
        <w:rPr>
          <w:szCs w:val="24"/>
        </w:rPr>
        <w:t>•What is the rule established by § 7703(b)?</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•Section 2(a) defines “surviving spouse.”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Section 1(d) provides that married persons who do not file a single tax return jointly (i.e., they are “married filing separately”) must pay an income tax at the tax brackets specified.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rsidR="0049128E" w:rsidRPr="00576ED7" w:rsidRDefault="0049128E" w:rsidP="00A6585D">
      <w:pPr>
        <w:widowControl w:val="0"/>
        <w:ind w:left="720"/>
        <w:jc w:val="both"/>
        <w:rPr>
          <w:szCs w:val="24"/>
        </w:rPr>
      </w:pPr>
      <w:r w:rsidRPr="00576ED7">
        <w:rPr>
          <w:szCs w:val="24"/>
        </w:rPr>
        <w:t>•Section 2(b) defines “head of household.”  Read it.</w:t>
      </w:r>
    </w:p>
    <w:p w:rsidR="0049128E" w:rsidRPr="00576ED7" w:rsidRDefault="0049128E" w:rsidP="00A6585D">
      <w:pPr>
        <w:widowControl w:val="0"/>
        <w:ind w:left="1440"/>
        <w:jc w:val="both"/>
        <w:rPr>
          <w:szCs w:val="24"/>
        </w:rPr>
      </w:pPr>
      <w:r w:rsidRPr="00576ED7">
        <w:rPr>
          <w:szCs w:val="24"/>
        </w:rPr>
        <w:t>•Can a married person be a “head of household?”</w:t>
      </w:r>
    </w:p>
    <w:p w:rsidR="0049128E" w:rsidRPr="00576ED7" w:rsidRDefault="0049128E" w:rsidP="00A6585D">
      <w:pPr>
        <w:widowControl w:val="0"/>
        <w:ind w:left="1440"/>
        <w:jc w:val="both"/>
        <w:rPr>
          <w:szCs w:val="24"/>
        </w:rPr>
      </w:pPr>
      <w:r w:rsidRPr="00576ED7">
        <w:rPr>
          <w:szCs w:val="24"/>
        </w:rPr>
        <w:t>•Can a surviving spouse be a “head of household?”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5861E92" wp14:editId="554F8CCC">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151(a) entitles a taxpayer who is an “individual” to a deduction of an “e</w:t>
      </w:r>
      <w:r w:rsidRPr="00576ED7">
        <w:rPr>
          <w:szCs w:val="24"/>
        </w:rPr>
        <w:t>x</w:t>
      </w:r>
      <w:r w:rsidRPr="00576ED7">
        <w:rPr>
          <w:szCs w:val="24"/>
        </w:rPr>
        <w:t>emption amount” for each “dependent,” § 151(c).  In addition, a taxpayer who files “married filing jointly” may claim a deduction of the exemption amount for both himself/herself and his/her spouse.  Reg. § 1.151-1(b) (</w:t>
      </w:r>
      <w:r w:rsidR="00335B4F" w:rsidRPr="00576ED7">
        <w:rPr>
          <w:szCs w:val="24"/>
        </w:rPr>
        <w:t xml:space="preserve">third </w:t>
      </w:r>
      <w:r w:rsidRPr="00576ED7">
        <w:rPr>
          <w:szCs w:val="24"/>
        </w:rPr>
        <w:t xml:space="preserve">sentence, two exemptions allowed).  A taxpayer who is married but does not file a joint return may claim a deduction of the exemption amount for a spouse who has no gross income and is not the dependent of another taxpayer, § 151(b).  The “exemption amount” is a fixed amount per dependent, </w:t>
      </w:r>
      <w:r w:rsidRPr="00576ED7">
        <w:rPr>
          <w:i/>
          <w:szCs w:val="24"/>
        </w:rPr>
        <w:t>see</w:t>
      </w:r>
      <w:r w:rsidRPr="00576ED7">
        <w:rPr>
          <w:szCs w:val="24"/>
        </w:rPr>
        <w:t xml:space="preserve"> § 151(d)(1), indexed for inflation, § 151(d)(4).  A taxpayer may not deduct an “exemption amount” for any person for whom a dependency deduction is allowable to another taxpayer, § 151(d)(2).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152 defines “dependent.”</w:t>
      </w:r>
    </w:p>
    <w:p w:rsidR="0049128E" w:rsidRPr="00576ED7" w:rsidRDefault="0049128E" w:rsidP="00A6585D">
      <w:pPr>
        <w:widowControl w:val="0"/>
        <w:ind w:left="720"/>
        <w:jc w:val="both"/>
        <w:rPr>
          <w:szCs w:val="24"/>
        </w:rPr>
      </w:pPr>
      <w:r w:rsidRPr="00576ED7">
        <w:rPr>
          <w:szCs w:val="24"/>
        </w:rPr>
        <w:t>•A dependent may not claim another as a dependent.  § 152(b)(1).</w:t>
      </w:r>
    </w:p>
    <w:p w:rsidR="0049128E" w:rsidRPr="00576ED7" w:rsidRDefault="0049128E" w:rsidP="00A6585D">
      <w:pPr>
        <w:widowControl w:val="0"/>
        <w:ind w:left="720"/>
        <w:jc w:val="both"/>
        <w:rPr>
          <w:szCs w:val="24"/>
        </w:rPr>
      </w:pPr>
      <w:r w:rsidRPr="00576ED7">
        <w:rPr>
          <w:szCs w:val="24"/>
        </w:rPr>
        <w:t>•A spouse who files a joint return cannot be the dependent of another ta</w:t>
      </w:r>
      <w:r w:rsidRPr="00576ED7">
        <w:rPr>
          <w:szCs w:val="24"/>
        </w:rPr>
        <w:t>x</w:t>
      </w:r>
      <w:r w:rsidRPr="00576ED7">
        <w:rPr>
          <w:szCs w:val="24"/>
        </w:rPr>
        <w:t>payer.  § 152(b)(2).</w:t>
      </w:r>
    </w:p>
    <w:p w:rsidR="0049128E" w:rsidRPr="00576ED7" w:rsidRDefault="0049128E" w:rsidP="00A6585D">
      <w:pPr>
        <w:widowControl w:val="0"/>
        <w:ind w:left="720"/>
        <w:jc w:val="both"/>
        <w:rPr>
          <w:szCs w:val="24"/>
        </w:rPr>
      </w:pPr>
      <w:r w:rsidRPr="00576ED7">
        <w:rPr>
          <w:szCs w:val="24"/>
        </w:rPr>
        <w:t>•A dependent must be a citizen, national, resident of the United States, or resident of a country contiguous with the United States.  § 152(b)(3)(A).  This limitation does not apply to an adopted child who has the same pri</w:t>
      </w:r>
      <w:r w:rsidRPr="00576ED7">
        <w:rPr>
          <w:szCs w:val="24"/>
        </w:rPr>
        <w:t>n</w:t>
      </w:r>
      <w:r w:rsidRPr="00576ED7">
        <w:rPr>
          <w:szCs w:val="24"/>
        </w:rPr>
        <w:lastRenderedPageBreak/>
        <w:t>cipal place of abode as a taxpayer and is a member of the taxpayer’s household, provided that the taxpayer is a citizen or national of the United States.  § 152(b)(3)(B).</w:t>
      </w:r>
    </w:p>
    <w:p w:rsidR="0049128E" w:rsidRPr="00576ED7" w:rsidRDefault="0049128E" w:rsidP="00A6585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w:t>
      </w:r>
      <w:r w:rsidRPr="00576ED7">
        <w:rPr>
          <w:i/>
          <w:szCs w:val="24"/>
        </w:rPr>
        <w:t>a</w:t>
      </w:r>
      <w:r w:rsidRPr="00576ED7">
        <w:rPr>
          <w:i/>
          <w:szCs w:val="24"/>
        </w:rPr>
        <w:t>tive</w:t>
      </w:r>
      <w:r w:rsidRPr="00576ED7">
        <w:rPr>
          <w:szCs w:val="24"/>
        </w:rPr>
        <w:t>.”  § 152(a).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w:t>
      </w:r>
      <w:r w:rsidRPr="00576ED7">
        <w:rPr>
          <w:szCs w:val="24"/>
        </w:rPr>
        <w:t>e</w:t>
      </w:r>
      <w:r w:rsidRPr="00576ED7">
        <w:rPr>
          <w:szCs w:val="24"/>
        </w:rPr>
        <w:t>quirements of relationship, place of abode, age, support, and filing status.  § 152(c)(1).</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rsidR="0049128E" w:rsidRPr="00576ED7" w:rsidRDefault="0049128E" w:rsidP="00A6585D">
      <w:pPr>
        <w:widowControl w:val="0"/>
        <w:ind w:left="1440"/>
        <w:jc w:val="both"/>
        <w:rPr>
          <w:szCs w:val="24"/>
        </w:rPr>
      </w:pPr>
      <w:r w:rsidRPr="00576ED7">
        <w:rPr>
          <w:szCs w:val="24"/>
        </w:rPr>
        <w:t>•a child of the taxpayer, § 152(c)(1), i.e., son, daughter, stepson, stepdaughter, or a foster child placed by an authorized placement agency or under court order (§152(f)(1)(A and C)) or a descendant of such an individual, § 152(c)(2)(A).  Taxpayer’s legal adoption of a son, daughter, stepson, or stepdaughter renders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or a descendant of any such relative.  § 152(c)(2)(B).  This includes a half-brother or half-sister.  § 152(f)(4).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  § 152(c)(1)(B).</w:t>
      </w:r>
    </w:p>
    <w:p w:rsidR="0049128E" w:rsidRPr="00576ED7" w:rsidRDefault="0049128E" w:rsidP="00A6585D">
      <w:pPr>
        <w:widowControl w:val="0"/>
        <w:ind w:left="1440"/>
        <w:jc w:val="both"/>
        <w:rPr>
          <w:szCs w:val="24"/>
        </w:rPr>
      </w:pPr>
      <w:r w:rsidRPr="00576ED7">
        <w:rPr>
          <w:szCs w:val="24"/>
        </w:rPr>
        <w:t>•There are special rules when the “qualifying child” is the child of divorced parents.  If the “qualifying child” receives over one-half of his/her support during the year from his/her parents (including as a parent’s contribution the contribution of a new spouse, § 152(e)(6)) who either –</w:t>
      </w:r>
    </w:p>
    <w:p w:rsidR="0049128E" w:rsidRPr="00576ED7" w:rsidRDefault="0049128E" w:rsidP="00A6585D">
      <w:pPr>
        <w:widowControl w:val="0"/>
        <w:ind w:left="2160"/>
        <w:jc w:val="both"/>
        <w:rPr>
          <w:szCs w:val="24"/>
        </w:rPr>
      </w:pPr>
      <w:r w:rsidRPr="00576ED7">
        <w:rPr>
          <w:szCs w:val="24"/>
        </w:rPr>
        <w:t>•are divorced, § 152(e)(1)(A)(i),</w:t>
      </w:r>
    </w:p>
    <w:p w:rsidR="0049128E" w:rsidRPr="00576ED7" w:rsidRDefault="0049128E" w:rsidP="00A6585D">
      <w:pPr>
        <w:widowControl w:val="0"/>
        <w:ind w:left="2160"/>
        <w:jc w:val="both"/>
        <w:rPr>
          <w:szCs w:val="24"/>
        </w:rPr>
      </w:pPr>
      <w:r w:rsidRPr="00576ED7">
        <w:rPr>
          <w:szCs w:val="24"/>
        </w:rPr>
        <w:t>•are separated under a written separation agreement, § 152(e)(1)(A)(ii), or</w:t>
      </w:r>
    </w:p>
    <w:p w:rsidR="0049128E" w:rsidRPr="00576ED7" w:rsidRDefault="0049128E" w:rsidP="00A6585D">
      <w:pPr>
        <w:widowControl w:val="0"/>
        <w:ind w:left="2160"/>
        <w:jc w:val="both"/>
        <w:rPr>
          <w:szCs w:val="24"/>
        </w:rPr>
      </w:pPr>
      <w:r w:rsidRPr="00576ED7">
        <w:rPr>
          <w:szCs w:val="24"/>
        </w:rPr>
        <w:t>•live apart for all of the last six months of the calendar year, § 152(e)(1)(A)(iii),</w:t>
      </w:r>
    </w:p>
    <w:p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of the parents for more than one-half of the calendar year, then the custodial parent (i.e., the parent having custody for the greater portion of the cale</w:t>
      </w:r>
      <w:r w:rsidRPr="00576ED7">
        <w:rPr>
          <w:szCs w:val="24"/>
        </w:rPr>
        <w:t>n</w:t>
      </w:r>
      <w:r w:rsidRPr="00576ED7">
        <w:rPr>
          <w:szCs w:val="24"/>
        </w:rPr>
        <w:t xml:space="preserve">dar year, § 152(e)(4)(A)), may claim the child as a dependent, </w:t>
      </w:r>
      <w:r w:rsidRPr="00576ED7">
        <w:rPr>
          <w:i/>
          <w:szCs w:val="24"/>
        </w:rPr>
        <w:t>u</w:t>
      </w:r>
      <w:r w:rsidRPr="00576ED7">
        <w:rPr>
          <w:i/>
          <w:szCs w:val="24"/>
        </w:rPr>
        <w:t>n</w:t>
      </w:r>
      <w:r w:rsidRPr="00576ED7">
        <w:rPr>
          <w:i/>
          <w:szCs w:val="24"/>
        </w:rPr>
        <w:t>less</w:t>
      </w:r>
    </w:p>
    <w:p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he/she will not claim the child </w:t>
      </w:r>
      <w:r w:rsidRPr="00576ED7">
        <w:rPr>
          <w:szCs w:val="24"/>
        </w:rPr>
        <w:lastRenderedPageBreak/>
        <w:t>as a dependent, § 152(e)(2)(A), and</w:t>
      </w:r>
    </w:p>
    <w:p w:rsidR="0049128E" w:rsidRPr="00576ED7" w:rsidRDefault="0049128E" w:rsidP="00A6585D">
      <w:pPr>
        <w:widowControl w:val="0"/>
        <w:ind w:left="2160"/>
        <w:jc w:val="both"/>
        <w:rPr>
          <w:szCs w:val="24"/>
        </w:rPr>
      </w:pPr>
      <w:r w:rsidRPr="00576ED7">
        <w:rPr>
          <w:szCs w:val="24"/>
        </w:rPr>
        <w:t>•The noncustodial parent attaches Form 8332 to his/her tax return.  § 152(e)(2)(B).</w:t>
      </w:r>
    </w:p>
    <w:p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his/her support under a so-called “multiple support agreement.”  § 152(e)(5).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xml:space="preserve">: A “qualifying child” must be younger than the taxpayer (§ 152(c)(3)(A)) and – </w:t>
      </w:r>
    </w:p>
    <w:p w:rsidR="0049128E" w:rsidRPr="00576ED7" w:rsidRDefault="0049128E" w:rsidP="00A6585D">
      <w:pPr>
        <w:widowControl w:val="0"/>
        <w:ind w:left="1440"/>
        <w:jc w:val="both"/>
        <w:rPr>
          <w:szCs w:val="24"/>
        </w:rPr>
      </w:pPr>
      <w:r w:rsidRPr="00576ED7">
        <w:rPr>
          <w:szCs w:val="24"/>
        </w:rPr>
        <w:t xml:space="preserve">•not yet 19 years old, § 152(c)(3)(i), </w:t>
      </w:r>
      <w:r w:rsidRPr="00576ED7">
        <w:rPr>
          <w:i/>
          <w:szCs w:val="24"/>
        </w:rPr>
        <w:t>unless</w:t>
      </w:r>
    </w:p>
    <w:p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 152(c)(3)(B), </w:t>
      </w:r>
      <w:r w:rsidRPr="00576ED7">
        <w:rPr>
          <w:i/>
          <w:szCs w:val="24"/>
        </w:rPr>
        <w:t>or</w:t>
      </w:r>
    </w:p>
    <w:p w:rsidR="0049128E" w:rsidRPr="00576ED7" w:rsidRDefault="0049128E" w:rsidP="00A6585D">
      <w:pPr>
        <w:widowControl w:val="0"/>
        <w:ind w:left="2160"/>
        <w:jc w:val="both"/>
        <w:rPr>
          <w:szCs w:val="24"/>
        </w:rPr>
      </w:pPr>
      <w:r w:rsidRPr="00576ED7">
        <w:rPr>
          <w:szCs w:val="24"/>
        </w:rPr>
        <w:t>•the child is a student who is not yet 24 years old, § 152(c)(3)(A)(ii).  A “student” who is an individual who is a full-time student at an educational institution or is pursuing a full-time course of institutional on-farm training.  § 152(f)(2).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one-half of his/her own support.  § 152(c)(1)(D).  Scholarships are not taken into account.  § 152(f)(5).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A “qualifying child” may not file a joint return other than for the purpose of claiming a refund with his/her spouse.  § 152(c)(1)(E).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can happen that two or more persons can claim the same “qualifying child” as a dependent.  In such a case, the “qualifying child” is treated as the “qualifying child” of –</w:t>
      </w:r>
    </w:p>
    <w:p w:rsidR="0049128E" w:rsidRPr="00576ED7" w:rsidRDefault="0049128E" w:rsidP="00A6585D">
      <w:pPr>
        <w:widowControl w:val="0"/>
        <w:ind w:left="720"/>
        <w:jc w:val="both"/>
        <w:rPr>
          <w:szCs w:val="24"/>
        </w:rPr>
      </w:pPr>
      <w:r w:rsidRPr="00576ED7">
        <w:rPr>
          <w:szCs w:val="24"/>
        </w:rPr>
        <w:t>•a parent, § 152(c)(4)(A)(i):</w:t>
      </w:r>
    </w:p>
    <w:p w:rsidR="0049128E" w:rsidRPr="00576ED7" w:rsidRDefault="0049128E" w:rsidP="00A6585D">
      <w:pPr>
        <w:widowControl w:val="0"/>
        <w:ind w:left="1440"/>
        <w:jc w:val="both"/>
        <w:rPr>
          <w:szCs w:val="24"/>
        </w:rPr>
      </w:pPr>
      <w:r w:rsidRPr="00576ED7">
        <w:rPr>
          <w:szCs w:val="24"/>
        </w:rPr>
        <w:t>•In the event that more than one parent can claim the “qualifying child” and the parents do not file a joint return, § 152(c)(4)(B), the child is the “qualifying child” of –</w:t>
      </w:r>
    </w:p>
    <w:p w:rsidR="0049128E" w:rsidRPr="00576ED7" w:rsidRDefault="0049128E" w:rsidP="00A6585D">
      <w:pPr>
        <w:widowControl w:val="0"/>
        <w:ind w:left="2160"/>
        <w:jc w:val="both"/>
        <w:rPr>
          <w:szCs w:val="24"/>
        </w:rPr>
      </w:pPr>
      <w:r w:rsidRPr="00576ED7">
        <w:rPr>
          <w:szCs w:val="24"/>
        </w:rPr>
        <w:t>•the parent with whom the child resided the longest during the taxable year, § 152(c)(4)(B)(i), or</w:t>
      </w:r>
    </w:p>
    <w:p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  § 152(c)(4)(B)(ii).</w:t>
      </w:r>
    </w:p>
    <w:p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w:t>
      </w:r>
      <w:r w:rsidRPr="00576ED7">
        <w:rPr>
          <w:szCs w:val="24"/>
        </w:rPr>
        <w:t>r</w:t>
      </w:r>
      <w:r w:rsidRPr="00576ED7">
        <w:rPr>
          <w:szCs w:val="24"/>
        </w:rPr>
        <w:t xml:space="preserve">ent but no parent claims the “qualifying child”, another taxpayer </w:t>
      </w:r>
      <w:r w:rsidRPr="00576ED7">
        <w:rPr>
          <w:szCs w:val="24"/>
        </w:rPr>
        <w:lastRenderedPageBreak/>
        <w:t xml:space="preserve">may claim the child as a dependent </w:t>
      </w:r>
      <w:r w:rsidRPr="00576ED7">
        <w:rPr>
          <w:i/>
          <w:szCs w:val="24"/>
        </w:rPr>
        <w:t>if</w:t>
      </w:r>
      <w:r w:rsidRPr="00576ED7">
        <w:rPr>
          <w:szCs w:val="24"/>
        </w:rPr>
        <w:t xml:space="preserve"> that taxpayer’s adjusted gross income is higher than the highest adjusted gross income of a pa</w:t>
      </w:r>
      <w:r w:rsidRPr="00576ED7">
        <w:rPr>
          <w:szCs w:val="24"/>
        </w:rPr>
        <w:t>r</w:t>
      </w:r>
      <w:r w:rsidRPr="00576ED7">
        <w:rPr>
          <w:szCs w:val="24"/>
        </w:rPr>
        <w:t>ent.  § 152(c)(4)(C).</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claim the child as a dependent.  § 152(c)(4)(A)(ii).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rsidR="0049128E" w:rsidRPr="00576ED7" w:rsidRDefault="0049128E" w:rsidP="00A6585D">
      <w:pPr>
        <w:widowControl w:val="0"/>
        <w:ind w:left="1440"/>
        <w:jc w:val="both"/>
        <w:rPr>
          <w:szCs w:val="24"/>
        </w:rPr>
      </w:pPr>
      <w:r w:rsidRPr="00576ED7">
        <w:rPr>
          <w:szCs w:val="24"/>
        </w:rPr>
        <w:t>•a child or descendant of a child, § 152(d)(2)(A), i.e., son, daug</w:t>
      </w:r>
      <w:r w:rsidRPr="00576ED7">
        <w:rPr>
          <w:szCs w:val="24"/>
        </w:rPr>
        <w:t>h</w:t>
      </w:r>
      <w:r w:rsidRPr="00576ED7">
        <w:rPr>
          <w:szCs w:val="24"/>
        </w:rPr>
        <w:t>ter, stepson, stepdaughter, or a foster child placed by an authorized placement agency or under court order (§152(f)(1)(A and C)) or a descendant of such an individual, § 152(c)(2)(A).  Taxpayer’s legal adoption of a son, daughter, stepson, or stepdaughter renders such a person a child of the taxpayer by blood.  § 152(f)(1)(B);</w:t>
      </w:r>
    </w:p>
    <w:p w:rsidR="0049128E" w:rsidRPr="00576ED7" w:rsidRDefault="0049128E" w:rsidP="00A6585D">
      <w:pPr>
        <w:widowControl w:val="0"/>
        <w:ind w:left="1440"/>
        <w:jc w:val="both"/>
        <w:rPr>
          <w:szCs w:val="24"/>
        </w:rPr>
      </w:pPr>
      <w:r w:rsidRPr="00576ED7">
        <w:rPr>
          <w:szCs w:val="24"/>
        </w:rPr>
        <w:t>•a brother, sister, stepbrother, or stepsister.  152(d)(2)(B).  This i</w:t>
      </w:r>
      <w:r w:rsidRPr="00576ED7">
        <w:rPr>
          <w:szCs w:val="24"/>
        </w:rPr>
        <w:t>n</w:t>
      </w:r>
      <w:r w:rsidRPr="00576ED7">
        <w:rPr>
          <w:szCs w:val="24"/>
        </w:rPr>
        <w:t>cludes a half-brother or half-sister.  § 152(f)(4);</w:t>
      </w:r>
    </w:p>
    <w:p w:rsidR="0049128E" w:rsidRPr="00576ED7" w:rsidRDefault="0049128E" w:rsidP="00A6585D">
      <w:pPr>
        <w:widowControl w:val="0"/>
        <w:ind w:left="1440"/>
        <w:jc w:val="both"/>
        <w:rPr>
          <w:szCs w:val="24"/>
        </w:rPr>
      </w:pPr>
      <w:r w:rsidRPr="00576ED7">
        <w:rPr>
          <w:szCs w:val="24"/>
        </w:rPr>
        <w:t>•a father or mother or ancestor of a father or mother; § 152(d)(2)(C);</w:t>
      </w:r>
    </w:p>
    <w:p w:rsidR="0049128E" w:rsidRPr="00576ED7" w:rsidRDefault="0049128E" w:rsidP="00A6585D">
      <w:pPr>
        <w:widowControl w:val="0"/>
        <w:ind w:left="1440"/>
        <w:jc w:val="both"/>
        <w:rPr>
          <w:szCs w:val="24"/>
        </w:rPr>
      </w:pPr>
      <w:r w:rsidRPr="00576ED7">
        <w:rPr>
          <w:szCs w:val="24"/>
        </w:rPr>
        <w:t>•a stepfather or stepmother, § 152(d)(2)(D);</w:t>
      </w:r>
    </w:p>
    <w:p w:rsidR="0049128E" w:rsidRPr="00576ED7" w:rsidRDefault="0049128E" w:rsidP="00A6585D">
      <w:pPr>
        <w:widowControl w:val="0"/>
        <w:ind w:left="1440"/>
        <w:jc w:val="both"/>
        <w:rPr>
          <w:szCs w:val="24"/>
        </w:rPr>
      </w:pPr>
      <w:r w:rsidRPr="00576ED7">
        <w:rPr>
          <w:szCs w:val="24"/>
        </w:rPr>
        <w:t>•a son or daughter of a brother or sister (i.e., nephew or niece), § 152(d)(2)(E);</w:t>
      </w:r>
    </w:p>
    <w:p w:rsidR="0049128E" w:rsidRPr="00576ED7" w:rsidRDefault="0049128E" w:rsidP="00A6585D">
      <w:pPr>
        <w:widowControl w:val="0"/>
        <w:ind w:left="1440"/>
        <w:jc w:val="both"/>
        <w:rPr>
          <w:szCs w:val="24"/>
        </w:rPr>
      </w:pPr>
      <w:r w:rsidRPr="00576ED7">
        <w:rPr>
          <w:szCs w:val="24"/>
        </w:rPr>
        <w:t>•a brother or sister of the father or mother (i.e., uncle or aunt), § 152(d)(2)(F);</w:t>
      </w:r>
    </w:p>
    <w:p w:rsidR="0049128E" w:rsidRPr="00576ED7" w:rsidRDefault="0049128E" w:rsidP="00A6585D">
      <w:pPr>
        <w:widowControl w:val="0"/>
        <w:ind w:left="1440"/>
        <w:jc w:val="both"/>
        <w:rPr>
          <w:szCs w:val="24"/>
        </w:rPr>
      </w:pPr>
      <w:r w:rsidRPr="00576ED7">
        <w:rPr>
          <w:szCs w:val="24"/>
        </w:rPr>
        <w:t>•a son-in-law, daughter-in-law, father-in-law, mother-in-law, brother-in-law, or sister-in-law, § 152(d)(2)(G);</w:t>
      </w:r>
    </w:p>
    <w:p w:rsidR="0049128E" w:rsidRPr="00576ED7" w:rsidRDefault="0049128E" w:rsidP="00A6585D">
      <w:pPr>
        <w:widowControl w:val="0"/>
        <w:ind w:left="1440"/>
        <w:jc w:val="both"/>
        <w:rPr>
          <w:szCs w:val="24"/>
        </w:rPr>
      </w:pPr>
      <w:r w:rsidRPr="00576ED7">
        <w:rPr>
          <w:szCs w:val="24"/>
        </w:rPr>
        <w:t>•an individual other than one who was at any time during the tax</w:t>
      </w:r>
      <w:r w:rsidRPr="00576ED7">
        <w:rPr>
          <w:szCs w:val="24"/>
        </w:rPr>
        <w:t>a</w:t>
      </w:r>
      <w:r w:rsidRPr="00576ED7">
        <w:rPr>
          <w:szCs w:val="24"/>
        </w:rPr>
        <w:t>ble year a spouse who for the taxable year has the same principal place of abode as the taxpayer and is a member of the taxpayer’s household.  § 152(d)(2)(H).</w:t>
      </w:r>
    </w:p>
    <w:p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  § 152(f)(3).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xml:space="preserve">: The gross income of a “qualifying relative” may not be </w:t>
      </w:r>
      <w:r w:rsidRPr="00576ED7">
        <w:rPr>
          <w:szCs w:val="24"/>
        </w:rPr>
        <w:lastRenderedPageBreak/>
        <w:t>equal to or more than the exemption amount.  § 152(d)(1)(B).</w:t>
      </w:r>
    </w:p>
    <w:p w:rsidR="0049128E" w:rsidRPr="00576ED7" w:rsidRDefault="0049128E" w:rsidP="00A6585D">
      <w:pPr>
        <w:widowControl w:val="0"/>
        <w:ind w:left="1440"/>
        <w:jc w:val="both"/>
        <w:rPr>
          <w:szCs w:val="24"/>
        </w:rPr>
      </w:pPr>
      <w:r w:rsidRPr="00576ED7">
        <w:rPr>
          <w:szCs w:val="24"/>
        </w:rPr>
        <w:t>•The gross income of a permanently and totally disabled individual does not include income attributable to services rendered at a charitable institution that provides special instruction or training designed to alleviate the disability, § 152(d)(4)(B), and the ind</w:t>
      </w:r>
      <w:r w:rsidRPr="00576ED7">
        <w:rPr>
          <w:szCs w:val="24"/>
        </w:rPr>
        <w:t>i</w:t>
      </w:r>
      <w:r w:rsidRPr="00576ED7">
        <w:rPr>
          <w:szCs w:val="24"/>
        </w:rPr>
        <w:t>vidual’s principal reason for his/her presence there is the availabi</w:t>
      </w:r>
      <w:r w:rsidRPr="00576ED7">
        <w:rPr>
          <w:szCs w:val="24"/>
        </w:rPr>
        <w:t>l</w:t>
      </w:r>
      <w:r w:rsidRPr="00576ED7">
        <w:rPr>
          <w:szCs w:val="24"/>
        </w:rPr>
        <w:t>ity of medical care and the income arises only from activities at the institution incident to such medical care, § 152(d)(4)(A).  § 152(d)(4).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Taxpayer must provide over one-half of the individual’s support for the calendar year.  § 152(d)(1)(C).</w:t>
      </w:r>
    </w:p>
    <w:p w:rsidR="0049128E" w:rsidRPr="00576ED7" w:rsidRDefault="0049128E" w:rsidP="00A6585D">
      <w:pPr>
        <w:widowControl w:val="0"/>
        <w:ind w:left="1440"/>
        <w:jc w:val="both"/>
        <w:rPr>
          <w:szCs w:val="24"/>
        </w:rPr>
      </w:pPr>
      <w:r w:rsidRPr="00576ED7">
        <w:rPr>
          <w:szCs w:val="24"/>
        </w:rPr>
        <w:t>•An alimony payment that the recipient includes in his/her gross income is not counted as payment for support of a dependent.  § 152(d)(5).</w:t>
      </w:r>
    </w:p>
    <w:p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If there is no taxpayer who co</w:t>
      </w:r>
      <w:r w:rsidRPr="00576ED7">
        <w:rPr>
          <w:szCs w:val="24"/>
        </w:rPr>
        <w:t>n</w:t>
      </w:r>
      <w:r w:rsidRPr="00576ED7">
        <w:rPr>
          <w:szCs w:val="24"/>
        </w:rPr>
        <w:t>tributed over one-half of an individual’s support, § 152(d)(3)(A),</w:t>
      </w:r>
    </w:p>
    <w:p w:rsidR="0049128E" w:rsidRPr="00576ED7" w:rsidRDefault="0049128E" w:rsidP="00A6585D">
      <w:pPr>
        <w:widowControl w:val="0"/>
        <w:ind w:left="2160"/>
        <w:jc w:val="both"/>
        <w:rPr>
          <w:szCs w:val="24"/>
        </w:rPr>
      </w:pPr>
      <w:r w:rsidRPr="00576ED7">
        <w:rPr>
          <w:szCs w:val="24"/>
        </w:rPr>
        <w:t>•a taxpayer for whom the individual would otherwise have been a “qualifying individual,” § 152(d)(3)(B), and</w:t>
      </w:r>
    </w:p>
    <w:p w:rsidR="0049128E" w:rsidRPr="00576ED7" w:rsidRDefault="0049128E" w:rsidP="00A6585D">
      <w:pPr>
        <w:widowControl w:val="0"/>
        <w:ind w:left="2160"/>
        <w:jc w:val="both"/>
        <w:rPr>
          <w:szCs w:val="24"/>
        </w:rPr>
      </w:pPr>
      <w:r w:rsidRPr="00576ED7">
        <w:rPr>
          <w:szCs w:val="24"/>
        </w:rPr>
        <w:t>•who contributed more than 10% of the individual’s su</w:t>
      </w:r>
      <w:r w:rsidRPr="00576ED7">
        <w:rPr>
          <w:szCs w:val="24"/>
        </w:rPr>
        <w:t>p</w:t>
      </w:r>
      <w:r w:rsidRPr="00576ED7">
        <w:rPr>
          <w:szCs w:val="24"/>
        </w:rPr>
        <w:t>port, § 152(d)(3)(C),</w:t>
      </w:r>
    </w:p>
    <w:p w:rsidR="0049128E" w:rsidRPr="00576ED7" w:rsidRDefault="0049128E" w:rsidP="00A6585D">
      <w:pPr>
        <w:widowControl w:val="0"/>
        <w:ind w:left="2160"/>
        <w:jc w:val="both"/>
        <w:rPr>
          <w:szCs w:val="24"/>
        </w:rPr>
      </w:pPr>
      <w:r w:rsidRPr="00576ED7">
        <w:rPr>
          <w:szCs w:val="24"/>
        </w:rPr>
        <w:t>•may claim the individual as a dependent provided that all others who contributed more than 10% of the individual’s support file a declaration that they will not claim the ind</w:t>
      </w:r>
      <w:r w:rsidRPr="00576ED7">
        <w:rPr>
          <w:szCs w:val="24"/>
        </w:rPr>
        <w:t>i</w:t>
      </w:r>
      <w:r w:rsidRPr="00576ED7">
        <w:rPr>
          <w:szCs w:val="24"/>
        </w:rPr>
        <w:t>vidual as a dependent, § 152(d)(3)(D).</w:t>
      </w:r>
    </w:p>
    <w:p w:rsidR="0049128E" w:rsidRPr="00576ED7" w:rsidRDefault="0049128E" w:rsidP="00A6585D">
      <w:pPr>
        <w:widowControl w:val="0"/>
        <w:ind w:left="1440"/>
        <w:jc w:val="both"/>
        <w:rPr>
          <w:szCs w:val="24"/>
        </w:rPr>
      </w:pPr>
      <w:r w:rsidRPr="00576ED7">
        <w:rPr>
          <w:szCs w:val="24"/>
        </w:rPr>
        <w:t>•The rules governing treatment of an individual whose parents are divorced that govern the individual’s abode apply as well to dete</w:t>
      </w:r>
      <w:r w:rsidRPr="00576ED7">
        <w:rPr>
          <w:szCs w:val="24"/>
        </w:rPr>
        <w:t>r</w:t>
      </w:r>
      <w:r w:rsidRPr="00576ED7">
        <w:rPr>
          <w:szCs w:val="24"/>
        </w:rPr>
        <w:t>minations between the parents with respect to support.  § 152(e)(1).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w:t>
      </w:r>
      <w:r w:rsidRPr="00576ED7">
        <w:rPr>
          <w:szCs w:val="24"/>
        </w:rPr>
        <w:t>x</w:t>
      </w:r>
      <w:r w:rsidRPr="00576ED7">
        <w:rPr>
          <w:szCs w:val="24"/>
        </w:rPr>
        <w:t>payer or of any other taxpayer.  § 152(d)(1)(D).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7D94C11" wp14:editId="16481FD7">
            <wp:extent cx="704850" cy="190500"/>
            <wp:effectExtent l="0" t="0" r="0" b="0"/>
            <wp:docPr id="27" name="Picture 2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Taxation: </w:t>
      </w:r>
      <w:r w:rsidR="007064D0" w:rsidRPr="00576ED7">
        <w:rPr>
          <w:i/>
          <w:szCs w:val="24"/>
        </w:rPr>
        <w:t xml:space="preserve">Taxable Income and Tax Computation: </w:t>
      </w:r>
      <w:r w:rsidRPr="00576ED7">
        <w:rPr>
          <w:i/>
          <w:szCs w:val="24"/>
        </w:rPr>
        <w:t>Personal and Dependency Exemptions</w:t>
      </w:r>
    </w:p>
    <w:p w:rsidR="000A1DA1" w:rsidRDefault="0049128E" w:rsidP="00A6585D">
      <w:pPr>
        <w:widowControl w:val="0"/>
        <w:ind w:left="720"/>
        <w:jc w:val="both"/>
        <w:rPr>
          <w:szCs w:val="24"/>
        </w:rPr>
      </w:pPr>
      <w:r w:rsidRPr="00576ED7">
        <w:rPr>
          <w:szCs w:val="24"/>
        </w:rPr>
        <w:t>•</w:t>
      </w:r>
      <w:r w:rsidR="00B53BD5">
        <w:rPr>
          <w:szCs w:val="24"/>
        </w:rPr>
        <w:t xml:space="preserve">Information for Question 10: This lesson applies the law of 2008.  The exemption </w:t>
      </w:r>
      <w:r w:rsidR="003121EA">
        <w:rPr>
          <w:szCs w:val="24"/>
        </w:rPr>
        <w:t>amount in 2</w:t>
      </w:r>
      <w:r w:rsidR="00B53BD5">
        <w:rPr>
          <w:szCs w:val="24"/>
        </w:rPr>
        <w:t>008 was $3500 per exemption.  The phaseout of exemptions for taxpa</w:t>
      </w:r>
      <w:r w:rsidR="000A1DA1">
        <w:rPr>
          <w:szCs w:val="24"/>
        </w:rPr>
        <w:t>y</w:t>
      </w:r>
      <w:r w:rsidR="00B53BD5">
        <w:rPr>
          <w:szCs w:val="24"/>
        </w:rPr>
        <w:t xml:space="preserve">ers married filing jointly began at an AGI level of </w:t>
      </w:r>
      <w:r w:rsidR="00B53BD5">
        <w:rPr>
          <w:szCs w:val="24"/>
        </w:rPr>
        <w:lastRenderedPageBreak/>
        <w:t>$239,950.</w:t>
      </w:r>
    </w:p>
    <w:p w:rsidR="000A1DA1" w:rsidRDefault="000A1DA1" w:rsidP="00A6585D">
      <w:pPr>
        <w:widowControl w:val="0"/>
        <w:ind w:left="720"/>
        <w:jc w:val="both"/>
        <w:rPr>
          <w:szCs w:val="24"/>
        </w:rPr>
      </w:pPr>
      <w:r>
        <w:rPr>
          <w:szCs w:val="24"/>
        </w:rPr>
        <w:t xml:space="preserve">•Information for </w:t>
      </w:r>
      <w:r w:rsidR="009D714C" w:rsidRPr="00576ED7">
        <w:rPr>
          <w:szCs w:val="24"/>
        </w:rPr>
        <w:t xml:space="preserve">Question </w:t>
      </w:r>
      <w:r w:rsidR="0049128E" w:rsidRPr="00576ED7">
        <w:rPr>
          <w:szCs w:val="24"/>
        </w:rPr>
        <w:t>11</w:t>
      </w:r>
      <w:r w:rsidR="009D714C" w:rsidRPr="00576ED7">
        <w:rPr>
          <w:szCs w:val="24"/>
        </w:rPr>
        <w:t xml:space="preserve"> </w:t>
      </w:r>
      <w:r>
        <w:rPr>
          <w:szCs w:val="24"/>
        </w:rPr>
        <w:t xml:space="preserve">The phaseout of § 68 is actually the return of a phaseout that existed prior to 2006.  In tax years before 2006, the phaseout was what it is now.  For tax years 2006 to 2009, Congress phased out the phaseout.  </w:t>
      </w:r>
      <w:r w:rsidR="003121EA">
        <w:rPr>
          <w:szCs w:val="24"/>
        </w:rPr>
        <w:t>First, there was a reduction of ⅓ of the phaseout and then ⅔ of the phaseout.  Your answer to Question 11 should be 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172"/>
      </w:r>
    </w:p>
    <w:p w:rsidR="0049128E" w:rsidRPr="00576ED7" w:rsidRDefault="0049128E" w:rsidP="00A6585D">
      <w:pPr>
        <w:widowControl w:val="0"/>
        <w:ind w:left="720"/>
        <w:jc w:val="both"/>
        <w:rPr>
          <w:szCs w:val="24"/>
        </w:rPr>
      </w:pPr>
      <w:r w:rsidRPr="00576ED7">
        <w:rPr>
          <w:szCs w:val="24"/>
        </w:rPr>
        <w:t>•We may choose to ignore every tax aspect of a transaction between fam</w:t>
      </w:r>
      <w:r w:rsidRPr="00576ED7">
        <w:rPr>
          <w:szCs w:val="24"/>
        </w:rPr>
        <w:t>i</w:t>
      </w:r>
      <w:r w:rsidRPr="00576ED7">
        <w:rPr>
          <w:szCs w:val="24"/>
        </w:rPr>
        <w:t xml:space="preserve">ly members.  In many respects, § 1041 (discussed </w:t>
      </w:r>
      <w:r w:rsidRPr="00576ED7">
        <w:rPr>
          <w:i/>
          <w:szCs w:val="24"/>
        </w:rPr>
        <w:t>infra</w:t>
      </w:r>
      <w:r w:rsidRPr="00576ED7">
        <w:rPr>
          <w:szCs w:val="24"/>
        </w:rPr>
        <w:t>) has this effect.</w:t>
      </w:r>
    </w:p>
    <w:p w:rsidR="0049128E" w:rsidRPr="00576ED7" w:rsidRDefault="0049128E" w:rsidP="00A6585D">
      <w:pPr>
        <w:widowControl w:val="0"/>
        <w:ind w:left="720"/>
        <w:jc w:val="both"/>
        <w:rPr>
          <w:szCs w:val="24"/>
        </w:rPr>
      </w:pPr>
      <w:r w:rsidRPr="00576ED7">
        <w:rPr>
          <w:szCs w:val="24"/>
        </w:rPr>
        <w:t>•We may curtail the tax advantages of transactions where close relatio</w:t>
      </w:r>
      <w:r w:rsidRPr="00576ED7">
        <w:rPr>
          <w:szCs w:val="24"/>
        </w:rPr>
        <w:t>n</w:t>
      </w:r>
      <w:r w:rsidRPr="00576ED7">
        <w:rPr>
          <w:szCs w:val="24"/>
        </w:rPr>
        <w:t>ships could lead to abuse.</w:t>
      </w:r>
    </w:p>
    <w:p w:rsidR="0049128E" w:rsidRPr="00576ED7" w:rsidRDefault="0049128E" w:rsidP="00A6585D">
      <w:pPr>
        <w:widowControl w:val="0"/>
        <w:ind w:left="720"/>
        <w:jc w:val="both"/>
        <w:rPr>
          <w:szCs w:val="24"/>
        </w:rPr>
      </w:pPr>
      <w:r w:rsidRPr="00576ED7">
        <w:rPr>
          <w:szCs w:val="24"/>
        </w:rPr>
        <w:t>•Read §§ 267(a)(1), 267(b)(1), 267(c)(2), 267(c)(4), 267(d).</w:t>
      </w:r>
      <w:r w:rsidRPr="00576ED7">
        <w:rPr>
          <w:rStyle w:val="FootnoteReference"/>
          <w:szCs w:val="24"/>
        </w:rPr>
        <w:footnoteReference w:id="17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1.  Taxpayer owned Greenacre.  Taxpayer’s adjusted basis in Greenacre was $25,000.  Taxpayer sold Greenacre to his grandson for $15,000, its fmv.</w:t>
      </w:r>
    </w:p>
    <w:p w:rsidR="0049128E" w:rsidRPr="00576ED7" w:rsidRDefault="0049128E" w:rsidP="00A6585D">
      <w:pPr>
        <w:widowControl w:val="0"/>
        <w:ind w:left="720"/>
        <w:jc w:val="both"/>
        <w:rPr>
          <w:szCs w:val="24"/>
        </w:rPr>
      </w:pPr>
      <w:r w:rsidRPr="00576ED7">
        <w:rPr>
          <w:szCs w:val="24"/>
        </w:rPr>
        <w:t xml:space="preserve">•How much loss may Taxpayer deduct under § 165(a and c(2))? </w:t>
      </w:r>
      <w:r w:rsidRPr="00576ED7">
        <w:rPr>
          <w:i/>
          <w:szCs w:val="24"/>
        </w:rPr>
        <w:t>See</w:t>
      </w:r>
      <w:r w:rsidRPr="00576ED7">
        <w:rPr>
          <w:szCs w:val="24"/>
        </w:rPr>
        <w:t xml:space="preserve"> §§ 267(a)(1), 267(b)(1), 267(c)(4).</w:t>
      </w:r>
    </w:p>
    <w:p w:rsidR="0049128E" w:rsidRPr="00576ED7" w:rsidRDefault="0049128E" w:rsidP="00A6585D">
      <w:pPr>
        <w:widowControl w:val="0"/>
        <w:ind w:left="720"/>
        <w:jc w:val="both"/>
        <w:rPr>
          <w:szCs w:val="24"/>
        </w:rPr>
      </w:pPr>
      <w:r w:rsidRPr="00576ED7">
        <w:rPr>
          <w:szCs w:val="24"/>
        </w:rPr>
        <w:t xml:space="preserve">•What is grandson’s basis in Greenacre? </w:t>
      </w:r>
      <w:r w:rsidRPr="00576ED7">
        <w:rPr>
          <w:i/>
          <w:szCs w:val="24"/>
        </w:rPr>
        <w:t>See</w:t>
      </w:r>
      <w:r w:rsidRPr="00576ED7">
        <w:rPr>
          <w:szCs w:val="24"/>
        </w:rPr>
        <w:t xml:space="preserve"> § 1012.</w:t>
      </w:r>
    </w:p>
    <w:p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rsidR="0049128E" w:rsidRPr="00576ED7" w:rsidRDefault="0049128E" w:rsidP="00A6585D">
      <w:pPr>
        <w:widowControl w:val="0"/>
        <w:ind w:left="1440"/>
        <w:jc w:val="both"/>
        <w:rPr>
          <w:szCs w:val="24"/>
        </w:rPr>
      </w:pPr>
      <w:r w:rsidRPr="00576ED7">
        <w:rPr>
          <w:szCs w:val="24"/>
        </w:rPr>
        <w:t>•$10,000.  How much loss could Grandson deduct?</w:t>
      </w:r>
    </w:p>
    <w:p w:rsidR="0049128E" w:rsidRPr="00576ED7" w:rsidRDefault="0049128E" w:rsidP="00A6585D">
      <w:pPr>
        <w:widowControl w:val="0"/>
        <w:ind w:left="1440"/>
        <w:jc w:val="both"/>
        <w:rPr>
          <w:szCs w:val="24"/>
        </w:rPr>
      </w:pPr>
      <w:r w:rsidRPr="00576ED7">
        <w:rPr>
          <w:szCs w:val="24"/>
        </w:rPr>
        <w:t xml:space="preserve">•$20,000.  How much gain (loss?) must Grandson report? </w:t>
      </w:r>
      <w:r w:rsidRPr="00576ED7">
        <w:rPr>
          <w:i/>
          <w:szCs w:val="24"/>
        </w:rPr>
        <w:t>See</w:t>
      </w:r>
      <w:r w:rsidRPr="00576ED7">
        <w:rPr>
          <w:szCs w:val="24"/>
        </w:rPr>
        <w:t xml:space="preserve"> § 267(d).</w:t>
      </w:r>
    </w:p>
    <w:p w:rsidR="0049128E" w:rsidRPr="00576ED7" w:rsidRDefault="0049128E" w:rsidP="00A6585D">
      <w:pPr>
        <w:widowControl w:val="0"/>
        <w:ind w:left="1440"/>
        <w:jc w:val="both"/>
        <w:rPr>
          <w:szCs w:val="24"/>
        </w:rPr>
      </w:pPr>
      <w:r w:rsidRPr="00576ED7">
        <w:rPr>
          <w:szCs w:val="24"/>
        </w:rPr>
        <w:t xml:space="preserve">•$30,000.  How much gain must Grandson report? </w:t>
      </w:r>
      <w:r w:rsidRPr="00576ED7">
        <w:rPr>
          <w:i/>
          <w:szCs w:val="24"/>
        </w:rPr>
        <w:t>See</w:t>
      </w:r>
      <w:r w:rsidRPr="00576ED7">
        <w:rPr>
          <w:szCs w:val="24"/>
        </w:rPr>
        <w:t xml:space="preserve"> § 267(d).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•Have we seen this pattern of gain and loss recognition before?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•Would your answers be different if Taxpayer had sold Greenacre to his uncle? – </w:t>
      </w:r>
      <w:r w:rsidRPr="00576ED7">
        <w:rPr>
          <w:szCs w:val="24"/>
        </w:rPr>
        <w:lastRenderedPageBreak/>
        <w:t>grandmother? – nephew? – the daughter of his step-mother?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•Would your answers be different if Taxpayer had sold Greenacre to his wife? </w:t>
      </w:r>
      <w:r w:rsidRPr="00576ED7">
        <w:rPr>
          <w:i/>
          <w:szCs w:val="24"/>
        </w:rPr>
        <w:t>See</w:t>
      </w:r>
      <w:r w:rsidRPr="00576ED7">
        <w:rPr>
          <w:szCs w:val="24"/>
        </w:rPr>
        <w:t xml:space="preserve"> § 1041.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1" w:name="_Toc375132958"/>
      <w:r w:rsidRPr="00576ED7">
        <w:t>IV.  After Marriage: Tax Consequences of Divorce</w:t>
      </w:r>
      <w:bookmarkEnd w:id="71"/>
      <w:r w:rsidRPr="00576ED7">
        <w:fldChar w:fldCharType="begin"/>
      </w:r>
      <w:r w:rsidRPr="00576ED7">
        <w:instrText xml:space="preserve"> TC \l1 "IV.  After Marriage: Tax Consequences of Divorce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Divorce renders husband and wife separate taxpayers with interests that should (at some point) no longer be presumed to be the same.  Various rights and obligations may ensue, and their origins might be – </w:t>
      </w:r>
    </w:p>
    <w:p w:rsidR="0049128E" w:rsidRPr="00576ED7" w:rsidRDefault="0049128E" w:rsidP="00A6585D">
      <w:pPr>
        <w:widowControl w:val="0"/>
        <w:ind w:left="720"/>
        <w:jc w:val="both"/>
        <w:rPr>
          <w:szCs w:val="24"/>
        </w:rPr>
      </w:pPr>
      <w:r w:rsidRPr="00576ED7">
        <w:rPr>
          <w:szCs w:val="24"/>
        </w:rPr>
        <w:t>•ownership of property,</w:t>
      </w:r>
    </w:p>
    <w:p w:rsidR="0049128E" w:rsidRPr="00576ED7" w:rsidRDefault="0049128E" w:rsidP="00A6585D">
      <w:pPr>
        <w:widowControl w:val="0"/>
        <w:ind w:left="720"/>
        <w:jc w:val="both"/>
        <w:rPr>
          <w:szCs w:val="24"/>
        </w:rPr>
      </w:pPr>
      <w:r w:rsidRPr="00576ED7">
        <w:rPr>
          <w:szCs w:val="24"/>
        </w:rPr>
        <w:t>•a legal duty, or</w:t>
      </w:r>
    </w:p>
    <w:p w:rsidR="0049128E" w:rsidRPr="00576ED7" w:rsidRDefault="0049128E" w:rsidP="00A6585D">
      <w:pPr>
        <w:widowControl w:val="0"/>
        <w:ind w:left="720"/>
        <w:jc w:val="both"/>
        <w:rPr>
          <w:szCs w:val="24"/>
        </w:rPr>
      </w:pPr>
      <w:r w:rsidRPr="00576ED7">
        <w:rPr>
          <w:szCs w:val="24"/>
        </w:rPr>
        <w:t>•an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How should the source of a right or obligation affect its tax treatment?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might suppose that the event of divorce should vest (or re-vest) each ex-spouse with property rights that can be bought and sold – with all of the tax co</w:t>
      </w:r>
      <w:r w:rsidRPr="00576ED7">
        <w:rPr>
          <w:szCs w:val="24"/>
        </w:rPr>
        <w:t>n</w:t>
      </w:r>
      <w:r w:rsidRPr="00576ED7">
        <w:rPr>
          <w:szCs w:val="24"/>
        </w:rPr>
        <w:t>sequences that should naturally flow from such transactions.</w:t>
      </w:r>
    </w:p>
    <w:p w:rsidR="0049128E" w:rsidRPr="00576ED7" w:rsidRDefault="0049128E" w:rsidP="00A6585D">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w:t>
      </w:r>
      <w:r w:rsidRPr="00576ED7">
        <w:rPr>
          <w:szCs w:val="24"/>
        </w:rPr>
        <w:t>e</w:t>
      </w:r>
      <w:r w:rsidRPr="00576ED7">
        <w:rPr>
          <w:szCs w:val="24"/>
        </w:rPr>
        <w:t>tween a husband and a wife as property that can be bought and sold in commercial transactions? How should we value such rights?</w:t>
      </w:r>
      <w:r w:rsidRPr="00576ED7">
        <w:rPr>
          <w:rStyle w:val="FootnoteReference"/>
          <w:szCs w:val="24"/>
        </w:rPr>
        <w:footnoteReference w:id="17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Davis</w:t>
      </w:r>
      <w:r w:rsidRPr="00576ED7">
        <w:rPr>
          <w:szCs w:val="24"/>
        </w:rPr>
        <w:t>, 370 U.S. 65 (1962)</w:t>
      </w:r>
      <w:r w:rsidRPr="00576ED7">
        <w:rPr>
          <w:szCs w:val="24"/>
        </w:rPr>
        <w:fldChar w:fldCharType="begin"/>
      </w:r>
      <w:r w:rsidRPr="00576ED7">
        <w:rPr>
          <w:szCs w:val="24"/>
        </w:rPr>
        <w:instrText xml:space="preserve"> TC \l2 "United States v. Davis, 370 U.S. 65 (1962)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CLARK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cases involve the tax consequences of a transfer of appreciated property by Thomas Crawley Davis [footnote omitted] to his former wife pursuant to a pro</w:t>
      </w:r>
      <w:r w:rsidRPr="00576ED7">
        <w:rPr>
          <w:szCs w:val="24"/>
        </w:rPr>
        <w:t>p</w:t>
      </w:r>
      <w:r w:rsidRPr="00576ED7">
        <w:rPr>
          <w:szCs w:val="24"/>
        </w:rPr>
        <w:t xml:space="preserve">erty settlement agreement executed prior to divorce ... The Court of Claims upset the Commissioner’s determination that there was taxable gain on the transfer ... We granted certiorari on a conflict in the Courts of Appeals and the Court of </w:t>
      </w:r>
      <w:r w:rsidRPr="00576ED7">
        <w:rPr>
          <w:szCs w:val="24"/>
        </w:rPr>
        <w:lastRenderedPageBreak/>
        <w:t>Claims on the taxability of such transfers.</w:t>
      </w:r>
      <w:r w:rsidRPr="00576ED7">
        <w:rPr>
          <w:rStyle w:val="FootnoteReference"/>
          <w:szCs w:val="24"/>
        </w:rPr>
        <w:footnoteReference w:id="175"/>
      </w:r>
      <w:r w:rsidRPr="00576ED7">
        <w:rPr>
          <w:szCs w:val="24"/>
        </w:rPr>
        <w:t xml:space="preserve">  We have decided that the taxpayer did have a taxable gain on the transfer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1954, the taxpayer and his then wife made a voluntary property settlement and separation agreement calling for support payments to the wife and minor child in addition to the transfer of certain personal property to the wife. Under Delaware law, all the property transferred was that of the taxpayer, subject to certain stat</w:t>
      </w:r>
      <w:r w:rsidRPr="00576ED7">
        <w:rPr>
          <w:szCs w:val="24"/>
        </w:rPr>
        <w:t>u</w:t>
      </w:r>
      <w:r w:rsidRPr="00576ED7">
        <w:rPr>
          <w:szCs w:val="24"/>
        </w:rPr>
        <w:t xml:space="preserve">tory marital rights of the wife including a right of intestate succession and a right upon divorce to a share of the husband’s property. [footnote omitted] Specifically, as a “division in settlement of their property,” the taxpayer agreed to transfer to his wife, </w:t>
      </w:r>
      <w:r w:rsidRPr="00576ED7">
        <w:rPr>
          <w:i/>
          <w:szCs w:val="24"/>
        </w:rPr>
        <w:t>inter alia</w:t>
      </w:r>
      <w:r w:rsidRPr="00576ED7">
        <w:rPr>
          <w:szCs w:val="24"/>
        </w:rPr>
        <w:t>, 1000 shares of stock in the E. I. du Pont de Nemours &amp; Co. The then Mrs. Davis agreed to accept this division</w:t>
      </w:r>
      <w:r w:rsidR="00DD285D">
        <w:rPr>
          <w:szCs w:val="24"/>
        </w:rPr>
        <w:t xml:space="preserve"> </w:t>
      </w:r>
      <w:r w:rsidRPr="00576ED7">
        <w:rPr>
          <w:szCs w:val="24"/>
        </w:rPr>
        <w:t>“in full settlement and satisfa</w:t>
      </w:r>
      <w:r w:rsidRPr="00576ED7">
        <w:rPr>
          <w:szCs w:val="24"/>
        </w:rPr>
        <w:t>c</w:t>
      </w:r>
      <w:r w:rsidRPr="00576ED7">
        <w:rPr>
          <w:szCs w:val="24"/>
        </w:rPr>
        <w:t>tion of any and all claims and rights against the husband whatsoever (including but not by way of limitation, dower and all rights under the laws of testacy and intestacy). ...”</w:t>
      </w:r>
      <w:r w:rsidR="00DD285D">
        <w:rPr>
          <w:szCs w:val="24"/>
        </w:rPr>
        <w:t xml:space="preserve">  </w:t>
      </w:r>
      <w:r w:rsidRPr="00576ED7">
        <w:rPr>
          <w:szCs w:val="24"/>
        </w:rPr>
        <w:t>Pursuant to the above agreement, which had been incorporated i</w:t>
      </w:r>
      <w:r w:rsidRPr="00576ED7">
        <w:rPr>
          <w:szCs w:val="24"/>
        </w:rPr>
        <w:t>n</w:t>
      </w:r>
      <w:r w:rsidRPr="00576ED7">
        <w:rPr>
          <w:szCs w:val="24"/>
        </w:rPr>
        <w:t>to the divorce decree, one-half of this stock was delivered in the tax year i</w:t>
      </w:r>
      <w:r w:rsidRPr="00576ED7">
        <w:rPr>
          <w:szCs w:val="24"/>
        </w:rPr>
        <w:t>n</w:t>
      </w:r>
      <w:r w:rsidRPr="00576ED7">
        <w:rPr>
          <w:szCs w:val="24"/>
        </w:rPr>
        <w:t>volved, 1955, and the balance thereafter. Davis’ cost basis for the 1955 transfer was $74,775.37, and the fair market value of the 500 shares there transferred was $82,250.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The determination of the income tax consequences of the stock transfer described above is basically a two-step analysis: (1) was the transaction a taxable event? (2) if so, how much taxable gain resulted therefrom? ... </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We now turn to the threshold question of whether the transfer in issue was an a</w:t>
      </w:r>
      <w:r w:rsidRPr="00576ED7">
        <w:rPr>
          <w:szCs w:val="24"/>
        </w:rPr>
        <w:t>p</w:t>
      </w:r>
      <w:r w:rsidRPr="00576ED7">
        <w:rPr>
          <w:szCs w:val="24"/>
        </w:rPr>
        <w:t xml:space="preserve">propriate occasion for taxing the accretion to the stock. There can be no doubt that Congress, as evidenced by its inclusive definition of income subject to taxation, i.e., “all income from whatever source derived, including ... [g]ains derived from dealings in property,” [footnote omitted] intended that the economic growth of this stock be taxed. The problem confronting us is simply when is such accretion to be taxed. Should the economic gain be presently assessed against taxpayer, or should this assessment await a subsequent transfer of the property by the wife? The controlling statutory language, which provides that gains from dealings in </w:t>
      </w:r>
      <w:r w:rsidRPr="00576ED7">
        <w:rPr>
          <w:szCs w:val="24"/>
        </w:rPr>
        <w:lastRenderedPageBreak/>
        <w:t>property are to be taxed upon “sale or other disposition,” [footnote omitted] is too general to include or exclude conclusively the transaction presently in issue. Re</w:t>
      </w:r>
      <w:r w:rsidRPr="00576ED7">
        <w:rPr>
          <w:szCs w:val="24"/>
        </w:rPr>
        <w:t>c</w:t>
      </w:r>
      <w:r w:rsidRPr="00576ED7">
        <w:rPr>
          <w:szCs w:val="24"/>
        </w:rPr>
        <w:t>ognizing this, the Government and the taxpayer argue by analogy with transa</w:t>
      </w:r>
      <w:r w:rsidRPr="00576ED7">
        <w:rPr>
          <w:szCs w:val="24"/>
        </w:rPr>
        <w:t>c</w:t>
      </w:r>
      <w:r w:rsidRPr="00576ED7">
        <w:rPr>
          <w:szCs w:val="24"/>
        </w:rPr>
        <w:t>tions more easily classified as within or without the ambient of taxable events. The taxpayer asserts that the present disposition is comparable to a nontaxable division of property between two co-owners [footnote omitted], while the Go</w:t>
      </w:r>
      <w:r w:rsidRPr="00576ED7">
        <w:rPr>
          <w:szCs w:val="24"/>
        </w:rPr>
        <w:t>v</w:t>
      </w:r>
      <w:r w:rsidRPr="00576ED7">
        <w:rPr>
          <w:szCs w:val="24"/>
        </w:rPr>
        <w:t>ernment contends it more resembles a taxable transfer of property in exchange for the release of an independent legal obligation. Neither disputes the validity of the other’s starting point.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support of his analogy, the taxpayer argues that to draw a distinction between a wife’s interest in the property of her husband in a common law jurisdiction such as Delaware and the property interest of a wife in a typical community property jurisdiction would commit a double sin; for such differentiation would depend upon “elusive and subtle casuistries which ... possess no relevance for tax purpo</w:t>
      </w:r>
      <w:r w:rsidRPr="00576ED7">
        <w:rPr>
          <w:szCs w:val="24"/>
        </w:rPr>
        <w:t>s</w:t>
      </w:r>
      <w:r w:rsidRPr="00576ED7">
        <w:rPr>
          <w:szCs w:val="24"/>
        </w:rPr>
        <w:t xml:space="preserve">es,” </w:t>
      </w:r>
      <w:r w:rsidRPr="00576ED7">
        <w:rPr>
          <w:i/>
          <w:szCs w:val="24"/>
        </w:rPr>
        <w:t>Helvering v. Hallock</w:t>
      </w:r>
      <w:r w:rsidRPr="00576ED7">
        <w:rPr>
          <w:szCs w:val="24"/>
        </w:rPr>
        <w:t>, 309 U.S. 106, 309 U.S. 118 (1940), and would create disparities between common law and community property jurisdictions in contr</w:t>
      </w:r>
      <w:r w:rsidRPr="00576ED7">
        <w:rPr>
          <w:szCs w:val="24"/>
        </w:rPr>
        <w:t>a</w:t>
      </w:r>
      <w:r w:rsidRPr="00576ED7">
        <w:rPr>
          <w:szCs w:val="24"/>
        </w:rPr>
        <w:t>diction to Congress’ general policy of equality between the two. The taxpayer’s analogy, however, stumbles on its own premise, for the inchoate rights granted a wife in her husband’s property by the Delaware law do not even remotely reach the dignity of co-ownership. The wife has no interest – passive or active – over the management or disposition of her husband’s personal property. Her rights are not descendable, and she must survive him to share in his intestate estate. Upon dissolution of the marriage, she shares in the property only to such extent as the court deems “reasonable.” 13 Del. Code Ann. § 1531(a). What is “reasonable” might be ascertained independently of the extent of the husband’s property by such criteria as the wife’s financial condition, her needs in relation to her accu</w:t>
      </w:r>
      <w:r w:rsidRPr="00576ED7">
        <w:rPr>
          <w:szCs w:val="24"/>
        </w:rPr>
        <w:t>s</w:t>
      </w:r>
      <w:r w:rsidRPr="00576ED7">
        <w:rPr>
          <w:szCs w:val="24"/>
        </w:rPr>
        <w:t>tomed station in life, her age and health, the number of children and their ages, and the earning capacity of the husband.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not to say it would be completely illogical to consider the shearing off of the wife’s rights in her husband’s property as a division of that property, but we believe the contrary to be the more reasonable construction. Regardless of the tags, Delaware seems only to place a burden on the husband’s property, rather than to make the wife a part owner thereof. In the present context, the rights of succession and reasonable share do not differ significantly from the husband’s obligations of support and alimony. They all partake more of a personal liability of the husband than a property interest of the wife. The effectuation of these mar</w:t>
      </w:r>
      <w:r w:rsidRPr="00576ED7">
        <w:rPr>
          <w:szCs w:val="24"/>
        </w:rPr>
        <w:t>i</w:t>
      </w:r>
      <w:r w:rsidRPr="00576ED7">
        <w:rPr>
          <w:szCs w:val="24"/>
        </w:rPr>
        <w:t>tal rights may ultimately result in the ownership of some of the husband’s prope</w:t>
      </w:r>
      <w:r w:rsidRPr="00576ED7">
        <w:rPr>
          <w:szCs w:val="24"/>
        </w:rPr>
        <w:t>r</w:t>
      </w:r>
      <w:r w:rsidRPr="00576ED7">
        <w:rPr>
          <w:szCs w:val="24"/>
        </w:rPr>
        <w:lastRenderedPageBreak/>
        <w:t>ty as it did here, but certainly this happenstance does not equate the transaction with a division of property by co-owners. Although admittedly such a view may permit different tax treatment among the several States, this Court in the past has not ignored the differing effects on the federal taxing scheme of substantive di</w:t>
      </w:r>
      <w:r w:rsidRPr="00576ED7">
        <w:rPr>
          <w:szCs w:val="24"/>
        </w:rPr>
        <w:t>f</w:t>
      </w:r>
      <w:r w:rsidRPr="00576ED7">
        <w:rPr>
          <w:szCs w:val="24"/>
        </w:rPr>
        <w:t xml:space="preserve">ferences between community property and common law systems. </w:t>
      </w:r>
      <w:r w:rsidRPr="00576ED7">
        <w:rPr>
          <w:i/>
          <w:szCs w:val="24"/>
        </w:rPr>
        <w:t>E.g</w:t>
      </w:r>
      <w:r w:rsidRPr="00576ED7">
        <w:rPr>
          <w:szCs w:val="24"/>
        </w:rPr>
        <w:t xml:space="preserve">., </w:t>
      </w:r>
      <w:r w:rsidRPr="00576ED7">
        <w:rPr>
          <w:i/>
          <w:szCs w:val="24"/>
        </w:rPr>
        <w:t>Poe v. Seaborn</w:t>
      </w:r>
      <w:r w:rsidRPr="00576ED7">
        <w:rPr>
          <w:szCs w:val="24"/>
        </w:rPr>
        <w:t>, 282 U.S. 101 (1930). To be sure, Congress has seen fit to alleviate this disparity in many areas, e.g., Revenue Act of 1948, 62 Stat. 110, but in other areas the facts of life are still with 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 interpretation of the general statutory language is fortified by the longstan</w:t>
      </w:r>
      <w:r w:rsidRPr="00576ED7">
        <w:rPr>
          <w:szCs w:val="24"/>
        </w:rPr>
        <w:t>d</w:t>
      </w:r>
      <w:r w:rsidRPr="00576ED7">
        <w:rPr>
          <w:szCs w:val="24"/>
        </w:rPr>
        <w:t>ing administrative practice as sounded and formalized by the settled state of law in the lower courts. The Commissioner’s position was adopted in the early 40's by the Second and Third Circuits, and, by 1947, the Tax Court had acquiesced in this view. This settled rule was not disturbed by the Court of Appeals for the Sixth Circuit in 1960 or the Court of Claims in the instant case, for these latter courts, in holding the gain indeterminable, assumed that the transaction was otherwise a taxable event. Such unanimity of views in support of a position representing a reasonable construction of an ambiguous statute will not lightly be put aside. It is quite possible that this notorious construction was relied upon by numerous ta</w:t>
      </w:r>
      <w:r w:rsidRPr="00576ED7">
        <w:rPr>
          <w:szCs w:val="24"/>
        </w:rPr>
        <w:t>x</w:t>
      </w:r>
      <w:r w:rsidRPr="00576ED7">
        <w:rPr>
          <w:szCs w:val="24"/>
        </w:rPr>
        <w:t>payers, as well as the Congress itself, which not only refrained from making any changes in the statutory language during more than a score of years, but reenacted this same language in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Having determined that the transaction was a taxable event, we now turn to the point on which the Court of Claims balked, </w:t>
      </w:r>
      <w:r w:rsidRPr="00576ED7">
        <w:rPr>
          <w:i/>
          <w:szCs w:val="24"/>
        </w:rPr>
        <w:t>viz</w:t>
      </w:r>
      <w:r w:rsidRPr="00576ED7">
        <w:rPr>
          <w:szCs w:val="24"/>
        </w:rPr>
        <w:t>., the measurement of the taxable gain realized by the taxpayer. The Code defines the taxable gain from the sale or disposition of property as being the “excess of the amount realized therefrom over the adjusted basis. ...” I.R.C. § 1001(a). The “amount realized” is further defined as “the sum of any money received plus the fair market value of the property (other than money) received.” I.R.C. § 1001(b). In the instant case, the “property received” was the release of the wife’s inchoate marital rights. The Court of Claims, following the Court of Appeals for the Sixth Circuit, found that there was no way to compute the fair market value of these marital rights, and that it was thus impossible to determine the taxable gain realized by the taxpayer. We believe this conclusion was erroneous.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must be assumed, we think, that the parties acted at arm’s length, and that they judged the marital rights to be equal in value to the property for which they were </w:t>
      </w:r>
      <w:r w:rsidRPr="00576ED7">
        <w:rPr>
          <w:szCs w:val="24"/>
        </w:rPr>
        <w:lastRenderedPageBreak/>
        <w:t>exchanged. There was no evidence to the contrary here. Absent a readily asce</w:t>
      </w:r>
      <w:r w:rsidRPr="00576ED7">
        <w:rPr>
          <w:szCs w:val="24"/>
        </w:rPr>
        <w:t>r</w:t>
      </w:r>
      <w:r w:rsidRPr="00576ED7">
        <w:rPr>
          <w:szCs w:val="24"/>
        </w:rPr>
        <w:t xml:space="preserve">tainable value, it is accepted practice where property is exchanged to hold, as did the Court of Claims in </w:t>
      </w:r>
      <w:r w:rsidRPr="00576ED7">
        <w:rPr>
          <w:i/>
          <w:szCs w:val="24"/>
        </w:rPr>
        <w:t>Philadelphia Park Amusement Co. v. United States</w:t>
      </w:r>
      <w:r w:rsidRPr="00576ED7">
        <w:rPr>
          <w:szCs w:val="24"/>
        </w:rPr>
        <w:t>, 126 F.</w:t>
      </w:r>
      <w:r w:rsidR="00AE5B0B" w:rsidRPr="00576ED7">
        <w:rPr>
          <w:szCs w:val="24"/>
        </w:rPr>
        <w:t xml:space="preserve"> </w:t>
      </w:r>
      <w:r w:rsidRPr="00576ED7">
        <w:rPr>
          <w:szCs w:val="24"/>
        </w:rPr>
        <w:t xml:space="preserve">Supp. 184, 189 (1954), that the values “of the two properties exchanged in an arms-length transaction are either equal in fact or are presumed to be equal.” </w:t>
      </w:r>
      <w:r w:rsidRPr="00576ED7">
        <w:rPr>
          <w:i/>
          <w:szCs w:val="24"/>
        </w:rPr>
        <w:t>A</w:t>
      </w:r>
      <w:r w:rsidRPr="00576ED7">
        <w:rPr>
          <w:i/>
          <w:szCs w:val="24"/>
        </w:rPr>
        <w:t>c</w:t>
      </w:r>
      <w:r w:rsidRPr="00576ED7">
        <w:rPr>
          <w:i/>
          <w:szCs w:val="24"/>
        </w:rPr>
        <w:t>cord</w:t>
      </w:r>
      <w:r w:rsidRPr="00576ED7">
        <w:rPr>
          <w:szCs w:val="24"/>
        </w:rPr>
        <w:t xml:space="preserve">, </w:t>
      </w:r>
      <w:r w:rsidRPr="00576ED7">
        <w:rPr>
          <w:i/>
          <w:szCs w:val="24"/>
        </w:rPr>
        <w:t>United States v. General Shoe Corp</w:t>
      </w:r>
      <w:r w:rsidRPr="00576ED7">
        <w:rPr>
          <w:szCs w:val="24"/>
        </w:rPr>
        <w:t xml:space="preserve">., 282 F.2d 9 (CA6 1960); </w:t>
      </w:r>
      <w:r w:rsidRPr="00576ED7">
        <w:rPr>
          <w:i/>
          <w:szCs w:val="24"/>
        </w:rPr>
        <w:t>International Freighting Corp. v. Commissioner</w:t>
      </w:r>
      <w:r w:rsidRPr="00576ED7">
        <w:rPr>
          <w:szCs w:val="24"/>
        </w:rPr>
        <w:t>, 135 F.2d 310 (CA 1943). To be sure, there is much to be said of the argument that such an assumption is weakened by the em</w:t>
      </w:r>
      <w:r w:rsidRPr="00576ED7">
        <w:rPr>
          <w:szCs w:val="24"/>
        </w:rPr>
        <w:t>o</w:t>
      </w:r>
      <w:r w:rsidRPr="00576ED7">
        <w:rPr>
          <w:szCs w:val="24"/>
        </w:rPr>
        <w:t>tion, tension, and practical necessities involved in divorce negotiations and the property settlements arising therefrom. However, once it is recognized that the transfer was a taxable event, it is more consistent with the general purpose and scheme of the taxing statutes to make a rough approximation of the gain realized thereby than to ignore altogether its tax consequences.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if the transaction is to be considered a taxable event as to the husband, the Court of Claims’ position leaves up in the air the wife’s basis for the property received. In the context of a taxable transfer by the husband, [footnote omitted] all indicia point to a “cost” basis for this property in the hands of the wife. [footnote omitted] Yet, under the Court of Claims’ position, her cost for this property, i.e., the value of the marital rights relinquished therefor, would be indeterminable, and, on subsequent disposition of the property, she might suffer inordinately over the Commissioner’s assessment which she would have the burden of proving e</w:t>
      </w:r>
      <w:r w:rsidRPr="00576ED7">
        <w:rPr>
          <w:szCs w:val="24"/>
        </w:rPr>
        <w:t>r</w:t>
      </w:r>
      <w:r w:rsidRPr="00576ED7">
        <w:rPr>
          <w:szCs w:val="24"/>
        </w:rPr>
        <w:t xml:space="preserve">roneous, </w:t>
      </w:r>
      <w:r w:rsidRPr="00576ED7">
        <w:rPr>
          <w:i/>
          <w:szCs w:val="24"/>
        </w:rPr>
        <w:t>Commissioner v. Hansen</w:t>
      </w:r>
      <w:r w:rsidRPr="00576ED7">
        <w:rPr>
          <w:szCs w:val="24"/>
        </w:rPr>
        <w:t>, 360 U.S. 446, 468 (1959). Our present holding that the value of these rights is ascertainable eliminates this problem; for the same calculation that determines the amount received by the husband fixes the amount given up by the wife, and this figure, i.e., the market value of the property tran</w:t>
      </w:r>
      <w:r w:rsidRPr="00576ED7">
        <w:rPr>
          <w:szCs w:val="24"/>
        </w:rPr>
        <w:t>s</w:t>
      </w:r>
      <w:r w:rsidRPr="00576ED7">
        <w:rPr>
          <w:szCs w:val="24"/>
        </w:rPr>
        <w:t>ferred by the husband, will be taken by her as her tax basis for the property r</w:t>
      </w:r>
      <w:r w:rsidRPr="00576ED7">
        <w:rPr>
          <w:szCs w:val="24"/>
        </w:rPr>
        <w:t>e</w:t>
      </w:r>
      <w:r w:rsidRPr="00576ED7">
        <w:rPr>
          <w:szCs w:val="24"/>
        </w:rPr>
        <w:t>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it must be noted that here, as well as in relation to the question of whether the event is taxable, we draw support from the prior administrative practice and judicial approval of that practice. We therefore conclude that the Commissioner’s assessment of a taxable gain based upon the value of the stock at the date of its transfer has not been shown erroneous.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 in part and affirmed in part.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answer did the Court give to the question posed at the outset of this se</w:t>
      </w:r>
      <w:r w:rsidRPr="00576ED7">
        <w:rPr>
          <w:szCs w:val="24"/>
        </w:rPr>
        <w:t>c</w:t>
      </w:r>
      <w:r w:rsidRPr="00576ED7">
        <w:rPr>
          <w:szCs w:val="24"/>
        </w:rPr>
        <w:t>tion of the text, i.e., the effect of the source of a right or obligation on its tax co</w:t>
      </w:r>
      <w:r w:rsidRPr="00576ED7">
        <w:rPr>
          <w:szCs w:val="24"/>
        </w:rPr>
        <w:t>n</w:t>
      </w:r>
      <w:r w:rsidRPr="00576ED7">
        <w:rPr>
          <w:szCs w:val="24"/>
        </w:rPr>
        <w:t xml:space="preserve">sequences? </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89984" behindDoc="0" locked="0" layoutInCell="0" allowOverlap="1" wp14:anchorId="67FA31A7" wp14:editId="044FB681">
                <wp:simplePos x="0" y="0"/>
                <wp:positionH relativeFrom="margin">
                  <wp:posOffset>2070735</wp:posOffset>
                </wp:positionH>
                <wp:positionV relativeFrom="paragraph">
                  <wp:posOffset>558165</wp:posOffset>
                </wp:positionV>
                <wp:extent cx="2971800" cy="882015"/>
                <wp:effectExtent l="0" t="0" r="19050" b="13335"/>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2015"/>
                        </a:xfrm>
                        <a:prstGeom prst="rect">
                          <a:avLst/>
                        </a:prstGeom>
                        <a:solidFill>
                          <a:srgbClr val="FFFFFF"/>
                        </a:solidFill>
                        <a:ln w="12192">
                          <a:solidFill>
                            <a:srgbClr val="000000"/>
                          </a:solidFill>
                          <a:miter lim="800000"/>
                          <a:headEnd/>
                          <a:tailEnd/>
                        </a:ln>
                      </wps:spPr>
                      <wps:txbx>
                        <w:txbxContent>
                          <w:p w:rsidR="00FF5E72" w:rsidRDefault="00FF5E72"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5" type="#_x0000_t202" style="position:absolute;left:0;text-align:left;margin-left:163.05pt;margin-top:43.95pt;width:234pt;height:69.4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DNKQIAAFsEAAAOAAAAZHJzL2Uyb0RvYy54bWysVNtu2zAMfR+wfxD0vtjJtlyMOEWXLsOA&#10;7gK0+wBZlmNhsqhRSuzu60fJaZrdXob5QRAl6vDwkPT6augMOyr0GmzJp5OcM2Ul1NruS/7lfvdi&#10;yZkPwtbCgFUlf1CeX22eP1v3rlAzaMHUChmBWF/0ruRtCK7IMi9b1Qk/AacsXTaAnQhk4j6rUfSE&#10;3plslufzrAesHYJU3tPpzXjJNwm/aZQMn5rGq8BMyYlbSCumtYprtlmLYo/CtVqeaIh/YNEJbSno&#10;GepGBMEOqH+D6rRE8NCEiYQug6bRUqUcKJtp/ks2d61wKuVC4nh3lsn/P1j58fgZma5L/mrBmRUd&#10;1eheDYG9gYEtXkZ9eucLcrtz5BgGOqc6p1y9uwX51TML21bYvbpGhL5VoiZ+0/gyu3g64vgIUvUf&#10;oKY44hAgAQ0NdlE8koMROtXp4VybyEXS4Wy1mC5zupJ0t1ySWq9TCFE8vnbowzsFHYubkiPVPqGL&#10;460PkY0oHl1iMA9G1zttTDJwX20NsqOgPtml74T+k5uxrKfcZtPVbFTgrxh5+v6E0elAHW90R2mc&#10;nUQRdXtr69SPQWgz7omzsScho3ajimGohlSz+SpGiCpXUD+QtAhjh9NE0qYF/M5ZT91dcv/tIFBx&#10;Zt5bKs9iTsND43Bp4KVRXRrCSoIqeeBs3G7DOEIHh3rfUqSxISxcU0kbndR+YnXiTx2cinCatjgi&#10;l3byevonbH4AAAD//wMAUEsDBBQABgAIAAAAIQAI4M3V3gAAAAoBAAAPAAAAZHJzL2Rvd25yZXYu&#10;eG1sTI/BTsMwDIbvSLxDZCRuLF1AXdc1nVAl7msZgmPWhKZa45QmW8vbY05wtP3p9/cX+8UN7Gqm&#10;0HuUsF4lwAy2XvfYSTi+vjxkwEJUqNXg0Uj4NgH25e1NoXLtZ6zNtYkdoxAMuZJgYxxzzkNrjVNh&#10;5UeDdPv0k1ORxqnjelIzhbuBiyRJuVM90gerRlNZ056bi5Pg67p6E83X4b2addXNhyWOH1bK+7vl&#10;eQcsmiX+wfCrT+pQktPJX1AHNkh4FOmaUAnZZguMgM32iRYnCUKkGfCy4P8rlD8AAAD//wMAUEsB&#10;Ai0AFAAGAAgAAAAhALaDOJL+AAAA4QEAABMAAAAAAAAAAAAAAAAAAAAAAFtDb250ZW50X1R5cGVz&#10;XS54bWxQSwECLQAUAAYACAAAACEAOP0h/9YAAACUAQAACwAAAAAAAAAAAAAAAAAvAQAAX3JlbHMv&#10;LnJlbHNQSwECLQAUAAYACAAAACEAfDBAzSkCAABbBAAADgAAAAAAAAAAAAAAAAAuAgAAZHJzL2Uy&#10;b0RvYy54bWxQSwECLQAUAAYACAAAACEACODN1d4AAAAKAQAADwAAAAAAAAAAAAAAAACDBAAAZHJz&#10;L2Rvd25yZXYueG1sUEsFBgAAAAAEAAQA8wAAAI4FAAAAAA==&#10;" o:allowincell="f" strokeweight=".96pt">
                <v:textbox inset="6pt,6pt,6pt,6pt">
                  <w:txbxContent>
                    <w:p w:rsidR="00FF5E72" w:rsidRDefault="00FF5E72" w:rsidP="00136963">
                      <w:pPr>
                        <w:widowControl w:val="0"/>
                        <w:jc w:val="both"/>
                        <w:rPr>
                          <w:rFonts w:ascii="Tw Cen MT" w:hAnsi="Tw Cen MT"/>
                        </w:rPr>
                      </w:pPr>
                      <w:r>
                        <w:rPr>
                          <w:rFonts w:ascii="Tw Cen MT" w:hAnsi="Tw Cen MT"/>
                          <w:i/>
                        </w:rPr>
                        <w:t>Section 1041</w:t>
                      </w:r>
                      <w:r>
                        <w:rPr>
                          <w:rFonts w:ascii="Tw Cen MT" w:hAnsi="Tw Cen MT"/>
                        </w:rPr>
                        <w:t>: Does § 1041 create opportun</w:t>
                      </w:r>
                      <w:r>
                        <w:rPr>
                          <w:rFonts w:ascii="Tw Cen MT" w:hAnsi="Tw Cen MT"/>
                        </w:rPr>
                        <w:t>i</w:t>
                      </w:r>
                      <w:r>
                        <w:rPr>
                          <w:rFonts w:ascii="Tw Cen MT" w:hAnsi="Tw Cen MT"/>
                        </w:rPr>
                        <w:t>ties to save divorcing spouses income taxes? What if the tax brackets of the divorcing spouses are not going to be the same?</w:t>
                      </w:r>
                    </w:p>
                  </w:txbxContent>
                </v:textbox>
                <w10:wrap type="square" side="largest" anchorx="margin"/>
              </v:shape>
            </w:pict>
          </mc:Fallback>
        </mc:AlternateContent>
      </w:r>
      <w:r w:rsidR="0049128E" w:rsidRPr="00576ED7">
        <w:rPr>
          <w:szCs w:val="24"/>
        </w:rPr>
        <w:t>2.  There are some rights or interests for which there is simply no market. When a transaction entailing those rights or interests must occur, there is nowhere to look to determine the value of those rights or interests.  How did the Court deal with these val</w:t>
      </w:r>
      <w:r w:rsidR="0049128E" w:rsidRPr="00576ED7">
        <w:rPr>
          <w:szCs w:val="24"/>
        </w:rPr>
        <w:t>u</w:t>
      </w:r>
      <w:r w:rsidR="0049128E" w:rsidRPr="00576ED7">
        <w:rPr>
          <w:szCs w:val="24"/>
        </w:rPr>
        <w:t>ation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In the second-to-last par</w:t>
      </w:r>
      <w:r w:rsidRPr="00576ED7">
        <w:rPr>
          <w:szCs w:val="24"/>
        </w:rPr>
        <w:t>a</w:t>
      </w:r>
      <w:r w:rsidRPr="00576ED7">
        <w:rPr>
          <w:szCs w:val="24"/>
        </w:rPr>
        <w:t>graph of the case, how does the Court implicitly treat the e</w:t>
      </w:r>
      <w:r w:rsidRPr="00576ED7">
        <w:rPr>
          <w:szCs w:val="24"/>
        </w:rPr>
        <w:t>x</w:t>
      </w:r>
      <w:r w:rsidRPr="00576ED7">
        <w:rPr>
          <w:szCs w:val="24"/>
        </w:rPr>
        <w:t xml:space="preserve">change that </w:t>
      </w:r>
      <w:r w:rsidRPr="00576ED7">
        <w:rPr>
          <w:i/>
          <w:szCs w:val="24"/>
        </w:rPr>
        <w:t>Mrs.</w:t>
      </w:r>
      <w:r w:rsidRPr="00576ED7">
        <w:rPr>
          <w:szCs w:val="24"/>
        </w:rPr>
        <w:t xml:space="preserve"> Davis made? What should be the basis of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Congress responded to </w:t>
      </w:r>
      <w:r w:rsidRPr="00576ED7">
        <w:rPr>
          <w:i/>
          <w:szCs w:val="24"/>
        </w:rPr>
        <w:t>Davis</w:t>
      </w:r>
      <w:r w:rsidRPr="00576ED7">
        <w:rPr>
          <w:szCs w:val="24"/>
        </w:rPr>
        <w:t>.</w:t>
      </w:r>
    </w:p>
    <w:p w:rsidR="0049128E" w:rsidRPr="00576ED7" w:rsidRDefault="0049128E" w:rsidP="00A6585D">
      <w:pPr>
        <w:widowControl w:val="0"/>
        <w:ind w:left="720"/>
        <w:jc w:val="both"/>
        <w:rPr>
          <w:szCs w:val="24"/>
        </w:rPr>
      </w:pPr>
      <w:r w:rsidRPr="00576ED7">
        <w:rPr>
          <w:szCs w:val="24"/>
        </w:rPr>
        <w:t>•Read § 1041.  The division of property between divorcing spouses is now a non-recognition event.</w:t>
      </w:r>
    </w:p>
    <w:p w:rsidR="0049128E" w:rsidRPr="00576ED7" w:rsidRDefault="0049128E" w:rsidP="00A6585D">
      <w:pPr>
        <w:widowControl w:val="0"/>
        <w:ind w:left="720"/>
        <w:jc w:val="both"/>
        <w:rPr>
          <w:szCs w:val="24"/>
        </w:rPr>
      </w:pPr>
      <w:r w:rsidRPr="00576ED7">
        <w:rPr>
          <w:szCs w:val="24"/>
        </w:rPr>
        <w:t xml:space="preserve">•How would the result in </w:t>
      </w:r>
      <w:r w:rsidRPr="00576ED7">
        <w:rPr>
          <w:i/>
          <w:szCs w:val="24"/>
        </w:rPr>
        <w:t>Davis</w:t>
      </w:r>
      <w:r w:rsidRPr="00576ED7">
        <w:rPr>
          <w:szCs w:val="24"/>
        </w:rPr>
        <w:t xml:space="preserve"> have been different if § 1041 were the law at the time the case was decided?</w:t>
      </w:r>
    </w:p>
    <w:p w:rsidR="0049128E" w:rsidRPr="00576ED7" w:rsidRDefault="0049128E" w:rsidP="00A6585D">
      <w:pPr>
        <w:widowControl w:val="0"/>
        <w:ind w:left="720"/>
        <w:jc w:val="both"/>
        <w:rPr>
          <w:szCs w:val="24"/>
        </w:rPr>
      </w:pPr>
      <w:r w:rsidRPr="00576ED7">
        <w:rPr>
          <w:szCs w:val="24"/>
        </w:rPr>
        <w:t>•In what ways does § 1041 differ from § 1015?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“law” imposes various duties upon persons.  The source of a duty may be a relationship.  For example, a parent may have a duty to provide “necessaries” for his/her minor child.</w:t>
      </w:r>
    </w:p>
    <w:p w:rsidR="0049128E" w:rsidRPr="00576ED7" w:rsidRDefault="0049128E" w:rsidP="00A6585D">
      <w:pPr>
        <w:widowControl w:val="0"/>
        <w:ind w:left="720"/>
        <w:jc w:val="both"/>
        <w:rPr>
          <w:szCs w:val="24"/>
        </w:rPr>
      </w:pPr>
      <w:r w:rsidRPr="00576ED7">
        <w:rPr>
          <w:szCs w:val="24"/>
        </w:rPr>
        <w:t>•If a parent fails in that duty and a third person steps up and pays money to fulfill that duty, does the parent realize gross income?</w:t>
      </w:r>
    </w:p>
    <w:p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rsidR="0049128E" w:rsidRPr="00576ED7" w:rsidRDefault="0049128E" w:rsidP="00A6585D">
      <w:pPr>
        <w:widowControl w:val="0"/>
        <w:ind w:left="720"/>
        <w:jc w:val="both"/>
        <w:rPr>
          <w:szCs w:val="24"/>
        </w:rPr>
      </w:pPr>
      <w:r w:rsidRPr="00576ED7">
        <w:rPr>
          <w:szCs w:val="24"/>
        </w:rPr>
        <w:t xml:space="preserve">•Consider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McREYNOLDS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w:t>
      </w:r>
      <w:r w:rsidRPr="00576ED7">
        <w:rPr>
          <w:szCs w:val="24"/>
        </w:rPr>
        <w:t>h</w:t>
      </w:r>
      <w:r w:rsidRPr="00576ED7">
        <w:rPr>
          <w:szCs w:val="24"/>
        </w:rPr>
        <w:t>erine C. Gould during her life the sum of $3000 every month for her support and maintenance. The question presented is whether such monthly payments during the years 1913 and 1914 constituted parts of Mrs. Gould’s income within the i</w:t>
      </w:r>
      <w:r w:rsidRPr="00576ED7">
        <w:rPr>
          <w:szCs w:val="24"/>
        </w:rPr>
        <w:t>n</w:t>
      </w:r>
      <w:r w:rsidRPr="00576ED7">
        <w:rPr>
          <w:szCs w:val="24"/>
        </w:rPr>
        <w:t>tendment of the act of Congress approved October 3, 1913, 38 Stat. 114, 166, and were subject as such to the tax prescribed therein. The court below answered in the negative, and we think it reached the proper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“Alimony does not arise from any business transaction, but from the rel</w:t>
      </w:r>
      <w:r w:rsidRPr="00576ED7">
        <w:rPr>
          <w:szCs w:val="24"/>
        </w:rPr>
        <w:t>a</w:t>
      </w:r>
      <w:r w:rsidRPr="00576ED7">
        <w:rPr>
          <w:szCs w:val="24"/>
        </w:rPr>
        <w:t>tion of marriage. It is not founded on a contract, express or implied, but on the natural and legal duty of the husband to support the wife. The general obligation to support is made specific by the decree of the court of appr</w:t>
      </w:r>
      <w:r w:rsidRPr="00576ED7">
        <w:rPr>
          <w:szCs w:val="24"/>
        </w:rPr>
        <w:t>o</w:t>
      </w:r>
      <w:r w:rsidRPr="00576ED7">
        <w:rPr>
          <w:szCs w:val="24"/>
        </w:rPr>
        <w:t>priate jurisdiction. ... Permanent alimony is regarded rather as a portion of the husband’s estate to which the wife is equitably entitled than as strictly a debt; alimony from time to time may be regarded as a portion of his cu</w:t>
      </w:r>
      <w:r w:rsidRPr="00576ED7">
        <w:rPr>
          <w:szCs w:val="24"/>
        </w:rPr>
        <w:t>r</w:t>
      </w:r>
      <w:r w:rsidRPr="00576ED7">
        <w:rPr>
          <w:szCs w:val="24"/>
        </w:rPr>
        <w:t>rent income or earnings.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w:t>
      </w:r>
      <w:r w:rsidRPr="00576ED7">
        <w:rPr>
          <w:szCs w:val="24"/>
        </w:rPr>
        <w:t>e</w:t>
      </w:r>
      <w:r w:rsidRPr="00576ED7">
        <w:rPr>
          <w:szCs w:val="24"/>
        </w:rPr>
        <w:t>ceived by the wife on account thereof cannot be regarded as income arising or a</w:t>
      </w:r>
      <w:r w:rsidRPr="00576ED7">
        <w:rPr>
          <w:szCs w:val="24"/>
        </w:rPr>
        <w:t>c</w:t>
      </w:r>
      <w:r w:rsidRPr="00576ED7">
        <w:rPr>
          <w:szCs w:val="24"/>
        </w:rPr>
        <w:t>cruing to her within the enactment.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basis of the obligation to pay alimony does the Court recognize?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w:t>
      </w:r>
      <w:r w:rsidRPr="00576ED7">
        <w:rPr>
          <w:szCs w:val="24"/>
        </w:rPr>
        <w:t>k</w:t>
      </w:r>
      <w:r w:rsidRPr="00576ED7">
        <w:rPr>
          <w:szCs w:val="24"/>
        </w:rPr>
        <w:t>ets increased so much that many men came out below $0 when they paid alimony and the income tax on the alimony.  Congress acted.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Read § 61(a)(8), § 71, § 215, and § 62(a)(10).</w:t>
      </w:r>
    </w:p>
    <w:p w:rsidR="0049128E" w:rsidRPr="00576ED7" w:rsidRDefault="0049128E" w:rsidP="00A6585D">
      <w:pPr>
        <w:widowControl w:val="0"/>
        <w:ind w:left="720"/>
        <w:jc w:val="both"/>
        <w:rPr>
          <w:szCs w:val="24"/>
        </w:rPr>
      </w:pPr>
      <w:r w:rsidRPr="00576ED7">
        <w:rPr>
          <w:szCs w:val="24"/>
        </w:rPr>
        <w:t>•Does it not seem – at least implicitly – that the source of a duty to pay a</w:t>
      </w:r>
      <w:r w:rsidRPr="00576ED7">
        <w:rPr>
          <w:szCs w:val="24"/>
        </w:rPr>
        <w:t>l</w:t>
      </w:r>
      <w:r w:rsidRPr="00576ED7">
        <w:rPr>
          <w:szCs w:val="24"/>
        </w:rPr>
        <w:t>imony is no longer law or morals but rather agreement (or quasi-agreement)?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property settlement divides marital property – assets as well as debts.  Presu</w:t>
      </w:r>
      <w:r w:rsidRPr="00576ED7">
        <w:rPr>
          <w:szCs w:val="24"/>
        </w:rPr>
        <w:t>m</w:t>
      </w:r>
      <w:r w:rsidRPr="00576ED7">
        <w:rPr>
          <w:szCs w:val="24"/>
        </w:rPr>
        <w:t xml:space="preserve">ably, the spouses purchased assets with after-tax dollars and so its allocation to one spouse or the other should </w:t>
      </w:r>
      <w:r w:rsidRPr="00576ED7">
        <w:rPr>
          <w:i/>
          <w:szCs w:val="24"/>
        </w:rPr>
        <w:t>not</w:t>
      </w:r>
      <w:r w:rsidRPr="00576ED7">
        <w:rPr>
          <w:szCs w:val="24"/>
        </w:rPr>
        <w:t xml:space="preserve"> be the occasion for another layer of income tax.</w:t>
      </w:r>
    </w:p>
    <w:p w:rsidR="0049128E" w:rsidRPr="00576ED7" w:rsidRDefault="0049128E" w:rsidP="00A6585D">
      <w:pPr>
        <w:widowControl w:val="0"/>
        <w:ind w:left="720"/>
        <w:jc w:val="both"/>
        <w:rPr>
          <w:szCs w:val="24"/>
        </w:rPr>
      </w:pPr>
      <w:r w:rsidRPr="00576ED7">
        <w:rPr>
          <w:szCs w:val="24"/>
        </w:rPr>
        <w:t>•What role does § 1041 play in a property settlement?</w:t>
      </w:r>
    </w:p>
    <w:p w:rsidR="0049128E" w:rsidRPr="00576ED7" w:rsidRDefault="0049128E" w:rsidP="00A6585D">
      <w:pPr>
        <w:widowControl w:val="0"/>
        <w:ind w:left="720"/>
        <w:jc w:val="both"/>
        <w:rPr>
          <w:szCs w:val="24"/>
        </w:rPr>
      </w:pPr>
      <w:r w:rsidRPr="00576ED7">
        <w:rPr>
          <w:szCs w:val="24"/>
        </w:rPr>
        <w:t>•Does the rule of § 1041 suggest how parties might agree to divide prope</w:t>
      </w:r>
      <w:r w:rsidRPr="00576ED7">
        <w:rPr>
          <w:szCs w:val="24"/>
        </w:rPr>
        <w:t>r</w:t>
      </w:r>
      <w:r w:rsidRPr="00576ED7">
        <w:rPr>
          <w:szCs w:val="24"/>
        </w:rPr>
        <w:t>ty in which there is unrealized loss? – unrealized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Alimony is an allowance that one party pays the other for maintenance and su</w:t>
      </w:r>
      <w:r w:rsidRPr="00576ED7">
        <w:rPr>
          <w:szCs w:val="24"/>
        </w:rPr>
        <w:t>p</w:t>
      </w:r>
      <w:r w:rsidRPr="00576ED7">
        <w:rPr>
          <w:szCs w:val="24"/>
        </w:rPr>
        <w:t>port.  The Code treats alimony as income to the recipient and deductible to the payor.  It is income that only one ex-spouse receives and so pays income tax on, the marital union having been dissolved.  When the tax brackets of the parties are different, there is an opportunity to “enlarge the pie.”  If the pie is larger, then each can have a bigger slice.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H’s tax bracket is (going to be) 35%.  W’s tax bracket is (going to be 10%).  W wants to receive $100 that is not subject to tax.</w:t>
      </w:r>
    </w:p>
    <w:p w:rsidR="0049128E" w:rsidRPr="00576ED7" w:rsidRDefault="0049128E" w:rsidP="00A6585D">
      <w:pPr>
        <w:widowControl w:val="0"/>
        <w:ind w:left="720"/>
        <w:jc w:val="both"/>
        <w:rPr>
          <w:szCs w:val="24"/>
        </w:rPr>
      </w:pPr>
      <w:r w:rsidRPr="00576ED7">
        <w:rPr>
          <w:szCs w:val="24"/>
        </w:rPr>
        <w:t>•To satisfy W’s wishes, how much before-tax income will this cost H?</w:t>
      </w:r>
    </w:p>
    <w:p w:rsidR="0049128E" w:rsidRPr="00576ED7" w:rsidRDefault="0049128E" w:rsidP="00A6585D">
      <w:pPr>
        <w:widowControl w:val="0"/>
        <w:ind w:left="720"/>
        <w:jc w:val="both"/>
        <w:rPr>
          <w:szCs w:val="24"/>
        </w:rPr>
      </w:pPr>
      <w:r w:rsidRPr="00576ED7">
        <w:rPr>
          <w:szCs w:val="24"/>
        </w:rPr>
        <w:t>•If W is willing to pay the income tax on some amount so long as she is left with $100, what is the minimum amount she could accept?</w:t>
      </w:r>
    </w:p>
    <w:p w:rsidR="0049128E" w:rsidRPr="00576ED7" w:rsidRDefault="0049128E" w:rsidP="00A6585D">
      <w:pPr>
        <w:widowControl w:val="0"/>
        <w:ind w:left="720"/>
        <w:jc w:val="both"/>
        <w:rPr>
          <w:szCs w:val="24"/>
        </w:rPr>
      </w:pPr>
      <w:r w:rsidRPr="00576ED7">
        <w:rPr>
          <w:szCs w:val="24"/>
        </w:rPr>
        <w:t>•What is the range within which the parties should settle, assuming that H can deduct whatever payment he makes, and W must include that amount in her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You should see that characterization of transfers between divorcing spouses pr</w:t>
      </w:r>
      <w:r w:rsidRPr="00576ED7">
        <w:rPr>
          <w:szCs w:val="24"/>
        </w:rPr>
        <w:t>e</w:t>
      </w:r>
      <w:r w:rsidRPr="00576ED7">
        <w:rPr>
          <w:szCs w:val="24"/>
        </w:rPr>
        <w:t>sents an opportunity to “enlarge the pie” at the expense of the Treasury.  Divor</w:t>
      </w:r>
      <w:r w:rsidRPr="00576ED7">
        <w:rPr>
          <w:szCs w:val="24"/>
        </w:rPr>
        <w:t>c</w:t>
      </w:r>
      <w:r w:rsidRPr="00576ED7">
        <w:rPr>
          <w:szCs w:val="24"/>
        </w:rPr>
        <w:lastRenderedPageBreak/>
        <w:t>ing spouses may agree between themselves to require payments that they label “alimony” that in fact more accurately represent a division of marital property.  And of course, the ex-spouse who makes a payment may simply wish to claim a deduction – irrespective of the source of his/her obligation to make the payment.  For these reasons, Congress enacted § 71 to set the parameters of what is and what is not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71(b) sets forth the elements of “alimony.”  They are –</w:t>
      </w:r>
    </w:p>
    <w:p w:rsidR="0049128E" w:rsidRPr="00576ED7" w:rsidRDefault="0049128E" w:rsidP="00A6585D">
      <w:pPr>
        <w:widowControl w:val="0"/>
        <w:ind w:left="720"/>
        <w:jc w:val="both"/>
        <w:rPr>
          <w:szCs w:val="24"/>
        </w:rPr>
      </w:pPr>
      <w:r w:rsidRPr="00576ED7">
        <w:rPr>
          <w:szCs w:val="24"/>
        </w:rPr>
        <w:t>•a payment in cash</w:t>
      </w:r>
    </w:p>
    <w:p w:rsidR="0049128E" w:rsidRPr="00576ED7" w:rsidRDefault="0049128E" w:rsidP="00A6585D">
      <w:pPr>
        <w:widowControl w:val="0"/>
        <w:ind w:left="720"/>
        <w:jc w:val="both"/>
        <w:rPr>
          <w:szCs w:val="24"/>
        </w:rPr>
      </w:pPr>
      <w:r w:rsidRPr="00576ED7">
        <w:rPr>
          <w:szCs w:val="24"/>
        </w:rPr>
        <w:t>•received by or on behalf of a spouse under a divorce or separation i</w:t>
      </w:r>
      <w:r w:rsidRPr="00576ED7">
        <w:rPr>
          <w:szCs w:val="24"/>
        </w:rPr>
        <w:t>n</w:t>
      </w:r>
      <w:r w:rsidRPr="00576ED7">
        <w:rPr>
          <w:szCs w:val="24"/>
        </w:rPr>
        <w:t>strument</w:t>
      </w:r>
    </w:p>
    <w:p w:rsidR="0049128E" w:rsidRPr="00576ED7" w:rsidRDefault="0049128E" w:rsidP="00A6585D">
      <w:pPr>
        <w:widowControl w:val="0"/>
        <w:ind w:left="720"/>
        <w:jc w:val="both"/>
        <w:rPr>
          <w:szCs w:val="24"/>
        </w:rPr>
      </w:pPr>
      <w:r w:rsidRPr="00576ED7">
        <w:rPr>
          <w:szCs w:val="24"/>
        </w:rPr>
        <w:t>•that does not designate a payment as not includible in the gross income of the recipient and not allowable as a deduction for the payor.</w:t>
      </w:r>
    </w:p>
    <w:p w:rsidR="0049128E" w:rsidRPr="00576ED7" w:rsidRDefault="0049128E" w:rsidP="00A6585D">
      <w:pPr>
        <w:widowControl w:val="0"/>
        <w:ind w:left="720"/>
        <w:jc w:val="both"/>
        <w:rPr>
          <w:szCs w:val="24"/>
        </w:rPr>
      </w:pPr>
      <w:r w:rsidRPr="00576ED7">
        <w:rPr>
          <w:szCs w:val="24"/>
        </w:rPr>
        <w:t>•An individual legally separated from his spouse under a decree of divorce or separate maintenance cannot together with his spouse be members of the same household at the time of making a payment.</w:t>
      </w:r>
    </w:p>
    <w:p w:rsidR="0049128E" w:rsidRPr="00576ED7" w:rsidRDefault="0049128E" w:rsidP="00A6585D">
      <w:pPr>
        <w:widowControl w:val="0"/>
        <w:ind w:left="720"/>
        <w:jc w:val="both"/>
        <w:rPr>
          <w:szCs w:val="24"/>
        </w:rPr>
      </w:pPr>
      <w:r w:rsidRPr="00576ED7">
        <w:rPr>
          <w:szCs w:val="24"/>
        </w:rPr>
        <w:t>•There can be no liability to make any payment (or a substitute for pa</w:t>
      </w:r>
      <w:r w:rsidRPr="00576ED7">
        <w:rPr>
          <w:szCs w:val="24"/>
        </w:rPr>
        <w:t>y</w:t>
      </w:r>
      <w:r w:rsidRPr="00576ED7">
        <w:rPr>
          <w:szCs w:val="24"/>
        </w:rPr>
        <w:t>ment) after the death of the payee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any one of these elements is not present, a payment is not “alimony.”  The tone of § 71(b) seems strict, but in fact the parties have considerable discretion to label a payment “alimony” or not.  The third condition enables them to designate in the divorce or separation instrument whether a payment is alimony.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Excess front-loading is a characteristic of what parties may label as alimony that is in fact a property settlement.  It refers to the phenomenon of an obligor unde</w:t>
      </w:r>
      <w:r w:rsidRPr="00576ED7">
        <w:rPr>
          <w:szCs w:val="24"/>
        </w:rPr>
        <w:t>r</w:t>
      </w:r>
      <w:r w:rsidRPr="00576ED7">
        <w:rPr>
          <w:szCs w:val="24"/>
        </w:rPr>
        <w:t>taking to meet most of a property settlement obligation over a very few years.  Alimony does not have the characteristic of terminating after only a few years.</w:t>
      </w:r>
    </w:p>
    <w:p w:rsidR="0049128E" w:rsidRPr="00576ED7" w:rsidRDefault="0049128E" w:rsidP="00A6585D">
      <w:pPr>
        <w:widowControl w:val="0"/>
        <w:ind w:left="720"/>
        <w:jc w:val="both"/>
        <w:rPr>
          <w:szCs w:val="24"/>
        </w:rPr>
      </w:pPr>
      <w:r w:rsidRPr="00576ED7">
        <w:rPr>
          <w:szCs w:val="24"/>
        </w:rPr>
        <w:t>•Performance of obligations under a property settlement would usually o</w:t>
      </w:r>
      <w:r w:rsidRPr="00576ED7">
        <w:rPr>
          <w:szCs w:val="24"/>
        </w:rPr>
        <w:t>c</w:t>
      </w:r>
      <w:r w:rsidRPr="00576ED7">
        <w:rPr>
          <w:szCs w:val="24"/>
        </w:rPr>
        <w:t>cur relatively quickly after the divorce.</w:t>
      </w:r>
    </w:p>
    <w:p w:rsidR="0049128E" w:rsidRPr="00576ED7" w:rsidRDefault="0049128E" w:rsidP="00A6585D">
      <w:pPr>
        <w:widowControl w:val="0"/>
        <w:ind w:left="720"/>
        <w:jc w:val="both"/>
        <w:rPr>
          <w:szCs w:val="24"/>
        </w:rPr>
      </w:pPr>
      <w:r w:rsidRPr="00576ED7">
        <w:rPr>
          <w:szCs w:val="24"/>
        </w:rPr>
        <w:t>•An alimony obligation, on the other hand, may last a long time.</w:t>
      </w:r>
    </w:p>
    <w:p w:rsidR="0049128E" w:rsidRPr="00576ED7" w:rsidRDefault="0049128E" w:rsidP="00A6585D">
      <w:pPr>
        <w:widowControl w:val="0"/>
        <w:ind w:left="720"/>
        <w:jc w:val="both"/>
        <w:rPr>
          <w:szCs w:val="24"/>
        </w:rPr>
      </w:pPr>
      <w:r w:rsidRPr="00576ED7">
        <w:rPr>
          <w:szCs w:val="24"/>
        </w:rPr>
        <w:t>•If a divorce or separation agreement requires very high payments for a short period followed by greatly reduced payments, it is likely that the pa</w:t>
      </w:r>
      <w:r w:rsidRPr="00576ED7">
        <w:rPr>
          <w:szCs w:val="24"/>
        </w:rPr>
        <w:t>r</w:t>
      </w:r>
      <w:r w:rsidRPr="00576ED7">
        <w:rPr>
          <w:szCs w:val="24"/>
        </w:rPr>
        <w:t>ties are trying to make a property settlement appear to be alimony.</w:t>
      </w:r>
    </w:p>
    <w:p w:rsidR="0049128E" w:rsidRPr="00576ED7" w:rsidRDefault="0049128E" w:rsidP="00A6585D">
      <w:pPr>
        <w:widowControl w:val="0"/>
        <w:ind w:left="1440"/>
        <w:jc w:val="both"/>
        <w:rPr>
          <w:szCs w:val="24"/>
        </w:rPr>
      </w:pPr>
      <w:r w:rsidRPr="00576ED7">
        <w:rPr>
          <w:szCs w:val="24"/>
        </w:rPr>
        <w:t>•The phrase for this phenomenon is “excess front-loading of al</w:t>
      </w:r>
      <w:r w:rsidRPr="00576ED7">
        <w:rPr>
          <w:szCs w:val="24"/>
        </w:rPr>
        <w:t>i</w:t>
      </w:r>
      <w:r w:rsidRPr="00576ED7">
        <w:rPr>
          <w:szCs w:val="24"/>
        </w:rPr>
        <w:t xml:space="preserve">mony payments.”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Code adopts a mechanical</w:t>
      </w:r>
      <w:r w:rsidRPr="00576ED7">
        <w:rPr>
          <w:rStyle w:val="FootnoteReference"/>
          <w:szCs w:val="24"/>
        </w:rPr>
        <w:footnoteReference w:id="176"/>
      </w:r>
      <w:r w:rsidRPr="00576ED7">
        <w:rPr>
          <w:szCs w:val="24"/>
        </w:rPr>
        <w:t xml:space="preserve"> approach to identifying whether payments are alimony or property settlements.  § 71(f).  The Code takes a “wait-and-see” a</w:t>
      </w:r>
      <w:r w:rsidRPr="00576ED7">
        <w:rPr>
          <w:szCs w:val="24"/>
        </w:rPr>
        <w:t>p</w:t>
      </w:r>
      <w:r w:rsidRPr="00576ED7">
        <w:rPr>
          <w:szCs w:val="24"/>
        </w:rPr>
        <w:t>proach, allowing the parties to characterize payments as “alimony” for three tax years and requiring “recapture” only if “excess front-loading” actually occurred.</w:t>
      </w: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szCs w:val="24"/>
        </w:rPr>
        <w:t>Section 71(f)(1)(A) states that if there are excess alimony payments, the payor spouse must include such excess in the third post-separation year and the payee spouse may deduct such excess from his/her adjusted gross income.  § 71(f)(1).  Section 71(f)(2) defines “excess alimony payments” to be “excess payments” for the first post-separation year plus “excess payments” for the second post-separation year.</w:t>
      </w:r>
    </w:p>
    <w:p w:rsidR="0049128E" w:rsidRPr="00576ED7" w:rsidRDefault="0049128E" w:rsidP="00A6585D">
      <w:pPr>
        <w:widowControl w:val="0"/>
        <w:ind w:left="720"/>
        <w:jc w:val="both"/>
        <w:rPr>
          <w:szCs w:val="24"/>
        </w:rPr>
      </w:pPr>
      <w:r w:rsidRPr="00576ED7">
        <w:rPr>
          <w:szCs w:val="24"/>
        </w:rPr>
        <w:t xml:space="preserve">•The first post-separation years” means the first calendar year in which the payor spouse actually paid to the payee spouse alimony or separate maintenance payments.  § 71(f)(6).  The second and third post-separation years are the first and second succeeding years.  </w:t>
      </w:r>
      <w:r w:rsidRPr="00576ED7">
        <w:rPr>
          <w:i/>
          <w:szCs w:val="24"/>
        </w:rPr>
        <w:t>Id.</w:t>
      </w:r>
    </w:p>
    <w:p w:rsidR="0049128E" w:rsidRPr="00576ED7" w:rsidRDefault="0049128E" w:rsidP="00A6585D">
      <w:pPr>
        <w:widowControl w:val="0"/>
        <w:ind w:left="720"/>
        <w:jc w:val="both"/>
        <w:rPr>
          <w:szCs w:val="24"/>
        </w:rPr>
      </w:pPr>
      <w:r w:rsidRPr="00576ED7">
        <w:rPr>
          <w:szCs w:val="24"/>
        </w:rPr>
        <w:t>•Computation of the excess payments for the first post-separation year r</w:t>
      </w:r>
      <w:r w:rsidRPr="00576ED7">
        <w:rPr>
          <w:szCs w:val="24"/>
        </w:rPr>
        <w:t>e</w:t>
      </w:r>
      <w:r w:rsidRPr="00576ED7">
        <w:rPr>
          <w:szCs w:val="24"/>
        </w:rPr>
        <w:t xml:space="preserve">quires that taxpayer know what the excess payment is for the second post-separation year.  </w:t>
      </w:r>
      <w:r w:rsidRPr="00576ED7">
        <w:rPr>
          <w:i/>
          <w:szCs w:val="24"/>
        </w:rPr>
        <w:t>See</w:t>
      </w:r>
      <w:r w:rsidRPr="00576ED7">
        <w:rPr>
          <w:szCs w:val="24"/>
        </w:rPr>
        <w:t xml:space="preserve"> § 71(f)(3).</w:t>
      </w: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second post-separation year</w:t>
      </w:r>
      <w:r w:rsidRPr="00576ED7">
        <w:rPr>
          <w:szCs w:val="24"/>
        </w:rPr>
        <w:t>: Excess a</w:t>
      </w:r>
      <w:r w:rsidRPr="00576ED7">
        <w:rPr>
          <w:szCs w:val="24"/>
        </w:rPr>
        <w:t>l</w:t>
      </w:r>
      <w:r w:rsidRPr="00576ED7">
        <w:rPr>
          <w:szCs w:val="24"/>
        </w:rPr>
        <w:t xml:space="preserve">imony payments for the second post-separation year are (§ 71(f)(4)) –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paid during 2</w:t>
      </w:r>
      <w:r w:rsidRPr="00576ED7">
        <w:rPr>
          <w:szCs w:val="24"/>
          <w:vertAlign w:val="superscript"/>
        </w:rPr>
        <w:t>nd</w:t>
      </w:r>
      <w:r w:rsidRPr="00576ED7">
        <w:rPr>
          <w:szCs w:val="24"/>
        </w:rPr>
        <w:t xml:space="preserve"> post-separation year) MINUS [(alimony or separate maintenance paid during 3</w:t>
      </w:r>
      <w:r w:rsidRPr="00576ED7">
        <w:rPr>
          <w:szCs w:val="24"/>
          <w:vertAlign w:val="superscript"/>
        </w:rPr>
        <w:t>rd</w:t>
      </w:r>
      <w:r w:rsidRPr="00576ED7">
        <w:rPr>
          <w:szCs w:val="24"/>
        </w:rPr>
        <w:t xml:space="preserve"> post-separation year)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Excess alimony payments for the first post-separation year</w:t>
      </w:r>
      <w:r w:rsidRPr="00576ED7">
        <w:rPr>
          <w:szCs w:val="24"/>
        </w:rPr>
        <w:t>: Excess al</w:t>
      </w:r>
      <w:r w:rsidRPr="00576ED7">
        <w:rPr>
          <w:szCs w:val="24"/>
        </w:rPr>
        <w:t>i</w:t>
      </w:r>
      <w:r w:rsidRPr="00576ED7">
        <w:rPr>
          <w:szCs w:val="24"/>
        </w:rPr>
        <w:t>mony payments for the first post-separation year are (§ 71(f)(3))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(alimony or separate maintenance payments paid during 1</w:t>
      </w:r>
      <w:r w:rsidRPr="00576ED7">
        <w:rPr>
          <w:szCs w:val="24"/>
          <w:vertAlign w:val="superscript"/>
        </w:rPr>
        <w:t>st</w:t>
      </w:r>
      <w:r w:rsidRPr="00576ED7">
        <w:rPr>
          <w:szCs w:val="24"/>
        </w:rPr>
        <w:t xml:space="preserve"> post-separation year) MINUS [(alimony or separate maintenance paid during 2</w:t>
      </w:r>
      <w:r w:rsidRPr="00576ED7">
        <w:rPr>
          <w:szCs w:val="24"/>
          <w:vertAlign w:val="superscript"/>
        </w:rPr>
        <w:t>nd</w:t>
      </w:r>
      <w:r w:rsidRPr="00576ED7">
        <w:rPr>
          <w:szCs w:val="24"/>
        </w:rPr>
        <w:t xml:space="preserve"> post-separation year) MINUS (excess payment for 2</w:t>
      </w:r>
      <w:r w:rsidRPr="00576ED7">
        <w:rPr>
          <w:szCs w:val="24"/>
          <w:vertAlign w:val="superscript"/>
        </w:rPr>
        <w:t>nd</w:t>
      </w:r>
      <w:r w:rsidRPr="00576ED7">
        <w:rPr>
          <w:szCs w:val="24"/>
        </w:rPr>
        <w:t xml:space="preserve"> post-separation year) PLUS (alimony or separate maintenance paid during 3</w:t>
      </w:r>
      <w:r w:rsidRPr="00576ED7">
        <w:rPr>
          <w:szCs w:val="24"/>
          <w:vertAlign w:val="superscript"/>
        </w:rPr>
        <w:t>rd</w:t>
      </w:r>
      <w:r w:rsidRPr="00576ED7">
        <w:rPr>
          <w:szCs w:val="24"/>
        </w:rPr>
        <w:t xml:space="preserve"> post-separation year)/2 + $15,000]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•There are no “excess alimony payments” if either spouse dies before the close of the third post-separation year or if the payee spouse remarries b</w:t>
      </w:r>
      <w:r w:rsidRPr="00576ED7">
        <w:rPr>
          <w:szCs w:val="24"/>
        </w:rPr>
        <w:t>e</w:t>
      </w:r>
      <w:r w:rsidRPr="00576ED7">
        <w:rPr>
          <w:szCs w:val="24"/>
        </w:rPr>
        <w:t xml:space="preserve">fore the close of the third post-separation year and the payments cease by </w:t>
      </w:r>
      <w:r w:rsidRPr="00576ED7">
        <w:rPr>
          <w:szCs w:val="24"/>
        </w:rPr>
        <w:lastRenderedPageBreak/>
        <w:t>reason of such death or remarriage. § 71(f)(5)(A).</w:t>
      </w:r>
    </w:p>
    <w:p w:rsidR="0049128E" w:rsidRPr="00576ED7" w:rsidRDefault="0049128E" w:rsidP="00A6585D">
      <w:pPr>
        <w:widowControl w:val="0"/>
        <w:ind w:left="720"/>
        <w:jc w:val="both"/>
        <w:rPr>
          <w:szCs w:val="24"/>
        </w:rPr>
      </w:pPr>
      <w:r w:rsidRPr="00576ED7">
        <w:rPr>
          <w:szCs w:val="24"/>
        </w:rPr>
        <w:t>•The term “alimony” for purposes of these calculations does not include any payment to the extent it is made pursuant to a continuing liability over not less than three years to pay a fixed portion of income from a business, property, or compensation (whether as employee or as self-employer).  § 71(f)(5)(C).</w:t>
      </w:r>
    </w:p>
    <w:p w:rsidR="0049128E" w:rsidRPr="00576ED7" w:rsidRDefault="0049128E" w:rsidP="00A6585D">
      <w:pPr>
        <w:widowControl w:val="0"/>
        <w:ind w:left="720"/>
        <w:jc w:val="both"/>
        <w:rPr>
          <w:szCs w:val="24"/>
        </w:rPr>
      </w:pPr>
      <w:r w:rsidRPr="00576ED7">
        <w:rPr>
          <w:szCs w:val="24"/>
        </w:rPr>
        <w:t>•Payments made pursuant a decree requiring payments for support or maintenance, but not pursuant to a decree of divorce or separate maint</w:t>
      </w:r>
      <w:r w:rsidRPr="00576ED7">
        <w:rPr>
          <w:szCs w:val="24"/>
        </w:rPr>
        <w:t>e</w:t>
      </w:r>
      <w:r w:rsidRPr="00576ED7">
        <w:rPr>
          <w:szCs w:val="24"/>
        </w:rPr>
        <w:t>nance or incident to such a decree, are not “alimony or separate maint</w:t>
      </w:r>
      <w:r w:rsidRPr="00576ED7">
        <w:rPr>
          <w:szCs w:val="24"/>
        </w:rPr>
        <w:t>e</w:t>
      </w:r>
      <w:r w:rsidRPr="00576ED7">
        <w:rPr>
          <w:szCs w:val="24"/>
        </w:rPr>
        <w:t>nance” for purposes of these calculations.  § 71(f)(5)(B) (referencing § 71(b)(2)(C)).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71(f) focuses on how precipitously alimony or separate maintenance payments decline from the first post-separation year to the second post-separation year and from the second post-separation year to the third post-separation year.  Some other matters to notice or consider:</w:t>
      </w:r>
    </w:p>
    <w:p w:rsidR="0049128E" w:rsidRPr="00576ED7" w:rsidRDefault="0049128E" w:rsidP="00A6585D">
      <w:pPr>
        <w:widowControl w:val="0"/>
        <w:ind w:left="720"/>
        <w:jc w:val="both"/>
        <w:rPr>
          <w:szCs w:val="24"/>
        </w:rPr>
      </w:pPr>
      <w:r w:rsidRPr="00576ED7">
        <w:rPr>
          <w:szCs w:val="24"/>
        </w:rPr>
        <w:t>•Excess front-loading only occurs with respect to alimony payments that the payor actually makes, not those that s/he may owe.</w:t>
      </w:r>
    </w:p>
    <w:p w:rsidR="0049128E" w:rsidRPr="00576ED7" w:rsidRDefault="0049128E" w:rsidP="00A6585D">
      <w:pPr>
        <w:widowControl w:val="0"/>
        <w:ind w:left="720"/>
        <w:jc w:val="both"/>
        <w:rPr>
          <w:szCs w:val="24"/>
        </w:rPr>
      </w:pPr>
      <w:r w:rsidRPr="00576ED7">
        <w:rPr>
          <w:szCs w:val="24"/>
        </w:rPr>
        <w:t>•The definition of first “post-separation years” is the first calendar year “in which the payor spouse paid to the payee spouse[.]”  § 71(f)(6).  If pa</w:t>
      </w:r>
      <w:r w:rsidRPr="00576ED7">
        <w:rPr>
          <w:szCs w:val="24"/>
        </w:rPr>
        <w:t>y</w:t>
      </w:r>
      <w:r w:rsidRPr="00576ED7">
        <w:rPr>
          <w:szCs w:val="24"/>
        </w:rPr>
        <w:t>ment obligations are monthly and the payor spouse makes the first pa</w:t>
      </w:r>
      <w:r w:rsidRPr="00576ED7">
        <w:rPr>
          <w:szCs w:val="24"/>
        </w:rPr>
        <w:t>y</w:t>
      </w:r>
      <w:r w:rsidRPr="00576ED7">
        <w:rPr>
          <w:szCs w:val="24"/>
        </w:rPr>
        <w:t>ment late in the year, the first year payment may in fact be quite small.</w:t>
      </w:r>
    </w:p>
    <w:p w:rsidR="0049128E" w:rsidRPr="00576ED7" w:rsidRDefault="0049128E" w:rsidP="00A6585D">
      <w:pPr>
        <w:widowControl w:val="0"/>
        <w:ind w:left="720"/>
        <w:jc w:val="both"/>
        <w:rPr>
          <w:szCs w:val="24"/>
        </w:rPr>
      </w:pPr>
      <w:r w:rsidRPr="00576ED7">
        <w:rPr>
          <w:szCs w:val="24"/>
        </w:rPr>
        <w:t>•The numbers work out so that if the decrease from the first to second post-separation years is $7500 or less and the decrease from the second post-separation to the third post-separation years is $15,000 or less, there is no excess front-loading problem.</w:t>
      </w:r>
    </w:p>
    <w:p w:rsidR="0049128E" w:rsidRPr="00576ED7" w:rsidRDefault="0049128E" w:rsidP="00A6585D">
      <w:pPr>
        <w:widowControl w:val="0"/>
        <w:ind w:left="720"/>
        <w:jc w:val="both"/>
        <w:rPr>
          <w:szCs w:val="24"/>
        </w:rPr>
      </w:pPr>
      <w:r w:rsidRPr="00576ED7">
        <w:rPr>
          <w:szCs w:val="24"/>
        </w:rPr>
        <w:t>•There will always be an excess front-loading problem if the decrease from the second to the third post-separation year is more than $15,000.</w:t>
      </w:r>
    </w:p>
    <w:p w:rsidR="0049128E" w:rsidRPr="00576ED7" w:rsidRDefault="0049128E" w:rsidP="00A6585D">
      <w:pPr>
        <w:widowControl w:val="0"/>
        <w:ind w:left="720"/>
        <w:jc w:val="both"/>
        <w:rPr>
          <w:szCs w:val="24"/>
        </w:rPr>
      </w:pPr>
      <w:r w:rsidRPr="00576ED7">
        <w:rPr>
          <w:szCs w:val="24"/>
        </w:rPr>
        <w:t>•For every $1 difference between the first and second post-separation years in excess of $7500, the difference between the second and third post-separation year must be reduced by $2 to avoid an excess front loa</w:t>
      </w:r>
      <w:r w:rsidRPr="00576ED7">
        <w:rPr>
          <w:szCs w:val="24"/>
        </w:rPr>
        <w:t>d</w:t>
      </w:r>
      <w:r w:rsidRPr="00576ED7">
        <w:rPr>
          <w:szCs w:val="24"/>
        </w:rPr>
        <w:t>ing recapture income/deduction problem.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01191662" wp14:editId="3A7C64D3">
            <wp:extent cx="704850" cy="190500"/>
            <wp:effectExtent l="0" t="0" r="0" b="0"/>
            <wp:docPr id="28" name="Picture 2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Gross Income: Alimony and Alimony Recapture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B.  Child Support</w:t>
      </w:r>
      <w:r w:rsidRPr="00576ED7">
        <w:rPr>
          <w:szCs w:val="24"/>
        </w:rPr>
        <w:fldChar w:fldCharType="begin"/>
      </w:r>
      <w:r w:rsidRPr="00576ED7">
        <w:rPr>
          <w:i/>
          <w:szCs w:val="24"/>
        </w:rPr>
        <w:instrText xml:space="preserve"> TC \l2 "B.  Child Support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Child support represents the fulfillment of a parental obligation.  Both parents have this obligation.  Fulfillment of this obligation does not create any right to a deduction, but only to a dependent deduction of the exemption amount.  The same is true after dissolution of the marriage.  The Code has some special rules for all</w:t>
      </w:r>
      <w:r w:rsidRPr="00576ED7">
        <w:rPr>
          <w:szCs w:val="24"/>
        </w:rPr>
        <w:t>o</w:t>
      </w:r>
      <w:r w:rsidRPr="00576ED7">
        <w:rPr>
          <w:szCs w:val="24"/>
        </w:rPr>
        <w:t xml:space="preserve">cation of the dependent deduction in its definitions of “qualifying child” and “qualifying relative,” </w:t>
      </w:r>
      <w:r w:rsidRPr="00576ED7">
        <w:rPr>
          <w:i/>
          <w:szCs w:val="24"/>
        </w:rPr>
        <w:t>supra</w:t>
      </w:r>
      <w:r w:rsidRPr="00576ED7">
        <w:rPr>
          <w:szCs w:val="24"/>
        </w:rPr>
        <w:t xml:space="preserve">.  Furthermore, receipt of child support payments is not gross income to the payee.  </w:t>
      </w:r>
      <w:r w:rsidRPr="00576ED7">
        <w:rPr>
          <w:i/>
          <w:szCs w:val="24"/>
        </w:rPr>
        <w:t>See</w:t>
      </w:r>
      <w:r w:rsidRPr="00576ED7">
        <w:rPr>
          <w:szCs w:val="24"/>
        </w:rPr>
        <w:t xml:space="preserve"> § 71(c)(1).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may try to exploit the treatment of alimony and so characterize child support payments as alimony.  The Code has some rules for identifying a portion of payments the parties may label as alimony that are in fact child support.  § 71(c)(2) (carryout ¶).  A characteristic of child support is that its amount should decrease (or disappear) on certain occasions in the </w:t>
      </w:r>
      <w:r w:rsidRPr="00576ED7">
        <w:rPr>
          <w:i/>
          <w:szCs w:val="24"/>
        </w:rPr>
        <w:t xml:space="preserve">child’s </w:t>
      </w:r>
      <w:r w:rsidRPr="00576ED7">
        <w:rPr>
          <w:szCs w:val="24"/>
        </w:rPr>
        <w:t>life, notably attaining a certain age.  Thus –</w:t>
      </w:r>
    </w:p>
    <w:p w:rsidR="0049128E" w:rsidRPr="00576ED7" w:rsidRDefault="0049128E" w:rsidP="00A6585D">
      <w:pPr>
        <w:widowControl w:val="0"/>
        <w:ind w:left="720"/>
        <w:jc w:val="both"/>
        <w:rPr>
          <w:szCs w:val="24"/>
        </w:rPr>
      </w:pPr>
      <w:r w:rsidRPr="00576ED7">
        <w:rPr>
          <w:szCs w:val="24"/>
        </w:rPr>
        <w:t>•if the divorce instrument specifies that payments will be decreased on the happening of a contingency relating to the child (e.g., attaining a certain age, marrying, dying, leaving school (as well as leaving the spouse’s household or gaining employment, Reg. § 1.71-1T(c) (Q&amp;A 17)), then the amount of the decrease will be treated as child support.  § 71(c)(2)(A).</w:t>
      </w:r>
    </w:p>
    <w:p w:rsidR="0049128E" w:rsidRPr="00576ED7" w:rsidRDefault="0049128E" w:rsidP="00A6585D">
      <w:pPr>
        <w:widowControl w:val="0"/>
        <w:ind w:left="720"/>
        <w:jc w:val="both"/>
        <w:rPr>
          <w:szCs w:val="24"/>
        </w:rPr>
      </w:pPr>
      <w:r w:rsidRPr="00576ED7">
        <w:rPr>
          <w:szCs w:val="24"/>
        </w:rPr>
        <w:t>•if the divorce instrument specifies that payments will be decreased at a time “which can clearly be associated with a contingency” of the sort just noted, then the amount of the decrease will be treated as child support.  § 71(c)(2)(B).</w:t>
      </w:r>
    </w:p>
    <w:p w:rsidR="0049128E" w:rsidRPr="00576ED7" w:rsidRDefault="0049128E" w:rsidP="00A6585D">
      <w:pPr>
        <w:widowControl w:val="0"/>
        <w:ind w:left="1440"/>
        <w:jc w:val="both"/>
        <w:rPr>
          <w:szCs w:val="24"/>
        </w:rPr>
      </w:pPr>
      <w:r w:rsidRPr="00576ED7">
        <w:rPr>
          <w:szCs w:val="24"/>
        </w:rPr>
        <w:t>•Reg. § 1.7</w:t>
      </w:r>
      <w:r w:rsidR="00333C58">
        <w:rPr>
          <w:szCs w:val="24"/>
        </w:rPr>
        <w:t>1</w:t>
      </w:r>
      <w:r w:rsidRPr="00576ED7">
        <w:rPr>
          <w:szCs w:val="24"/>
        </w:rPr>
        <w:t>-1T(c) (Q&amp;A 18) creates presumptions about whether a reduction occurs “at a time which can clearly be associated with the happening of a contingency relating to a child of the payor[.]”  Rebuttal of either presumption may occur “by showing that the time at which the payments are to be reduced was determined i</w:t>
      </w:r>
      <w:r w:rsidRPr="00576ED7">
        <w:rPr>
          <w:szCs w:val="24"/>
        </w:rPr>
        <w:t>n</w:t>
      </w:r>
      <w:r w:rsidRPr="00576ED7">
        <w:rPr>
          <w:szCs w:val="24"/>
        </w:rPr>
        <w:t>dependently of any contingencies relating to the children of the payor.”  For example, a presumption may be rebutted “by showing that alimony payments are to be made for a period customarily provided in the local jurisdiction, such as a period equal to one-half the duration of the marriage.”</w:t>
      </w:r>
    </w:p>
    <w:p w:rsidR="0049128E" w:rsidRPr="00576ED7" w:rsidRDefault="0049128E" w:rsidP="00A6585D">
      <w:pPr>
        <w:widowControl w:val="0"/>
        <w:ind w:left="2160"/>
        <w:jc w:val="both"/>
        <w:rPr>
          <w:szCs w:val="24"/>
        </w:rPr>
      </w:pPr>
      <w:r w:rsidRPr="00576ED7">
        <w:rPr>
          <w:szCs w:val="24"/>
        </w:rPr>
        <w:t xml:space="preserve">•Payments that are to be reduced not more than six months before or after attaining the age of 18, 21, or the local age of majority are presumptively “clearly associated with the happening of a contingency relating to a child of the </w:t>
      </w:r>
      <w:r w:rsidRPr="00576ED7">
        <w:rPr>
          <w:szCs w:val="24"/>
        </w:rPr>
        <w:lastRenderedPageBreak/>
        <w:t>payor.”</w:t>
      </w:r>
    </w:p>
    <w:p w:rsidR="0049128E" w:rsidRPr="00576ED7" w:rsidRDefault="0049128E" w:rsidP="00A6585D">
      <w:pPr>
        <w:widowControl w:val="0"/>
        <w:ind w:left="2880"/>
        <w:jc w:val="both"/>
        <w:rPr>
          <w:szCs w:val="24"/>
        </w:rPr>
      </w:pPr>
      <w:r w:rsidRPr="00576ED7">
        <w:rPr>
          <w:szCs w:val="24"/>
        </w:rPr>
        <w:t>•This presumption is conclusively rebutted by showing that the “reduction is a complete cessation of alimony or separate maintenance payments du</w:t>
      </w:r>
      <w:r w:rsidRPr="00576ED7">
        <w:rPr>
          <w:szCs w:val="24"/>
        </w:rPr>
        <w:t>r</w:t>
      </w:r>
      <w:r w:rsidRPr="00576ED7">
        <w:rPr>
          <w:szCs w:val="24"/>
        </w:rPr>
        <w:t>ing the sixth post-separation year ... or upon the e</w:t>
      </w:r>
      <w:r w:rsidRPr="00576ED7">
        <w:rPr>
          <w:szCs w:val="24"/>
        </w:rPr>
        <w:t>x</w:t>
      </w:r>
      <w:r w:rsidRPr="00576ED7">
        <w:rPr>
          <w:szCs w:val="24"/>
        </w:rPr>
        <w:t xml:space="preserve">piration of a 72-month period.”  </w:t>
      </w:r>
      <w:r w:rsidRPr="00576ED7">
        <w:rPr>
          <w:i/>
          <w:szCs w:val="24"/>
        </w:rPr>
        <w:t>Id.</w:t>
      </w:r>
    </w:p>
    <w:p w:rsidR="0049128E" w:rsidRPr="00576ED7" w:rsidRDefault="0049128E" w:rsidP="00A6585D">
      <w:pPr>
        <w:widowControl w:val="0"/>
        <w:ind w:left="2160"/>
        <w:jc w:val="both"/>
        <w:rPr>
          <w:szCs w:val="24"/>
        </w:rPr>
      </w:pPr>
      <w:r w:rsidRPr="00576ED7">
        <w:rPr>
          <w:szCs w:val="24"/>
        </w:rPr>
        <w:t>•Payments that are to be reduced on two or more occasions which occur not more than one year before or after a diffe</w:t>
      </w:r>
      <w:r w:rsidRPr="00576ED7">
        <w:rPr>
          <w:szCs w:val="24"/>
        </w:rPr>
        <w:t>r</w:t>
      </w:r>
      <w:r w:rsidRPr="00576ED7">
        <w:rPr>
          <w:szCs w:val="24"/>
        </w:rPr>
        <w:t>ent child of payor spouse attains an age between 18 and 24 are presumptively “clearly associated with the happening of a contingency relating to a child of the payor.”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reading the following case and revenue ruling, consider whether you feel the issues are resolved correctly – and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Faber v. Commissioner</w:t>
      </w:r>
      <w:r w:rsidRPr="00576ED7">
        <w:rPr>
          <w:szCs w:val="24"/>
        </w:rPr>
        <w:t>, 264 F.2d 127 (</w:t>
      </w:r>
      <w:r w:rsidR="00BE394F" w:rsidRPr="00576ED7">
        <w:rPr>
          <w:szCs w:val="24"/>
        </w:rPr>
        <w:t>3</w:t>
      </w:r>
      <w:r w:rsidR="00BE394F" w:rsidRPr="00576ED7">
        <w:rPr>
          <w:szCs w:val="24"/>
          <w:vertAlign w:val="superscript"/>
        </w:rPr>
        <w:t>rd</w:t>
      </w:r>
      <w:r w:rsidR="00BE394F" w:rsidRPr="00576ED7">
        <w:rPr>
          <w:szCs w:val="24"/>
        </w:rPr>
        <w:t xml:space="preserve"> Cir. </w:t>
      </w:r>
      <w:r w:rsidRPr="00576ED7">
        <w:rPr>
          <w:szCs w:val="24"/>
        </w:rPr>
        <w:t>1959)</w:t>
      </w:r>
      <w:r w:rsidRPr="00576ED7">
        <w:rPr>
          <w:szCs w:val="24"/>
        </w:rPr>
        <w:fldChar w:fldCharType="begin"/>
      </w:r>
      <w:r w:rsidRPr="00576ED7">
        <w:rPr>
          <w:szCs w:val="24"/>
        </w:rPr>
        <w:instrText xml:space="preserve"> TC \l3 "Faber v. Commissioner, 264 F.2d 127 (CA3 1959)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BIGGS,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comes before us on a petition to review a decision of the Tax Court, 1958, 29 T.C. 1095. The issue presented is: Is the taxpayer, Faber, entitled to d</w:t>
      </w:r>
      <w:r w:rsidRPr="00576ED7">
        <w:rPr>
          <w:szCs w:val="24"/>
        </w:rPr>
        <w:t>e</w:t>
      </w:r>
      <w:r w:rsidRPr="00576ED7">
        <w:rPr>
          <w:szCs w:val="24"/>
        </w:rPr>
        <w:t>duct under § 23(u) [now §§ 215/62(a)(10)] , Internal Revenue Code of 1939, a portion of an annual $5,000 payment, made to his divorced wife, Ada, namely $2,700, designated in the separation agreement incorporated in the divorce decree for the support of his divorced wife’s son?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his wife, Ada, were divorced in 1952. The former Ada Faber had been previously married and had a son by this former marriage, William Black, who adopted his stepfather’s surname but was never legally adopted by his stepfather. The taxpayer and his wife entered into a separation agreement which was made part of the final decree of divorce. The agreement provided in pertinent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Husband covenants and agrees to pay to the Wife in settlement of her property rights and the obligation of the Husband for her future care, su</w:t>
      </w:r>
      <w:r w:rsidRPr="00576ED7">
        <w:rPr>
          <w:szCs w:val="24"/>
        </w:rPr>
        <w:t>p</w:t>
      </w:r>
      <w:r w:rsidRPr="00576ED7">
        <w:rPr>
          <w:szCs w:val="24"/>
        </w:rPr>
        <w:t>port and maintenance, and for the care of the Wife’s child, William, the sum of Fifty-five thousand dollars ($55,000), payable Five thousand do</w:t>
      </w:r>
      <w:r w:rsidRPr="00576ED7">
        <w:rPr>
          <w:szCs w:val="24"/>
        </w:rPr>
        <w:t>l</w:t>
      </w:r>
      <w:r w:rsidRPr="00576ED7">
        <w:rPr>
          <w:szCs w:val="24"/>
        </w:rPr>
        <w:t>lars ($5,000) annually, beginning the first day of January, 1952, to and i</w:t>
      </w:r>
      <w:r w:rsidRPr="00576ED7">
        <w:rPr>
          <w:szCs w:val="24"/>
        </w:rPr>
        <w:t>n</w:t>
      </w:r>
      <w:r w:rsidRPr="00576ED7">
        <w:rPr>
          <w:szCs w:val="24"/>
        </w:rPr>
        <w:lastRenderedPageBreak/>
        <w:t>cluding the first day of July, 1962, or for a period of eleven years.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‘Said payment or payments are to be allocated Two thousand three hu</w:t>
      </w:r>
      <w:r w:rsidRPr="00576ED7">
        <w:rPr>
          <w:szCs w:val="24"/>
        </w:rPr>
        <w:t>n</w:t>
      </w:r>
      <w:r w:rsidRPr="00576ED7">
        <w:rPr>
          <w:szCs w:val="24"/>
        </w:rPr>
        <w:t>dred dollars ($2,300) annually for the Wife, and Two thousand seven hu</w:t>
      </w:r>
      <w:r w:rsidRPr="00576ED7">
        <w:rPr>
          <w:szCs w:val="24"/>
        </w:rPr>
        <w:t>n</w:t>
      </w:r>
      <w:r w:rsidRPr="00576ED7">
        <w:rPr>
          <w:szCs w:val="24"/>
        </w:rPr>
        <w:t>dred dollars $(2,700) annually for the support and care of his Wife’s son, William.</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the event that the Wife or her son die before all payments have been made, then the allocated part of the payment, as above set forth, shall cease, and the future payments reduced, and the estate of the one so dying shall have no claim against the Husband for future ‘payments’.’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paid Ada $5,000 in 1952. He deducted the $5,000 as an alimony payment in his individual tax return for that calendar year. The Commissioner a</w:t>
      </w:r>
      <w:r w:rsidRPr="00576ED7">
        <w:rPr>
          <w:szCs w:val="24"/>
        </w:rPr>
        <w:t>l</w:t>
      </w:r>
      <w:r w:rsidRPr="00576ED7">
        <w:rPr>
          <w:szCs w:val="24"/>
        </w:rPr>
        <w:t>lowed $2,300 but disallowed the remaining $2,700 as a deduction on the ground that this amount represented ‘payment for care, support and maintenance of Wi</w:t>
      </w:r>
      <w:r w:rsidRPr="00576ED7">
        <w:rPr>
          <w:szCs w:val="24"/>
        </w:rPr>
        <w:t>l</w:t>
      </w:r>
      <w:r w:rsidRPr="00576ED7">
        <w:rPr>
          <w:szCs w:val="24"/>
        </w:rPr>
        <w:t>liam Faber, under § 23(u) of the Internal Revenue Act of 1939.’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pertinent statutory provisions of the Internal Revenue Code of 1939 are set out in the footnote.</w:t>
      </w:r>
      <w:r w:rsidRPr="00576ED7">
        <w:rPr>
          <w:rStyle w:val="FootnoteReference"/>
          <w:szCs w:val="24"/>
        </w:rPr>
        <w:footnoteReference w:id="17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the taxpayer may deduct, under § 23(u), the amount of any payment to </w:t>
      </w:r>
      <w:r w:rsidRPr="00576ED7">
        <w:rPr>
          <w:szCs w:val="24"/>
        </w:rPr>
        <w:lastRenderedPageBreak/>
        <w:t>his wife depends on whether the payment is properly includible in the wife’s i</w:t>
      </w:r>
      <w:r w:rsidRPr="00576ED7">
        <w:rPr>
          <w:szCs w:val="24"/>
        </w:rPr>
        <w:t>n</w:t>
      </w:r>
      <w:r w:rsidRPr="00576ED7">
        <w:rPr>
          <w:szCs w:val="24"/>
        </w:rPr>
        <w:t xml:space="preserve">come under § 22(k) [now § 61(a)(8)]. </w:t>
      </w:r>
      <w:r w:rsidRPr="00576ED7">
        <w:rPr>
          <w:i/>
          <w:szCs w:val="24"/>
        </w:rPr>
        <w:t>Eisinger v. C.I.R.</w:t>
      </w:r>
      <w:r w:rsidRPr="00576ED7">
        <w:rPr>
          <w:szCs w:val="24"/>
        </w:rPr>
        <w:t xml:space="preserve">, 9 Cir., 1957, 250 F.2d 303, </w:t>
      </w:r>
      <w:r w:rsidRPr="00576ED7">
        <w:rPr>
          <w:i/>
          <w:szCs w:val="24"/>
        </w:rPr>
        <w:t>cert. denied</w:t>
      </w:r>
      <w:r w:rsidRPr="00576ED7">
        <w:rPr>
          <w:szCs w:val="24"/>
        </w:rPr>
        <w:t>, 1958, 356 U.S. 913.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the second sentence of § 22(k) is exclusionary in e</w:t>
      </w:r>
      <w:r w:rsidRPr="00576ED7">
        <w:rPr>
          <w:szCs w:val="24"/>
        </w:rPr>
        <w:t>f</w:t>
      </w:r>
      <w:r w:rsidRPr="00576ED7">
        <w:rPr>
          <w:szCs w:val="24"/>
        </w:rPr>
        <w:t>fect and meaning and that William Faber is not within the classification of ‘minor child.’ We agree. William was a stepchild of the taxpayer and was not the taxpa</w:t>
      </w:r>
      <w:r w:rsidRPr="00576ED7">
        <w:rPr>
          <w:szCs w:val="24"/>
        </w:rPr>
        <w:t>y</w:t>
      </w:r>
      <w:r w:rsidRPr="00576ED7">
        <w:rPr>
          <w:szCs w:val="24"/>
        </w:rPr>
        <w:t>er’s child.</w:t>
      </w:r>
      <w:r w:rsidRPr="00576ED7">
        <w:rPr>
          <w:rStyle w:val="FootnoteReference"/>
          <w:szCs w:val="24"/>
        </w:rPr>
        <w:footnoteReference w:id="178"/>
      </w:r>
      <w:r w:rsidRPr="00576ED7">
        <w:rPr>
          <w:szCs w:val="24"/>
        </w:rPr>
        <w:t xml:space="preserve">  But it does not follow, as the taxpayer contends, relying on our dec</w:t>
      </w:r>
      <w:r w:rsidRPr="00576ED7">
        <w:rPr>
          <w:szCs w:val="24"/>
        </w:rPr>
        <w:t>i</w:t>
      </w:r>
      <w:r w:rsidRPr="00576ED7">
        <w:rPr>
          <w:szCs w:val="24"/>
        </w:rPr>
        <w:t xml:space="preserve">sion in </w:t>
      </w:r>
      <w:r w:rsidRPr="00576ED7">
        <w:rPr>
          <w:i/>
          <w:szCs w:val="24"/>
        </w:rPr>
        <w:t>Feinberg v. C.I.R.</w:t>
      </w:r>
      <w:r w:rsidRPr="00576ED7">
        <w:rPr>
          <w:szCs w:val="24"/>
        </w:rPr>
        <w:t xml:space="preserve">, 3 Cir., 1952, 198 F.2d 260, that since the exception contained in the second sentence of § 22(k) does not apply, the full amount of $5,000 automatically must be included in the wife’s income and hence must be deducted from the husband’s. The </w:t>
      </w:r>
      <w:r w:rsidRPr="00576ED7">
        <w:rPr>
          <w:i/>
          <w:szCs w:val="24"/>
        </w:rPr>
        <w:t>Feinberg</w:t>
      </w:r>
      <w:r w:rsidRPr="00576ED7">
        <w:rPr>
          <w:szCs w:val="24"/>
        </w:rPr>
        <w:t xml:space="preserve"> decision does not support the taxpa</w:t>
      </w:r>
      <w:r w:rsidRPr="00576ED7">
        <w:rPr>
          <w:szCs w:val="24"/>
        </w:rPr>
        <w:t>y</w:t>
      </w:r>
      <w:r w:rsidRPr="00576ED7">
        <w:rPr>
          <w:szCs w:val="24"/>
        </w:rPr>
        <w:t xml:space="preserve">er’s view for if the whole payment is to be considered as income to the wife the requirements of the first sentence of § 22(k) must be satisfied independently. The </w:t>
      </w:r>
      <w:r w:rsidRPr="00576ED7">
        <w:rPr>
          <w:i/>
          <w:szCs w:val="24"/>
        </w:rPr>
        <w:t>Feinberg</w:t>
      </w:r>
      <w:r w:rsidRPr="00576ED7">
        <w:rPr>
          <w:szCs w:val="24"/>
        </w:rPr>
        <w:t xml:space="preserve"> decision does not hold that those requirements do not have to be met. The second sentence of § 22(k) deals only with one specific type of payment which is not includible in the wife’s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remains to be determined whether under the first sentence of 22(k) the entire $5,000 should constitute income to Ada Faber. The Tax Court has concluded that ‘the amounts paid to William were purely voluntary on the part of the petitioner so far as this record shows, and therefore not within the intendment of Subsection 22(k).’ With this conclusion we cannot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in this case it was clear that Ada had the legal obligation to support William</w:t>
      </w:r>
      <w:r w:rsidRPr="00576ED7">
        <w:rPr>
          <w:rStyle w:val="FootnoteReference"/>
          <w:szCs w:val="24"/>
        </w:rPr>
        <w:footnoteReference w:id="179"/>
      </w:r>
      <w:r w:rsidRPr="00576ED7">
        <w:rPr>
          <w:szCs w:val="24"/>
        </w:rPr>
        <w:t xml:space="preserve"> and the agreement had recited that the amount for William’s care was for and in Ada’s behalf. It would then be apparent that $2,700 would have been includible in Ada’s income and deductible from the taxpayer’s. </w:t>
      </w:r>
      <w:r w:rsidRPr="00576ED7">
        <w:rPr>
          <w:i/>
          <w:szCs w:val="24"/>
        </w:rPr>
        <w:t>Robert Lehman</w:t>
      </w:r>
      <w:r w:rsidRPr="00576ED7">
        <w:rPr>
          <w:szCs w:val="24"/>
        </w:rPr>
        <w:t xml:space="preserve">, </w:t>
      </w:r>
      <w:r w:rsidRPr="00576ED7">
        <w:rPr>
          <w:szCs w:val="24"/>
        </w:rPr>
        <w:lastRenderedPageBreak/>
        <w:t>1951, 17 T.C. 652.</w:t>
      </w:r>
      <w:r w:rsidRPr="00576ED7">
        <w:rPr>
          <w:rStyle w:val="FootnoteReference"/>
          <w:szCs w:val="24"/>
        </w:rPr>
        <w:footnoteReference w:id="180"/>
      </w:r>
      <w:r w:rsidRPr="00576ED7">
        <w:rPr>
          <w:szCs w:val="24"/>
        </w:rPr>
        <w:t xml:space="preserve">  Here, a recital to such effect is missing but the mere a</w:t>
      </w:r>
      <w:r w:rsidRPr="00576ED7">
        <w:rPr>
          <w:szCs w:val="24"/>
        </w:rPr>
        <w:t>b</w:t>
      </w:r>
      <w:r w:rsidRPr="00576ED7">
        <w:rPr>
          <w:szCs w:val="24"/>
        </w:rPr>
        <w:t xml:space="preserve">sence of the appropriate language from the agreement does not resolve the issue and it becomes pertinent to inquire whether the payment of the $2,700 was made for and in behalf of Ada. Relevant to this inquiry is the answer to the question whether Ada acquired an economic benefit of such nature that the payment may be said to be for and in her behalf. In </w:t>
      </w:r>
      <w:r w:rsidRPr="00576ED7">
        <w:rPr>
          <w:i/>
          <w:szCs w:val="24"/>
        </w:rPr>
        <w:t>Mandel v. C.I.R.</w:t>
      </w:r>
      <w:r w:rsidRPr="00576ED7">
        <w:rPr>
          <w:szCs w:val="24"/>
        </w:rPr>
        <w:t>, 7 Cir., 1956, 229 F.2d 382, the taxpayer-husband agreed to pay his wife $18,000 a year, the separation agreement further providing that should she remarry, the payment would be r</w:t>
      </w:r>
      <w:r w:rsidRPr="00576ED7">
        <w:rPr>
          <w:szCs w:val="24"/>
        </w:rPr>
        <w:t>e</w:t>
      </w:r>
      <w:r w:rsidRPr="00576ED7">
        <w:rPr>
          <w:szCs w:val="24"/>
        </w:rPr>
        <w:t xml:space="preserve">duced to </w:t>
      </w:r>
      <w:r w:rsidR="00646716">
        <w:rPr>
          <w:szCs w:val="24"/>
        </w:rPr>
        <w:t>…</w:t>
      </w:r>
      <w:r w:rsidRPr="00576ED7">
        <w:rPr>
          <w:szCs w:val="24"/>
        </w:rPr>
        <w:t xml:space="preserve"> $10,000 a year, and that if a child, there being two children of the marriage, should marry, or on reaching 21 live apart from the wife, the husband could elect to pay directly to the child </w:t>
      </w:r>
      <w:r w:rsidR="00646716">
        <w:rPr>
          <w:szCs w:val="24"/>
        </w:rPr>
        <w:t>…</w:t>
      </w:r>
      <w:r w:rsidRPr="00576ED7">
        <w:rPr>
          <w:szCs w:val="24"/>
        </w:rPr>
        <w:t xml:space="preserve"> $5,000 per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the tax years in question, Mandel’s wife remarried, and the two children of Mandel had married and were living apart from their mother, the wife. Mandel paid to his former wife amounts as specified in the separation agreement which she in turn paid to the two children. The court did not allow the taxpayer to deduct the amounts so paid, since the amounts were not income to the wife. The court stressed the point that, by the terms of the agreement and under the circumstances, the wife had received no economic or personal benefit from the payments made to her after her remarriage and the emancipation of the two children. ‘No legal obl</w:t>
      </w:r>
      <w:r w:rsidRPr="00576ED7">
        <w:rPr>
          <w:szCs w:val="24"/>
        </w:rPr>
        <w:t>i</w:t>
      </w:r>
      <w:r w:rsidRPr="00576ED7">
        <w:rPr>
          <w:szCs w:val="24"/>
        </w:rPr>
        <w:t>gation to support the children after they arrived at their majority was imposed u</w:t>
      </w:r>
      <w:r w:rsidRPr="00576ED7">
        <w:rPr>
          <w:szCs w:val="24"/>
        </w:rPr>
        <w:t>p</w:t>
      </w:r>
      <w:r w:rsidRPr="00576ED7">
        <w:rPr>
          <w:szCs w:val="24"/>
        </w:rPr>
        <w:t>on Edna.’ 229 F.2d at 387. In the case at bar the existence of a legal obligation of the wife to support her son has been assumed by us to be present. [footnote omi</w:t>
      </w:r>
      <w:r w:rsidRPr="00576ED7">
        <w:rPr>
          <w:szCs w:val="24"/>
        </w:rPr>
        <w:t>t</w:t>
      </w:r>
      <w:r w:rsidRPr="00576ED7">
        <w:rPr>
          <w:szCs w:val="24"/>
        </w:rPr>
        <w:t>ted] Under this assumption aid in the satisfaction of Ada’s obligation by the pa</w:t>
      </w:r>
      <w:r w:rsidRPr="00576ED7">
        <w:rPr>
          <w:szCs w:val="24"/>
        </w:rPr>
        <w:t>y</w:t>
      </w:r>
      <w:r w:rsidRPr="00576ED7">
        <w:rPr>
          <w:szCs w:val="24"/>
        </w:rPr>
        <w:t xml:space="preserve">ments of the separation agreement was for her benefit and hence was ‘for and in behalf of’ Ada. </w:t>
      </w:r>
      <w:r w:rsidRPr="00576ED7">
        <w:rPr>
          <w:i/>
          <w:szCs w:val="24"/>
        </w:rPr>
        <w:t>Lehman</w:t>
      </w:r>
      <w:r w:rsidRPr="00576ED7">
        <w:rPr>
          <w:szCs w:val="24"/>
        </w:rPr>
        <w:t xml:space="preserve">, </w:t>
      </w:r>
      <w:r w:rsidRPr="00576ED7">
        <w:rPr>
          <w:i/>
          <w:szCs w:val="24"/>
        </w:rPr>
        <w:t>supra</w:t>
      </w:r>
      <w:r w:rsidRPr="00576ED7">
        <w:rPr>
          <w:szCs w:val="24"/>
        </w:rPr>
        <w:t>, 17 T.C. at 653. That the payment also benefits another person, William, does not remove it from the ambiency of § 22(k). This payment was made in discharge of a legal obligation, which because of the ‘mar</w:t>
      </w:r>
      <w:r w:rsidRPr="00576ED7">
        <w:rPr>
          <w:szCs w:val="24"/>
        </w:rPr>
        <w:t>i</w:t>
      </w:r>
      <w:r w:rsidRPr="00576ED7">
        <w:rPr>
          <w:szCs w:val="24"/>
        </w:rPr>
        <w:t xml:space="preserve">tal or family relationship,’ was incurred by the taxpayer. </w:t>
      </w:r>
      <w:r w:rsidRPr="00576ED7">
        <w:rPr>
          <w:i/>
          <w:szCs w:val="24"/>
        </w:rPr>
        <w:t>Lehman</w:t>
      </w:r>
      <w:r w:rsidRPr="00576ED7">
        <w:rPr>
          <w:szCs w:val="24"/>
        </w:rPr>
        <w:t xml:space="preserve">, </w:t>
      </w:r>
      <w:r w:rsidRPr="00576ED7">
        <w:rPr>
          <w:i/>
          <w:szCs w:val="24"/>
        </w:rPr>
        <w:t>supra</w:t>
      </w:r>
      <w:r w:rsidRPr="00576ED7">
        <w:rPr>
          <w:szCs w:val="24"/>
        </w:rPr>
        <w:t xml:space="preserve">. </w:t>
      </w:r>
      <w:r w:rsidRPr="00576ED7">
        <w:rPr>
          <w:i/>
          <w:szCs w:val="24"/>
        </w:rPr>
        <w:t>Cf</w:t>
      </w:r>
      <w:r w:rsidRPr="00576ED7">
        <w:rPr>
          <w:szCs w:val="24"/>
        </w:rPr>
        <w:t>. Treasury Regulations 118, 39.22(k)-1(a)(5). Accordingly, under this assumption, the entire $5,000 would be includible in Ada’s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Merely because Ada’s obligation, if it exists, may be limited to the providing of necessaries for William, it does not follow that only the amount required for n</w:t>
      </w:r>
      <w:r w:rsidRPr="00576ED7">
        <w:rPr>
          <w:szCs w:val="24"/>
        </w:rPr>
        <w:t>e</w:t>
      </w:r>
      <w:r w:rsidRPr="00576ED7">
        <w:rPr>
          <w:szCs w:val="24"/>
        </w:rPr>
        <w:t>cessaries is to be includible in her income. The provisions of § 22(k) do not limit includible alimony payments to the wife to necessaries and we cannot say that payments to another person on her behalf should be so limited. While Ada may not be legally responsible for more than necessaries, it may still be to her econo</w:t>
      </w:r>
      <w:r w:rsidRPr="00576ED7">
        <w:rPr>
          <w:szCs w:val="24"/>
        </w:rPr>
        <w:t>m</w:t>
      </w:r>
      <w:r w:rsidRPr="00576ED7">
        <w:rPr>
          <w:szCs w:val="24"/>
        </w:rPr>
        <w:t>ic advantage to have funds supplied which exceed the legally required amount. We cannot say that the payment is so large that it becomes unrelated to the ec</w:t>
      </w:r>
      <w:r w:rsidRPr="00576ED7">
        <w:rPr>
          <w:szCs w:val="24"/>
        </w:rPr>
        <w:t>o</w:t>
      </w:r>
      <w:r w:rsidRPr="00576ED7">
        <w:rPr>
          <w:szCs w:val="24"/>
        </w:rPr>
        <w:t>nomic advantage which is Ada’s by virtue of the payment of $2,700 made for William.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r w:rsidRPr="00576ED7">
        <w:rPr>
          <w:rStyle w:val="FootnoteReference"/>
          <w:szCs w:val="24"/>
        </w:rPr>
        <w:footnoteReference w:id="18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decision of the Tax Court will be vacated and the case remanded in order to determine whether Ada had, in the Tax year in question, an obligation to support her son William. If it be found to be a fact that Ada had such an oblig</w:t>
      </w:r>
      <w:r w:rsidRPr="00576ED7">
        <w:rPr>
          <w:szCs w:val="24"/>
        </w:rPr>
        <w:t>a</w:t>
      </w:r>
      <w:r w:rsidRPr="00576ED7">
        <w:rPr>
          <w:szCs w:val="24"/>
        </w:rPr>
        <w:t xml:space="preserve">tion, the Tax Court should enter its decision in favor of the taxpayer. If it be found that Ada had no such obligation the Tax Court should again enter its decision in favor of the Commissioner. </w:t>
      </w:r>
      <w:r w:rsidR="003D5348">
        <w:rPr>
          <w:szCs w:val="24"/>
        </w:rPr>
        <w:t>[citations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parent has some obligation to support his/her minor children.  If someone else fulfills that obligation, it seems that the parent has realized gross income.  When that “someone” is a former spouse, the former spouse may treat it as alim</w:t>
      </w:r>
      <w:r w:rsidRPr="00576ED7">
        <w:rPr>
          <w:szCs w:val="24"/>
        </w:rPr>
        <w:t>o</w:t>
      </w:r>
      <w:r w:rsidRPr="00576ED7">
        <w:rPr>
          <w:szCs w:val="24"/>
        </w:rPr>
        <w:t>ny – provided all of the other elements of alimony are present.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were the distinguishing facts in </w:t>
      </w:r>
      <w:r w:rsidRPr="00576ED7">
        <w:rPr>
          <w:i/>
          <w:szCs w:val="24"/>
        </w:rPr>
        <w:t>Mandel</w:t>
      </w:r>
      <w:r w:rsidRPr="00576ED7">
        <w:rPr>
          <w:szCs w:val="24"/>
        </w:rPr>
        <w:t xml:space="preserve"> that made the result in that case </w:t>
      </w:r>
      <w:r w:rsidRPr="00576ED7">
        <w:rPr>
          <w:szCs w:val="24"/>
        </w:rPr>
        <w:lastRenderedPageBreak/>
        <w:t>different?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Change the facts of </w:t>
      </w:r>
      <w:r w:rsidRPr="00576ED7">
        <w:rPr>
          <w:i/>
          <w:szCs w:val="24"/>
        </w:rPr>
        <w:t>Faber</w:t>
      </w:r>
      <w:r w:rsidRPr="00576ED7">
        <w:rPr>
          <w:szCs w:val="24"/>
        </w:rPr>
        <w:t xml:space="preserve">: 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w:t>
      </w:r>
      <w:r w:rsidRPr="00576ED7">
        <w:rPr>
          <w:szCs w:val="24"/>
        </w:rPr>
        <w:t>y</w:t>
      </w:r>
      <w:r w:rsidRPr="00576ED7">
        <w:rPr>
          <w:szCs w:val="24"/>
        </w:rPr>
        <w:t>ments (an all-too-frequent occurrence).  It is the former spouse who must make up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93-27</w:t>
      </w:r>
      <w:r w:rsidRPr="00576ED7">
        <w:rPr>
          <w:szCs w:val="24"/>
        </w:rPr>
        <w:fldChar w:fldCharType="begin"/>
      </w:r>
      <w:r w:rsidRPr="00576ED7">
        <w:rPr>
          <w:b/>
          <w:szCs w:val="24"/>
        </w:rPr>
        <w:instrText xml:space="preserve"> TC \l3 "Rev. Rul. 93-27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 a taxpayer entitled to a nonbusiness bad debt deduction under § 166(a)(1) of the Code for the amount of the taxpayer’s own payment in support of the taxpayer’s children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w:t>
      </w:r>
      <w:r w:rsidRPr="00576ED7">
        <w:rPr>
          <w:szCs w:val="24"/>
        </w:rPr>
        <w:t>l</w:t>
      </w:r>
      <w:r w:rsidRPr="00576ED7">
        <w:rPr>
          <w:szCs w:val="24"/>
        </w:rPr>
        <w:t>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166(a)(1) of the Code allows as a deduction any debt that becomes wort</w:t>
      </w:r>
      <w:r w:rsidRPr="00576ED7">
        <w:rPr>
          <w:szCs w:val="24"/>
        </w:rPr>
        <w:t>h</w:t>
      </w:r>
      <w:r w:rsidRPr="00576ED7">
        <w:rPr>
          <w:szCs w:val="24"/>
        </w:rPr>
        <w:t>less within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166(b) of the Code provides that for purposes of § 166(a), the amount of the deduction for any worthless debt is the adjusted basis provided in § 1011 for determining the loss from the sale or other disposition of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1011 of the Code generally provides that the adjusted basis for determi</w:t>
      </w:r>
      <w:r w:rsidRPr="00576ED7">
        <w:rPr>
          <w:szCs w:val="24"/>
        </w:rPr>
        <w:t>n</w:t>
      </w:r>
      <w:r w:rsidRPr="00576ED7">
        <w:rPr>
          <w:szCs w:val="24"/>
        </w:rPr>
        <w:t>ing the gain or loss from the sale or other disposition of property, whenever a</w:t>
      </w:r>
      <w:r w:rsidRPr="00576ED7">
        <w:rPr>
          <w:szCs w:val="24"/>
        </w:rPr>
        <w:t>c</w:t>
      </w:r>
      <w:r w:rsidRPr="00576ED7">
        <w:rPr>
          <w:szCs w:val="24"/>
        </w:rPr>
        <w:lastRenderedPageBreak/>
        <w:t>quired, is the basis as determined under § 1012.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 166(a)(1) of the Code for an uncollectible arrearage in child support payments from a former spouse. The Tax Court denied the deduction on the ground that § 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w:t>
      </w:r>
      <w:r w:rsidRPr="00576ED7">
        <w:rPr>
          <w:i/>
          <w:szCs w:val="24"/>
        </w:rPr>
        <w:t>n</w:t>
      </w:r>
      <w:r w:rsidRPr="00576ED7">
        <w:rPr>
          <w:i/>
          <w:szCs w:val="24"/>
        </w:rPr>
        <w:t>er</w:t>
      </w:r>
      <w:r w:rsidRPr="00576ED7">
        <w:rPr>
          <w:szCs w:val="24"/>
        </w:rPr>
        <w:t>, T.C.M. 1984-356.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as in those above, B’s obligation to make the child support payments to A was imposed directly by the court. A’s own child support expend</w:t>
      </w:r>
      <w:r w:rsidRPr="00576ED7">
        <w:rPr>
          <w:szCs w:val="24"/>
        </w:rPr>
        <w:t>i</w:t>
      </w:r>
      <w:r w:rsidRPr="00576ED7">
        <w:rPr>
          <w:szCs w:val="24"/>
        </w:rPr>
        <w:t>tures did not create or affect B’s obligation to A under the divorce decree. A</w:t>
      </w:r>
      <w:r w:rsidRPr="00576ED7">
        <w:rPr>
          <w:szCs w:val="24"/>
        </w:rPr>
        <w:t>c</w:t>
      </w:r>
      <w:r w:rsidRPr="00576ED7">
        <w:rPr>
          <w:szCs w:val="24"/>
        </w:rPr>
        <w:t>cordingly, A did not have any basis in B’s obligation to pay child support, and A may not claim a bad debt deduction under § 166(a)(1) of the Code with regard to an arrearage in those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is not entitled to a bad debt deduction under § 166(a)(1) of the Code for the amount of the taxpayer’s own payment in support of the taxpayer’s chi</w:t>
      </w:r>
      <w:r w:rsidRPr="00576ED7">
        <w:rPr>
          <w:szCs w:val="24"/>
        </w:rPr>
        <w:t>l</w:t>
      </w:r>
      <w:r w:rsidRPr="00576ED7">
        <w:rPr>
          <w:szCs w:val="24"/>
        </w:rPr>
        <w:t>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rsidR="00246B58" w:rsidRDefault="00246B58" w:rsidP="00A6585D">
      <w:pPr>
        <w:widowControl w:val="0"/>
        <w:jc w:val="both"/>
        <w:rPr>
          <w:szCs w:val="24"/>
        </w:rPr>
      </w:pPr>
    </w:p>
    <w:p w:rsidR="0049128E" w:rsidRPr="00576ED7" w:rsidRDefault="0049128E" w:rsidP="00A6585D">
      <w:pPr>
        <w:widowControl w:val="0"/>
        <w:jc w:val="both"/>
        <w:rPr>
          <w:szCs w:val="24"/>
        </w:rPr>
      </w:pPr>
      <w:r w:rsidRPr="00576ED7">
        <w:rPr>
          <w:szCs w:val="24"/>
        </w:rPr>
        <w:t>2.  Aside from the technical requirements of § 71(f), is there any way that “A” could argue that she has paid “B” alimony by paying to support his children? If so, could the parties draft a sufficiently limited decree (“contingent alimony?”) that called for such treatment in the event he does not pay?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Could taxpayer or the Commissioner invoke the principles of § 7872(a)(1) and hypothesize a transfer from B to A and a retransfer from A to B?</w:t>
      </w:r>
    </w:p>
    <w:p w:rsidR="0049128E" w:rsidRPr="00576ED7" w:rsidRDefault="0049128E" w:rsidP="00A6585D">
      <w:pPr>
        <w:widowControl w:val="0"/>
        <w:ind w:left="720"/>
        <w:jc w:val="both"/>
        <w:rPr>
          <w:szCs w:val="24"/>
        </w:rPr>
      </w:pPr>
      <w:r w:rsidRPr="00576ED7">
        <w:rPr>
          <w:szCs w:val="24"/>
        </w:rPr>
        <w:t>•The transfer from B to A would be non-deductible child support.</w:t>
      </w:r>
    </w:p>
    <w:p w:rsidR="0049128E" w:rsidRDefault="0049128E" w:rsidP="00A6585D">
      <w:pPr>
        <w:widowControl w:val="0"/>
        <w:ind w:left="720"/>
        <w:jc w:val="both"/>
        <w:rPr>
          <w:szCs w:val="24"/>
        </w:rPr>
      </w:pPr>
      <w:r w:rsidRPr="00576ED7">
        <w:rPr>
          <w:szCs w:val="24"/>
        </w:rPr>
        <w:t>•The retransfer from A to B would be a payment of alimony, deductible to A and taxable income to B.</w:t>
      </w:r>
    </w:p>
    <w:p w:rsidR="00246B58" w:rsidRDefault="00246B58" w:rsidP="00246B58">
      <w:pPr>
        <w:widowControl w:val="0"/>
        <w:jc w:val="both"/>
        <w:rPr>
          <w:szCs w:val="24"/>
        </w:rPr>
      </w:pPr>
    </w:p>
    <w:p w:rsidR="00246B58" w:rsidRPr="00246B58" w:rsidRDefault="00246B58" w:rsidP="00246B58">
      <w:pPr>
        <w:widowControl w:val="0"/>
        <w:jc w:val="both"/>
        <w:rPr>
          <w:szCs w:val="24"/>
        </w:rPr>
      </w:pPr>
      <w:r>
        <w:rPr>
          <w:szCs w:val="24"/>
        </w:rPr>
        <w:t>4.</w:t>
      </w:r>
      <w:r w:rsidRPr="00246B58">
        <w:rPr>
          <w:szCs w:val="24"/>
        </w:rPr>
        <w:t xml:space="preserve"> Should the failure of one ex-spouse to make child support payments to other ex-spouse be a matter for the IRS? </w:t>
      </w:r>
      <w:r>
        <w:rPr>
          <w:szCs w:val="24"/>
        </w:rPr>
        <w:t>One suspects that IRS involvement might lead to fewer child support arrearages.</w:t>
      </w:r>
    </w:p>
    <w:p w:rsidR="0049128E" w:rsidRPr="00576ED7" w:rsidRDefault="0049128E" w:rsidP="00A6585D">
      <w:pPr>
        <w:widowControl w:val="0"/>
        <w:jc w:val="both"/>
        <w:rPr>
          <w:szCs w:val="24"/>
        </w:rPr>
      </w:pPr>
    </w:p>
    <w:p w:rsidR="0049128E" w:rsidRPr="00576ED7" w:rsidRDefault="0049128E" w:rsidP="00910345">
      <w:pPr>
        <w:pStyle w:val="Heading3"/>
      </w:pPr>
      <w:bookmarkStart w:id="72" w:name="_Toc375132959"/>
      <w:r w:rsidRPr="00576ED7">
        <w:t>Wrap-Up Questions for Chapter 8</w:t>
      </w:r>
      <w:bookmarkEnd w:id="72"/>
      <w:r w:rsidRPr="00576ED7">
        <w:fldChar w:fldCharType="begin"/>
      </w:r>
      <w:r w:rsidRPr="00576ED7">
        <w:instrText xml:space="preserve"> TC \l1 "Wrap-Up Questions for Chapter 8</w:instrText>
      </w:r>
      <w:r w:rsidRPr="00576ED7">
        <w:fldChar w:fldCharType="end"/>
      </w:r>
    </w:p>
    <w:p w:rsidR="0049128E" w:rsidRPr="00576ED7" w:rsidRDefault="0049128E" w:rsidP="00A6585D">
      <w:pPr>
        <w:widowControl w:val="0"/>
        <w:jc w:val="both"/>
        <w:rPr>
          <w:szCs w:val="24"/>
        </w:rPr>
      </w:pPr>
      <w:r w:rsidRPr="00576ED7">
        <w:rPr>
          <w:szCs w:val="24"/>
        </w:rPr>
        <w:t xml:space="preserve">1.  The basis of </w:t>
      </w:r>
      <w:r w:rsidRPr="00576ED7">
        <w:rPr>
          <w:i/>
          <w:szCs w:val="24"/>
        </w:rPr>
        <w:t>Davis</w:t>
      </w:r>
      <w:r w:rsidRPr="00576ED7">
        <w:rPr>
          <w:szCs w:val="24"/>
        </w:rPr>
        <w:t xml:space="preserve"> was that taxpayer’s wife’s interest partook “more of a pe</w:t>
      </w:r>
      <w:r w:rsidRPr="00576ED7">
        <w:rPr>
          <w:szCs w:val="24"/>
        </w:rPr>
        <w:t>r</w:t>
      </w:r>
      <w:r w:rsidRPr="00576ED7">
        <w:rPr>
          <w:szCs w:val="24"/>
        </w:rPr>
        <w:t>sonal liability of the husband than a property interest of the wife.”  Hence, ta</w:t>
      </w:r>
      <w:r w:rsidRPr="00576ED7">
        <w:rPr>
          <w:szCs w:val="24"/>
        </w:rPr>
        <w:t>x</w:t>
      </w:r>
      <w:r w:rsidRPr="00576ED7">
        <w:rPr>
          <w:szCs w:val="24"/>
        </w:rPr>
        <w:t>payer merely fulfilled his obligation by giving up appreciated property – a reco</w:t>
      </w:r>
      <w:r w:rsidRPr="00576ED7">
        <w:rPr>
          <w:szCs w:val="24"/>
        </w:rPr>
        <w:t>g</w:t>
      </w:r>
      <w:r w:rsidRPr="00576ED7">
        <w:rPr>
          <w:szCs w:val="24"/>
        </w:rPr>
        <w:t>nition event.  Was Congress right to reverse the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Mr. Davis would have benefited from § 1041.  Exactly how does § 1041 affect Mrs. Davis’s basis in her inchoate marital rights?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Dissolution of marriage is a matter of state law.  Often, the Code yields to state law in such matters as status, property ownership, and legal duties.  Why should the Code (so forcefully) intervene in determining whether payments between ex-spouses are alimony, child support, or property settlement?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Can you argue that the holding of Revenue Ruling 93-27 is incorrect?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What should happen if H and W jointly own all of the stock of a corporation </w:t>
      </w:r>
      <w:r w:rsidRPr="00576ED7">
        <w:rPr>
          <w:szCs w:val="24"/>
        </w:rPr>
        <w:lastRenderedPageBreak/>
        <w:t xml:space="preserve">that owns a McDonald’s franchise.  They divorce.   McDonald’s does not allow divorced spouses to own jointly a franchise.  As part of their property settlement, H and W agree that the </w:t>
      </w:r>
      <w:r w:rsidRPr="00576ED7">
        <w:rPr>
          <w:i/>
          <w:szCs w:val="24"/>
        </w:rPr>
        <w:t>corporation</w:t>
      </w:r>
      <w:r w:rsidRPr="00576ED7">
        <w:rPr>
          <w:szCs w:val="24"/>
        </w:rPr>
        <w:t xml:space="preserve"> will redeem W’s stock.  For this, W must pay tax on the gain.  In reaching this agreement, the parties carefully considered its tax consequences.  Specifically, a large chunk of cash would go to W, and she would pay income tax </w:t>
      </w:r>
      <w:r w:rsidR="00246B58">
        <w:rPr>
          <w:szCs w:val="24"/>
        </w:rPr>
        <w:t xml:space="preserve">at the </w:t>
      </w:r>
      <w:r w:rsidRPr="00576ED7">
        <w:rPr>
          <w:szCs w:val="24"/>
        </w:rPr>
        <w:t xml:space="preserve">capital gains rate – much lower than </w:t>
      </w:r>
      <w:r w:rsidR="00246B58">
        <w:rPr>
          <w:szCs w:val="24"/>
        </w:rPr>
        <w:t xml:space="preserve">the tax rate </w:t>
      </w:r>
      <w:r w:rsidRPr="00576ED7">
        <w:rPr>
          <w:szCs w:val="24"/>
        </w:rPr>
        <w:t>on ordinary income</w:t>
      </w:r>
      <w:r w:rsidR="00246B58">
        <w:rPr>
          <w:szCs w:val="24"/>
        </w:rPr>
        <w:t xml:space="preserve">.  </w:t>
      </w:r>
      <w:r w:rsidRPr="00576ED7">
        <w:rPr>
          <w:szCs w:val="24"/>
        </w:rPr>
        <w:t xml:space="preserve">W decides not to pay the tax on the gain and to argue in court that the corporation, a third party, was paying the property settlement obligation of H.  Hence, </w:t>
      </w:r>
      <w:r w:rsidRPr="00576ED7">
        <w:rPr>
          <w:i/>
          <w:szCs w:val="24"/>
        </w:rPr>
        <w:t>he</w:t>
      </w:r>
      <w:r w:rsidRPr="00576ED7">
        <w:rPr>
          <w:szCs w:val="24"/>
        </w:rPr>
        <w:t xml:space="preserve"> should be subject to income tax on dividend income.  What result? </w:t>
      </w:r>
      <w:r w:rsidRPr="00576ED7">
        <w:rPr>
          <w:i/>
          <w:szCs w:val="24"/>
        </w:rPr>
        <w:t>See</w:t>
      </w:r>
      <w:r w:rsidRPr="00576ED7">
        <w:rPr>
          <w:szCs w:val="24"/>
        </w:rPr>
        <w:t xml:space="preserve"> </w:t>
      </w:r>
      <w:r w:rsidRPr="00576ED7">
        <w:rPr>
          <w:i/>
          <w:szCs w:val="24"/>
        </w:rPr>
        <w:t>Arnes v. United States</w:t>
      </w:r>
      <w:r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Pr="00576ED7">
        <w:rPr>
          <w:szCs w:val="24"/>
        </w:rPr>
        <w:t xml:space="preserve">1992) and </w:t>
      </w:r>
      <w:r w:rsidRPr="00576ED7">
        <w:rPr>
          <w:i/>
          <w:szCs w:val="24"/>
        </w:rPr>
        <w:t>Commissioner v. Arnes</w:t>
      </w:r>
      <w:r w:rsidRPr="00576ED7">
        <w:rPr>
          <w:szCs w:val="24"/>
        </w:rPr>
        <w:t>, 102 T.C. 522 (1994).</w:t>
      </w:r>
      <w:r w:rsidR="00246B58">
        <w:rPr>
          <w:szCs w:val="24"/>
        </w:rPr>
        <w:t xml:space="preserve">  What is the effect of Reg. § 1.1041-2</w:t>
      </w:r>
      <w:r w:rsidR="00546324">
        <w:rPr>
          <w:szCs w:val="24"/>
        </w:rPr>
        <w:t>(c)</w:t>
      </w:r>
      <w:r w:rsidR="00246B58">
        <w:rPr>
          <w:szCs w:val="24"/>
        </w:rPr>
        <w:t>?</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AB61A1">
      <w:pPr>
        <w:pStyle w:val="Heading2"/>
      </w:pPr>
      <w:r w:rsidRPr="00576ED7">
        <w:lastRenderedPageBreak/>
        <w:fldChar w:fldCharType="end"/>
      </w:r>
      <w:bookmarkStart w:id="73" w:name="_Toc375132960"/>
      <w:r w:rsidRPr="00576ED7">
        <w:t>Chapter 9: Timing of Income and Deductions: Annual Accounting and Accounting Principles</w:t>
      </w:r>
      <w:bookmarkEnd w:id="73"/>
      <w:r w:rsidRPr="00576ED7">
        <w:fldChar w:fldCharType="begin"/>
      </w:r>
      <w:r w:rsidRPr="00576ED7">
        <w:instrText xml:space="preserve"> TC \l1 "Chapter 9: Timing of Income and Deductions: Annual Accounting and Accounting Principles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3562DA" w:rsidP="00910345">
      <w:pPr>
        <w:pStyle w:val="Heading3"/>
      </w:pPr>
      <w:bookmarkStart w:id="74" w:name="_Toc375132961"/>
      <w:r w:rsidRPr="00576ED7">
        <w:rPr>
          <w:noProof/>
        </w:rPr>
        <mc:AlternateContent>
          <mc:Choice Requires="wps">
            <w:drawing>
              <wp:anchor distT="152400" distB="152400" distL="152400" distR="152400" simplePos="0" relativeHeight="251691008" behindDoc="0" locked="0" layoutInCell="0" allowOverlap="1" wp14:anchorId="764F4CDE" wp14:editId="5B44DF6D">
                <wp:simplePos x="0" y="0"/>
                <wp:positionH relativeFrom="margin">
                  <wp:posOffset>84455</wp:posOffset>
                </wp:positionH>
                <wp:positionV relativeFrom="paragraph">
                  <wp:posOffset>617220</wp:posOffset>
                </wp:positionV>
                <wp:extent cx="1835150" cy="3284220"/>
                <wp:effectExtent l="0" t="0" r="12700" b="11430"/>
                <wp:wrapSquare wrapText="largest"/>
                <wp:docPr id="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8422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 62 deductions</w:t>
                            </w:r>
                          </w:p>
                          <w:p w:rsidR="00FF5E72" w:rsidRDefault="00FF5E72" w:rsidP="00BF5F03">
                            <w:pPr>
                              <w:widowControl w:val="0"/>
                              <w:jc w:val="both"/>
                              <w:rPr>
                                <w:rFonts w:ascii="Tw Cen MT" w:hAnsi="Tw Cen MT"/>
                              </w:rPr>
                            </w:pPr>
                            <w:r>
                              <w:rPr>
                                <w:rFonts w:ascii="Tw Cen MT" w:hAnsi="Tw Cen MT"/>
                              </w:rPr>
                              <w:t>EQUALS (adjusted gross income (AGI))</w:t>
                            </w:r>
                          </w:p>
                          <w:p w:rsidR="00FF5E72" w:rsidRDefault="00FF5E72"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FF5E72" w:rsidRDefault="00FF5E72"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6" type="#_x0000_t202" style="position:absolute;margin-left:6.65pt;margin-top:48.6pt;width:144.5pt;height:258.6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sKwIAAFwEAAAOAAAAZHJzL2Uyb0RvYy54bWysVNtu2zAMfR+wfxD0vjhx0yQz4hRdugwD&#10;ugvQ7gNkWbaFSaImKbGzrx8lp2nQbS/D/CCIEnV4eEh6fTNoRQ7CeQmmpLPJlBJhONTStCX99rh7&#10;s6LEB2ZqpsCIkh6Fpzeb16/WvS1EDh2oWjiCIMYXvS1pF4ItsszzTmjmJ2CFwcsGnGYBTddmtWM9&#10;omuV5dPpIuvB1dYBF97j6d14STcJv2kED1+axotAVEmRW0irS2sV12yzZkXrmO0kP9Fg/8BCM2kw&#10;6BnqjgVG9k7+BqUld+ChCRMOOoOmkVykHDCb2fRFNg8dsyLlguJ4e5bJ/z9Y/vnw1RFZl3S+oMQw&#10;jTV6FEMg72Agy3nUp7e+QLcHi45hwHOsc8rV23vg3z0xsO2YacWtc9B3gtXIbxZfZhdPRxwfQar+&#10;E9QYh+0DJKChcTqKh3IQRMc6Hc+1iVx4DLm6up5d4xXHu6t8Nc/zVL2MFU/PrfPhgwBN4qakDouf&#10;4Nnh3odIhxVPLjGaByXrnVQqGa6ttsqRA8NG2aUvZfDCTRnSI5d89jYfJfgrxjR9f8LQMmDLK6lL&#10;ujo7sSIK997UqSEDk2rcI2dlTkpG8UYZw1ANqWjLpEGUuYL6iNo6GFscRxI3HbiflPTY3iX1P/bM&#10;CUrUR4P1WS5wenAeLg13aVSXBjMcoUoaKBm32zDO0N462XYYaewIA7dY00YmtZ9ZnfhjC6cinMYt&#10;zsilnbyefwqbXwAAAP//AwBQSwMEFAAGAAgAAAAhAOHraYvcAAAACQEAAA8AAABkcnMvZG93bnJl&#10;di54bWxMj8FOwzAQRO9I/IO1SNyo06QqNMSpUCTuTQDB0Y23cUS8DrHbhL9nOcFxdkazb4r94gZx&#10;wSn0nhSsVwkIpNabnjoFry/Pdw8gQtRk9OAJFXxjgH15fVXo3PiZarw0sRNcQiHXCmyMYy5laC06&#10;HVZ+RGLv5CenI8upk2bSM5e7QaZJspVO98QfrB6xsth+NmenwNd19ZY2X4f3ajZVNx+WOH5YpW5v&#10;lqdHEBGX+BeGX3xGh5KZjv5MJoiBdZZxUsHuPgXBfpakfDgq2K43G5BlIf8vKH8AAAD//wMAUEsB&#10;Ai0AFAAGAAgAAAAhALaDOJL+AAAA4QEAABMAAAAAAAAAAAAAAAAAAAAAAFtDb250ZW50X1R5cGVz&#10;XS54bWxQSwECLQAUAAYACAAAACEAOP0h/9YAAACUAQAACwAAAAAAAAAAAAAAAAAvAQAAX3JlbHMv&#10;LnJlbHNQSwECLQAUAAYACAAAACEAXRE47CsCAABcBAAADgAAAAAAAAAAAAAAAAAuAgAAZHJzL2Uy&#10;b0RvYy54bWxQSwECLQAUAAYACAAAACEA4etpi9wAAAAJAQAADwAAAAAAAAAAAAAAAACF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 62 deductions</w:t>
                      </w:r>
                    </w:p>
                    <w:p w:rsidR="00FF5E72" w:rsidRDefault="00FF5E72" w:rsidP="00BF5F03">
                      <w:pPr>
                        <w:widowControl w:val="0"/>
                        <w:jc w:val="both"/>
                        <w:rPr>
                          <w:rFonts w:ascii="Tw Cen MT" w:hAnsi="Tw Cen MT"/>
                        </w:rPr>
                      </w:pPr>
                      <w:r>
                        <w:rPr>
                          <w:rFonts w:ascii="Tw Cen MT" w:hAnsi="Tw Cen MT"/>
                        </w:rPr>
                        <w:t>EQUALS (adjusted gross income (AGI))</w:t>
                      </w:r>
                    </w:p>
                    <w:p w:rsidR="00FF5E72" w:rsidRDefault="00FF5E72" w:rsidP="00BF5F03">
                      <w:pPr>
                        <w:widowControl w:val="0"/>
                        <w:jc w:val="both"/>
                        <w:rPr>
                          <w:rFonts w:ascii="Tw Cen MT" w:hAnsi="Tw Cen MT"/>
                        </w:rPr>
                      </w:pPr>
                      <w:r>
                        <w:rPr>
                          <w:rFonts w:ascii="Tw Cen MT" w:hAnsi="Tw Cen MT"/>
                        </w:rPr>
                        <w:t>➔MINUS (standard dedu</w:t>
                      </w:r>
                      <w:r>
                        <w:rPr>
                          <w:rFonts w:ascii="Tw Cen MT" w:hAnsi="Tw Cen MT"/>
                        </w:rPr>
                        <w:t>c</w:t>
                      </w:r>
                      <w:r>
                        <w:rPr>
                          <w:rFonts w:ascii="Tw Cen MT" w:hAnsi="Tw Cen MT"/>
                        </w:rPr>
                        <w:t>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w:t>
                      </w:r>
                      <w:r>
                        <w:rPr>
                          <w:rFonts w:ascii="Tw Cen MT" w:hAnsi="Tw Cen MT"/>
                        </w:rPr>
                        <w:t>p</w:t>
                      </w:r>
                      <w:r>
                        <w:rPr>
                          <w:rFonts w:ascii="Tw Cen MT" w:hAnsi="Tw Cen MT"/>
                        </w:rPr>
                        <w:t>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w:t>
                      </w:r>
                      <w:r>
                        <w:rPr>
                          <w:rFonts w:ascii="Tw Cen MT" w:hAnsi="Tw Cen MT"/>
                        </w:rPr>
                        <w:t>l</w:t>
                      </w:r>
                      <w:r>
                        <w:rPr>
                          <w:rFonts w:ascii="Tw Cen MT" w:hAnsi="Tw Cen MT"/>
                        </w:rPr>
                        <w:t>ity from tables in § 1 (i</w:t>
                      </w:r>
                      <w:r>
                        <w:rPr>
                          <w:rFonts w:ascii="Tw Cen MT" w:hAnsi="Tw Cen MT"/>
                        </w:rPr>
                        <w:t>n</w:t>
                      </w:r>
                      <w:r>
                        <w:rPr>
                          <w:rFonts w:ascii="Tw Cen MT" w:hAnsi="Tw Cen MT"/>
                        </w:rPr>
                        <w:t>dexed for inflation)</w:t>
                      </w:r>
                    </w:p>
                    <w:p w:rsidR="00FF5E72" w:rsidRDefault="00FF5E72"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t>I.  Annual Accounting</w:t>
      </w:r>
      <w:bookmarkEnd w:id="74"/>
      <w:r w:rsidR="0049128E" w:rsidRPr="00576ED7">
        <w:fldChar w:fldCharType="begin"/>
      </w:r>
      <w:r w:rsidR="0049128E" w:rsidRPr="00576ED7">
        <w:instrText xml:space="preserve"> TC \l1 "I.  Annual Accounting</w:instrText>
      </w:r>
      <w:r w:rsidR="0049128E"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w:t>
      </w:r>
      <w:r w:rsidRPr="00576ED7">
        <w:rPr>
          <w:i/>
          <w:szCs w:val="24"/>
        </w:rPr>
        <w:t>Glenshaw Glass</w:t>
      </w:r>
      <w:r w:rsidRPr="00576ED7">
        <w:rPr>
          <w:szCs w:val="24"/>
        </w:rPr>
        <w:t xml:space="preserve"> (chapter 2, </w:t>
      </w:r>
      <w:r w:rsidRPr="00576ED7">
        <w:rPr>
          <w:i/>
          <w:szCs w:val="24"/>
        </w:rPr>
        <w:t>supra</w:t>
      </w:r>
      <w:r w:rsidRPr="00576ED7">
        <w:rPr>
          <w:szCs w:val="24"/>
        </w:rPr>
        <w:t xml:space="preserve">), we know that one element of “gross income” that taxpayer must recognize is that the taxpayer must have dominion and control of it.  After </w:t>
      </w:r>
      <w:r w:rsidRPr="00576ED7">
        <w:rPr>
          <w:i/>
          <w:szCs w:val="24"/>
        </w:rPr>
        <w:t>Cottage Savings &amp; Loan</w:t>
      </w:r>
      <w:r w:rsidRPr="00576ED7">
        <w:rPr>
          <w:szCs w:val="24"/>
        </w:rPr>
        <w:t xml:space="preserve"> (chapter 2, </w:t>
      </w:r>
      <w:r w:rsidRPr="00576ED7">
        <w:rPr>
          <w:i/>
          <w:szCs w:val="24"/>
        </w:rPr>
        <w:t>supra</w:t>
      </w:r>
      <w:r w:rsidRPr="00576ED7">
        <w:rPr>
          <w:szCs w:val="24"/>
        </w:rPr>
        <w:t>), we are aware that a realization requirement applies to deductions as well as to income.  It is not a</w:t>
      </w:r>
      <w:r w:rsidRPr="00576ED7">
        <w:rPr>
          <w:szCs w:val="24"/>
        </w:rPr>
        <w:t>l</w:t>
      </w:r>
      <w:r w:rsidRPr="00576ED7">
        <w:rPr>
          <w:szCs w:val="24"/>
        </w:rPr>
        <w:t xml:space="preserve">ways obvious </w:t>
      </w:r>
      <w:r w:rsidR="001B38FA">
        <w:rPr>
          <w:szCs w:val="24"/>
        </w:rPr>
        <w:t xml:space="preserve">just exactly when taxpayer has dominion and control.  </w:t>
      </w:r>
      <w:r w:rsidRPr="00576ED7">
        <w:rPr>
          <w:szCs w:val="24"/>
        </w:rPr>
        <w:t>Consider some possible problematic scenarios:</w:t>
      </w:r>
    </w:p>
    <w:p w:rsidR="0049128E" w:rsidRPr="00576ED7" w:rsidRDefault="0049128E" w:rsidP="00A6585D">
      <w:pPr>
        <w:widowControl w:val="0"/>
        <w:ind w:left="3983"/>
        <w:jc w:val="both"/>
        <w:rPr>
          <w:szCs w:val="24"/>
        </w:rPr>
      </w:pPr>
      <w:r w:rsidRPr="00576ED7">
        <w:rPr>
          <w:szCs w:val="24"/>
        </w:rPr>
        <w:t>•Taxpayer has “dominion and control” over money that clearly would count as “gross income” but in a subsequent year learns that s/he must give the money back.</w:t>
      </w:r>
    </w:p>
    <w:p w:rsidR="0049128E" w:rsidRPr="00576ED7" w:rsidRDefault="00C007EA" w:rsidP="00A6585D">
      <w:pPr>
        <w:widowControl w:val="0"/>
        <w:ind w:left="720" w:hanging="720"/>
        <w:jc w:val="both"/>
        <w:rPr>
          <w:szCs w:val="24"/>
        </w:rPr>
      </w:pPr>
      <w:r w:rsidRPr="00576ED7">
        <w:rPr>
          <w:noProof/>
          <w:szCs w:val="24"/>
        </w:rPr>
        <mc:AlternateContent>
          <mc:Choice Requires="wps">
            <w:drawing>
              <wp:anchor distT="152400" distB="152400" distL="152400" distR="152400" simplePos="0" relativeHeight="251692032" behindDoc="0" locked="0" layoutInCell="0" allowOverlap="1" wp14:anchorId="7C3C3F52" wp14:editId="2E562E1E">
                <wp:simplePos x="0" y="0"/>
                <wp:positionH relativeFrom="margin">
                  <wp:posOffset>80010</wp:posOffset>
                </wp:positionH>
                <wp:positionV relativeFrom="paragraph">
                  <wp:posOffset>746125</wp:posOffset>
                </wp:positionV>
                <wp:extent cx="3382010" cy="2032635"/>
                <wp:effectExtent l="0" t="0" r="27940" b="24765"/>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032635"/>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7" type="#_x0000_t202" style="position:absolute;left:0;text-align:left;margin-left:6.3pt;margin-top:58.75pt;width:266.3pt;height:160.05pt;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cfKgIAAFwEAAAOAAAAZHJzL2Uyb0RvYy54bWysVNtu2zAMfR+wfxD0vthx1iQz4hRdugwD&#10;ugvQ7gNkWY6FSaImKbGzry8lp2nQbS/D/CCIEnV4eEh6dT1oRQ7CeQmmotNJTokwHBppdhX9/rB9&#10;s6TEB2YapsCIih6Fp9fr169WvS1FAR2oRjiCIMaXva1oF4Its8zzTmjmJ2CFwcsWnGYBTbfLGsd6&#10;RNcqK/J8nvXgGuuAC+/x9Ha8pOuE37aCh69t60UgqqLILaTVpbWOa7ZesXLnmO0kP9Fg/8BCM2kw&#10;6BnqlgVG9k7+BqUld+ChDRMOOoO2lVykHDCbaf4im/uOWZFyQXG8Pcvk/x8s/3L45ohsKvr2ihLD&#10;NNboQQyBvIeBLK6iPr31JbrdW3QMA55jnVOu3t4B/+GJgU3HzE7cOAd9J1iD/KbxZXbxdMTxEaTu&#10;P0ODcdg+QAIaWqejeCgHQXSs0/Fcm8iF4+FstowKUcLxrshnxXyW2GWsfHpunQ8fBWgSNxV1WPwE&#10;zw53PkQ6rHxyidE8KNlspVLJcLt6oxw5MGyUbfpSBi/clCE9JldM3xWjBH/FyNP3JwwtA7a8krqi&#10;y7MTK6NwH0yTGjIwqcY9clbmpGQUb5QxDPWQirZIOkeZa2iOqK2DscVxJHHTgftFSY/tXVH/c8+c&#10;oER9MlifxRynB+fh0nCXRn1pMMMRqqKBknG7CeMM7a2Tuw4jjR1h4AZr2sqk9jOrE39s4VSE07jF&#10;Gbm0k9fzT2H9CAAA//8DAFBLAwQUAAYACAAAACEArQdhnN0AAAAKAQAADwAAAGRycy9kb3ducmV2&#10;LnhtbEyPwU6DQBCG7ya+w2ZMvNmlWKihLI0h8V6wRo9bdgpEdhbZbcG3dzzpafJnvvzzTb5f7CCu&#10;OPnekYL1KgKB1DjTU6vg+Pry8ATCB01GD45QwTd62Be3N7nOjJupwmsdWsEl5DOtoAthzKT0TYdW&#10;+5UbkXh3dpPVgePUSjPpmcvtIOMoSqXVPfGFTo9Ydth81herwFVV+RbXX4f3cjZlOx+WMH50St3f&#10;Lc87EAGX8AfDrz6rQ8FOJ3ch48XAOU6Z5LneJiAYSDZJDOKkYPO4TUEWufz/QvEDAAD//wMAUEsB&#10;Ai0AFAAGAAgAAAAhALaDOJL+AAAA4QEAABMAAAAAAAAAAAAAAAAAAAAAAFtDb250ZW50X1R5cGVz&#10;XS54bWxQSwECLQAUAAYACAAAACEAOP0h/9YAAACUAQAACwAAAAAAAAAAAAAAAAAvAQAAX3JlbHMv&#10;LnJlbHNQSwECLQAUAAYACAAAACEANJdnHyoCAABcBAAADgAAAAAAAAAAAAAAAAAuAgAAZHJzL2Uy&#10;b0RvYy54bWxQSwECLQAUAAYACAAAACEArQdhnN0AAAAKAQAADwAAAAAAAAAAAAAAAACE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FF5E72" w:rsidRDefault="00FF5E72" w:rsidP="00BF5F03">
                      <w:pPr>
                        <w:widowControl w:val="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w:t>
                      </w:r>
                      <w:r>
                        <w:rPr>
                          <w:rFonts w:ascii="Tw Cen MT" w:hAnsi="Tw Cen MT"/>
                        </w:rPr>
                        <w:t>n</w:t>
                      </w:r>
                      <w:r>
                        <w:rPr>
                          <w:rFonts w:ascii="Tw Cen MT" w:hAnsi="Tw Cen MT"/>
                        </w:rPr>
                        <w:t>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 xml:space="preserve">•Taxpayer has “dominion and control” over money but knows that s/he </w:t>
      </w:r>
      <w:r w:rsidR="0049128E" w:rsidRPr="00576ED7">
        <w:rPr>
          <w:i/>
          <w:szCs w:val="24"/>
        </w:rPr>
        <w:t>might</w:t>
      </w:r>
      <w:r w:rsidR="0049128E" w:rsidRPr="00576ED7">
        <w:rPr>
          <w:szCs w:val="24"/>
        </w:rPr>
        <w:t xml:space="preserve"> have to return it if certain contingencies occur.  For example, taxpayer has been paid money but the judgment on which his/her receipt of money was based has been appealed.  Ta</w:t>
      </w:r>
      <w:r w:rsidR="0049128E" w:rsidRPr="00576ED7">
        <w:rPr>
          <w:szCs w:val="24"/>
        </w:rPr>
        <w:t>x</w:t>
      </w:r>
      <w:r w:rsidR="0049128E" w:rsidRPr="00576ED7">
        <w:rPr>
          <w:szCs w:val="24"/>
        </w:rPr>
        <w:t>payer might lose the appeal and have to return the money.  In the meantime, taxpa</w:t>
      </w:r>
      <w:r w:rsidR="0049128E" w:rsidRPr="00576ED7">
        <w:rPr>
          <w:szCs w:val="24"/>
        </w:rPr>
        <w:t>y</w:t>
      </w:r>
      <w:r w:rsidR="0049128E" w:rsidRPr="00576ED7">
        <w:rPr>
          <w:szCs w:val="24"/>
        </w:rPr>
        <w:t>er ma</w:t>
      </w:r>
      <w:r w:rsidR="003A5099" w:rsidRPr="00576ED7">
        <w:rPr>
          <w:szCs w:val="24"/>
        </w:rPr>
        <w:t>y spend the money any</w:t>
      </w:r>
      <w:r w:rsidR="0049128E" w:rsidRPr="00576ED7">
        <w:rPr>
          <w:szCs w:val="24"/>
        </w:rPr>
        <w:t xml:space="preserve">way s/he </w:t>
      </w:r>
      <w:r w:rsidR="0049128E" w:rsidRPr="00576ED7">
        <w:rPr>
          <w:szCs w:val="24"/>
        </w:rPr>
        <w:lastRenderedPageBreak/>
        <w:t>chooses.</w:t>
      </w:r>
    </w:p>
    <w:p w:rsidR="0049128E" w:rsidRPr="00576ED7" w:rsidRDefault="0049128E" w:rsidP="00A6585D">
      <w:pPr>
        <w:widowControl w:val="0"/>
        <w:ind w:left="720"/>
        <w:jc w:val="both"/>
        <w:rPr>
          <w:szCs w:val="24"/>
        </w:rPr>
      </w:pPr>
      <w:r w:rsidRPr="00576ED7">
        <w:rPr>
          <w:szCs w:val="24"/>
        </w:rPr>
        <w:t>•Taxpayer has entered into a contract that calls for various acts of perfo</w:t>
      </w:r>
      <w:r w:rsidRPr="00576ED7">
        <w:rPr>
          <w:szCs w:val="24"/>
        </w:rPr>
        <w:t>r</w:t>
      </w:r>
      <w:r w:rsidRPr="00576ED7">
        <w:rPr>
          <w:szCs w:val="24"/>
        </w:rPr>
        <w:t>mance to occur over more than one year, perhaps many years.  The ta</w:t>
      </w:r>
      <w:r w:rsidRPr="00576ED7">
        <w:rPr>
          <w:szCs w:val="24"/>
        </w:rPr>
        <w:t>x</w:t>
      </w:r>
      <w:r w:rsidRPr="00576ED7">
        <w:rPr>
          <w:szCs w:val="24"/>
        </w:rPr>
        <w:t>payer pays expenses in some years and receives payments in some years.  However, in any given year, there is no matching of expenditures and r</w:t>
      </w:r>
      <w:r w:rsidRPr="00576ED7">
        <w:rPr>
          <w:szCs w:val="24"/>
        </w:rPr>
        <w:t>e</w:t>
      </w:r>
      <w:r w:rsidRPr="00576ED7">
        <w:rPr>
          <w:szCs w:val="24"/>
        </w:rPr>
        <w:t xml:space="preserve">ceipts by </w:t>
      </w:r>
      <w:r w:rsidRPr="00576ED7">
        <w:rPr>
          <w:i/>
          <w:szCs w:val="24"/>
        </w:rPr>
        <w:t>transaction</w:t>
      </w:r>
      <w:r w:rsidR="003A5099" w:rsidRPr="00576ED7">
        <w:rPr>
          <w:i/>
          <w:szCs w:val="24"/>
        </w:rPr>
        <w:t xml:space="preserve">. </w:t>
      </w:r>
      <w:r w:rsidRPr="00576ED7">
        <w:rPr>
          <w:szCs w:val="24"/>
        </w:rPr>
        <w:t xml:space="preserve">In some years, expenses are very high; in other years receipts are very high.  When taxpayer does receive money, s/he may spend it any </w:t>
      </w:r>
      <w:r w:rsidR="0044345A">
        <w:rPr>
          <w:szCs w:val="24"/>
        </w:rPr>
        <w:t xml:space="preserve">way </w:t>
      </w:r>
      <w:r w:rsidRPr="00576ED7">
        <w:rPr>
          <w:szCs w:val="24"/>
        </w:rPr>
        <w:t>s/he chooses.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Internal Revenue Code requires taxpayers to compute their taxable income annually.  </w:t>
      </w:r>
      <w:r w:rsidRPr="00576ED7">
        <w:rPr>
          <w:i/>
          <w:szCs w:val="24"/>
        </w:rPr>
        <w:t>See</w:t>
      </w:r>
      <w:r w:rsidRPr="00576ED7">
        <w:rPr>
          <w:szCs w:val="24"/>
        </w:rPr>
        <w:t xml:space="preserve"> § 441.  This can prove to be quite inconvenient for a taxpayer – and even a bit misleading if we apply this principle to the third scenario above, i.e., where taxpayer enters into a contract calling for performance over a long period of time.  Should there be any principle by which we can mitigate the failure to match the expenses and income derived from a particular </w:t>
      </w:r>
      <w:r w:rsidRPr="00576ED7">
        <w:rPr>
          <w:i/>
          <w:szCs w:val="24"/>
        </w:rPr>
        <w:t>transaction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w:t>
      </w:r>
      <w:r w:rsidRPr="00576ED7">
        <w:rPr>
          <w:szCs w:val="24"/>
        </w:rPr>
        <w:t>x</w:t>
      </w:r>
      <w:r w:rsidRPr="00576ED7">
        <w:rPr>
          <w:szCs w:val="24"/>
        </w:rPr>
        <w:t>es for the year 1920.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w:t>
      </w:r>
      <w:r w:rsidRPr="00576ED7">
        <w:rPr>
          <w:szCs w:val="24"/>
        </w:rPr>
        <w:t>e</w:t>
      </w:r>
      <w:r w:rsidRPr="00576ED7">
        <w:rPr>
          <w:szCs w:val="24"/>
        </w:rPr>
        <w:t>spondent added to gross income for each year the payments made under the co</w:t>
      </w:r>
      <w:r w:rsidRPr="00576ED7">
        <w:rPr>
          <w:szCs w:val="24"/>
        </w:rPr>
        <w:t>n</w:t>
      </w:r>
      <w:r w:rsidRPr="00576ED7">
        <w:rPr>
          <w:szCs w:val="24"/>
        </w:rPr>
        <w:t>tract that year, and deducted its expenses paid that year in performing the co</w:t>
      </w:r>
      <w:r w:rsidRPr="00576ED7">
        <w:rPr>
          <w:szCs w:val="24"/>
        </w:rPr>
        <w:t>n</w:t>
      </w:r>
      <w:r w:rsidRPr="00576ED7">
        <w:rPr>
          <w:szCs w:val="24"/>
        </w:rPr>
        <w:t>tract. The total expenses exceeded the payments received by $176,271.88. The tax returns for 1913, 1915, and 1916 showed net losses. That for 1914 showed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1915, work under the contract was abandoned, and in 1916 suit was brought in the Court of Claims to recover for a breach of warranty of the character of the m</w:t>
      </w:r>
      <w:r w:rsidRPr="00576ED7">
        <w:rPr>
          <w:szCs w:val="24"/>
        </w:rPr>
        <w:t>a</w:t>
      </w:r>
      <w:r w:rsidRPr="00576ED7">
        <w:rPr>
          <w:szCs w:val="24"/>
        </w:rPr>
        <w:lastRenderedPageBreak/>
        <w:t xml:space="preserve">terial to be dredged. Judgment for the claimant was affirmed by this Court in 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w:t>
      </w:r>
      <w:r w:rsidRPr="00576ED7">
        <w:rPr>
          <w:szCs w:val="24"/>
        </w:rPr>
        <w:t>e</w:t>
      </w:r>
      <w:r w:rsidRPr="00576ED7">
        <w:rPr>
          <w:szCs w:val="24"/>
        </w:rPr>
        <w:t>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respondent’s contention that only gain or profit may be taxed under the Si</w:t>
      </w:r>
      <w:r w:rsidRPr="00576ED7">
        <w:rPr>
          <w:szCs w:val="24"/>
        </w:rPr>
        <w:t>x</w:t>
      </w:r>
      <w:r w:rsidRPr="00576ED7">
        <w:rPr>
          <w:szCs w:val="24"/>
        </w:rPr>
        <w:t xml:space="preserve">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w:t>
      </w:r>
      <w:r w:rsidRPr="00576ED7">
        <w:rPr>
          <w:szCs w:val="24"/>
        </w:rPr>
        <w:t>x</w:t>
      </w:r>
      <w:r w:rsidRPr="00576ED7">
        <w:rPr>
          <w:szCs w:val="24"/>
        </w:rPr>
        <w:t>payer when they are brought to a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t>
      </w:r>
      <w:r w:rsidRPr="00576ED7">
        <w:rPr>
          <w:szCs w:val="24"/>
        </w:rPr>
        <w:t>w</w:t>
      </w:r>
      <w:r w:rsidRPr="00576ED7">
        <w:rPr>
          <w:szCs w:val="24"/>
        </w:rPr>
        <w:t>ing the net result of all the taxpayer’s transactions during a fixed accounting per</w:t>
      </w:r>
      <w:r w:rsidRPr="00576ED7">
        <w:rPr>
          <w:szCs w:val="24"/>
        </w:rPr>
        <w:t>i</w:t>
      </w:r>
      <w:r w:rsidRPr="00576ED7">
        <w:rPr>
          <w:szCs w:val="24"/>
        </w:rPr>
        <w:t>od, either the calendar year or, at the option of the taxpayer, the particular fiscal year which he may adopt. Under ... the Revenue Act of 1918, 40 Stat. 1057, r</w:t>
      </w:r>
      <w:r w:rsidRPr="00576ED7">
        <w:rPr>
          <w:szCs w:val="24"/>
        </w:rPr>
        <w:t>e</w:t>
      </w:r>
      <w:r w:rsidRPr="00576ED7">
        <w:rPr>
          <w:szCs w:val="24"/>
        </w:rPr>
        <w:t xml:space="preserve">spondent was subject to tax upon its annual net income, arrived at by deducting from gross income for each taxable year all the ordinary and necessary expenses </w:t>
      </w:r>
      <w:r w:rsidRPr="00576ED7">
        <w:rPr>
          <w:szCs w:val="24"/>
        </w:rPr>
        <w:lastRenderedPageBreak/>
        <w:t>paid during that year in carrying on any trade or business, interest and taxes paid, and losses sustained, during the year. ... [G]ross income</w:t>
      </w:r>
      <w:r w:rsidR="0044345A">
        <w:rPr>
          <w:szCs w:val="24"/>
        </w:rPr>
        <w:t xml:space="preserve"> </w:t>
      </w:r>
      <w:r w:rsidRPr="00576ED7">
        <w:rPr>
          <w:szCs w:val="24"/>
        </w:rPr>
        <w:t>“includes ... income d</w:t>
      </w:r>
      <w:r w:rsidRPr="00576ED7">
        <w:rPr>
          <w:szCs w:val="24"/>
        </w:rPr>
        <w:t>e</w:t>
      </w:r>
      <w:r w:rsidRPr="00576ED7">
        <w:rPr>
          <w:szCs w:val="24"/>
        </w:rPr>
        <w:t>rived from ... business ... or the transaction of any business carried on for gain or profit, or gains or profits and income derived from any source whatever.”</w:t>
      </w:r>
      <w:r w:rsidR="0044345A">
        <w:rPr>
          <w:szCs w:val="24"/>
        </w:rPr>
        <w:t xml:space="preserve">  </w:t>
      </w:r>
      <w:r w:rsidRPr="00576ED7">
        <w:rPr>
          <w:szCs w:val="24"/>
        </w:rPr>
        <w:t>The amount of all such items is required to be included in the gross income for the taxable year in which received by the taxpayer, unless they may be properly a</w:t>
      </w:r>
      <w:r w:rsidRPr="00576ED7">
        <w:rPr>
          <w:szCs w:val="24"/>
        </w:rPr>
        <w:t>c</w:t>
      </w:r>
      <w:r w:rsidRPr="00576ED7">
        <w:rPr>
          <w:szCs w:val="24"/>
        </w:rPr>
        <w:t xml:space="preserve">counted for on the accrual basis under § 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w:t>
      </w:r>
      <w:r w:rsidRPr="00576ED7">
        <w:rPr>
          <w:szCs w:val="24"/>
        </w:rPr>
        <w:t>p</w:t>
      </w:r>
      <w:r w:rsidRPr="00576ED7">
        <w:rPr>
          <w:szCs w:val="24"/>
        </w:rPr>
        <w:t xml:space="preserve">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That such receipts from the conduct of a business enterprise are to be included in the taxpayer’s return as a part of gross income, regardless of whether the partic</w:t>
      </w:r>
      <w:r w:rsidRPr="00576ED7">
        <w:rPr>
          <w:szCs w:val="24"/>
        </w:rPr>
        <w:t>u</w:t>
      </w:r>
      <w:r w:rsidRPr="00576ED7">
        <w:rPr>
          <w:szCs w:val="24"/>
        </w:rPr>
        <w:t>lar transaction results in net profit, sufficiently appears from the quoted words of § 213(a) and from the character of the deductions allowed. Only by including these items of gross income in the 1920 return would it have been possible to a</w:t>
      </w:r>
      <w:r w:rsidRPr="00576ED7">
        <w:rPr>
          <w:szCs w:val="24"/>
        </w:rPr>
        <w:t>s</w:t>
      </w:r>
      <w:r w:rsidRPr="00576ED7">
        <w:rPr>
          <w:szCs w:val="24"/>
        </w:rPr>
        <w:t>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w:t>
      </w:r>
      <w:r w:rsidRPr="00576ED7">
        <w:rPr>
          <w:szCs w:val="24"/>
        </w:rPr>
        <w:t>r</w:t>
      </w:r>
      <w:r w:rsidRPr="00576ED7">
        <w:rPr>
          <w:szCs w:val="24"/>
        </w:rPr>
        <w:t xml:space="preserve">mitted by the Sixteenth Amendment, since the particular transaction from which it was derived did not result in any net gain or profit. But we do not think the amendment is to be so narrowly construed. A taxpayer may be in receipt of net </w:t>
      </w:r>
      <w:r w:rsidRPr="00576ED7">
        <w:rPr>
          <w:szCs w:val="24"/>
        </w:rPr>
        <w:lastRenderedPageBreak/>
        <w:t>income in one year and not in another.  The net result of the two years, if co</w:t>
      </w:r>
      <w:r w:rsidRPr="00576ED7">
        <w:rPr>
          <w:szCs w:val="24"/>
        </w:rPr>
        <w:t>m</w:t>
      </w:r>
      <w:r w:rsidRPr="00576ED7">
        <w:rPr>
          <w:szCs w:val="24"/>
        </w:rPr>
        <w:t>bined in a single taxable period, might still be a loss, but it has never been su</w:t>
      </w:r>
      <w:r w:rsidRPr="00576ED7">
        <w:rPr>
          <w:szCs w:val="24"/>
        </w:rPr>
        <w:t>p</w:t>
      </w:r>
      <w:r w:rsidRPr="00576ED7">
        <w:rPr>
          <w:szCs w:val="24"/>
        </w:rPr>
        <w:t>posed that that fact would relieve him from a tax on the first, or that it affords any reason for postponing the assessment of the tax until the end of a lifetime, or for some other indefinite period, to ascertain more precisely whether the final ou</w:t>
      </w:r>
      <w:r w:rsidRPr="00576ED7">
        <w:rPr>
          <w:szCs w:val="24"/>
        </w:rPr>
        <w:t>t</w:t>
      </w:r>
      <w:r w:rsidRPr="00576ED7">
        <w:rPr>
          <w:szCs w:val="24"/>
        </w:rPr>
        <w:t>come of the period, or of a given transaction, will be a gain or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Sixteenth Amendment was adopted to enable the government to raise revenue by taxation. It is the essence of any system of taxation that it should produce re</w:t>
      </w:r>
      <w:r w:rsidRPr="00576ED7">
        <w:rPr>
          <w:szCs w:val="24"/>
        </w:rPr>
        <w:t>v</w:t>
      </w:r>
      <w:r w:rsidRPr="00576ED7">
        <w:rPr>
          <w:szCs w:val="24"/>
        </w:rPr>
        <w:t xml:space="preserve">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w:t>
      </w:r>
      <w:r w:rsidRPr="00576ED7">
        <w:rPr>
          <w:szCs w:val="24"/>
        </w:rPr>
        <w:t>s</w:t>
      </w:r>
      <w:r w:rsidRPr="00576ED7">
        <w:rPr>
          <w:szCs w:val="24"/>
        </w:rPr>
        <w:t>certained results of particular transactions, Congress is not required by the amendment to adopt such a system in preference to the more familiar method, even if it were practicable. It would not necessarily obviate the kind of inequal</w:t>
      </w:r>
      <w:r w:rsidRPr="00576ED7">
        <w:rPr>
          <w:szCs w:val="24"/>
        </w:rPr>
        <w:t>i</w:t>
      </w:r>
      <w:r w:rsidRPr="00576ED7">
        <w:rPr>
          <w:szCs w:val="24"/>
        </w:rPr>
        <w:t>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w:t>
      </w:r>
      <w:r w:rsidRPr="00576ED7">
        <w:rPr>
          <w:szCs w:val="24"/>
        </w:rPr>
        <w:t>m</w:t>
      </w:r>
      <w:r w:rsidRPr="00576ED7">
        <w:rPr>
          <w:szCs w:val="24"/>
        </w:rPr>
        <w:t xml:space="preserve">missioner, make its return upon the basis upon which its books are kept. </w:t>
      </w:r>
      <w:r w:rsidRPr="00576ED7">
        <w:rPr>
          <w:i/>
          <w:szCs w:val="24"/>
        </w:rPr>
        <w:t>See</w:t>
      </w:r>
      <w:r w:rsidRPr="00576ED7">
        <w:rPr>
          <w:szCs w:val="24"/>
        </w:rPr>
        <w:t xml:space="preserve"> </w:t>
      </w:r>
      <w:r w:rsidRPr="00576ED7">
        <w:rPr>
          <w:i/>
          <w:szCs w:val="24"/>
        </w:rPr>
        <w:t>Uni</w:t>
      </w:r>
      <w:r w:rsidRPr="00576ED7">
        <w:rPr>
          <w:i/>
          <w:szCs w:val="24"/>
        </w:rPr>
        <w:t>t</w:t>
      </w:r>
      <w:r w:rsidRPr="00576ED7">
        <w:rPr>
          <w:i/>
          <w:szCs w:val="24"/>
        </w:rPr>
        <w: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w:t>
      </w:r>
      <w:r w:rsidRPr="00576ED7">
        <w:rPr>
          <w:szCs w:val="24"/>
        </w:rPr>
        <w:t>d</w:t>
      </w:r>
      <w:r w:rsidRPr="00576ED7">
        <w:rPr>
          <w:szCs w:val="24"/>
        </w:rPr>
        <w:t>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Taxpayer was a dredger.  It was hired by the government to do some dredging of a channel in the Delaware River.  The Government represented that its probes of the river bottom had shown that the material to be removed was mainly mud and fine sand, but it did not guarantee the accuracy of its findings and indicated that bidders should perform their own tests.  In fact, the Government probes had also revealed the presence of “impenetrable” materials.  This is what caused ta</w:t>
      </w:r>
      <w:r w:rsidRPr="00576ED7">
        <w:rPr>
          <w:szCs w:val="24"/>
        </w:rPr>
        <w:t>x</w:t>
      </w:r>
      <w:r w:rsidRPr="00576ED7">
        <w:rPr>
          <w:szCs w:val="24"/>
        </w:rPr>
        <w:t>payer to cease work on the contract and to sue in the Court of Claims.</w:t>
      </w:r>
    </w:p>
    <w:p w:rsidR="0049128E" w:rsidRPr="00576ED7" w:rsidRDefault="0049128E" w:rsidP="00A6585D">
      <w:pPr>
        <w:widowControl w:val="0"/>
        <w:ind w:left="720"/>
        <w:jc w:val="both"/>
        <w:rPr>
          <w:szCs w:val="24"/>
        </w:rPr>
      </w:pPr>
      <w:r w:rsidRPr="00576ED7">
        <w:rPr>
          <w:szCs w:val="24"/>
        </w:rPr>
        <w:t>•In the absence of tax rules, parties would presumably enter into the most efficient contract possible insofar as matters of payments and performance are concerned.</w:t>
      </w:r>
    </w:p>
    <w:p w:rsidR="0049128E" w:rsidRPr="00576ED7" w:rsidRDefault="0049128E" w:rsidP="00A6585D">
      <w:pPr>
        <w:widowControl w:val="0"/>
        <w:ind w:left="720"/>
        <w:jc w:val="both"/>
        <w:rPr>
          <w:szCs w:val="24"/>
        </w:rPr>
      </w:pPr>
      <w:r w:rsidRPr="00576ED7">
        <w:rPr>
          <w:szCs w:val="24"/>
        </w:rPr>
        <w:t>•Do you think that the holding in this case would affect the terms of future contracts that may require more than one year to perform?</w:t>
      </w:r>
    </w:p>
    <w:p w:rsidR="0049128E" w:rsidRPr="00576ED7" w:rsidRDefault="0049128E" w:rsidP="00A6585D">
      <w:pPr>
        <w:widowControl w:val="0"/>
        <w:ind w:left="720"/>
        <w:jc w:val="both"/>
        <w:rPr>
          <w:szCs w:val="24"/>
        </w:rPr>
      </w:pPr>
      <w:r w:rsidRPr="00576ED7">
        <w:rPr>
          <w:szCs w:val="24"/>
        </w:rPr>
        <w:t>•What exactly was taxpayer’s contention?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Court held out the possibility that taxpayer might keep accounts on the accrual basis or on a percentage-of-completion basis in the case of long-term co</w:t>
      </w:r>
      <w:r w:rsidRPr="00576ED7">
        <w:rPr>
          <w:szCs w:val="24"/>
        </w:rPr>
        <w:t>n</w:t>
      </w:r>
      <w:r w:rsidRPr="00576ED7">
        <w:rPr>
          <w:szCs w:val="24"/>
        </w:rPr>
        <w:t>tracts.  What do you think these methods are? Would one or the other of these methods have been better for taxpayer? Why?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The Code of course now has one more mechanism by which a transaction in one year may offset a transaction in another: the net operating loss (§ 172).  Ta</w:t>
      </w:r>
      <w:r w:rsidRPr="00576ED7">
        <w:rPr>
          <w:szCs w:val="24"/>
        </w:rPr>
        <w:t>x</w:t>
      </w:r>
      <w:r w:rsidRPr="00576ED7">
        <w:rPr>
          <w:szCs w:val="24"/>
        </w:rPr>
        <w:t xml:space="preserve">payers may use losses up to two years back and twenty years forward to offset income.  </w:t>
      </w:r>
      <w:r w:rsidRPr="00576ED7">
        <w:rPr>
          <w:i/>
          <w:szCs w:val="24"/>
        </w:rPr>
        <w:t>See</w:t>
      </w:r>
      <w:r w:rsidRPr="00576ED7">
        <w:rPr>
          <w:szCs w:val="24"/>
        </w:rPr>
        <w:t xml:space="preserve"> chapter 6,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Interesting questions involving the impact of annual accounting on particular </w:t>
      </w:r>
      <w:r w:rsidRPr="00576ED7">
        <w:rPr>
          <w:szCs w:val="24"/>
        </w:rPr>
        <w:lastRenderedPageBreak/>
        <w:t xml:space="preserve">taxpayers arise when tax rates change.  Tax rates often change because of war – they increase because of the war and decrease after the war.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w:t>
      </w:r>
      <w:r w:rsidRPr="00576ED7">
        <w:rPr>
          <w:szCs w:val="24"/>
        </w:rPr>
        <w:t>e</w:t>
      </w:r>
      <w:r w:rsidRPr="00576ED7">
        <w:rPr>
          <w:szCs w:val="24"/>
        </w:rPr>
        <w:t>quent litigation in a state court, however, it was decided that respondent’s bonus had been improperly computed; under compulsion of the state court’s judgment, he returned approximately $11,000 to his employer. Until payment of the jud</w:t>
      </w:r>
      <w:r w:rsidRPr="00576ED7">
        <w:rPr>
          <w:szCs w:val="24"/>
        </w:rPr>
        <w:t>g</w:t>
      </w:r>
      <w:r w:rsidRPr="00576ED7">
        <w:rPr>
          <w:szCs w:val="24"/>
        </w:rPr>
        <w:t>ment in 1946, respondent had at all times claimed and used the full $22,000 u</w:t>
      </w:r>
      <w:r w:rsidRPr="00576ED7">
        <w:rPr>
          <w:szCs w:val="24"/>
        </w:rPr>
        <w:t>n</w:t>
      </w:r>
      <w:r w:rsidRPr="00576ED7">
        <w:rPr>
          <w:szCs w:val="24"/>
        </w:rPr>
        <w:t>conditionally as his own, in the good faith though “mistaken” belief that he was entitled to the whole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w:t>
      </w:r>
      <w:r w:rsidRPr="00576ED7">
        <w:rPr>
          <w:i/>
          <w:szCs w:val="24"/>
        </w:rPr>
        <w:t>r</w:t>
      </w:r>
      <w:r w:rsidRPr="00576ED7">
        <w:rPr>
          <w:i/>
          <w:szCs w:val="24"/>
        </w:rPr>
        <w:t>net</w:t>
      </w:r>
      <w:r w:rsidRPr="00576ED7">
        <w:rPr>
          <w:szCs w:val="24"/>
        </w:rPr>
        <w:t>, 286 U.S. 417.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w:t>
      </w:r>
      <w:r w:rsidRPr="00576ED7">
        <w:rPr>
          <w:szCs w:val="24"/>
        </w:rPr>
        <w:t>x</w:t>
      </w:r>
      <w:r w:rsidRPr="00576ED7">
        <w:rPr>
          <w:szCs w:val="24"/>
        </w:rPr>
        <w:t>ception merely because a taxpayer is “mistaken” as to the validity of his claim.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Income taxes must be paid on income received (or accrued) during an annual a</w:t>
      </w:r>
      <w:r w:rsidRPr="00576ED7">
        <w:rPr>
          <w:szCs w:val="24"/>
        </w:rPr>
        <w:t>c</w:t>
      </w:r>
      <w:r w:rsidRPr="00576ED7">
        <w:rPr>
          <w:szCs w:val="24"/>
        </w:rPr>
        <w:t xml:space="preserve">counting period. </w:t>
      </w:r>
      <w:r w:rsidRPr="00576ED7">
        <w:rPr>
          <w:i/>
          <w:szCs w:val="24"/>
        </w:rPr>
        <w:t>Cf</w:t>
      </w:r>
      <w:r w:rsidRPr="00576ED7">
        <w:rPr>
          <w:szCs w:val="24"/>
        </w:rPr>
        <w:t xml:space="preserve">. I.R.C. §§ 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w:t>
      </w:r>
      <w:r w:rsidRPr="00576ED7">
        <w:rPr>
          <w:szCs w:val="24"/>
        </w:rPr>
        <w:lastRenderedPageBreak/>
        <w:t xml:space="preserve">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 12.103. We see no reason why the Court should depart from this well settled interpretation merely because it results in an advantage or disa</w:t>
      </w:r>
      <w:r w:rsidRPr="00576ED7">
        <w:rPr>
          <w:szCs w:val="24"/>
        </w:rPr>
        <w:t>d</w:t>
      </w:r>
      <w:r w:rsidRPr="00576ED7">
        <w:rPr>
          <w:szCs w:val="24"/>
        </w:rPr>
        <w:t>vantage to a taxpayer.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in this case is not whether the bonus had to be included in 1944 i</w:t>
      </w:r>
      <w:r w:rsidRPr="00576ED7">
        <w:rPr>
          <w:szCs w:val="24"/>
        </w:rPr>
        <w:t>n</w:t>
      </w:r>
      <w:r w:rsidRPr="00576ED7">
        <w:rPr>
          <w:szCs w:val="24"/>
        </w:rPr>
        <w:t>come for purposes of the tax. Plainly it should have been, because the taxpayer claimed it as of right. Some years later, however, it was judicially determined that he had no claim to the bonus. The question is whether he may then get back the tax which he paid on the money.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inequities are inherent in the income tax. We multiply them needlessly by nice distinctions which have no place in the practical administration of the law. If the refund were allowed, the integrity of the taxable year would not be violated. The tax would be paid when due, but the government would not be permitted to maintain the unconscionable position that it can keep the tax after it is shown that payment was made on money which was not income to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Marginal tax brackets decreased after the end of WWII.  Hence, taxpayer’s deduction in 1946 did not save as much in income tax as the same amount of i</w:t>
      </w:r>
      <w:r w:rsidRPr="00576ED7">
        <w:rPr>
          <w:szCs w:val="24"/>
        </w:rPr>
        <w:t>n</w:t>
      </w:r>
      <w:r w:rsidRPr="00576ED7">
        <w:rPr>
          <w:szCs w:val="24"/>
        </w:rPr>
        <w:t>come in 1944 cost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Congress has enacted § 1341 to mitigate the effect of the </w:t>
      </w:r>
      <w:r w:rsidRPr="00576ED7">
        <w:rPr>
          <w:i/>
          <w:szCs w:val="24"/>
        </w:rPr>
        <w:t>Lewis</w:t>
      </w:r>
      <w:r w:rsidRPr="00576ED7">
        <w:rPr>
          <w:szCs w:val="24"/>
        </w:rPr>
        <w:t xml:space="preserve"> rule.  When § 1341 applies, taxpayer is required to pay a tax in the year of repayment that is the lesser of </w:t>
      </w:r>
    </w:p>
    <w:p w:rsidR="0049128E" w:rsidRPr="00576ED7" w:rsidRDefault="0049128E" w:rsidP="00A6585D">
      <w:pPr>
        <w:widowControl w:val="0"/>
        <w:ind w:left="720"/>
        <w:jc w:val="both"/>
        <w:rPr>
          <w:szCs w:val="24"/>
        </w:rPr>
      </w:pPr>
      <w:r w:rsidRPr="00576ED7">
        <w:rPr>
          <w:szCs w:val="24"/>
        </w:rPr>
        <w:t>•tax liability computed in that year with the repayment treated as a dedu</w:t>
      </w:r>
      <w:r w:rsidRPr="00576ED7">
        <w:rPr>
          <w:szCs w:val="24"/>
        </w:rPr>
        <w:t>c</w:t>
      </w:r>
      <w:r w:rsidRPr="00576ED7">
        <w:rPr>
          <w:szCs w:val="24"/>
        </w:rPr>
        <w:t>tion, or</w:t>
      </w:r>
    </w:p>
    <w:p w:rsidR="0049128E" w:rsidRPr="00576ED7" w:rsidRDefault="0049128E" w:rsidP="00A6585D">
      <w:pPr>
        <w:widowControl w:val="0"/>
        <w:ind w:left="720"/>
        <w:jc w:val="both"/>
        <w:rPr>
          <w:szCs w:val="24"/>
        </w:rPr>
      </w:pPr>
      <w:r w:rsidRPr="00576ED7">
        <w:rPr>
          <w:szCs w:val="24"/>
        </w:rPr>
        <w:t>•tax liability computed by applying a credit equal in amount to the i</w:t>
      </w:r>
      <w:r w:rsidRPr="00576ED7">
        <w:rPr>
          <w:szCs w:val="24"/>
        </w:rPr>
        <w:t>n</w:t>
      </w:r>
      <w:r w:rsidRPr="00576ED7">
        <w:rPr>
          <w:szCs w:val="24"/>
        </w:rPr>
        <w:t>crease in tax liability caused by payment of income tax in the year of i</w:t>
      </w:r>
      <w:r w:rsidRPr="00576ED7">
        <w:rPr>
          <w:szCs w:val="24"/>
        </w:rPr>
        <w:t>n</w:t>
      </w:r>
      <w:r w:rsidRPr="00576ED7">
        <w:rPr>
          <w:szCs w:val="24"/>
        </w:rPr>
        <w:t>clusion in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Notice that § 1341 does </w:t>
      </w:r>
      <w:r w:rsidRPr="00576ED7">
        <w:rPr>
          <w:i/>
          <w:szCs w:val="24"/>
        </w:rPr>
        <w:t>not</w:t>
      </w:r>
      <w:r w:rsidRPr="00576ED7">
        <w:rPr>
          <w:szCs w:val="24"/>
        </w:rPr>
        <w:t xml:space="preserve"> reopen taxpayer’s tax return from the earlier tax year, thereby maintaining the integrity of the principle of annual accounting.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 1341.  Note carefully the </w:t>
      </w:r>
      <w:r w:rsidR="00186311">
        <w:rPr>
          <w:szCs w:val="24"/>
        </w:rPr>
        <w:t>conditions of its applicability, or the follo</w:t>
      </w:r>
      <w:r w:rsidR="00186311">
        <w:rPr>
          <w:szCs w:val="24"/>
        </w:rPr>
        <w:t>w</w:t>
      </w:r>
      <w:r w:rsidR="00186311">
        <w:rPr>
          <w:szCs w:val="24"/>
        </w:rPr>
        <w:t>ing two CALI lessons will be more difficult than they need to be.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B33FC02" wp14:editId="54579AAA">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0F260F" w:rsidP="00A6585D">
      <w:pPr>
        <w:widowControl w:val="0"/>
        <w:jc w:val="both"/>
        <w:rPr>
          <w:szCs w:val="24"/>
        </w:rPr>
      </w:pPr>
      <w:r w:rsidRPr="00576ED7">
        <w:rPr>
          <w:szCs w:val="24"/>
        </w:rPr>
        <w:t xml:space="preserve">5.  </w: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Gross Income:  Claim of Right Doctrine</w:t>
      </w:r>
      <w:r w:rsidR="0049128E" w:rsidRPr="00576ED7">
        <w:rPr>
          <w:szCs w:val="24"/>
        </w:rPr>
        <w:t>.</w:t>
      </w:r>
    </w:p>
    <w:p w:rsidR="0044345A" w:rsidRDefault="0044345A" w:rsidP="00A6585D">
      <w:pPr>
        <w:widowControl w:val="0"/>
        <w:jc w:val="both"/>
        <w:rPr>
          <w:szCs w:val="24"/>
        </w:rPr>
      </w:pPr>
    </w:p>
    <w:p w:rsidR="0044345A" w:rsidRDefault="0044345A" w:rsidP="00A6585D">
      <w:pPr>
        <w:widowControl w:val="0"/>
        <w:jc w:val="both"/>
        <w:rPr>
          <w:szCs w:val="24"/>
        </w:rPr>
      </w:pPr>
      <w:r w:rsidRPr="00576ED7">
        <w:rPr>
          <w:noProof/>
          <w:szCs w:val="24"/>
        </w:rPr>
        <w:drawing>
          <wp:inline distT="0" distB="0" distL="0" distR="0" wp14:anchorId="3FD53F9A" wp14:editId="72F5DA99">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6.  Do the CALI </w:t>
      </w:r>
      <w:r w:rsidR="0093600D" w:rsidRPr="00576ED7">
        <w:rPr>
          <w:szCs w:val="24"/>
        </w:rPr>
        <w:t>Lesson</w:t>
      </w:r>
      <w:r w:rsidRPr="00576ED7">
        <w:rPr>
          <w:szCs w:val="24"/>
        </w:rPr>
        <w:t xml:space="preserve">, </w:t>
      </w:r>
      <w:r w:rsidRPr="00576ED7">
        <w:rPr>
          <w:i/>
          <w:szCs w:val="24"/>
        </w:rPr>
        <w:t>Basic Federal Income Taxation: Taxable Income and Tax Computat</w:t>
      </w:r>
      <w:r w:rsidR="007064D0" w:rsidRPr="00576ED7">
        <w:rPr>
          <w:i/>
          <w:szCs w:val="24"/>
        </w:rPr>
        <w:t xml:space="preserve">ion:  Claim of Right Mitigation </w:t>
      </w:r>
      <w:r w:rsidRPr="00576ED7">
        <w:rPr>
          <w:i/>
          <w:szCs w:val="24"/>
        </w:rPr>
        <w:t>Doctrine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We might consider </w:t>
      </w:r>
      <w:r w:rsidRPr="00576ED7">
        <w:rPr>
          <w:i/>
          <w:szCs w:val="24"/>
        </w:rPr>
        <w:t>Lewis</w:t>
      </w:r>
      <w:r w:rsidRPr="00576ED7">
        <w:rPr>
          <w:szCs w:val="24"/>
        </w:rPr>
        <w:t xml:space="preserve"> to be a case of “income first/deduction later.”  What if we reverse that: “deduction first/income later?”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Alice Phelan Sullivan Corp. v. United States</w:t>
      </w:r>
      <w:r w:rsidRPr="00576ED7">
        <w:rPr>
          <w:szCs w:val="24"/>
        </w:rPr>
        <w:t>, 381 F.2d 399 (Ct. Cl. 1967)</w:t>
      </w:r>
      <w:r w:rsidRPr="00576ED7">
        <w:rPr>
          <w:szCs w:val="24"/>
        </w:rPr>
        <w:fldChar w:fldCharType="begin"/>
      </w:r>
      <w:r w:rsidRPr="00576ED7">
        <w:rPr>
          <w:szCs w:val="24"/>
        </w:rPr>
        <w:instrText xml:space="preserve"> TC \l2 "Alice Phelan Sullivan Corp. v. United States, 381 F.2d 399 (Ct. Cl.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COLLINS, Judge.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Plaintiff ... brings this action to recover an alleged overpayment in its 1957 i</w:t>
      </w:r>
      <w:r w:rsidRPr="00576ED7">
        <w:rPr>
          <w:szCs w:val="24"/>
        </w:rPr>
        <w:t>n</w:t>
      </w:r>
      <w:r w:rsidRPr="00576ED7">
        <w:rPr>
          <w:szCs w:val="24"/>
        </w:rPr>
        <w:t>come tax. During that year, there was returned to taxpayer two parcels of realty, each of which it had previously donated and claimed as a charitable contribution deduction. The first donation had been made in 1939; the second, in 1940. Under the then applicable corporate tax rates, the deductions claimed ($4,243.49 for 1939 and $4,463.44 for 1940) yielded plaintiff an aggregate tax benefit of $1,877.49.</w:t>
      </w:r>
      <w:r w:rsidRPr="00576ED7">
        <w:rPr>
          <w:rStyle w:val="FootnoteReference"/>
          <w:szCs w:val="24"/>
        </w:rPr>
        <w:footnoteReference w:id="182"/>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Each conveyance had been made subject to the condition that the property be used either for a religious or for an educational purpose. In 1957, the donee decided not to use the gifts; they were therefore reconveyed to plaintiff. Upon audit of taxpa</w:t>
      </w:r>
      <w:r w:rsidRPr="00576ED7">
        <w:rPr>
          <w:szCs w:val="24"/>
        </w:rPr>
        <w:t>y</w:t>
      </w:r>
      <w:r w:rsidRPr="00576ED7">
        <w:rPr>
          <w:szCs w:val="24"/>
        </w:rPr>
        <w:t xml:space="preserve">er’s income tax return, it was found that the recovered property was not reflected in its 1957 gross income. The Commissioner of Internal Revenue disagreed with plaintiff’s characterization of the recovery as a nontaxable return of capital. He </w:t>
      </w:r>
      <w:r w:rsidRPr="00576ED7">
        <w:rPr>
          <w:szCs w:val="24"/>
        </w:rPr>
        <w:lastRenderedPageBreak/>
        <w:t>viewed the transaction as giving rise to taxable income and therefore adjusted plaintiff’s income by adding to it $8,706.93 – the total of the charitable contrib</w:t>
      </w:r>
      <w:r w:rsidRPr="00576ED7">
        <w:rPr>
          <w:szCs w:val="24"/>
        </w:rPr>
        <w:t>u</w:t>
      </w:r>
      <w:r w:rsidRPr="00576ED7">
        <w:rPr>
          <w:szCs w:val="24"/>
        </w:rPr>
        <w:t>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w:t>
      </w:r>
      <w:r w:rsidRPr="00576ED7">
        <w:rPr>
          <w:szCs w:val="24"/>
        </w:rPr>
        <w:t>n</w:t>
      </w:r>
      <w:r w:rsidRPr="00576ED7">
        <w:rPr>
          <w:szCs w:val="24"/>
        </w:rPr>
        <w:t>joyed, i.e., $1,877.49. The claim was disallowed.</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This court has had prior occasion to consider the question which the present suit presents. In </w:t>
      </w:r>
      <w:r w:rsidRPr="00576ED7">
        <w:rPr>
          <w:i/>
          <w:szCs w:val="24"/>
        </w:rPr>
        <w:t>Perry v. United States</w:t>
      </w:r>
      <w:r w:rsidRPr="00576ED7">
        <w:rPr>
          <w:szCs w:val="24"/>
        </w:rPr>
        <w:t>, 160 F. Supp. 270 (1958) (Judges Madden and Laramore dissenting), it was recognized that a return to the donor of a prior char</w:t>
      </w:r>
      <w:r w:rsidRPr="00576ED7">
        <w:rPr>
          <w:szCs w:val="24"/>
        </w:rPr>
        <w:t>i</w:t>
      </w:r>
      <w:r w:rsidRPr="00576ED7">
        <w:rPr>
          <w:szCs w:val="24"/>
        </w:rPr>
        <w:t xml:space="preserve">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sidRPr="00576ED7">
        <w:rPr>
          <w:i/>
          <w:szCs w:val="24"/>
        </w:rPr>
        <w:t>Perry</w:t>
      </w:r>
      <w:r w:rsidRPr="00576ED7">
        <w:rPr>
          <w:szCs w:val="24"/>
        </w:rPr>
        <w:t xml:space="preserve"> r</w:t>
      </w:r>
      <w:r w:rsidRPr="00576ED7">
        <w:rPr>
          <w:szCs w:val="24"/>
        </w:rPr>
        <w:t>a</w:t>
      </w:r>
      <w:r w:rsidRPr="00576ED7">
        <w:rPr>
          <w:szCs w:val="24"/>
        </w:rPr>
        <w:t>tionale dictates that a like result be reached in this case.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The Government, of course, assumes the opposite stance. Mindful of the homage due the principle of stare decisis, it bids us first to consider the criteria under which judicial reexamination of an earlier decision is justifiable. [The court co</w:t>
      </w:r>
      <w:r w:rsidRPr="00576ED7">
        <w:rPr>
          <w:szCs w:val="24"/>
        </w:rPr>
        <w:t>n</w:t>
      </w:r>
      <w:r w:rsidRPr="00576ED7">
        <w:rPr>
          <w:szCs w:val="24"/>
        </w:rPr>
        <w:t xml:space="preserve">sidered standards upon which it was appropriate to reexamine a rule announced in an earlier decision ... and decided not to defer to its holding in </w:t>
      </w:r>
      <w:r w:rsidRPr="00576ED7">
        <w:rPr>
          <w:i/>
          <w:szCs w:val="24"/>
        </w:rPr>
        <w:t>Perry</w:t>
      </w:r>
      <w:r w:rsidRPr="00576ED7">
        <w:rPr>
          <w:szCs w:val="24"/>
        </w:rPr>
        <w:t xml:space="preserve">.] ... </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A transaction which returns to a taxpayer his own property cannot be considered as giving rise to “income” – at least where that term is confined to its traditional sense of “gain derived from capital, from labor, or from both combined.” </w:t>
      </w:r>
      <w:r w:rsidRPr="00576ED7">
        <w:rPr>
          <w:i/>
          <w:szCs w:val="24"/>
        </w:rPr>
        <w:t>Eisner v. Macomber</w:t>
      </w:r>
      <w:r w:rsidRPr="00576ED7">
        <w:rPr>
          <w:szCs w:val="24"/>
        </w:rPr>
        <w:t>, 252 U.S. 189, 207 (1920). Yet the principle is well engrained in our tax law that the return or recovery of property that was once the subject of an i</w:t>
      </w:r>
      <w:r w:rsidRPr="00576ED7">
        <w:rPr>
          <w:szCs w:val="24"/>
        </w:rPr>
        <w:t>n</w:t>
      </w:r>
      <w:r w:rsidRPr="00576ED7">
        <w:rPr>
          <w:szCs w:val="24"/>
        </w:rPr>
        <w:t xml:space="preserve">come tax deduction must be treated as income in the year of its recovery.  </w:t>
      </w:r>
      <w:r w:rsidRPr="00576ED7">
        <w:rPr>
          <w:i/>
          <w:szCs w:val="24"/>
        </w:rPr>
        <w:t>Rothe</w:t>
      </w:r>
      <w:r w:rsidRPr="00576ED7">
        <w:rPr>
          <w:i/>
          <w:szCs w:val="24"/>
        </w:rPr>
        <w:t>n</w:t>
      </w:r>
      <w:r w:rsidRPr="00576ED7">
        <w:rPr>
          <w:i/>
          <w:szCs w:val="24"/>
        </w:rPr>
        <w:t>sies v. Electric Storage Battery Co.</w:t>
      </w:r>
      <w:r w:rsidRPr="00576ED7">
        <w:rPr>
          <w:szCs w:val="24"/>
        </w:rPr>
        <w:t xml:space="preserve">, 329 U.S. 296 (1946); </w:t>
      </w:r>
      <w:r w:rsidRPr="00576ED7">
        <w:rPr>
          <w:i/>
          <w:szCs w:val="24"/>
        </w:rPr>
        <w:t>Estate of Block v. Commissioner</w:t>
      </w:r>
      <w:r w:rsidRPr="00576ED7">
        <w:rPr>
          <w:szCs w:val="24"/>
        </w:rPr>
        <w:t xml:space="preserve">, 39 B.T.A. 338 (1939), </w:t>
      </w:r>
      <w:r w:rsidRPr="00576ED7">
        <w:rPr>
          <w:i/>
          <w:szCs w:val="24"/>
        </w:rPr>
        <w:t>aff’d sub nom</w:t>
      </w:r>
      <w:r w:rsidRPr="00576ED7">
        <w:rPr>
          <w:szCs w:val="24"/>
        </w:rPr>
        <w:t xml:space="preserve">. </w:t>
      </w:r>
      <w:r w:rsidRPr="00576ED7">
        <w:rPr>
          <w:i/>
          <w:szCs w:val="24"/>
        </w:rPr>
        <w:t>Union Trust Co. v. Commi</w:t>
      </w:r>
      <w:r w:rsidRPr="00576ED7">
        <w:rPr>
          <w:i/>
          <w:szCs w:val="24"/>
        </w:rPr>
        <w:t>s</w:t>
      </w:r>
      <w:r w:rsidRPr="00576ED7">
        <w:rPr>
          <w:i/>
          <w:szCs w:val="24"/>
        </w:rPr>
        <w:t>sioner</w:t>
      </w:r>
      <w:r w:rsidRPr="00576ED7">
        <w:rPr>
          <w:szCs w:val="24"/>
        </w:rPr>
        <w:t xml:space="preserve">, 111 F.2d 60 (7th Cir.), </w:t>
      </w:r>
      <w:r w:rsidRPr="00576ED7">
        <w:rPr>
          <w:i/>
          <w:szCs w:val="24"/>
        </w:rPr>
        <w:t>cert. denied</w:t>
      </w:r>
      <w:r w:rsidRPr="00576ED7">
        <w:rPr>
          <w:szCs w:val="24"/>
        </w:rPr>
        <w:t>, 311 U.S. 658 (1940). The only limit</w:t>
      </w:r>
      <w:r w:rsidRPr="00576ED7">
        <w:rPr>
          <w:szCs w:val="24"/>
        </w:rPr>
        <w:t>a</w:t>
      </w:r>
      <w:r w:rsidRPr="00576ED7">
        <w:rPr>
          <w:szCs w:val="24"/>
        </w:rPr>
        <w:lastRenderedPageBreak/>
        <w:t>tion upon that principle is the so-called “tax-benefit rule.” This rule permits e</w:t>
      </w:r>
      <w:r w:rsidRPr="00576ED7">
        <w:rPr>
          <w:szCs w:val="24"/>
        </w:rPr>
        <w:t>x</w:t>
      </w:r>
      <w:r w:rsidRPr="00576ED7">
        <w:rPr>
          <w:szCs w:val="24"/>
        </w:rPr>
        <w:t xml:space="preserve">clusion of the recovered item from income so long as its initial use as a deduction did not provide a tax saving. </w:t>
      </w:r>
      <w:r w:rsidRPr="00576ED7">
        <w:rPr>
          <w:i/>
          <w:szCs w:val="24"/>
        </w:rPr>
        <w:t>California &amp; Hawaiian Sugar Ref. Corp. v. United States</w:t>
      </w:r>
      <w:r w:rsidRPr="00576ED7">
        <w:rPr>
          <w:szCs w:val="24"/>
        </w:rPr>
        <w:t xml:space="preserve">, </w:t>
      </w:r>
      <w:r w:rsidRPr="00576ED7">
        <w:rPr>
          <w:i/>
          <w:szCs w:val="24"/>
        </w:rPr>
        <w:t>supra</w:t>
      </w:r>
      <w:r w:rsidRPr="00576ED7">
        <w:rPr>
          <w:szCs w:val="24"/>
        </w:rPr>
        <w:t xml:space="preserve">; </w:t>
      </w:r>
      <w:r w:rsidRPr="00576ED7">
        <w:rPr>
          <w:i/>
          <w:szCs w:val="24"/>
        </w:rPr>
        <w:t>Central Loan &amp; Inv. Co. v. Commissioner</w:t>
      </w:r>
      <w:r w:rsidRPr="00576ED7">
        <w:rPr>
          <w:szCs w:val="24"/>
        </w:rPr>
        <w:t>, 39 B.T.A. 981 (1939). But where full tax use of a deduction was made and a tax saving thereby obtained, then the extent of saving is considered immaterial. The recovery is viewed as i</w:t>
      </w:r>
      <w:r w:rsidRPr="00576ED7">
        <w:rPr>
          <w:szCs w:val="24"/>
        </w:rPr>
        <w:t>n</w:t>
      </w:r>
      <w:r w:rsidRPr="00576ED7">
        <w:rPr>
          <w:szCs w:val="24"/>
        </w:rPr>
        <w:t>come to the full extent of the deduction previously allowed.</w:t>
      </w:r>
      <w:r w:rsidRPr="00576ED7">
        <w:rPr>
          <w:rStyle w:val="FootnoteReference"/>
          <w:szCs w:val="24"/>
        </w:rPr>
        <w:footnoteReference w:id="183"/>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Formerly the exclusive province of judge-made law, the tax-benefit concept now finds expression both in statute and administrative regulations.  Section 111 of the Internal Revenue Code of 1954 [prior to 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Drawing our attention to the broad language of this regulation, the Government insists that the present recovery ... should be taxed in a manner consistent with the treatment provided for like items of recovery, i.e., that it be taxed at the rate pr</w:t>
      </w:r>
      <w:r w:rsidRPr="00576ED7">
        <w:rPr>
          <w:szCs w:val="24"/>
        </w:rPr>
        <w:t>e</w:t>
      </w:r>
      <w:r w:rsidRPr="00576ED7">
        <w:rPr>
          <w:szCs w:val="24"/>
        </w:rPr>
        <w:t>vailing in the year of recovery. We are compelled to agree.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 [The tax-benefit rule] is clearly adequate to embrace a recovered charitable contribution. </w:t>
      </w:r>
      <w:r w:rsidRPr="00576ED7">
        <w:rPr>
          <w:i/>
          <w:szCs w:val="24"/>
        </w:rPr>
        <w:t>See</w:t>
      </w:r>
      <w:r w:rsidRPr="00576ED7">
        <w:rPr>
          <w:szCs w:val="24"/>
        </w:rPr>
        <w:t xml:space="preserve"> </w:t>
      </w:r>
      <w:r w:rsidRPr="00576ED7">
        <w:rPr>
          <w:i/>
          <w:szCs w:val="24"/>
        </w:rPr>
        <w:t>California &amp; Hawaiian Sugar Ref. Corp.</w:t>
      </w:r>
      <w:r w:rsidRPr="00576ED7">
        <w:rPr>
          <w:szCs w:val="24"/>
        </w:rPr>
        <w:t xml:space="preserve">, </w:t>
      </w:r>
      <w:r w:rsidRPr="00576ED7">
        <w:rPr>
          <w:i/>
          <w:szCs w:val="24"/>
        </w:rPr>
        <w:t>supra</w:t>
      </w:r>
      <w:r w:rsidRPr="00576ED7">
        <w:rPr>
          <w:szCs w:val="24"/>
        </w:rPr>
        <w:t>, 311 F.2d at 239. But the regulation does not specify which tax rate is to be applied to the r</w:t>
      </w:r>
      <w:r w:rsidRPr="00576ED7">
        <w:rPr>
          <w:szCs w:val="24"/>
        </w:rPr>
        <w:t>e</w:t>
      </w:r>
      <w:r w:rsidRPr="00576ED7">
        <w:rPr>
          <w:szCs w:val="24"/>
        </w:rPr>
        <w:t>couped deduction, and this consideration brings us to the matter here in issue.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Ever since </w:t>
      </w:r>
      <w:r w:rsidRPr="00576ED7">
        <w:rPr>
          <w:i/>
          <w:szCs w:val="24"/>
        </w:rPr>
        <w:t>Burnet v. Sanford &amp; Brooks Co.</w:t>
      </w:r>
      <w:r w:rsidRPr="00576ED7">
        <w:rPr>
          <w:szCs w:val="24"/>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w:t>
      </w:r>
      <w:r w:rsidRPr="00576ED7">
        <w:rPr>
          <w:szCs w:val="24"/>
        </w:rPr>
        <w:lastRenderedPageBreak/>
        <w:t>produce a regular flow of income and apply methods of accounting, assessment, and collection capable of practical operation.” 282 U.S. at 365. To insure the v</w:t>
      </w:r>
      <w:r w:rsidRPr="00576ED7">
        <w:rPr>
          <w:szCs w:val="24"/>
        </w:rPr>
        <w:t>i</w:t>
      </w:r>
      <w:r w:rsidRPr="00576ED7">
        <w:rPr>
          <w:szCs w:val="24"/>
        </w:rPr>
        <w:t>tality of the single-year concept, it is essential not only that annual income be a</w:t>
      </w:r>
      <w:r w:rsidRPr="00576ED7">
        <w:rPr>
          <w:szCs w:val="24"/>
        </w:rPr>
        <w:t>s</w:t>
      </w:r>
      <w:r w:rsidRPr="00576ED7">
        <w:rPr>
          <w:szCs w:val="24"/>
        </w:rPr>
        <w:t>certained without reference to losses experienced in an earlier accounting period, but also that income be taxed without reference to earlier tax rates. And absent specific statutory authority sanctioning a departure from this principle, it may o</w:t>
      </w:r>
      <w:r w:rsidRPr="00576ED7">
        <w:rPr>
          <w:szCs w:val="24"/>
        </w:rPr>
        <w:t>n</w:t>
      </w:r>
      <w:r w:rsidRPr="00576ED7">
        <w:rPr>
          <w:szCs w:val="24"/>
        </w:rPr>
        <w:t xml:space="preserve">ly be said of </w:t>
      </w:r>
      <w:r w:rsidRPr="00576ED7">
        <w:rPr>
          <w:i/>
          <w:szCs w:val="24"/>
        </w:rPr>
        <w:t>Perry</w:t>
      </w:r>
      <w:r w:rsidRPr="00576ED7">
        <w:rPr>
          <w:szCs w:val="24"/>
        </w:rPr>
        <w:t xml:space="preserve"> that it achieved a result which was more equitably just than legally correct.</w:t>
      </w:r>
      <w:r w:rsidRPr="00576ED7">
        <w:rPr>
          <w:rStyle w:val="FootnoteReference"/>
          <w:szCs w:val="24"/>
        </w:rPr>
        <w:footnoteReference w:id="184"/>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sidRPr="00576ED7">
        <w:rPr>
          <w:i/>
          <w:szCs w:val="24"/>
        </w:rPr>
        <w:t>Perry v. United States</w:t>
      </w:r>
      <w:r w:rsidRPr="00576ED7">
        <w:rPr>
          <w:szCs w:val="24"/>
        </w:rPr>
        <w:t xml:space="preserve">, </w:t>
      </w:r>
      <w:r w:rsidRPr="00576ED7">
        <w:rPr>
          <w:i/>
          <w:szCs w:val="24"/>
        </w:rPr>
        <w:t>supra</w:t>
      </w:r>
      <w:r w:rsidRPr="00576ED7">
        <w:rPr>
          <w:szCs w:val="24"/>
        </w:rPr>
        <w:t>, is hereby overruled, and plaintiff’s petition is dismissed.</w:t>
      </w:r>
    </w:p>
    <w:p w:rsidR="0049128E" w:rsidRPr="00576ED7" w:rsidRDefault="0049128E" w:rsidP="00A6585D">
      <w:pPr>
        <w:jc w:val="both"/>
        <w:rPr>
          <w:szCs w:val="24"/>
        </w:rPr>
      </w:pPr>
    </w:p>
    <w:p w:rsidR="0049128E" w:rsidRPr="00576ED7" w:rsidRDefault="0049128E" w:rsidP="00A6585D">
      <w:pPr>
        <w:jc w:val="both"/>
        <w:rPr>
          <w:szCs w:val="24"/>
        </w:rPr>
      </w:pPr>
      <w:r w:rsidRPr="00576ED7">
        <w:rPr>
          <w:i/>
          <w:szCs w:val="24"/>
        </w:rPr>
        <w:t>Notes and questions</w:t>
      </w: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1.  Congress has not taken up Judge Collins’s invitation, stated in the last footnote of the case, to enact the principle of </w:t>
      </w:r>
      <w:r w:rsidRPr="00576ED7">
        <w:rPr>
          <w:i/>
          <w:szCs w:val="24"/>
        </w:rPr>
        <w:t>Perry</w:t>
      </w:r>
      <w:r w:rsidRPr="00576ED7">
        <w:rPr>
          <w:szCs w:val="24"/>
        </w:rPr>
        <w:t xml:space="preserve"> – as it did in the reverse situation through § 1341.</w:t>
      </w:r>
    </w:p>
    <w:p w:rsidR="0049128E" w:rsidRPr="00576ED7" w:rsidRDefault="0049128E" w:rsidP="00A6585D">
      <w:pPr>
        <w:jc w:val="both"/>
        <w:rPr>
          <w:szCs w:val="24"/>
        </w:rPr>
      </w:pPr>
    </w:p>
    <w:p w:rsidR="0049128E" w:rsidRPr="00576ED7" w:rsidRDefault="0049128E" w:rsidP="00A6585D">
      <w:pPr>
        <w:widowControl w:val="0"/>
        <w:jc w:val="both"/>
        <w:rPr>
          <w:szCs w:val="24"/>
        </w:rPr>
      </w:pPr>
      <w:r w:rsidRPr="00576ED7">
        <w:rPr>
          <w:szCs w:val="24"/>
        </w:rPr>
        <w:t>2.  Read §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Consider: In </w:t>
      </w:r>
      <w:r w:rsidR="00186311">
        <w:rPr>
          <w:szCs w:val="24"/>
        </w:rPr>
        <w:t>year 1</w:t>
      </w:r>
      <w:r w:rsidRPr="00576ED7">
        <w:rPr>
          <w:szCs w:val="24"/>
        </w:rPr>
        <w:t xml:space="preserve">, taxpayer’s total itemized deductions were $12,000.   A portion of the itemized deductions was for his contribution of a parcel of land to his church, fmv = $7000, “so long as used for church purposes.”  Taxpayer filed </w:t>
      </w:r>
      <w:r w:rsidRPr="00576ED7">
        <w:rPr>
          <w:szCs w:val="24"/>
        </w:rPr>
        <w:lastRenderedPageBreak/>
        <w:t xml:space="preserve">single.  The standard deduction in </w:t>
      </w:r>
      <w:r w:rsidR="00186311">
        <w:rPr>
          <w:szCs w:val="24"/>
        </w:rPr>
        <w:t xml:space="preserve">year 1 </w:t>
      </w:r>
      <w:r w:rsidRPr="00576ED7">
        <w:rPr>
          <w:szCs w:val="24"/>
        </w:rPr>
        <w:t xml:space="preserve">for single persons was $6000.  In </w:t>
      </w:r>
      <w:r w:rsidR="00186311">
        <w:rPr>
          <w:szCs w:val="24"/>
        </w:rPr>
        <w:t>year 4,</w:t>
      </w:r>
      <w:r w:rsidRPr="00576ED7">
        <w:rPr>
          <w:szCs w:val="24"/>
        </w:rPr>
        <w:t xml:space="preserve"> the church decided not to use the land for church purposes and returned it to ta</w:t>
      </w:r>
      <w:r w:rsidRPr="00576ED7">
        <w:rPr>
          <w:szCs w:val="24"/>
        </w:rPr>
        <w:t>x</w:t>
      </w:r>
      <w:r w:rsidRPr="00576ED7">
        <w:rPr>
          <w:szCs w:val="24"/>
        </w:rPr>
        <w:t>payer.</w:t>
      </w:r>
    </w:p>
    <w:p w:rsidR="0049128E" w:rsidRPr="00576ED7" w:rsidRDefault="0049128E" w:rsidP="00A6585D">
      <w:pPr>
        <w:widowControl w:val="0"/>
        <w:ind w:left="720"/>
        <w:jc w:val="both"/>
        <w:rPr>
          <w:szCs w:val="24"/>
        </w:rPr>
      </w:pPr>
      <w:r w:rsidRPr="00576ED7">
        <w:rPr>
          <w:szCs w:val="24"/>
        </w:rPr>
        <w:t>•How much income must taxpayer include in his 2013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3a.  Same as #3, but the fmv of the land in </w:t>
      </w:r>
      <w:r w:rsidR="00186311">
        <w:rPr>
          <w:szCs w:val="24"/>
        </w:rPr>
        <w:t xml:space="preserve">year 1 </w:t>
      </w:r>
      <w:r w:rsidRPr="00576ED7">
        <w:rPr>
          <w:szCs w:val="24"/>
        </w:rPr>
        <w:t>was only $4000?</w:t>
      </w:r>
      <w:r w:rsidR="00E70E4B">
        <w:rPr>
          <w:szCs w:val="24"/>
        </w:rPr>
        <w:t xml:space="preserve">  Her total itemized deductions were $12,000.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3b.  Same as #3, but the fmv of the land was $3000 and taxpayer’s total itemized deductions</w:t>
      </w:r>
      <w:r w:rsidR="00186311">
        <w:rPr>
          <w:szCs w:val="24"/>
        </w:rPr>
        <w:t>, including his charitable contribution,</w:t>
      </w:r>
      <w:r w:rsidRPr="00576ED7">
        <w:rPr>
          <w:szCs w:val="24"/>
        </w:rPr>
        <w:t xml:space="preserve"> were $5000.</w:t>
      </w:r>
    </w:p>
    <w:p w:rsidR="0049128E" w:rsidRPr="00576ED7"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5" w:name="_Toc375132962"/>
      <w:r w:rsidRPr="00576ED7">
        <w:t>II.  Deferral Mechanisms</w:t>
      </w:r>
      <w:bookmarkEnd w:id="75"/>
      <w:r w:rsidRPr="00576ED7">
        <w:fldChar w:fldCharType="begin"/>
      </w:r>
      <w:r w:rsidRPr="00576ED7">
        <w:instrText xml:space="preserve"> TC \l1 "II.  Deferral Mechanisms</w:instrText>
      </w:r>
      <w:r w:rsidRPr="00576ED7">
        <w:fldChar w:fldCharType="end"/>
      </w:r>
    </w:p>
    <w:p w:rsidR="0049128E" w:rsidRPr="00576ED7" w:rsidRDefault="0049128E" w:rsidP="00A6585D">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observed that the realization requirement of gross income gives taxpayer some discretion to defer recognition of income – and in </w:t>
      </w:r>
      <w:r w:rsidRPr="00576ED7">
        <w:rPr>
          <w:i/>
          <w:szCs w:val="24"/>
        </w:rPr>
        <w:t>Cottage Savings &amp; Loan</w:t>
      </w:r>
      <w:r w:rsidRPr="00576ED7">
        <w:rPr>
          <w:szCs w:val="24"/>
        </w:rPr>
        <w:t>, to accelerate the recognition of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occasions when taxpayer has an accession to wealth, but does not r</w:t>
      </w:r>
      <w:r w:rsidRPr="00576ED7">
        <w:rPr>
          <w:szCs w:val="24"/>
        </w:rPr>
        <w:t>e</w:t>
      </w:r>
      <w:r w:rsidRPr="00576ED7">
        <w:rPr>
          <w:szCs w:val="24"/>
        </w:rPr>
        <w:t>ceive any cash with which to pay the income tax due on the gain.  Perhaps a pu</w:t>
      </w:r>
      <w:r w:rsidRPr="00576ED7">
        <w:rPr>
          <w:szCs w:val="24"/>
        </w:rPr>
        <w:t>r</w:t>
      </w:r>
      <w:r w:rsidRPr="00576ED7">
        <w:rPr>
          <w:szCs w:val="24"/>
        </w:rPr>
        <w:t>chaser did not have cash to make the purchase and could not procure a bank loan.  Taxpayer agrees to permit the purchaser to make installment payments over the course of several years plus interest on the declining balance (§ 163(b)).  Section 453 requires taxpayer to defer recognition of “income”</w:t>
      </w:r>
      <w:r w:rsidRPr="00576ED7">
        <w:rPr>
          <w:rStyle w:val="FootnoteReference"/>
          <w:szCs w:val="24"/>
        </w:rPr>
        <w:footnoteReference w:id="185"/>
      </w:r>
      <w:r w:rsidRPr="00576ED7">
        <w:rPr>
          <w:szCs w:val="24"/>
        </w:rPr>
        <w:t xml:space="preserve"> until receipt of instal</w:t>
      </w:r>
      <w:r w:rsidRPr="00576ED7">
        <w:rPr>
          <w:szCs w:val="24"/>
        </w:rPr>
        <w:t>l</w:t>
      </w:r>
      <w:r w:rsidRPr="00576ED7">
        <w:rPr>
          <w:szCs w:val="24"/>
        </w:rPr>
        <w:t>ment payments.  § 453(a).  Taxpayer may elect out of the installment method of reporting income.  § 453(d)(1).</w:t>
      </w:r>
    </w:p>
    <w:p w:rsidR="0049128E" w:rsidRPr="00576ED7" w:rsidRDefault="0049128E" w:rsidP="00A6585D">
      <w:pPr>
        <w:widowControl w:val="0"/>
        <w:ind w:left="720"/>
        <w:jc w:val="both"/>
        <w:rPr>
          <w:szCs w:val="24"/>
        </w:rPr>
      </w:pPr>
      <w:r w:rsidRPr="00576ED7">
        <w:rPr>
          <w:szCs w:val="24"/>
        </w:rPr>
        <w:t xml:space="preserve">•The installment method applies to an “installment sale.”  An “installment sale” is one where at least one payment is to be received after the close of </w:t>
      </w:r>
      <w:r w:rsidRPr="00576ED7">
        <w:rPr>
          <w:szCs w:val="24"/>
        </w:rPr>
        <w:lastRenderedPageBreak/>
        <w:t>the taxable year of disposition of the property.  § 453(b)(1).</w:t>
      </w:r>
    </w:p>
    <w:p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w:t>
      </w:r>
      <w:r w:rsidRPr="00576ED7">
        <w:rPr>
          <w:szCs w:val="24"/>
        </w:rPr>
        <w:t>s</w:t>
      </w:r>
      <w:r w:rsidRPr="00576ED7">
        <w:rPr>
          <w:szCs w:val="24"/>
        </w:rPr>
        <w:t>position” or to sales of “inventory.”  § 453(b)(2).</w:t>
      </w:r>
    </w:p>
    <w:p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property  di</w:t>
      </w:r>
      <w:r w:rsidRPr="00576ED7">
        <w:rPr>
          <w:szCs w:val="24"/>
        </w:rPr>
        <w:t>s</w:t>
      </w:r>
      <w:r w:rsidRPr="00576ED7">
        <w:rPr>
          <w:szCs w:val="24"/>
        </w:rPr>
        <w:t>positions where the seller will have the wherewithal to pay the i</w:t>
      </w:r>
      <w:r w:rsidRPr="00576ED7">
        <w:rPr>
          <w:szCs w:val="24"/>
        </w:rPr>
        <w:t>n</w:t>
      </w:r>
      <w:r w:rsidRPr="00576ED7">
        <w:rPr>
          <w:szCs w:val="24"/>
        </w:rPr>
        <w:t>come tax due on gain.</w:t>
      </w:r>
    </w:p>
    <w:p w:rsidR="0049128E" w:rsidRPr="00576ED7" w:rsidRDefault="0049128E" w:rsidP="00A6585D">
      <w:pPr>
        <w:widowControl w:val="0"/>
        <w:ind w:left="2160"/>
        <w:jc w:val="both"/>
        <w:rPr>
          <w:szCs w:val="24"/>
        </w:rPr>
      </w:pPr>
      <w:r w:rsidRPr="00576ED7">
        <w:rPr>
          <w:szCs w:val="24"/>
        </w:rPr>
        <w:t>•Section 453 does not apply to a disposition of personal property under a revolving credit plan.  § 453(k)(1).</w:t>
      </w:r>
    </w:p>
    <w:p w:rsidR="0049128E" w:rsidRPr="00576ED7" w:rsidRDefault="0049128E" w:rsidP="00A6585D">
      <w:pPr>
        <w:widowControl w:val="0"/>
        <w:ind w:left="2160"/>
        <w:jc w:val="both"/>
        <w:rPr>
          <w:szCs w:val="24"/>
        </w:rPr>
      </w:pPr>
      <w:r w:rsidRPr="00576ED7">
        <w:rPr>
          <w:szCs w:val="24"/>
        </w:rPr>
        <w:t>•Section 453 does not apply to a disposition of stock or s</w:t>
      </w:r>
      <w:r w:rsidRPr="00576ED7">
        <w:rPr>
          <w:szCs w:val="24"/>
        </w:rPr>
        <w:t>e</w:t>
      </w:r>
      <w:r w:rsidRPr="00576ED7">
        <w:rPr>
          <w:szCs w:val="24"/>
        </w:rPr>
        <w:t>curities traded on an established securities market.  § 453(k)(2)(A).  Such property is so liquid that it is its own source of cash.</w:t>
      </w:r>
    </w:p>
    <w:p w:rsidR="0049128E" w:rsidRPr="00576ED7" w:rsidRDefault="0049128E" w:rsidP="00A6585D">
      <w:pPr>
        <w:widowControl w:val="0"/>
        <w:ind w:left="720"/>
        <w:jc w:val="both"/>
        <w:rPr>
          <w:szCs w:val="24"/>
        </w:rPr>
      </w:pPr>
      <w:r w:rsidRPr="00576ED7">
        <w:rPr>
          <w:szCs w:val="24"/>
        </w:rPr>
        <w:t>•The “installment” method is a “method under which the income reco</w:t>
      </w:r>
      <w:r w:rsidRPr="00576ED7">
        <w:rPr>
          <w:szCs w:val="24"/>
        </w:rPr>
        <w:t>g</w:t>
      </w:r>
      <w:r w:rsidRPr="00576ED7">
        <w:rPr>
          <w:szCs w:val="24"/>
        </w:rPr>
        <w:t>nized for any taxable year from a disposition is that proportion of the payments received in that year which the gross profits (realized or to be realized when payment is completed) bears to the total contract price.”  § 453(c).</w:t>
      </w:r>
    </w:p>
    <w:p w:rsidR="0049128E" w:rsidRPr="00576ED7" w:rsidRDefault="0049128E" w:rsidP="00A6585D">
      <w:pPr>
        <w:widowControl w:val="0"/>
        <w:ind w:left="1440"/>
        <w:jc w:val="both"/>
        <w:rPr>
          <w:szCs w:val="24"/>
        </w:rPr>
      </w:pPr>
      <w:r w:rsidRPr="00576ED7">
        <w:rPr>
          <w:szCs w:val="24"/>
        </w:rPr>
        <w:t>•Multiply every payment received by this ratio:</w:t>
      </w:r>
    </w:p>
    <w:p w:rsidR="0049128E" w:rsidRPr="00576ED7" w:rsidRDefault="0049128E" w:rsidP="00A6585D">
      <w:pPr>
        <w:widowControl w:val="0"/>
        <w:ind w:left="2160"/>
        <w:jc w:val="both"/>
        <w:rPr>
          <w:szCs w:val="24"/>
        </w:rPr>
      </w:pPr>
      <w:r w:rsidRPr="00576ED7">
        <w:rPr>
          <w:szCs w:val="24"/>
        </w:rPr>
        <w:t>(AR − AB)/(Contract Price)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where AR is the amount taxpayer will eventually realize upon </w:t>
      </w:r>
      <w:r w:rsidR="003A5099" w:rsidRPr="00576ED7">
        <w:rPr>
          <w:szCs w:val="24"/>
        </w:rPr>
        <w:t>fu</w:t>
      </w:r>
      <w:r w:rsidR="003A5099" w:rsidRPr="00576ED7">
        <w:rPr>
          <w:szCs w:val="24"/>
        </w:rPr>
        <w:t>l</w:t>
      </w:r>
      <w:r w:rsidR="003A5099" w:rsidRPr="00576ED7">
        <w:rPr>
          <w:szCs w:val="24"/>
        </w:rPr>
        <w:t>fillment</w:t>
      </w:r>
      <w:r w:rsidRPr="00576ED7">
        <w:rPr>
          <w:szCs w:val="24"/>
        </w:rPr>
        <w:t xml:space="preserve"> of the contract.</w:t>
      </w:r>
    </w:p>
    <w:p w:rsidR="0049128E" w:rsidRPr="00576ED7" w:rsidRDefault="0049128E" w:rsidP="00A6585D">
      <w:pPr>
        <w:widowControl w:val="0"/>
        <w:ind w:left="2160"/>
        <w:jc w:val="both"/>
        <w:rPr>
          <w:szCs w:val="24"/>
        </w:rPr>
      </w:pPr>
      <w:r w:rsidRPr="00576ED7">
        <w:rPr>
          <w:szCs w:val="24"/>
        </w:rPr>
        <w:t>•Include the product in gross income in the year of payment of the installment.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•There are some important definitions in the regulations.  </w:t>
      </w:r>
      <w:r w:rsidRPr="00576ED7">
        <w:rPr>
          <w:i/>
          <w:szCs w:val="24"/>
        </w:rPr>
        <w:t>See</w:t>
      </w:r>
      <w:r w:rsidRPr="00576ED7">
        <w:rPr>
          <w:szCs w:val="24"/>
        </w:rPr>
        <w:t xml:space="preserve"> Reg. § 15A.453-1(b).</w:t>
      </w:r>
    </w:p>
    <w:p w:rsidR="00E70E4B" w:rsidRDefault="00E70E4B" w:rsidP="00A6585D">
      <w:pPr>
        <w:widowControl w:val="0"/>
        <w:ind w:left="2160"/>
        <w:jc w:val="both"/>
        <w:rPr>
          <w:szCs w:val="24"/>
        </w:rPr>
      </w:pPr>
      <w:r>
        <w:rPr>
          <w:szCs w:val="24"/>
        </w:rPr>
        <w:t>•“Gross profit” is the selling price less adjusted basis.  Reg. §15A.453-1(b)(2)(v).</w:t>
      </w:r>
    </w:p>
    <w:p w:rsidR="00E70E4B" w:rsidRDefault="00E70E4B" w:rsidP="00A6585D">
      <w:pPr>
        <w:widowControl w:val="0"/>
        <w:ind w:left="2160"/>
        <w:jc w:val="both"/>
        <w:rPr>
          <w:szCs w:val="24"/>
        </w:rPr>
      </w:pPr>
      <w:r>
        <w:rPr>
          <w:szCs w:val="24"/>
        </w:rPr>
        <w:t xml:space="preserve">•“Selling price” is the gross selling price without reduction “to reflect any existing mortgage or other encumbrance on the property ...”  Reg. § 15A.453-1(b)(2)(ii).  </w:t>
      </w:r>
    </w:p>
    <w:p w:rsidR="0049128E" w:rsidRPr="00576ED7" w:rsidRDefault="0049128E" w:rsidP="00A6585D">
      <w:pPr>
        <w:widowControl w:val="0"/>
        <w:ind w:left="2160"/>
        <w:jc w:val="both"/>
        <w:rPr>
          <w:szCs w:val="24"/>
        </w:rPr>
      </w:pPr>
      <w:r w:rsidRPr="00576ED7">
        <w:rPr>
          <w:szCs w:val="24"/>
        </w:rPr>
        <w:t>•The “contract price” is the total selling price</w:t>
      </w:r>
    </w:p>
    <w:p w:rsidR="0049128E" w:rsidRPr="00576ED7" w:rsidRDefault="0049128E" w:rsidP="00A6585D">
      <w:pPr>
        <w:widowControl w:val="0"/>
        <w:ind w:left="2880"/>
        <w:jc w:val="both"/>
        <w:rPr>
          <w:szCs w:val="24"/>
        </w:rPr>
      </w:pPr>
      <w:r w:rsidRPr="00576ED7">
        <w:rPr>
          <w:szCs w:val="24"/>
        </w:rPr>
        <w:t>•reduced by the debt that the buyer assumes</w:t>
      </w:r>
    </w:p>
    <w:p w:rsidR="0049128E" w:rsidRPr="00576ED7" w:rsidRDefault="0049128E" w:rsidP="00A6585D">
      <w:pPr>
        <w:widowControl w:val="0"/>
        <w:ind w:left="2880"/>
        <w:jc w:val="both"/>
        <w:rPr>
          <w:szCs w:val="24"/>
        </w:rPr>
      </w:pPr>
      <w:r w:rsidRPr="00576ED7">
        <w:rPr>
          <w:szCs w:val="24"/>
        </w:rPr>
        <w:t>•</w:t>
      </w:r>
      <w:r w:rsidRPr="00576ED7">
        <w:rPr>
          <w:i/>
          <w:szCs w:val="24"/>
        </w:rPr>
        <w:t>which does not exceed the seller’s basis in the property</w:t>
      </w:r>
      <w:r w:rsidRPr="00576ED7">
        <w:rPr>
          <w:szCs w:val="24"/>
        </w:rPr>
        <w:t>.  Reg. § 15A.453-1(b)(2)(iii).  Hence, if the debt exceeds the seller’s basis, the contract price is reduced by the seller’s basis, not the amount of the debt.  AND: the amount by which the debt e</w:t>
      </w:r>
      <w:r w:rsidRPr="00576ED7">
        <w:rPr>
          <w:szCs w:val="24"/>
        </w:rPr>
        <w:t>x</w:t>
      </w:r>
      <w:r w:rsidRPr="00576ED7">
        <w:rPr>
          <w:szCs w:val="24"/>
        </w:rPr>
        <w:lastRenderedPageBreak/>
        <w:t>ceeds basis is treated as a payment.  Reg. § 15A.453-</w:t>
      </w:r>
      <w:r w:rsidR="00B619F8">
        <w:rPr>
          <w:szCs w:val="24"/>
        </w:rPr>
        <w:t>1(b)(</w:t>
      </w:r>
      <w:r w:rsidRPr="00576ED7">
        <w:rPr>
          <w:szCs w:val="24"/>
        </w:rPr>
        <w:t>3</w:t>
      </w:r>
      <w:r w:rsidR="00B619F8">
        <w:rPr>
          <w:szCs w:val="24"/>
        </w:rPr>
        <w:t>)</w:t>
      </w:r>
      <w:r w:rsidRPr="00576ED7">
        <w:rPr>
          <w:szCs w:val="24"/>
        </w:rPr>
        <w:t>(i) (11</w:t>
      </w:r>
      <w:r w:rsidRPr="00576ED7">
        <w:rPr>
          <w:szCs w:val="24"/>
          <w:vertAlign w:val="superscript"/>
        </w:rPr>
        <w:t>th</w:t>
      </w:r>
      <w:r w:rsidRPr="00576ED7">
        <w:rPr>
          <w:szCs w:val="24"/>
        </w:rPr>
        <w:t xml:space="preserve"> sentence).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•You can see that the effect of the installment method is to pro-rate the r</w:t>
      </w:r>
      <w:r w:rsidRPr="00576ED7">
        <w:rPr>
          <w:szCs w:val="24"/>
        </w:rPr>
        <w:t>e</w:t>
      </w:r>
      <w:r w:rsidRPr="00576ED7">
        <w:rPr>
          <w:szCs w:val="24"/>
        </w:rPr>
        <w:t>covery of basis according to the portion of the amount realized of the total selling price.</w:t>
      </w:r>
    </w:p>
    <w:p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 to the one who disposed of it.  That person would determine his/her basis in the obligation disposed of and subtract that amount from the amount s/he realizes to determine gain or loss.</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CD00FC0" wp14:editId="34F90F71">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p>
    <w:p w:rsidR="0049128E" w:rsidRPr="00576ED7" w:rsidRDefault="0049128E" w:rsidP="00A6585D">
      <w:pPr>
        <w:widowControl w:val="0"/>
        <w:ind w:left="720"/>
        <w:jc w:val="both"/>
        <w:rPr>
          <w:szCs w:val="24"/>
        </w:rPr>
      </w:pPr>
      <w:r w:rsidRPr="00576ED7">
        <w:rPr>
          <w:szCs w:val="24"/>
        </w:rPr>
        <w:t>•Do not worry about question 19 on wrap-around mortgages.</w:t>
      </w:r>
      <w:r w:rsidR="003C7A52">
        <w:rPr>
          <w:szCs w:val="24"/>
        </w:rPr>
        <w:t xml:space="preserve">  When pr</w:t>
      </w:r>
      <w:r w:rsidR="003C7A52">
        <w:rPr>
          <w:szCs w:val="24"/>
        </w:rPr>
        <w:t>e</w:t>
      </w:r>
      <w:r w:rsidR="003C7A52">
        <w:rPr>
          <w:szCs w:val="24"/>
        </w:rPr>
        <w:t>vailing interest rates increase, read Reg. § 15A.453-1(b)(3)(ii).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installment method of § 453 enables a taxpayer to defer recognition of gain until s/he has the wherewithal to pay the tax.  However, when taxpayer enters into transactions with related persons with a view towards avoiding income tax, the Code denies the benefits of the installment method.</w:t>
      </w:r>
    </w:p>
    <w:p w:rsidR="0049128E" w:rsidRPr="00576ED7" w:rsidRDefault="0049128E" w:rsidP="00A6585D">
      <w:pPr>
        <w:widowControl w:val="0"/>
        <w:ind w:left="720"/>
        <w:jc w:val="both"/>
        <w:rPr>
          <w:szCs w:val="24"/>
        </w:rPr>
      </w:pPr>
      <w:r w:rsidRPr="00576ED7">
        <w:rPr>
          <w:szCs w:val="24"/>
        </w:rPr>
        <w:t>•Consider: Father (a high bracket taxpayer) sells daughter (a low bracket taxpayer) Blackacre.  Father’s basis in Blackacre is $20,000.  The selling price is $100,000.  Daughter is to make annual payments of $10,000 plus interest on the declining balance.  Daughter makes no payments and one week later, sells Blackacre to a third party for $100,000 cash.</w:t>
      </w:r>
    </w:p>
    <w:p w:rsidR="0049128E" w:rsidRPr="00576ED7" w:rsidRDefault="0049128E" w:rsidP="00A6585D">
      <w:pPr>
        <w:widowControl w:val="0"/>
        <w:ind w:left="1440"/>
        <w:jc w:val="both"/>
        <w:rPr>
          <w:szCs w:val="24"/>
        </w:rPr>
      </w:pPr>
      <w:r w:rsidRPr="00576ED7">
        <w:rPr>
          <w:szCs w:val="24"/>
        </w:rPr>
        <w:t>•Notice: daughter has no gain/loss to recognize.  She also has $100,000 cash in hand with which to fulfill her obligation to pay father $10,000 per year for the next nine years.</w:t>
      </w:r>
    </w:p>
    <w:p w:rsidR="0049128E" w:rsidRPr="00576ED7" w:rsidRDefault="0049128E" w:rsidP="00A6585D">
      <w:pPr>
        <w:widowControl w:val="0"/>
        <w:ind w:left="1440"/>
        <w:jc w:val="both"/>
        <w:rPr>
          <w:szCs w:val="24"/>
        </w:rPr>
      </w:pPr>
      <w:r w:rsidRPr="00576ED7">
        <w:rPr>
          <w:szCs w:val="24"/>
        </w:rPr>
        <w:t>•Father has essentially sold Blackacre at a substantial gain.  A pe</w:t>
      </w:r>
      <w:r w:rsidRPr="00576ED7">
        <w:rPr>
          <w:szCs w:val="24"/>
        </w:rPr>
        <w:t>r</w:t>
      </w:r>
      <w:r w:rsidRPr="00576ED7">
        <w:rPr>
          <w:szCs w:val="24"/>
        </w:rPr>
        <w:t>son related to him holds the cash from the sale.  Father may spread recognition of gain over the ensuing ten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453(e) addresses so-called “second dispositions by related persons.”</w:t>
      </w:r>
    </w:p>
    <w:p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rsidR="0049128E" w:rsidRPr="00576ED7" w:rsidRDefault="0049128E" w:rsidP="00A6585D">
      <w:pPr>
        <w:widowControl w:val="0"/>
        <w:ind w:left="1440"/>
        <w:jc w:val="both"/>
        <w:rPr>
          <w:szCs w:val="24"/>
        </w:rPr>
      </w:pPr>
      <w:r w:rsidRPr="00576ED7">
        <w:rPr>
          <w:szCs w:val="24"/>
        </w:rPr>
        <w:t xml:space="preserve">•Thus in our example, father would be treated as realizing </w:t>
      </w:r>
      <w:r w:rsidRPr="00576ED7">
        <w:rPr>
          <w:szCs w:val="24"/>
        </w:rPr>
        <w:lastRenderedPageBreak/>
        <w:t>$100,000 upon daughter’s sale of Blackacre.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•This rule applies only to a disposition made within two years after the first disposition.  § 453(e)(2).  However, the running of this two-year per</w:t>
      </w:r>
      <w:r w:rsidRPr="00576ED7">
        <w:rPr>
          <w:szCs w:val="24"/>
        </w:rPr>
        <w:t>i</w:t>
      </w:r>
      <w:r w:rsidRPr="00576ED7">
        <w:rPr>
          <w:szCs w:val="24"/>
        </w:rPr>
        <w:t>od is suspended in the event the risk of loss to the transferee is substantia</w:t>
      </w:r>
      <w:r w:rsidRPr="00576ED7">
        <w:rPr>
          <w:szCs w:val="24"/>
        </w:rPr>
        <w:t>l</w:t>
      </w:r>
      <w:r w:rsidRPr="00576ED7">
        <w:rPr>
          <w:szCs w:val="24"/>
        </w:rPr>
        <w:t>ly diminished – as defined.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person is “related” if he or she bears a relationship to the transferor d</w:t>
      </w:r>
      <w:r w:rsidRPr="00576ED7">
        <w:rPr>
          <w:szCs w:val="24"/>
        </w:rPr>
        <w:t>e</w:t>
      </w:r>
      <w:r w:rsidRPr="00576ED7">
        <w:rPr>
          <w:szCs w:val="24"/>
        </w:rPr>
        <w:t>scribed in either § 318(a) or § 267(b).  § 453(f)(1).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rsidR="0049128E" w:rsidRPr="00576ED7" w:rsidRDefault="0049128E" w:rsidP="00A6585D">
      <w:pPr>
        <w:widowControl w:val="0"/>
        <w:ind w:left="1440"/>
        <w:jc w:val="both"/>
        <w:rPr>
          <w:szCs w:val="24"/>
        </w:rPr>
      </w:pPr>
      <w:r w:rsidRPr="00576ED7">
        <w:rPr>
          <w:szCs w:val="24"/>
        </w:rPr>
        <w:t>the lesser of the amount realized in the second disposition, or the total contract price for the first disposition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MINUS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aggregate amount of payments received with respect to the first disposition, plus the aggregate amount treated as received under § 453(e).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received on the second disp</w:t>
      </w:r>
      <w:r w:rsidRPr="00576ED7">
        <w:rPr>
          <w:szCs w:val="24"/>
        </w:rPr>
        <w:t>o</w:t>
      </w:r>
      <w:r w:rsidRPr="00576ED7">
        <w:rPr>
          <w:szCs w:val="24"/>
        </w:rPr>
        <w:t>sition.  Further payments are treated as payments with respect to the first disposition.  § 453(e)(5).</w:t>
      </w:r>
    </w:p>
    <w:p w:rsidR="0049128E" w:rsidRPr="00576ED7" w:rsidRDefault="0049128E" w:rsidP="00A6585D">
      <w:pPr>
        <w:widowControl w:val="0"/>
        <w:ind w:left="1440"/>
        <w:jc w:val="both"/>
        <w:rPr>
          <w:szCs w:val="24"/>
        </w:rPr>
      </w:pPr>
      <w:r w:rsidRPr="00576ED7">
        <w:rPr>
          <w:szCs w:val="24"/>
        </w:rPr>
        <w:t>•Example: Same facts as above.  Daughter sells Blackacre in year 1 for $80,000.  Father is treated as realizing $80,000.  Daughter makes payments under the installment contract.  The first eight payments are not treated as payments with respect to the first di</w:t>
      </w:r>
      <w:r w:rsidRPr="00576ED7">
        <w:rPr>
          <w:szCs w:val="24"/>
        </w:rPr>
        <w:t>s</w:t>
      </w:r>
      <w:r w:rsidRPr="00576ED7">
        <w:rPr>
          <w:szCs w:val="24"/>
        </w:rPr>
        <w:t>position.  Father will pay no income tax for receiving these pa</w:t>
      </w:r>
      <w:r w:rsidRPr="00576ED7">
        <w:rPr>
          <w:szCs w:val="24"/>
        </w:rPr>
        <w:t>y</w:t>
      </w:r>
      <w:r w:rsidRPr="00576ED7">
        <w:rPr>
          <w:szCs w:val="24"/>
        </w:rPr>
        <w:t>ments.  The last two payments will produce taxable income for f</w:t>
      </w:r>
      <w:r w:rsidRPr="00576ED7">
        <w:rPr>
          <w:szCs w:val="24"/>
        </w:rPr>
        <w:t>a</w:t>
      </w:r>
      <w:r w:rsidRPr="00576ED7">
        <w:rPr>
          <w:szCs w:val="24"/>
        </w:rPr>
        <w:t>ther as before.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1D241F5" wp14:editId="0A394107">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Installment Sales: Second Dispositions by Related Parties and Contingent Payments</w:t>
      </w:r>
    </w:p>
    <w:p w:rsidR="0049128E" w:rsidRPr="00576ED7" w:rsidRDefault="0049128E" w:rsidP="00A6585D">
      <w:pPr>
        <w:widowControl w:val="0"/>
        <w:ind w:left="720"/>
        <w:jc w:val="both"/>
        <w:rPr>
          <w:szCs w:val="24"/>
        </w:rPr>
      </w:pPr>
      <w:r w:rsidRPr="00576ED7">
        <w:rPr>
          <w:szCs w:val="24"/>
        </w:rPr>
        <w:t>•Do not worry about questions 8-16 on contingent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Deferral Until Consumption</w:t>
      </w:r>
      <w:r w:rsidRPr="00576ED7">
        <w:rPr>
          <w:szCs w:val="24"/>
        </w:rPr>
        <w:fldChar w:fldCharType="begin"/>
      </w:r>
      <w:r w:rsidRPr="00576ED7">
        <w:rPr>
          <w:i/>
          <w:szCs w:val="24"/>
        </w:rPr>
        <w:instrText xml:space="preserve"> TC \l2 "C.  Deferral Until Consumption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“income tax” is a tax on income.  A “consumption tax” is a tax on consum</w:t>
      </w:r>
      <w:r w:rsidRPr="00576ED7">
        <w:rPr>
          <w:szCs w:val="24"/>
        </w:rPr>
        <w:t>p</w:t>
      </w:r>
      <w:r w:rsidRPr="00576ED7">
        <w:rPr>
          <w:szCs w:val="24"/>
        </w:rPr>
        <w:t>tion.  We have largely regarded the Code as one creating an income tax.  In fact the Code creates a hybrid whereby income that a taxpayer spends on certain sp</w:t>
      </w:r>
      <w:r w:rsidRPr="00576ED7">
        <w:rPr>
          <w:szCs w:val="24"/>
        </w:rPr>
        <w:t>e</w:t>
      </w:r>
      <w:r w:rsidRPr="00576ED7">
        <w:rPr>
          <w:szCs w:val="24"/>
        </w:rPr>
        <w:t>cific items of consumption is not subject to income tax – if at all – until taxpayer in fact spends it on those forms of consumption.  Consider two examples: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Individual Retirement Accounts</w:t>
      </w:r>
      <w:r w:rsidRPr="00576ED7">
        <w:rPr>
          <w:szCs w:val="24"/>
        </w:rPr>
        <w:t>:  Sections 219/62(a)(7) permit taxpayer to deduct above-the-line up to $5000, § 219(b)(5)(A), indexed for inflation, § 219(b)(5)(D), for payments to an individual retirement account.  Income on the account is not currently subject to income tax.  § 408(e)(1).  The payee or distributee must i</w:t>
      </w:r>
      <w:r w:rsidRPr="00576ED7">
        <w:rPr>
          <w:szCs w:val="24"/>
        </w:rPr>
        <w:t>n</w:t>
      </w:r>
      <w:r w:rsidRPr="00576ED7">
        <w:rPr>
          <w:szCs w:val="24"/>
        </w:rPr>
        <w:t xml:space="preserve">clude in his/her gross income payments from the account in the manner provided under § 72 (annuities).  § 408(d)(1).  Section 72(t)(1) generally imposes a 10% penalty tax – in addition to the income tax due – on an early distribution from an IRA.  A distribution is not early if it occurs on or after taxpayer attains the age of 59½, §§ 72(t)(2)(A)(i), 72(t)(5); distributions </w:t>
      </w:r>
      <w:r w:rsidRPr="00576ED7">
        <w:rPr>
          <w:i/>
          <w:szCs w:val="24"/>
        </w:rPr>
        <w:t>must</w:t>
      </w:r>
      <w:r w:rsidRPr="00576ED7">
        <w:rPr>
          <w:szCs w:val="24"/>
        </w:rPr>
        <w:t xml:space="preserve"> begin no later than April 1 of the calendar year after taxpayer turns 70½, § 408(a)(6) (incorporating rules of § 401(a)(9)(C)(i)).  Thus, deducted amounts that a taxpayer saves in a “traditio</w:t>
      </w:r>
      <w:r w:rsidRPr="00576ED7">
        <w:rPr>
          <w:szCs w:val="24"/>
        </w:rPr>
        <w:t>n</w:t>
      </w:r>
      <w:r w:rsidRPr="00576ED7">
        <w:rPr>
          <w:szCs w:val="24"/>
        </w:rPr>
        <w:t>al”</w:t>
      </w:r>
      <w:r w:rsidRPr="00576ED7">
        <w:rPr>
          <w:rStyle w:val="FootnoteReference"/>
          <w:szCs w:val="24"/>
        </w:rPr>
        <w:footnoteReference w:id="186"/>
      </w:r>
      <w:r w:rsidRPr="00576ED7">
        <w:rPr>
          <w:szCs w:val="24"/>
        </w:rPr>
        <w:t xml:space="preserve"> individual retirement account plus returns on the investment </w:t>
      </w:r>
      <w:r w:rsidRPr="00576ED7">
        <w:rPr>
          <w:i/>
          <w:szCs w:val="24"/>
        </w:rPr>
        <w:t>are</w:t>
      </w:r>
      <w:r w:rsidRPr="00576ED7">
        <w:rPr>
          <w:szCs w:val="24"/>
        </w:rPr>
        <w:t xml:space="preserve"> subject to tax – but at a time when taxpayer will be spending it on consumption in retir</w:t>
      </w:r>
      <w:r w:rsidRPr="00576ED7">
        <w:rPr>
          <w:szCs w:val="24"/>
        </w:rPr>
        <w:t>e</w:t>
      </w:r>
      <w:r w:rsidRPr="00576ED7">
        <w:rPr>
          <w:szCs w:val="24"/>
        </w:rPr>
        <w: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Health Savings Accounts</w:t>
      </w:r>
      <w:r w:rsidRPr="00576ED7">
        <w:rPr>
          <w:szCs w:val="24"/>
        </w:rPr>
        <w:t>: Sections 223/62(a)(19) permit taxpayer to deduct above-the-line amounts contributed to a “health savings account.”  A condition of this deduction is that taxpayer must purchase a “high-deductible health plan, § 223(c)(1)(A), a phrase that the Code defines, § 223(c)(2).  Taxpayer may deduct contributions to such accounts – subject to limitations, § 223(c)(b)(2).  Taxpayer may use funds in the account exclusively to pay “qualified medical expenses,”</w:t>
      </w:r>
      <w:r w:rsidRPr="00576ED7">
        <w:rPr>
          <w:rStyle w:val="FootnoteReference"/>
          <w:szCs w:val="24"/>
        </w:rPr>
        <w:footnoteReference w:id="187"/>
      </w:r>
      <w:r w:rsidRPr="00576ED7">
        <w:rPr>
          <w:szCs w:val="24"/>
        </w:rPr>
        <w:t xml:space="preserve"> § 223(d)(1).  The account is exempt from income tax, so long as it remains a “health savings account.”  §§ 223(e)(1), 223(f)(1).  A “health savings account” acquired by a surviving spouse continues to be a “health savings account.”  The health savings account provisions of the Code permit taxpayers not to pay any income tax on expenditures for consumption of certain medical services on the condition that taxpayers purchase high-deductible health plans.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tool of providing special income tax treatment – whether deferral or exemption – of the income that taxpayer saves for certain forms of consumption to encourage taxpayers to save current income for such future co</w:t>
      </w:r>
      <w:r w:rsidRPr="00576ED7">
        <w:rPr>
          <w:szCs w:val="24"/>
        </w:rPr>
        <w:t>n</w:t>
      </w:r>
      <w:r w:rsidRPr="00576ED7">
        <w:rPr>
          <w:szCs w:val="24"/>
        </w:rPr>
        <w:t>sumption.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6" w:name="_Toc375132963"/>
      <w:r w:rsidRPr="00576ED7">
        <w:t>III.  Basic Accounting Rules</w:t>
      </w:r>
      <w:bookmarkEnd w:id="76"/>
      <w:r w:rsidRPr="00576ED7">
        <w:fldChar w:fldCharType="begin"/>
      </w:r>
      <w:r w:rsidRPr="00576ED7">
        <w:instrText xml:space="preserve"> TC \l1 "III.  Basic Accounting Rules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must account for his/her income annually.  Here we consider </w:t>
      </w:r>
      <w:r w:rsidRPr="00576ED7">
        <w:rPr>
          <w:i/>
          <w:szCs w:val="24"/>
        </w:rPr>
        <w:t>how</w:t>
      </w:r>
      <w:r w:rsidRPr="00576ED7">
        <w:rPr>
          <w:szCs w:val="24"/>
        </w:rPr>
        <w:t xml:space="preserve"> ta</w:t>
      </w:r>
      <w:r w:rsidRPr="00576ED7">
        <w:rPr>
          <w:szCs w:val="24"/>
        </w:rPr>
        <w:t>x</w:t>
      </w:r>
      <w:r w:rsidRPr="00576ED7">
        <w:rPr>
          <w:szCs w:val="24"/>
        </w:rPr>
        <w:t>payer accounts for it.  Section 446(a) provides that: “Taxable income shall be computed under the method of accounting on the basis of which the taxpayer re</w:t>
      </w:r>
      <w:r w:rsidRPr="00576ED7">
        <w:rPr>
          <w:szCs w:val="24"/>
        </w:rPr>
        <w:t>g</w:t>
      </w:r>
      <w:r w:rsidRPr="00576ED7">
        <w:rPr>
          <w:szCs w:val="24"/>
        </w:rPr>
        <w:t>ularly computes his income in keeping his books.”  There are some caveats to this facially permissive statement.</w:t>
      </w:r>
    </w:p>
    <w:p w:rsidR="0049128E" w:rsidRPr="00576ED7" w:rsidRDefault="0049128E" w:rsidP="00A6585D">
      <w:pPr>
        <w:widowControl w:val="0"/>
        <w:jc w:val="both"/>
        <w:rPr>
          <w:szCs w:val="24"/>
        </w:rPr>
      </w:pPr>
      <w:r w:rsidRPr="00576ED7">
        <w:rPr>
          <w:szCs w:val="24"/>
        </w:rPr>
        <w:tab/>
      </w:r>
    </w:p>
    <w:p w:rsidR="0049128E" w:rsidRPr="00576ED7" w:rsidRDefault="00424AF0" w:rsidP="00A6585D">
      <w:pPr>
        <w:widowControl w:val="0"/>
        <w:jc w:val="both"/>
        <w:rPr>
          <w:szCs w:val="24"/>
        </w:rPr>
      </w:pPr>
      <w:r w:rsidRPr="00576ED7">
        <w:rPr>
          <w:noProof/>
          <w:szCs w:val="24"/>
        </w:rPr>
        <mc:AlternateContent>
          <mc:Choice Requires="wps">
            <w:drawing>
              <wp:anchor distT="152400" distB="152400" distL="152400" distR="152400" simplePos="0" relativeHeight="251693056" behindDoc="0" locked="0" layoutInCell="0" allowOverlap="1" wp14:anchorId="51806808" wp14:editId="4623E77A">
                <wp:simplePos x="0" y="0"/>
                <wp:positionH relativeFrom="margin">
                  <wp:posOffset>2059940</wp:posOffset>
                </wp:positionH>
                <wp:positionV relativeFrom="paragraph">
                  <wp:posOffset>385445</wp:posOffset>
                </wp:positionV>
                <wp:extent cx="2971800" cy="3538855"/>
                <wp:effectExtent l="0" t="0" r="19050" b="2349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38855"/>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rPr>
                              <w:t>Rule of Thumb (and no more than that):</w:t>
                            </w:r>
                          </w:p>
                          <w:p w:rsidR="00FF5E72" w:rsidRDefault="00FF5E72"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FF5E72" w:rsidRDefault="00FF5E72"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8" type="#_x0000_t202" style="position:absolute;left:0;text-align:left;margin-left:162.2pt;margin-top:30.35pt;width:234pt;height:278.65pt;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pALQIAAFwEAAAOAAAAZHJzL2Uyb0RvYy54bWysVNtu2zAMfR+wfxD0vjhxm0uNOEWXLsOA&#10;7gK0+wBZlm1hkqhJSuzu60vJaZrdXobpQSAl6pA8JLW+HrQiB+G8BFPS2WRKiTAcamnakn592L1Z&#10;UeIDMzVTYERJH4Wn15vXr9a9LUQOHahaOIIgxhe9LWkXgi2yzPNOaOYnYIXBywacZgFV12a1Yz2i&#10;a5Xl0+ki68HV1gEX3uPp7XhJNwm/aQQPn5vGi0BUSTG2kHaX9iru2WbNitYx20l+DIP9QxSaSYNO&#10;T1C3LDCyd/I3KC25Aw9NmHDQGTSN5CLlgNnMpr9kc98xK1IuSI63J5r8/4Plnw5fHJF1SS8vKTFM&#10;Y40exBDIWxjIchH56a0v0OzeomEY8BzrnHL19g74N08MbDtmWnHjHPSdYDXGN4svs7OnI46PIFX/&#10;EWr0w/YBEtDQOB3JQzoIomOdHk+1ibFwPMyvlrPVFK843l3ML1ar+Tz5YMXzc+t8eC9AkyiU1GHx&#10;Ezw73PkQw2HFs0n05kHJeieVSoprq61y5MCwUXZpHdF/MlOG9JhcPrvKRwr+ijFN608YWgZseSV1&#10;STEhXNGIFZG4d6ZOcmBSjTLGrMyRyUjeSGMYqiEVbZnHx5HmCupH5NbB2OI4kih04H5Q0mN7l9R/&#10;3zMnKFEfDNZnucDpwXk4V9y5Up0rzHCEKmmgZBS3YZyhvXWy7dDT2BEGbrCmjUxsv0R1jB9bOBXh&#10;OG5xRs71ZPXyKWyeAAAA//8DAFBLAwQUAAYACAAAACEAzoxG0N0AAAAKAQAADwAAAGRycy9kb3du&#10;cmV2LnhtbEyPwU7DMAyG70i8Q2QkbixdmbbRNZ1QJe5rGYJj1nhNReOUJlvL22NOcPTvT78/5/vZ&#10;9eKKY+g8KVguEhBIjTcdtQqOry8PWxAhajK694QKvjHAvri9yXVm/EQVXuvYCi6hkGkFNsYhkzI0&#10;Fp0OCz8g8e7sR6cjj2MrzagnLne9TJNkLZ3uiC9YPWBpsfmsL06Br6ryLa2/Du/lZMp2Osxx+LBK&#10;3d/NzzsQEef4B8OvPqtDwU4nfyETRK/gMV2tGFWwTjYgGNg8pRycOFhuE5BFLv+/UPwAAAD//wMA&#10;UEsBAi0AFAAGAAgAAAAhALaDOJL+AAAA4QEAABMAAAAAAAAAAAAAAAAAAAAAAFtDb250ZW50X1R5&#10;cGVzXS54bWxQSwECLQAUAAYACAAAACEAOP0h/9YAAACUAQAACwAAAAAAAAAAAAAAAAAvAQAAX3Jl&#10;bHMvLnJlbHNQSwECLQAUAAYACAAAACEAIGjKQC0CAABcBAAADgAAAAAAAAAAAAAAAAAuAgAAZHJz&#10;L2Uyb0RvYy54bWxQSwECLQAUAAYACAAAACEAzoxG0N0AAAAKAQAADwAAAAAAAAAAAAAAAACHBAAA&#10;ZHJzL2Rvd25yZXYueG1sUEsFBgAAAAAEAAQA8wAAAJEFAAAAAA==&#10;" o:allowincell="f" strokeweight=".96pt">
                <v:textbox inset="6pt,6pt,6pt,6pt">
                  <w:txbxContent>
                    <w:p w:rsidR="00FF5E72" w:rsidRDefault="00FF5E72" w:rsidP="00BF5F03">
                      <w:pPr>
                        <w:widowControl w:val="0"/>
                        <w:jc w:val="both"/>
                        <w:rPr>
                          <w:rFonts w:ascii="Tw Cen MT" w:hAnsi="Tw Cen MT"/>
                        </w:rPr>
                      </w:pPr>
                      <w:r>
                        <w:rPr>
                          <w:rFonts w:ascii="Tw Cen MT" w:hAnsi="Tw Cen MT"/>
                        </w:rPr>
                        <w:t>Rule of Thumb (and no more than that):</w:t>
                      </w:r>
                    </w:p>
                    <w:p w:rsidR="00FF5E72" w:rsidRDefault="00FF5E72" w:rsidP="00BF5F03">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w:t>
                      </w:r>
                      <w:r>
                        <w:rPr>
                          <w:rFonts w:ascii="Tw Cen MT" w:hAnsi="Tw Cen MT"/>
                        </w:rPr>
                        <w:t>e</w:t>
                      </w:r>
                      <w:r>
                        <w:rPr>
                          <w:rFonts w:ascii="Tw Cen MT" w:hAnsi="Tw Cen MT"/>
                        </w:rPr>
                        <w:t>ductions.  Taxpayer is not entitled to a dedu</w:t>
                      </w:r>
                      <w:r>
                        <w:rPr>
                          <w:rFonts w:ascii="Tw Cen MT" w:hAnsi="Tw Cen MT"/>
                        </w:rPr>
                        <w:t>c</w:t>
                      </w:r>
                      <w:r>
                        <w:rPr>
                          <w:rFonts w:ascii="Tw Cen MT" w:hAnsi="Tw Cen MT"/>
                        </w:rPr>
                        <w:t>tion unless he/she has actually paid the d</w:t>
                      </w:r>
                      <w:r>
                        <w:rPr>
                          <w:rFonts w:ascii="Tw Cen MT" w:hAnsi="Tw Cen MT"/>
                        </w:rPr>
                        <w:t>e</w:t>
                      </w:r>
                      <w:r>
                        <w:rPr>
                          <w:rFonts w:ascii="Tw Cen MT" w:hAnsi="Tw Cen MT"/>
                        </w:rPr>
                        <w:t>ductible expense.</w:t>
                      </w:r>
                    </w:p>
                    <w:p w:rsidR="00FF5E72" w:rsidRDefault="00FF5E72" w:rsidP="00BF5F03">
                      <w:pPr>
                        <w:widowControl w:val="0"/>
                        <w:jc w:val="both"/>
                        <w:rPr>
                          <w:rFonts w:ascii="Tw Cen MT" w:hAnsi="Tw Cen MT"/>
                        </w:rPr>
                      </w:pPr>
                      <w:r>
                        <w:rPr>
                          <w:rFonts w:ascii="Tw Cen MT" w:hAnsi="Tw Cen MT"/>
                          <w:i/>
                        </w:rPr>
                        <w:t>Accrual method</w:t>
                      </w:r>
                      <w:r>
                        <w:rPr>
                          <w:rFonts w:ascii="Tw Cen MT" w:hAnsi="Tw Cen MT"/>
                        </w:rPr>
                        <w:t>: follow the obligation.  Ta</w:t>
                      </w:r>
                      <w:r>
                        <w:rPr>
                          <w:rFonts w:ascii="Tw Cen MT" w:hAnsi="Tw Cen MT"/>
                        </w:rPr>
                        <w:t>x</w:t>
                      </w:r>
                      <w:r>
                        <w:rPr>
                          <w:rFonts w:ascii="Tw Cen MT" w:hAnsi="Tw Cen MT"/>
                        </w:rPr>
                        <w:t xml:space="preserve">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w:t>
                      </w:r>
                      <w:r>
                        <w:rPr>
                          <w:rFonts w:ascii="Tw Cen MT" w:hAnsi="Tw Cen MT"/>
                        </w:rPr>
                        <w:t>x</w:t>
                      </w:r>
                      <w:r>
                        <w:rPr>
                          <w:rFonts w:ascii="Tw Cen MT" w:hAnsi="Tw Cen MT"/>
                        </w:rPr>
                        <w:t>payer may claim a deduction.</w:t>
                      </w:r>
                    </w:p>
                  </w:txbxContent>
                </v:textbox>
                <w10:wrap type="square" side="largest" anchorx="margin"/>
              </v:shape>
            </w:pict>
          </mc:Fallback>
        </mc:AlternateContent>
      </w:r>
      <w:r w:rsidR="0049128E" w:rsidRPr="00576ED7">
        <w:rPr>
          <w:szCs w:val="24"/>
        </w:rPr>
        <w:t>Section 446(b) establishes the standard that taxpayer’s method of accounting must “clearly reflect income.”  Se</w:t>
      </w:r>
      <w:r w:rsidR="0049128E" w:rsidRPr="00576ED7">
        <w:rPr>
          <w:szCs w:val="24"/>
        </w:rPr>
        <w:t>c</w:t>
      </w:r>
      <w:r w:rsidR="0049128E" w:rsidRPr="00576ED7">
        <w:rPr>
          <w:szCs w:val="24"/>
        </w:rPr>
        <w:t>tion 446(c) establishes “pe</w:t>
      </w:r>
      <w:r w:rsidR="0049128E" w:rsidRPr="00576ED7">
        <w:rPr>
          <w:szCs w:val="24"/>
        </w:rPr>
        <w:t>r</w:t>
      </w:r>
      <w:r w:rsidR="0049128E" w:rsidRPr="00576ED7">
        <w:rPr>
          <w:szCs w:val="24"/>
        </w:rPr>
        <w:t>missible methods” of accoun</w:t>
      </w:r>
      <w:r w:rsidR="0049128E" w:rsidRPr="00576ED7">
        <w:rPr>
          <w:szCs w:val="24"/>
        </w:rPr>
        <w:t>t</w:t>
      </w:r>
      <w:r w:rsidR="0049128E" w:rsidRPr="00576ED7">
        <w:rPr>
          <w:szCs w:val="24"/>
        </w:rPr>
        <w:t>ing.  We will consider only two of them: “cash receipts and disbursements method” and “accrual method.”  The regulations define these phrases.  Reg. § 1.446-1(c)(1)(i and ii) provide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w:t>
      </w:r>
      <w:r w:rsidRPr="00576ED7">
        <w:rPr>
          <w:szCs w:val="24"/>
        </w:rPr>
        <w:t>s</w:t>
      </w:r>
      <w:r w:rsidRPr="00576ED7">
        <w:rPr>
          <w:szCs w:val="24"/>
        </w:rPr>
        <w:t>bursements method in the computation of ta</w:t>
      </w:r>
      <w:r w:rsidRPr="00576ED7">
        <w:rPr>
          <w:szCs w:val="24"/>
        </w:rPr>
        <w:t>x</w:t>
      </w:r>
      <w:r w:rsidRPr="00576ED7">
        <w:rPr>
          <w:szCs w:val="24"/>
        </w:rPr>
        <w:t xml:space="preserve">able income, all items which constitute gross income (whether in the form of cash, property, </w:t>
      </w:r>
      <w:r w:rsidRPr="00576ED7">
        <w:rPr>
          <w:szCs w:val="24"/>
        </w:rPr>
        <w:lastRenderedPageBreak/>
        <w:t>or services) are to be included for the taxable year in which actually made.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(ii) </w:t>
      </w:r>
      <w:r w:rsidRPr="00576ED7">
        <w:rPr>
          <w:i/>
          <w:szCs w:val="24"/>
        </w:rPr>
        <w:t>Accrual method</w:t>
      </w:r>
      <w:r w:rsidRPr="00576ED7">
        <w:rPr>
          <w:szCs w:val="24"/>
        </w:rPr>
        <w:t>. – (A) 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 to account for Federal income tax pu</w:t>
      </w:r>
      <w:r w:rsidRPr="00576ED7">
        <w:rPr>
          <w:szCs w:val="24"/>
        </w:rPr>
        <w:t>r</w:t>
      </w:r>
      <w:r w:rsidRPr="00576ED7">
        <w:rPr>
          <w:szCs w:val="24"/>
        </w:rPr>
        <w:t>poses, in the taxable year in which all the events have occurred that esta</w:t>
      </w:r>
      <w:r w:rsidRPr="00576ED7">
        <w:rPr>
          <w:szCs w:val="24"/>
        </w:rPr>
        <w:t>b</w:t>
      </w:r>
      <w:r w:rsidRPr="00576ED7">
        <w:rPr>
          <w:szCs w:val="24"/>
        </w:rPr>
        <w:t>lish the fact of the liability, the amount of the liability can be determined with reasonable accuracy, and economic performance has occurred with respect to the liability.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next subsections of the text, we consider a few of the principles that these accounting methods incorporate.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446(d) provides that a “taxpayer engaged in more than one trade or bus</w:t>
      </w:r>
      <w:r w:rsidRPr="00576ED7">
        <w:rPr>
          <w:szCs w:val="24"/>
        </w:rPr>
        <w:t>i</w:t>
      </w:r>
      <w:r w:rsidRPr="00576ED7">
        <w:rPr>
          <w:szCs w:val="24"/>
        </w:rPr>
        <w:t>ness may, in computing taxable income, use a different method of accounting for each trade or business.”  However –</w:t>
      </w:r>
    </w:p>
    <w:p w:rsidR="0049128E" w:rsidRPr="00576ED7" w:rsidRDefault="0049128E" w:rsidP="00A6585D">
      <w:pPr>
        <w:widowControl w:val="0"/>
        <w:ind w:left="720"/>
        <w:jc w:val="both"/>
        <w:rPr>
          <w:szCs w:val="24"/>
        </w:rPr>
      </w:pPr>
      <w:r w:rsidRPr="00576ED7">
        <w:rPr>
          <w:szCs w:val="24"/>
        </w:rPr>
        <w:t>•A C corporation or a partnership with a C corporation partner whose a</w:t>
      </w:r>
      <w:r w:rsidRPr="00576ED7">
        <w:rPr>
          <w:szCs w:val="24"/>
        </w:rPr>
        <w:t>v</w:t>
      </w:r>
      <w:r w:rsidRPr="00576ED7">
        <w:rPr>
          <w:szCs w:val="24"/>
        </w:rPr>
        <w:t>erage gross receipts for the last 3-taxable year period exceeds $5M may not use the cash receipts and disbursements method of accounting.  §§ 448(a)(1 and 2), 448(b)(3), 448(c)(1).</w:t>
      </w:r>
    </w:p>
    <w:p w:rsidR="0049128E" w:rsidRPr="00576ED7" w:rsidRDefault="0049128E" w:rsidP="00A6585D">
      <w:pPr>
        <w:widowControl w:val="0"/>
        <w:ind w:left="720"/>
        <w:jc w:val="both"/>
        <w:rPr>
          <w:szCs w:val="24"/>
        </w:rPr>
      </w:pPr>
      <w:r w:rsidRPr="00576ED7">
        <w:rPr>
          <w:szCs w:val="24"/>
        </w:rPr>
        <w:t>•A tax shelter may not use the cash receipts and disbursements method of accounting.  § 448(a)(3).</w:t>
      </w:r>
    </w:p>
    <w:p w:rsidR="0049128E" w:rsidRPr="00576ED7" w:rsidRDefault="0049128E" w:rsidP="00A6585D">
      <w:pPr>
        <w:widowControl w:val="0"/>
        <w:ind w:left="720"/>
        <w:jc w:val="both"/>
        <w:rPr>
          <w:szCs w:val="24"/>
        </w:rPr>
      </w:pPr>
      <w:r w:rsidRPr="00576ED7">
        <w:rPr>
          <w:szCs w:val="24"/>
        </w:rPr>
        <w:t>•A taxpayer who uses an inventory must use the accrual method “with r</w:t>
      </w:r>
      <w:r w:rsidRPr="00576ED7">
        <w:rPr>
          <w:szCs w:val="24"/>
        </w:rPr>
        <w:t>e</w:t>
      </w:r>
      <w:r w:rsidRPr="00576ED7">
        <w:rPr>
          <w:szCs w:val="24"/>
        </w:rPr>
        <w:t>gard to purchases and sales[.]” Reg. § 1.446-1(c)(2)(ii).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virtue of the cash method is that it is easy.  It does not always present an a</w:t>
      </w:r>
      <w:r w:rsidRPr="00576ED7">
        <w:rPr>
          <w:szCs w:val="24"/>
        </w:rPr>
        <w:t>c</w:t>
      </w:r>
      <w:r w:rsidRPr="00576ED7">
        <w:rPr>
          <w:szCs w:val="24"/>
        </w:rPr>
        <w:t>curate picture of the taxpayer’s economic well-being.  It can also be highly m</w:t>
      </w:r>
      <w:r w:rsidRPr="00576ED7">
        <w:rPr>
          <w:szCs w:val="24"/>
        </w:rPr>
        <w:t>a</w:t>
      </w:r>
      <w:r w:rsidRPr="00576ED7">
        <w:rPr>
          <w:szCs w:val="24"/>
        </w:rPr>
        <w:t xml:space="preserve">nipulable.  If a taxpayer wants to increase his/her deductions, taxpayer simply prepays deductible expenses – perhaps years in advance. </w:t>
      </w:r>
    </w:p>
    <w:p w:rsidR="0049128E" w:rsidRPr="00576ED7" w:rsidRDefault="0049128E" w:rsidP="00A6585D">
      <w:pPr>
        <w:widowControl w:val="0"/>
        <w:ind w:left="720"/>
        <w:jc w:val="both"/>
        <w:rPr>
          <w:szCs w:val="24"/>
        </w:rPr>
      </w:pPr>
      <w:r w:rsidRPr="00576ED7">
        <w:rPr>
          <w:szCs w:val="24"/>
        </w:rPr>
        <w:t>•Section 461(g) addresses prepayment of interest.</w:t>
      </w:r>
    </w:p>
    <w:p w:rsidR="0049128E" w:rsidRPr="00576ED7" w:rsidRDefault="0049128E" w:rsidP="00A6585D">
      <w:pPr>
        <w:widowControl w:val="0"/>
        <w:ind w:left="720"/>
        <w:jc w:val="both"/>
        <w:rPr>
          <w:szCs w:val="24"/>
        </w:rPr>
      </w:pPr>
      <w:r w:rsidRPr="00576ED7">
        <w:rPr>
          <w:szCs w:val="24"/>
        </w:rPr>
        <w:t xml:space="preserve">•Don’t forget that § 263 (capitalization) covers intangibles that will help to produce income past the end of the current tax year.  </w:t>
      </w:r>
      <w:r w:rsidRPr="00576ED7">
        <w:rPr>
          <w:i/>
          <w:szCs w:val="24"/>
        </w:rPr>
        <w:t>See</w:t>
      </w:r>
      <w:r w:rsidRPr="00576ED7">
        <w:rPr>
          <w:szCs w:val="24"/>
        </w:rPr>
        <w:t xml:space="preserve"> Reg.  § 1.263(a)-4(c)(1) (list of intangibles – includes insurance contract and lease).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taxpayer does not want to pay income tax on income, all taxpayer must do is defer its receipt.  Various rules address these points.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check is considered to be the equivalent of cash.  So is a credit card charge.  Hence receipt of the check or credit card charge constitutes income to the taxpa</w:t>
      </w:r>
      <w:r w:rsidRPr="00576ED7">
        <w:rPr>
          <w:szCs w:val="24"/>
        </w:rPr>
        <w:t>y</w:t>
      </w:r>
      <w:r w:rsidRPr="00576ED7">
        <w:rPr>
          <w:szCs w:val="24"/>
        </w:rPr>
        <w:t>er.  On the payment side, payment by check is made when taxpayer delivers it in the manner that taxpayer normally does, e.g., by mail.  Payment by credit card is made when the charge is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 important case, the United States Court of Appeals for the Fifth Circuit co</w:t>
      </w:r>
      <w:r w:rsidRPr="00576ED7">
        <w:rPr>
          <w:szCs w:val="24"/>
        </w:rPr>
        <w:t>n</w:t>
      </w:r>
      <w:r w:rsidRPr="00576ED7">
        <w:rPr>
          <w:szCs w:val="24"/>
        </w:rPr>
        <w:t>sidered whether a promissory note or contract right is a “cash equivalent” and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promissory note, negotiable in form, is not necessarily the equivalent of cash. Such an instrument may have been issued by a maker of doubtful solvency or for other reasons such paper might be denied a ready a</w:t>
      </w:r>
      <w:r w:rsidRPr="00576ED7">
        <w:rPr>
          <w:szCs w:val="24"/>
        </w:rPr>
        <w:t>c</w:t>
      </w:r>
      <w:r w:rsidRPr="00576ED7">
        <w:rPr>
          <w:szCs w:val="24"/>
        </w:rPr>
        <w:t>ceptance in the market place. We think the converse of this principle ought to be applicable. We are convinced that if a promise to pay of a solvent obligor is unconditional and assignable, not subject to set-offs, and 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w:t>
      </w:r>
      <w:r w:rsidRPr="00576ED7">
        <w:rPr>
          <w:szCs w:val="24"/>
        </w:rPr>
        <w:t>a</w:t>
      </w:r>
      <w:r w:rsidRPr="00576ED7">
        <w:rPr>
          <w:szCs w:val="24"/>
        </w:rPr>
        <w:t>ther than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Cowden v. Commissioner</w:t>
      </w:r>
      <w:r w:rsidRPr="00576ED7">
        <w:rPr>
          <w:szCs w:val="24"/>
        </w:rPr>
        <w:t>, 249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  A “promissory note” is treated as “property” and so its receipt is income to the extent of its fmv.  What are the factors that make receipt of a promissory note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so a promissory note does not entitle the maker to a deduction, even if the recip</w:t>
      </w:r>
      <w:r w:rsidRPr="00576ED7">
        <w:rPr>
          <w:szCs w:val="24"/>
        </w:rPr>
        <w:t>i</w:t>
      </w:r>
      <w:r w:rsidRPr="00576ED7">
        <w:rPr>
          <w:szCs w:val="24"/>
        </w:rPr>
        <w:t xml:space="preserve">ent of the note must include the fmv of the note in his/her gross income.  </w:t>
      </w:r>
      <w:r w:rsidRPr="00576ED7">
        <w:rPr>
          <w:i/>
          <w:szCs w:val="24"/>
        </w:rPr>
        <w:t>See</w:t>
      </w:r>
      <w:r w:rsidRPr="00576ED7">
        <w:rPr>
          <w:szCs w:val="24"/>
        </w:rPr>
        <w:t xml:space="preserve"> </w:t>
      </w:r>
      <w:r w:rsidRPr="00576ED7">
        <w:rPr>
          <w:i/>
          <w:szCs w:val="24"/>
        </w:rPr>
        <w:t>Don E. Williams Co. v. Commissioner</w:t>
      </w:r>
      <w:r w:rsidRPr="00576ED7">
        <w:rPr>
          <w:szCs w:val="24"/>
        </w:rPr>
        <w:t>, 429 U.S. 569, 579 (1977).  “The promissory note, even when payable on demand and fully secured, is still, as its name implies, only a promise to pay, and does not represent the paying out or reduction of a</w:t>
      </w:r>
      <w:r w:rsidRPr="00576ED7">
        <w:rPr>
          <w:szCs w:val="24"/>
        </w:rPr>
        <w:t>s</w:t>
      </w:r>
      <w:r w:rsidRPr="00576ED7">
        <w:rPr>
          <w:szCs w:val="24"/>
        </w:rPr>
        <w:lastRenderedPageBreak/>
        <w:t xml:space="preserve">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1.451-2(a)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Taxpayer Paul Hornung played in the NFL championship game on December 31, 1961.  The game was in Green Bay, Wisconsin and ended at 4:30 p.m.  The ed</w:t>
      </w:r>
      <w:r w:rsidRPr="00576ED7">
        <w:rPr>
          <w:szCs w:val="24"/>
        </w:rPr>
        <w:t>i</w:t>
      </w:r>
      <w:r w:rsidRPr="00576ED7">
        <w:rPr>
          <w:szCs w:val="24"/>
        </w:rPr>
        <w:t>tors of Sport Magazine named him the most valuable player of the game and i</w:t>
      </w:r>
      <w:r w:rsidRPr="00576ED7">
        <w:rPr>
          <w:szCs w:val="24"/>
        </w:rPr>
        <w:t>n</w:t>
      </w:r>
      <w:r w:rsidRPr="00576ED7">
        <w:rPr>
          <w:szCs w:val="24"/>
        </w:rPr>
        <w:t>formed him of this fact.  Taxpayer would be given a Corvette automobile, but the editors had neither title nor keys to the automobile at that time.  They would pr</w:t>
      </w:r>
      <w:r w:rsidRPr="00576ED7">
        <w:rPr>
          <w:szCs w:val="24"/>
        </w:rPr>
        <w:t>e</w:t>
      </w:r>
      <w:r w:rsidRPr="00576ED7">
        <w:rPr>
          <w:szCs w:val="24"/>
        </w:rPr>
        <w:t>sent them to taxpayer at a luncheon in New York City on January 3, 1962.  Sport Magazine could have presented Mr. Hornung with keys and title on December 31, 1961 – but the automobile was actually in New York.</w:t>
      </w:r>
    </w:p>
    <w:p w:rsidR="0049128E" w:rsidRPr="00576ED7" w:rsidRDefault="0049128E" w:rsidP="00A6585D">
      <w:pPr>
        <w:widowControl w:val="0"/>
        <w:ind w:left="720"/>
        <w:jc w:val="both"/>
        <w:rPr>
          <w:szCs w:val="24"/>
        </w:rPr>
      </w:pPr>
      <w:r w:rsidRPr="00576ED7">
        <w:rPr>
          <w:szCs w:val="24"/>
        </w:rPr>
        <w:t xml:space="preserve">•Did taxpayer constructively receive the automobile in 1961? </w:t>
      </w:r>
      <w:r w:rsidRPr="00576ED7">
        <w:rPr>
          <w:i/>
          <w:szCs w:val="24"/>
        </w:rPr>
        <w:t>See</w:t>
      </w:r>
      <w:r w:rsidRPr="00576ED7">
        <w:rPr>
          <w:szCs w:val="24"/>
        </w:rPr>
        <w:t xml:space="preserve"> </w:t>
      </w:r>
      <w:r w:rsidRPr="00576ED7">
        <w:rPr>
          <w:i/>
          <w:szCs w:val="24"/>
        </w:rPr>
        <w:t>Ho</w:t>
      </w:r>
      <w:r w:rsidRPr="00576ED7">
        <w:rPr>
          <w:i/>
          <w:szCs w:val="24"/>
        </w:rPr>
        <w:t>r</w:t>
      </w:r>
      <w:r w:rsidRPr="00576ED7">
        <w:rPr>
          <w:i/>
          <w:szCs w:val="24"/>
        </w:rPr>
        <w:t>nung v. Commissioner</w:t>
      </w:r>
      <w:r w:rsidRPr="00576ED7">
        <w:rPr>
          <w:szCs w:val="24"/>
        </w:rPr>
        <w:t>, 47 T.C. 428 (1967) (</w:t>
      </w:r>
      <w:r w:rsidRPr="00576ED7">
        <w:rPr>
          <w:i/>
          <w:szCs w:val="24"/>
        </w:rPr>
        <w:t>acq.</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is a prisoner.  The Champion Transportation Services Inc. Profit Sha</w:t>
      </w:r>
      <w:r w:rsidRPr="00576ED7">
        <w:rPr>
          <w:szCs w:val="24"/>
        </w:rPr>
        <w:t>r</w:t>
      </w:r>
      <w:r w:rsidRPr="00576ED7">
        <w:rPr>
          <w:szCs w:val="24"/>
        </w:rPr>
        <w:t>ing and 401(k) Plan mailed a cashier’s check for $25,000 to his personal residence in 1997.  A “house-sitter” lived at the residence during the taxpayer’s period of incarceration.  Taxpayer had access to a telephone.  Taxpayer was released in 1998 and cashed the check at that time.</w:t>
      </w:r>
    </w:p>
    <w:p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cash method taxpayer must include in his/her gross income the value of an “economic benefit.”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w:t>
      </w:r>
      <w:r w:rsidRPr="00576ED7">
        <w:rPr>
          <w:szCs w:val="24"/>
        </w:rPr>
        <w:t>e</w:t>
      </w:r>
      <w:r w:rsidRPr="00576ED7">
        <w:rPr>
          <w:szCs w:val="24"/>
        </w:rPr>
        <w:t>yond the reach of the payor's debtors.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60-31</w:t>
      </w:r>
      <w:r w:rsidRPr="00576ED7">
        <w:rPr>
          <w:szCs w:val="24"/>
        </w:rPr>
        <w:fldChar w:fldCharType="begin"/>
      </w:r>
      <w:r w:rsidRPr="00576ED7">
        <w:rPr>
          <w:b/>
          <w:szCs w:val="24"/>
        </w:rPr>
        <w:instrText xml:space="preserve"> TC \l4 "Rev. Rul. 60-31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Discussion of the application of the doctrine of constructive receipt to certain d</w:t>
      </w:r>
      <w:r w:rsidRPr="00576ED7">
        <w:rPr>
          <w:szCs w:val="24"/>
        </w:rPr>
        <w:t>e</w:t>
      </w:r>
      <w:r w:rsidRPr="00576ED7">
        <w:rPr>
          <w:szCs w:val="24"/>
        </w:rPr>
        <w:t>ferred compensation arrangements.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w:t>
      </w:r>
      <w:r w:rsidRPr="00576ED7">
        <w:rPr>
          <w:szCs w:val="24"/>
        </w:rPr>
        <w:t>x</w:t>
      </w:r>
      <w:r w:rsidRPr="00576ED7">
        <w:rPr>
          <w:szCs w:val="24"/>
        </w:rPr>
        <w:t>ecutive capacity for a period of five years. Under the contract, the taxpayer is ent</w:t>
      </w:r>
      <w:r w:rsidRPr="00576ED7">
        <w:rPr>
          <w:szCs w:val="24"/>
        </w:rPr>
        <w:t>i</w:t>
      </w:r>
      <w:r w:rsidRPr="00576ED7">
        <w:rPr>
          <w:szCs w:val="24"/>
        </w:rPr>
        <w:t>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w:t>
      </w:r>
      <w:r w:rsidRPr="00576ED7">
        <w:rPr>
          <w:szCs w:val="24"/>
        </w:rPr>
        <w:t>r</w:t>
      </w:r>
      <w:r w:rsidRPr="00576ED7">
        <w:rPr>
          <w:szCs w:val="24"/>
        </w:rPr>
        <w:t>mination of the taxpayer’s employment by the corporation; (b) the taxpayer’s b</w:t>
      </w:r>
      <w:r w:rsidRPr="00576ED7">
        <w:rPr>
          <w:szCs w:val="24"/>
        </w:rPr>
        <w:t>e</w:t>
      </w:r>
      <w:r w:rsidRPr="00576ED7">
        <w:rPr>
          <w:szCs w:val="24"/>
        </w:rPr>
        <w:t xml:space="preserve">coming a part-time employee of the corporation; or (c) the taxpayer’s becoming </w:t>
      </w:r>
      <w:r w:rsidRPr="00576ED7">
        <w:rPr>
          <w:szCs w:val="24"/>
        </w:rPr>
        <w:lastRenderedPageBreak/>
        <w:t>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w:t>
      </w:r>
      <w:r w:rsidRPr="00576ED7">
        <w:rPr>
          <w:szCs w:val="24"/>
        </w:rPr>
        <w:t>d</w:t>
      </w:r>
      <w:r w:rsidRPr="00576ED7">
        <w:rPr>
          <w:szCs w:val="24"/>
        </w:rPr>
        <w:t>its to the reserve (but not of the obligation to distribute amounts previously co</w:t>
      </w:r>
      <w:r w:rsidRPr="00576ED7">
        <w:rPr>
          <w:szCs w:val="24"/>
        </w:rPr>
        <w:t>n</w:t>
      </w:r>
      <w:r w:rsidRPr="00576ED7">
        <w:rPr>
          <w:szCs w:val="24"/>
        </w:rPr>
        <w:t>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w:t>
      </w:r>
      <w:r w:rsidRPr="00576ED7">
        <w:rPr>
          <w:szCs w:val="24"/>
        </w:rPr>
        <w:t>e</w:t>
      </w:r>
      <w:r w:rsidRPr="00576ED7">
        <w:rPr>
          <w:szCs w:val="24"/>
        </w:rPr>
        <w:t>ginning three months after his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w:t>
      </w:r>
      <w:r w:rsidRPr="00576ED7">
        <w:rPr>
          <w:szCs w:val="24"/>
        </w:rPr>
        <w:t>x</w:t>
      </w:r>
      <w:r w:rsidRPr="00576ED7">
        <w:rPr>
          <w:szCs w:val="24"/>
        </w:rPr>
        <w:t>clusive right to print, publish and sell a book he had written. This agreement pr</w:t>
      </w:r>
      <w:r w:rsidRPr="00576ED7">
        <w:rPr>
          <w:szCs w:val="24"/>
        </w:rPr>
        <w:t>o</w:t>
      </w:r>
      <w:r w:rsidRPr="00576ED7">
        <w:rPr>
          <w:szCs w:val="24"/>
        </w:rPr>
        <w:t>vides that the publisher will (1) pay the author specified royalties based on the actual cash received from the sale of the published work, (2) render semiannual statements of the sales, and (3) at the time of rendering each statement make se</w:t>
      </w:r>
      <w:r w:rsidRPr="00576ED7">
        <w:rPr>
          <w:szCs w:val="24"/>
        </w:rPr>
        <w:t>t</w:t>
      </w:r>
      <w:r w:rsidRPr="00576ED7">
        <w:rPr>
          <w:szCs w:val="24"/>
        </w:rPr>
        <w: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w:t>
      </w:r>
      <w:r w:rsidRPr="00576ED7">
        <w:rPr>
          <w:szCs w:val="24"/>
        </w:rPr>
        <w:t>e</w:t>
      </w:r>
      <w:r w:rsidRPr="00576ED7">
        <w:rPr>
          <w:szCs w:val="24"/>
        </w:rPr>
        <w:t>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w:t>
      </w:r>
      <w:r w:rsidRPr="00576ED7">
        <w:rPr>
          <w:szCs w:val="24"/>
        </w:rPr>
        <w:t>n</w:t>
      </w:r>
      <w:r w:rsidRPr="00576ED7">
        <w:rPr>
          <w:szCs w:val="24"/>
        </w:rPr>
        <w:t xml:space="preserve">gage in activities related to football during the two-year term only for the club. In </w:t>
      </w:r>
      <w:r w:rsidRPr="00576ED7">
        <w:rPr>
          <w:szCs w:val="24"/>
        </w:rPr>
        <w:lastRenderedPageBreak/>
        <w:t>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player shall receive the sum of 150x dollars upon signing of this co</w:t>
      </w:r>
      <w:r w:rsidRPr="00576ED7">
        <w:rPr>
          <w:szCs w:val="24"/>
        </w:rPr>
        <w:t>n</w:t>
      </w:r>
      <w:r w:rsidRPr="00576ED7">
        <w:rPr>
          <w:szCs w:val="24"/>
        </w:rPr>
        <w:t>tract, contingent upon the payment of this 150x dollars to an escrow agent designated by him. The escrow agreement shall be subject to approval by the legal representatives of the player, the Club, and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w:t>
      </w:r>
      <w:r w:rsidRPr="00576ED7">
        <w:rPr>
          <w:szCs w:val="24"/>
        </w:rPr>
        <w:t>x</w:t>
      </w:r>
      <w:r w:rsidRPr="00576ED7">
        <w:rPr>
          <w:szCs w:val="24"/>
        </w:rPr>
        <w:t>payer in installments over a period of five years. The escrow agreement also pr</w:t>
      </w:r>
      <w:r w:rsidRPr="00576ED7">
        <w:rPr>
          <w:szCs w:val="24"/>
        </w:rPr>
        <w:t>o</w:t>
      </w:r>
      <w:r w:rsidRPr="00576ED7">
        <w:rPr>
          <w:szCs w:val="24"/>
        </w:rPr>
        <w:t>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w:t>
      </w:r>
      <w:r w:rsidRPr="00576ED7">
        <w:rPr>
          <w:szCs w:val="24"/>
        </w:rPr>
        <w:t>e</w:t>
      </w:r>
      <w:r w:rsidRPr="00576ED7">
        <w:rPr>
          <w:szCs w:val="24"/>
        </w:rPr>
        <w:t>ceive 16x% of the gross receipts derived from the match. Simultaneously, the same parties executed a separate agreement providing for payment of the taxpa</w:t>
      </w:r>
      <w:r w:rsidRPr="00576ED7">
        <w:rPr>
          <w:szCs w:val="24"/>
        </w:rPr>
        <w:t>y</w:t>
      </w:r>
      <w:r w:rsidRPr="00576ED7">
        <w:rPr>
          <w:szCs w:val="24"/>
        </w:rPr>
        <w:t>er’s share of the receipts from the match as follows: 25% thereof not later than two weeks after the bout, and 25% thereof during each of the three years follo</w:t>
      </w:r>
      <w:r w:rsidRPr="00576ED7">
        <w:rPr>
          <w:szCs w:val="24"/>
        </w:rPr>
        <w:t>w</w:t>
      </w:r>
      <w:r w:rsidRPr="00576ED7">
        <w:rPr>
          <w:szCs w:val="24"/>
        </w:rPr>
        <w:t>ing the year of the bout in equal semiannual installments. Such deferments are not customary in prize fighting contracts, and the supplemental agreement was ex</w:t>
      </w:r>
      <w:r w:rsidRPr="00576ED7">
        <w:rPr>
          <w:szCs w:val="24"/>
        </w:rPr>
        <w:t>e</w:t>
      </w:r>
      <w:r w:rsidRPr="00576ED7">
        <w:rPr>
          <w:szCs w:val="24"/>
        </w:rPr>
        <w:t>cuted at the demand of the taxpayer.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w:t>
      </w:r>
      <w:r w:rsidRPr="00576ED7">
        <w:rPr>
          <w:szCs w:val="24"/>
        </w:rPr>
        <w:t>n</w:t>
      </w:r>
      <w:r w:rsidRPr="00576ED7">
        <w:rPr>
          <w:szCs w:val="24"/>
        </w:rPr>
        <w:lastRenderedPageBreak/>
        <w:t>come only for the taxable year in which it is actually or constructively received. Consequently, the question for resolution is whether in each of the situations d</w:t>
      </w:r>
      <w:r w:rsidRPr="00576ED7">
        <w:rPr>
          <w:szCs w:val="24"/>
        </w:rPr>
        <w:t>e</w:t>
      </w:r>
      <w:r w:rsidRPr="00576ED7">
        <w:rPr>
          <w:szCs w:val="24"/>
        </w:rPr>
        <w:t>scribed the income in question was constructively received in a taxable year prior to the taxable year of actual receipt.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promise to pay, not represented by notes or secured in any way, is not r</w:t>
      </w:r>
      <w:r w:rsidRPr="00576ED7">
        <w:rPr>
          <w:szCs w:val="24"/>
        </w:rPr>
        <w:t>e</w:t>
      </w:r>
      <w:r w:rsidRPr="00576ED7">
        <w:rPr>
          <w:szCs w:val="24"/>
        </w:rPr>
        <w:t>garded as a receipt of income within the intendment of the cash receipts and di</w:t>
      </w:r>
      <w:r w:rsidRPr="00576ED7">
        <w:rPr>
          <w:szCs w:val="24"/>
        </w:rPr>
        <w:t>s</w:t>
      </w:r>
      <w:r w:rsidRPr="00576ED7">
        <w:rPr>
          <w:szCs w:val="24"/>
        </w:rPr>
        <w:t xml:space="preserve">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w:t>
      </w:r>
      <w:r w:rsidRPr="00576ED7">
        <w:rPr>
          <w:szCs w:val="24"/>
        </w:rPr>
        <w:t>x</w:t>
      </w:r>
      <w:r w:rsidRPr="00576ED7">
        <w:rPr>
          <w:szCs w:val="24"/>
        </w:rPr>
        <w:t>payers on a receipts and disbursements basis are required to report only income actually received no matter how binding any contracts they may have to receive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should not be construed to mean that under the cash receipts and disburs</w:t>
      </w:r>
      <w:r w:rsidRPr="00576ED7">
        <w:rPr>
          <w:szCs w:val="24"/>
        </w:rPr>
        <w:t>e</w:t>
      </w:r>
      <w:r w:rsidRPr="00576ED7">
        <w:rPr>
          <w:szCs w:val="24"/>
        </w:rPr>
        <w:t xml:space="preserv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Consequently, it seems clear that in each case involving a deferral of compens</w:t>
      </w:r>
      <w:r w:rsidRPr="00576ED7">
        <w:rPr>
          <w:szCs w:val="24"/>
        </w:rPr>
        <w:t>a</w:t>
      </w:r>
      <w:r w:rsidRPr="00576ED7">
        <w:rPr>
          <w:szCs w:val="24"/>
        </w:rPr>
        <w:t>tion a determination of whether the doctrine of constructive receipt is applicable must be made upon the basis of the specific factual situation involved.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w:t>
      </w:r>
      <w:r w:rsidRPr="00576ED7">
        <w:rPr>
          <w:szCs w:val="24"/>
        </w:rPr>
        <w:t>n</w:t>
      </w:r>
      <w:r w:rsidRPr="00576ED7">
        <w:rPr>
          <w:szCs w:val="24"/>
        </w:rPr>
        <w:t>ly in the taxable years in which the taxpayer actually receives installment payments in cash or other property previously credited to his account. To hold otherwise would be contrary to the provisions of the regulations and the court decisions mentioned above,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 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w:t>
      </w:r>
      <w:r w:rsidRPr="00576ED7">
        <w:rPr>
          <w:szCs w:val="24"/>
        </w:rPr>
        <w:t>m</w:t>
      </w:r>
      <w:r w:rsidRPr="00576ED7">
        <w:rPr>
          <w:szCs w:val="24"/>
        </w:rPr>
        <w:t>ployer into separate independently controlled trusts for the purpose of furnishing unemployment and other benefits to its eligible employees constituted additional compensation to the employees includible, under § 402(b) of the Code and § 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 402(b) of the Code and § 1.402(b)-1(a)(1) of the regulations are inapplicable.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(3) Here the principal agreement provided that the royalties were payable </w:t>
      </w:r>
      <w:r w:rsidRPr="00576ED7">
        <w:rPr>
          <w:szCs w:val="24"/>
        </w:rPr>
        <w:lastRenderedPageBreak/>
        <w:t>substantially as earned, and this agreement was supplemented by a further concurrent agreement which made the royalties payable over a period of years. This supplemental agreement, however, was made before the roya</w:t>
      </w:r>
      <w:r w:rsidRPr="00576ED7">
        <w:rPr>
          <w:szCs w:val="24"/>
        </w:rPr>
        <w:t>l</w:t>
      </w:r>
      <w:r w:rsidRPr="00576ED7">
        <w:rPr>
          <w:szCs w:val="24"/>
        </w:rPr>
        <w:t>ties were earned; in fact, in [sic] was made on the same day as the princ</w:t>
      </w:r>
      <w:r w:rsidRPr="00576ED7">
        <w:rPr>
          <w:szCs w:val="24"/>
        </w:rPr>
        <w:t>i</w:t>
      </w:r>
      <w:r w:rsidRPr="00576ED7">
        <w:rPr>
          <w:szCs w:val="24"/>
        </w:rPr>
        <w:t>pal agreement and the two agreements were a part of the same transaction. Thus, for all practical purposes, the arrangement from the beginning is similar to that in (1) above. Therefore, it is also held that the author co</w:t>
      </w:r>
      <w:r w:rsidRPr="00576ED7">
        <w:rPr>
          <w:szCs w:val="24"/>
        </w:rPr>
        <w:t>n</w:t>
      </w:r>
      <w:r w:rsidRPr="00576ED7">
        <w:rPr>
          <w:szCs w:val="24"/>
        </w:rPr>
        <w:t>cerned will be required to include the royalties in his gross income only in the taxable years in which they are actually received in cash or other pro</w:t>
      </w:r>
      <w:r w:rsidRPr="00576ED7">
        <w:rPr>
          <w:szCs w:val="24"/>
        </w:rPr>
        <w:t>p</w:t>
      </w:r>
      <w:r w:rsidRPr="00576ED7">
        <w:rPr>
          <w:szCs w:val="24"/>
        </w:rPr>
        <w:t>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bility of the 150x dollars concerned in the gross income of the football player, under the circu</w:t>
      </w:r>
      <w:r w:rsidRPr="00576ED7">
        <w:rPr>
          <w:szCs w:val="24"/>
        </w:rPr>
        <w:t>m</w:t>
      </w:r>
      <w:r w:rsidRPr="00576ED7">
        <w:rPr>
          <w:szCs w:val="24"/>
        </w:rPr>
        <w:t xml:space="preserve">stances described, in addition to the authorities cited above, consideration also has been given to ... the decision in </w:t>
      </w:r>
      <w:r w:rsidRPr="00576ED7">
        <w:rPr>
          <w:i/>
          <w:szCs w:val="24"/>
        </w:rPr>
        <w:t>Sproull v. Commissioner</w:t>
      </w:r>
      <w:r w:rsidRPr="00576ED7">
        <w:rPr>
          <w:szCs w:val="24"/>
        </w:rPr>
        <w:t>, 16 T.C. 244.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w:t>
      </w:r>
      <w:r w:rsidRPr="00576ED7">
        <w:rPr>
          <w:szCs w:val="24"/>
        </w:rPr>
        <w:t>n</w:t>
      </w:r>
      <w:r w:rsidRPr="00576ED7">
        <w:rPr>
          <w:szCs w:val="24"/>
        </w:rPr>
        <w:t>er’s prior death, the amounts were to be paid to his administrator, executor, or heirs. The petitioner contended that the Commissioner erred in including the sum of $10,500 in his taxable income for 1945. In this connection, the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w:t>
      </w:r>
      <w:r w:rsidRPr="00576ED7">
        <w:rPr>
          <w:szCs w:val="24"/>
        </w:rPr>
        <w:t>n</w:t>
      </w:r>
      <w:r w:rsidRPr="00576ED7">
        <w:rPr>
          <w:szCs w:val="24"/>
        </w:rPr>
        <w:t>efit *** in setting up the trust of which petitioner, or, in the event of his death then his estate, was the sole beneficiary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w:t>
      </w:r>
      <w:r w:rsidRPr="00576ED7">
        <w:rPr>
          <w:szCs w:val="24"/>
        </w:rPr>
        <w:t>f</w:t>
      </w:r>
      <w:r w:rsidRPr="00576ED7">
        <w:rPr>
          <w:szCs w:val="24"/>
        </w:rPr>
        <w:t>firmative. The employer’s part of the transaction terminated in 1945. It was then that the amount of the compensation was fixed at $10,500 and i</w:t>
      </w:r>
      <w:r w:rsidRPr="00576ED7">
        <w:rPr>
          <w:szCs w:val="24"/>
        </w:rPr>
        <w:t>r</w:t>
      </w:r>
      <w:r w:rsidRPr="00576ED7">
        <w:rPr>
          <w:szCs w:val="24"/>
        </w:rPr>
        <w:t>revocably paid out for petitioner’s sole benefit.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Applying the principles stated in the </w:t>
      </w:r>
      <w:r w:rsidRPr="00576ED7">
        <w:rPr>
          <w:i/>
          <w:szCs w:val="24"/>
        </w:rPr>
        <w:t>Sproull</w:t>
      </w:r>
      <w:r w:rsidRPr="00576ED7">
        <w:rPr>
          <w:szCs w:val="24"/>
        </w:rPr>
        <w:t xml:space="preserve"> decision to the facts here, it is co</w:t>
      </w:r>
      <w:r w:rsidRPr="00576ED7">
        <w:rPr>
          <w:szCs w:val="24"/>
        </w:rPr>
        <w:t>n</w:t>
      </w:r>
      <w:r w:rsidRPr="00576ED7">
        <w:rPr>
          <w:szCs w:val="24"/>
        </w:rPr>
        <w:t>cluded that the 150x-dollar bonus is includible in the gross income of the football player concerned in 1957, the year in which the club unconditionally paid such amount to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In this case, the taxpayer and the boxing club, as well as the opponent whom taxpayer had agreed to meet, are each acting in his or its own right, the proposed match is a joint venture by all of these participants, and the taxpayer is not an e</w:t>
      </w:r>
      <w:r w:rsidRPr="00576ED7">
        <w:rPr>
          <w:szCs w:val="24"/>
        </w:rPr>
        <w:t>m</w:t>
      </w:r>
      <w:r w:rsidRPr="00576ED7">
        <w:rPr>
          <w:szCs w:val="24"/>
        </w:rPr>
        <w:t>ployee of the boxing club. The taxpayer’s share of the gross receipts from the match belong to him and never belonged to the boxing club. Thus, the taxpayer acquired all of the benefits of his share of the receipts except the right of immed</w:t>
      </w:r>
      <w:r w:rsidRPr="00576ED7">
        <w:rPr>
          <w:szCs w:val="24"/>
        </w:rPr>
        <w:t>i</w:t>
      </w:r>
      <w:r w:rsidRPr="00576ED7">
        <w:rPr>
          <w:szCs w:val="24"/>
        </w:rPr>
        <w:t xml:space="preserve">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“mere promise to pay” is not included in gross income.  It should be appa</w:t>
      </w:r>
      <w:r w:rsidRPr="00576ED7">
        <w:rPr>
          <w:szCs w:val="24"/>
        </w:rPr>
        <w:t>r</w:t>
      </w:r>
      <w:r w:rsidRPr="00576ED7">
        <w:rPr>
          <w:szCs w:val="24"/>
        </w:rPr>
        <w:t>ent that at least some of the taxpayers did plan or could have planned their receipt of money in such a way as to reduce their tax liability.</w:t>
      </w:r>
    </w:p>
    <w:p w:rsidR="0049128E" w:rsidRPr="00576ED7" w:rsidRDefault="0049128E" w:rsidP="00A6585D">
      <w:pPr>
        <w:widowControl w:val="0"/>
        <w:ind w:left="720"/>
        <w:jc w:val="both"/>
        <w:rPr>
          <w:szCs w:val="24"/>
        </w:rPr>
      </w:pPr>
      <w:r w:rsidRPr="00576ED7">
        <w:rPr>
          <w:szCs w:val="24"/>
        </w:rPr>
        <w:t>•Taxpayers in cases 4 and 5 would have lost.  How would you restructure the bargains that they entered?</w:t>
      </w:r>
    </w:p>
    <w:p w:rsidR="0049128E" w:rsidRPr="00576ED7" w:rsidRDefault="0049128E" w:rsidP="00A6585D">
      <w:pPr>
        <w:widowControl w:val="0"/>
        <w:ind w:left="720"/>
        <w:jc w:val="both"/>
        <w:rPr>
          <w:szCs w:val="24"/>
        </w:rPr>
      </w:pPr>
      <w:r w:rsidRPr="00576ED7">
        <w:rPr>
          <w:szCs w:val="24"/>
        </w:rPr>
        <w:t>•Does such a restructuring create other risks?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Read the excerpt from </w:t>
      </w:r>
      <w:r w:rsidRPr="00576ED7">
        <w:rPr>
          <w:i/>
          <w:szCs w:val="24"/>
        </w:rPr>
        <w:t>Pulsifer</w:t>
      </w:r>
      <w:r w:rsidRPr="00576ED7">
        <w:rPr>
          <w:szCs w:val="24"/>
        </w:rPr>
        <w:t xml:space="preserve"> again carefully.  Is there not considerable ove</w:t>
      </w:r>
      <w:r w:rsidRPr="00576ED7">
        <w:rPr>
          <w:szCs w:val="24"/>
        </w:rPr>
        <w:t>r</w:t>
      </w:r>
      <w:r w:rsidRPr="00576ED7">
        <w:rPr>
          <w:szCs w:val="24"/>
        </w:rPr>
        <w:t>lap between constructive receipt and economic benefit?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Recall our discussion of § 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w:t>
      </w:r>
      <w:r w:rsidRPr="00576ED7">
        <w:rPr>
          <w:szCs w:val="24"/>
        </w:rPr>
        <w:t>u</w:t>
      </w:r>
      <w:r w:rsidRPr="00576ED7">
        <w:rPr>
          <w:szCs w:val="24"/>
        </w:rPr>
        <w:lastRenderedPageBreak/>
        <w:t>preme Court stated that a taxpayer using the accrual method of accounting must claim a deduction when “all the events [have occurred] which fix the amount of the [liability] and determine the liability of the taxpayer to pay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provide an “all events test” for deductions and another “all events test” for recognition of gross income.  Not surprisingly, the regulations are sting</w:t>
      </w:r>
      <w:r w:rsidRPr="00576ED7">
        <w:rPr>
          <w:szCs w:val="24"/>
        </w:rPr>
        <w:t>i</w:t>
      </w:r>
      <w:r w:rsidRPr="00576ED7">
        <w:rPr>
          <w:szCs w:val="24"/>
        </w:rPr>
        <w:t>er about permitting deductions than requiring recognition of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Deductions</w:t>
      </w:r>
      <w:r w:rsidRPr="00576ED7">
        <w:rPr>
          <w:szCs w:val="24"/>
        </w:rPr>
        <w:t>: Reg. § 1.461-1(a)(2)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a liability ... is incurred, and ge</w:t>
      </w:r>
      <w:r w:rsidRPr="00576ED7">
        <w:rPr>
          <w:szCs w:val="24"/>
        </w:rPr>
        <w:t>n</w:t>
      </w:r>
      <w:r w:rsidRPr="00576ED7">
        <w:rPr>
          <w:szCs w:val="24"/>
        </w:rPr>
        <w:t>erally is taken into account for Federal income tax purposes, in the taxable year in which all the events have occurred that establish the fact of the li</w:t>
      </w:r>
      <w:r w:rsidRPr="00576ED7">
        <w:rPr>
          <w:szCs w:val="24"/>
        </w:rPr>
        <w:t>a</w:t>
      </w:r>
      <w:r w:rsidRPr="00576ED7">
        <w:rPr>
          <w:szCs w:val="24"/>
        </w:rPr>
        <w:t>bility, the amount of the liability can be determined with reasonable acc</w:t>
      </w:r>
      <w:r w:rsidRPr="00576ED7">
        <w:rPr>
          <w:szCs w:val="24"/>
        </w:rPr>
        <w:t>u</w:t>
      </w:r>
      <w:r w:rsidRPr="00576ED7">
        <w:rPr>
          <w:szCs w:val="24"/>
        </w:rPr>
        <w:t>racy, and economic performance has occurred with respect to the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461(h) defines “economic performance.”  Its effect will be to defer reco</w:t>
      </w:r>
      <w:r w:rsidRPr="00576ED7">
        <w:rPr>
          <w:szCs w:val="24"/>
        </w:rPr>
        <w:t>g</w:t>
      </w:r>
      <w:r w:rsidRPr="00576ED7">
        <w:rPr>
          <w:szCs w:val="24"/>
        </w:rPr>
        <w:t>nition of deductions.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Income</w:t>
      </w:r>
      <w:r w:rsidRPr="00576ED7">
        <w:rPr>
          <w:szCs w:val="24"/>
        </w:rPr>
        <w:t>: Reg. § 1.451-1(a)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income is includible in gross i</w:t>
      </w:r>
      <w:r w:rsidRPr="00576ED7">
        <w:rPr>
          <w:szCs w:val="24"/>
        </w:rPr>
        <w:t>n</w:t>
      </w:r>
      <w:r w:rsidRPr="00576ED7">
        <w:rPr>
          <w:szCs w:val="24"/>
        </w:rPr>
        <w:t>come when all the events have occurred which fix the right to receive such income and the amount thereof can be determined with reasonable accur</w:t>
      </w:r>
      <w:r w:rsidRPr="00576ED7">
        <w:rPr>
          <w:szCs w:val="24"/>
        </w:rPr>
        <w:t>a</w:t>
      </w:r>
      <w:r w:rsidRPr="00576ED7">
        <w:rPr>
          <w:szCs w:val="24"/>
        </w:rPr>
        <w:t>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w:t>
      </w:r>
      <w:r w:rsidRPr="00576ED7">
        <w:rPr>
          <w:szCs w:val="24"/>
        </w:rPr>
        <w:t>i</w:t>
      </w:r>
      <w:r w:rsidRPr="00576ED7">
        <w:rPr>
          <w:szCs w:val="24"/>
        </w:rPr>
        <w:t>tional tax due.  Similarly, if a taxpayer ascertains that an item was impro</w:t>
      </w:r>
      <w:r w:rsidRPr="00576ED7">
        <w:rPr>
          <w:szCs w:val="24"/>
        </w:rPr>
        <w:t>p</w:t>
      </w:r>
      <w:r w:rsidRPr="00576ED7">
        <w:rPr>
          <w:szCs w:val="24"/>
        </w:rPr>
        <w:t>erly included in gross income in a prior taxable year, he should, if within the period of limitation, file claim for credit or refund of any overpayment of tax arising therefrom.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An important condition that the Supreme Court permitted the Commissioner to incorporate into the accrual method of recognizing income is that taxpayer’s r</w:t>
      </w:r>
      <w:r w:rsidRPr="00576ED7">
        <w:rPr>
          <w:szCs w:val="24"/>
        </w:rPr>
        <w:t>e</w:t>
      </w:r>
      <w:r w:rsidRPr="00576ED7">
        <w:rPr>
          <w:szCs w:val="24"/>
        </w:rPr>
        <w:t xml:space="preserv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w:t>
      </w:r>
      <w:r w:rsidR="00457B5A" w:rsidRPr="00576ED7">
        <w:rPr>
          <w:szCs w:val="24"/>
        </w:rPr>
        <w:lastRenderedPageBreak/>
        <w:t xml:space="preserve">upon receipt of the cash, </w:t>
      </w:r>
      <w:r w:rsidRPr="00576ED7">
        <w:rPr>
          <w:i/>
          <w:szCs w:val="24"/>
        </w:rPr>
        <w:t>American Automobile Assoc. v. United States</w:t>
      </w:r>
      <w:r w:rsidRPr="00576ED7">
        <w:rPr>
          <w:szCs w:val="24"/>
        </w:rPr>
        <w:t xml:space="preserve">, 367 U.S. 687 (1961), irrespective of what Generally Accepted Accounting Principles (GAAP) may prescribe.  </w:t>
      </w:r>
      <w:r w:rsidRPr="00576ED7">
        <w:rPr>
          <w:i/>
          <w:szCs w:val="24"/>
        </w:rPr>
        <w:t>Id.</w:t>
      </w:r>
      <w:r w:rsidRPr="00576ED7">
        <w:rPr>
          <w:szCs w:val="24"/>
        </w:rPr>
        <w:t xml:space="preserve"> at 693.</w:t>
      </w:r>
      <w:r w:rsidR="00917661">
        <w:rPr>
          <w:szCs w:val="24"/>
        </w:rPr>
        <w:t xml:space="preserve">  Taxpayer </w:t>
      </w:r>
      <w:r w:rsidR="00DF3DBC">
        <w:rPr>
          <w:szCs w:val="24"/>
        </w:rPr>
        <w:t xml:space="preserve">argued that it should be permitted to </w:t>
      </w:r>
      <w:r w:rsidR="00917661">
        <w:rPr>
          <w:szCs w:val="24"/>
        </w:rPr>
        <w:t xml:space="preserve">recognize a pro rated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rsidR="00DF3DBC" w:rsidRPr="00576ED7" w:rsidRDefault="00DF3DBC" w:rsidP="00DF3DBC">
      <w:pPr>
        <w:widowControl w:val="0"/>
        <w:ind w:left="720"/>
        <w:jc w:val="both"/>
        <w:rPr>
          <w:szCs w:val="24"/>
        </w:rPr>
      </w:pPr>
      <w:r>
        <w:rPr>
          <w:szCs w:val="24"/>
        </w:rPr>
        <w:t xml:space="preserve">•How would the prepayments be taxed under § 5.02 of Rev. Proc. 2004-34, </w:t>
      </w:r>
      <w:r w:rsidRPr="00DF3DBC">
        <w:rPr>
          <w:i/>
          <w:szCs w:val="24"/>
        </w:rPr>
        <w:t>infra</w:t>
      </w:r>
      <w:r>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Compare</w:t>
      </w:r>
      <w:r w:rsidRPr="00576ED7">
        <w:rPr>
          <w:szCs w:val="24"/>
        </w:rPr>
        <w:t xml:space="preserve"> § 455 (prepaid subscription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IRS has come around to the following accommodation of its position in </w:t>
      </w:r>
      <w:r w:rsidRPr="00576ED7">
        <w:rPr>
          <w:i/>
          <w:szCs w:val="24"/>
        </w:rPr>
        <w:t>AAA</w:t>
      </w:r>
      <w:r w:rsidRPr="00576ED7">
        <w:rPr>
          <w:szCs w:val="24"/>
        </w:rPr>
        <w:t xml:space="preserve"> and that of taxpayers who, under the accrual method, may be expected to pay i</w:t>
      </w:r>
      <w:r w:rsidRPr="00576ED7">
        <w:rPr>
          <w:szCs w:val="24"/>
        </w:rPr>
        <w:t>n</w:t>
      </w:r>
      <w:r w:rsidRPr="00576ED7">
        <w:rPr>
          <w:szCs w:val="24"/>
        </w:rPr>
        <w:t>come tax on money that they received at a time that is (quite) different from when they are expected to earn it by performing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Proc</w:t>
      </w:r>
      <w:r w:rsidRPr="00576ED7">
        <w:rPr>
          <w:szCs w:val="24"/>
        </w:rPr>
        <w:t>. 2004-34</w:t>
      </w:r>
      <w:r w:rsidRPr="00576ED7">
        <w:rPr>
          <w:szCs w:val="24"/>
        </w:rPr>
        <w:fldChar w:fldCharType="begin"/>
      </w:r>
      <w:r w:rsidRPr="00576ED7">
        <w:rPr>
          <w:szCs w:val="24"/>
        </w:rPr>
        <w:instrText xml:space="preserve"> TC \l3 "Rev. Proc. 2004-34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procedure provides a method of accounting under which taxpayers using an accrual method of accounting may defer including all or part of certain advance payments in gross income until the year after the year the payment is received.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 4 of this revenue pr</w:t>
      </w:r>
      <w:r w:rsidRPr="00576ED7">
        <w:rPr>
          <w:szCs w:val="24"/>
        </w:rPr>
        <w:t>o</w:t>
      </w:r>
      <w:r w:rsidRPr="00576ED7">
        <w:rPr>
          <w:szCs w:val="24"/>
        </w:rPr>
        <w:t>cedure) to the extent the advance payments are not recognized in revenues (or, in certain cases, are not earned) in the taxable year of receipt. ... [T]his revenue pr</w:t>
      </w:r>
      <w:r w:rsidRPr="00576ED7">
        <w:rPr>
          <w:szCs w:val="24"/>
        </w:rPr>
        <w:t>o</w:t>
      </w:r>
      <w:r w:rsidRPr="00576ED7">
        <w:rPr>
          <w:szCs w:val="24"/>
        </w:rPr>
        <w:t>cedure does not permit deferral to a taxable year later than the next succeeding taxable year.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 BACKGROUND AND CHANGES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.01 In general, § 451 of the Internal Revenue Code provides that the amount of any item of gross income is included in gross income for the taxable year in which received by the taxpayer, unless, under the method of accounting used in </w:t>
      </w:r>
      <w:r w:rsidRPr="00576ED7">
        <w:rPr>
          <w:szCs w:val="24"/>
        </w:rPr>
        <w:lastRenderedPageBreak/>
        <w:t>computing taxable income, the amount is to be properly accounted for as of a di</w:t>
      </w:r>
      <w:r w:rsidRPr="00576ED7">
        <w:rPr>
          <w:szCs w:val="24"/>
        </w:rPr>
        <w:t>f</w:t>
      </w:r>
      <w:r w:rsidRPr="00576ED7">
        <w:rPr>
          <w:szCs w:val="24"/>
        </w:rPr>
        <w:t>ferent period. Section 1.451-1(a) provides that, under an accrual method of a</w:t>
      </w:r>
      <w:r w:rsidRPr="00576ED7">
        <w:rPr>
          <w:szCs w:val="24"/>
        </w:rPr>
        <w:t>c</w:t>
      </w:r>
      <w:r w:rsidRPr="00576ED7">
        <w:rPr>
          <w:szCs w:val="24"/>
        </w:rPr>
        <w:t>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w:t>
      </w:r>
      <w:r w:rsidRPr="00576ED7">
        <w:rPr>
          <w:szCs w:val="24"/>
        </w:rPr>
        <w:t>i</w:t>
      </w:r>
      <w:r w:rsidRPr="00576ED7">
        <w:rPr>
          <w:szCs w:val="24"/>
        </w:rPr>
        <w:t xml:space="preserve">est. </w:t>
      </w:r>
      <w:r w:rsidRPr="00576ED7">
        <w:rPr>
          <w:i/>
          <w:szCs w:val="24"/>
        </w:rPr>
        <w:t>See</w:t>
      </w:r>
      <w:r w:rsidRPr="00576ED7">
        <w:rPr>
          <w:szCs w:val="24"/>
        </w:rPr>
        <w:t xml:space="preserve"> Rev. Rul. 84-31, 1984-1 C.B. 127.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Section 1.451-5 generally allows accrual method taxpayers to defer the incl</w:t>
      </w:r>
      <w:r w:rsidRPr="00576ED7">
        <w:rPr>
          <w:szCs w:val="24"/>
        </w:rPr>
        <w:t>u</w:t>
      </w:r>
      <w:r w:rsidRPr="00576ED7">
        <w:rPr>
          <w:szCs w:val="24"/>
        </w:rPr>
        <w:t>sion in gross income for federal income tax purposes of advance payments for goods until the taxable year in which they are properly accruable under the ta</w:t>
      </w:r>
      <w:r w:rsidRPr="00576ED7">
        <w:rPr>
          <w:szCs w:val="24"/>
        </w:rPr>
        <w:t>x</w:t>
      </w:r>
      <w:r w:rsidRPr="00576ED7">
        <w:rPr>
          <w:szCs w:val="24"/>
        </w:rPr>
        <w:t>payer’s method of accounting for federal income tax purposes if that method r</w:t>
      </w:r>
      <w:r w:rsidRPr="00576ED7">
        <w:rPr>
          <w:szCs w:val="24"/>
        </w:rPr>
        <w:t>e</w:t>
      </w:r>
      <w:r w:rsidRPr="00576ED7">
        <w:rPr>
          <w:szCs w:val="24"/>
        </w:rPr>
        <w:t>sults in the advance payments being included in gross income no later than when the advance payments are recognized in revenues under the taxpayer’s method of accounting for financial reporting purposes.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3. SCOPE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revenue procedure applies to taxpayers using or changing to an overall a</w:t>
      </w:r>
      <w:r w:rsidRPr="00576ED7">
        <w:rPr>
          <w:szCs w:val="24"/>
        </w:rPr>
        <w:t>c</w:t>
      </w:r>
      <w:r w:rsidRPr="00576ED7">
        <w:rPr>
          <w:szCs w:val="24"/>
        </w:rPr>
        <w:t>crual method of accounting that receive advance payments as defined in § 4 of this revenue procedure.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 DEFINITIONS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definitions apply solely for purposes of this revenue procedure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Advance Payment. Except as provided in § 4.02 of this revenue procedure, a payment received by a taxpayer is an “advance payment” if –</w:t>
      </w:r>
    </w:p>
    <w:p w:rsidR="0049128E" w:rsidRPr="00576ED7" w:rsidRDefault="0049128E" w:rsidP="00A6585D">
      <w:pPr>
        <w:widowControl w:val="0"/>
        <w:ind w:left="720"/>
        <w:jc w:val="both"/>
        <w:rPr>
          <w:szCs w:val="24"/>
        </w:rPr>
      </w:pPr>
      <w:r w:rsidRPr="00576ED7">
        <w:rPr>
          <w:szCs w:val="24"/>
        </w:rPr>
        <w:t>(1) including the payment in gross income for the taxable year of receipt is a permissible method of accounting for federal income tax purposes (without regard to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the payment is recognized by the taxpayer (in whole or in part) in re</w:t>
      </w:r>
      <w:r w:rsidRPr="00576ED7">
        <w:rPr>
          <w:szCs w:val="24"/>
        </w:rPr>
        <w:t>v</w:t>
      </w:r>
      <w:r w:rsidRPr="00576ED7">
        <w:rPr>
          <w:szCs w:val="24"/>
        </w:rPr>
        <w:t xml:space="preserve">enues in its ... financial statement ... for a subsequent taxable year (or, for taxpayers without an applicable financial statement ..., the payment is </w:t>
      </w:r>
      <w:r w:rsidRPr="00576ED7">
        <w:rPr>
          <w:szCs w:val="24"/>
        </w:rPr>
        <w:lastRenderedPageBreak/>
        <w:t>earned by the taxpayer (in whole or in part) in a subsequent taxable year); and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the payment is for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services;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the sale of goods (other than for the sale of goods for which the taxpayer uses a method of deferral provided in § 1.451-5(b)(1)(ii));</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(f) guaranty or warranty contracts ...;</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ind w:left="1440"/>
        <w:jc w:val="both"/>
        <w:rPr>
          <w:szCs w:val="24"/>
        </w:rPr>
      </w:pPr>
      <w:r w:rsidRPr="00576ED7">
        <w:rPr>
          <w:szCs w:val="24"/>
        </w:rPr>
        <w:t>(h) memberships in an organization (other than memberships for which an election under § 456 is in effect); ...</w:t>
      </w:r>
    </w:p>
    <w:p w:rsidR="001D067E" w:rsidRPr="00576ED7" w:rsidRDefault="001D067E" w:rsidP="00A6585D">
      <w:pPr>
        <w:widowControl w:val="0"/>
        <w:ind w:left="144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5. PERMISSIBLE METHODS OF ACCOUNTING FOR ADVANCE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.01 Full Inclusion Method. A taxpayer within the scope of this revenue procedure that includes the full amount of advance payments in gross income for federal i</w:t>
      </w:r>
      <w:r w:rsidRPr="00576ED7">
        <w:rPr>
          <w:szCs w:val="24"/>
        </w:rPr>
        <w:t>n</w:t>
      </w:r>
      <w:r w:rsidRPr="00576ED7">
        <w:rPr>
          <w:szCs w:val="24"/>
        </w:rPr>
        <w:t>come tax purposes in the taxable year of receipt is using a proper method of a</w:t>
      </w:r>
      <w:r w:rsidRPr="00576ED7">
        <w:rPr>
          <w:szCs w:val="24"/>
        </w:rPr>
        <w:t>c</w:t>
      </w:r>
      <w:r w:rsidRPr="00576ED7">
        <w:rPr>
          <w:szCs w:val="24"/>
        </w:rPr>
        <w:t>counting under § 1.451-1, regardless of whether the taxpayer recognizes the full amount of advance payments in revenues for that taxable year for financial repor</w:t>
      </w:r>
      <w:r w:rsidRPr="00576ED7">
        <w:rPr>
          <w:szCs w:val="24"/>
        </w:rPr>
        <w:t>t</w:t>
      </w:r>
      <w:r w:rsidRPr="00576ED7">
        <w:rPr>
          <w:szCs w:val="24"/>
        </w:rPr>
        <w:t>ing purposes and regardless of whether the taxpayer earns the full amount of a</w:t>
      </w:r>
      <w:r w:rsidRPr="00576ED7">
        <w:rPr>
          <w:szCs w:val="24"/>
        </w:rPr>
        <w:t>d</w:t>
      </w:r>
      <w:r w:rsidRPr="00576ED7">
        <w:rPr>
          <w:szCs w:val="24"/>
        </w:rPr>
        <w:t>vance payments in that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.02 Deferral Method.</w:t>
      </w:r>
    </w:p>
    <w:p w:rsidR="0049128E" w:rsidRPr="00576ED7" w:rsidRDefault="0049128E" w:rsidP="00A6585D">
      <w:pPr>
        <w:widowControl w:val="0"/>
        <w:ind w:left="720"/>
        <w:jc w:val="both"/>
        <w:rPr>
          <w:szCs w:val="24"/>
        </w:rPr>
      </w:pPr>
      <w:r w:rsidRPr="00576ED7">
        <w:rPr>
          <w:szCs w:val="24"/>
        </w:rPr>
        <w:t>(1) In general.</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A taxpayer within the scope of this revenue procedure that chooses to use the Deferral Method described in this § 5.02 is u</w:t>
      </w:r>
      <w:r w:rsidRPr="00576ED7">
        <w:rPr>
          <w:szCs w:val="24"/>
        </w:rPr>
        <w:t>s</w:t>
      </w:r>
      <w:r w:rsidRPr="00576ED7">
        <w:rPr>
          <w:szCs w:val="24"/>
        </w:rPr>
        <w:lastRenderedPageBreak/>
        <w:t>ing a proper method of accounting under § 1.451-1. Under the D</w:t>
      </w:r>
      <w:r w:rsidRPr="00576ED7">
        <w:rPr>
          <w:szCs w:val="24"/>
        </w:rPr>
        <w:t>e</w:t>
      </w:r>
      <w:r w:rsidRPr="00576ED7">
        <w:rPr>
          <w:szCs w:val="24"/>
        </w:rPr>
        <w:t>ferral Method, for federal income tax purposes the taxpayer must –</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provided in § 5.02(3) of this revenue procedure,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 include the remaining amount of the advance pa</w:t>
      </w:r>
      <w:r w:rsidRPr="00576ED7">
        <w:rPr>
          <w:szCs w:val="24"/>
        </w:rPr>
        <w:t>y</w:t>
      </w:r>
      <w:r w:rsidRPr="00576ED7">
        <w:rPr>
          <w:szCs w:val="24"/>
        </w:rPr>
        <w:t>ment in gross income for the next succeeding taxable year.</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Inclusion of advance payments in gross income.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Except as provided in paragraph (b) of this § 5.02(3), a taxpa</w:t>
      </w:r>
      <w:r w:rsidRPr="00576ED7">
        <w:rPr>
          <w:szCs w:val="24"/>
        </w:rPr>
        <w:t>y</w:t>
      </w:r>
      <w:r w:rsidRPr="00576ED7">
        <w:rPr>
          <w:szCs w:val="24"/>
        </w:rPr>
        <w:t>er using the Deferral Method must –</w:t>
      </w:r>
    </w:p>
    <w:p w:rsidR="0049128E" w:rsidRPr="00576ED7" w:rsidRDefault="0049128E" w:rsidP="00A6585D">
      <w:pPr>
        <w:widowControl w:val="0"/>
        <w:ind w:left="2160"/>
        <w:jc w:val="both"/>
        <w:rPr>
          <w:szCs w:val="24"/>
        </w:rPr>
      </w:pPr>
      <w:r w:rsidRPr="00576ED7">
        <w:rPr>
          <w:szCs w:val="24"/>
        </w:rPr>
        <w:t>(i) include the advance payment in gross income for the taxable year of receipt ... to the extent recognized in rev</w:t>
      </w:r>
      <w:r w:rsidRPr="00576ED7">
        <w:rPr>
          <w:szCs w:val="24"/>
        </w:rPr>
        <w:t>e</w:t>
      </w:r>
      <w:r w:rsidRPr="00576ED7">
        <w:rPr>
          <w:szCs w:val="24"/>
        </w:rPr>
        <w:t>nues in its applicable financial statement ... for that taxable year, and</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include the remaining amount of the advance payment in gross income in accordance with § 5.02(1)(a)(ii) of this revenue procedure.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Allocable payments.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(a) General rule. A taxpayer that receives a payment that is partia</w:t>
      </w:r>
      <w:r w:rsidRPr="00576ED7">
        <w:rPr>
          <w:szCs w:val="24"/>
        </w:rPr>
        <w:t>l</w:t>
      </w:r>
      <w:r w:rsidRPr="00576ED7">
        <w:rPr>
          <w:szCs w:val="24"/>
        </w:rPr>
        <w:t>ly attributable to an item or items described in § 4.01(3) of this revenue procedure may use the Deferral Method for the portion of the payment allocable to such item or items and, with respect to the remaining portion of the payment, may use any proper method of accounting (including the Deferral Method if the remaining portion of the advance payment is for an item or items described in § 4.01(3) of this revenue procedure with a different deferral period (based on the taxpayer’s applicable financial statement or the ear</w:t>
      </w:r>
      <w:r w:rsidRPr="00576ED7">
        <w:rPr>
          <w:szCs w:val="24"/>
        </w:rPr>
        <w:t>n</w:t>
      </w:r>
      <w:r w:rsidRPr="00576ED7">
        <w:rPr>
          <w:szCs w:val="24"/>
        </w:rPr>
        <w:t xml:space="preserve">ing of the payment, as applicable)), provided that the taxpayer’s </w:t>
      </w:r>
      <w:r w:rsidRPr="00576ED7">
        <w:rPr>
          <w:szCs w:val="24"/>
        </w:rPr>
        <w:lastRenderedPageBreak/>
        <w:t>method for determining the portion of the payment allocable to such item or items is based on objective criteria.</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.03 Examples. In each example below, the taxpayer uses an accrual method of a</w:t>
      </w:r>
      <w:r w:rsidRPr="00576ED7">
        <w:rPr>
          <w:szCs w:val="24"/>
        </w:rPr>
        <w:t>c</w:t>
      </w:r>
      <w:r w:rsidRPr="00576ED7">
        <w:rPr>
          <w:szCs w:val="24"/>
        </w:rPr>
        <w:t>counting for federal income tax purposes and files its returns on a calendar year basis. ...</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w:t>
      </w:r>
      <w:r w:rsidRPr="00576ED7">
        <w:rPr>
          <w:szCs w:val="24"/>
        </w:rPr>
        <w:t>n</w:t>
      </w:r>
      <w:r w:rsidRPr="00576ED7">
        <w:rPr>
          <w:szCs w:val="24"/>
        </w:rPr>
        <w:t>clude 1/6 of the payment in gross income for 2004, and the remaining 5∕6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2. Assume the same facts as in Example 1, except that the advance pa</w:t>
      </w:r>
      <w:r w:rsidRPr="00576ED7">
        <w:rPr>
          <w:szCs w:val="24"/>
        </w:rPr>
        <w:t>y</w:t>
      </w:r>
      <w:r w:rsidRPr="00576ED7">
        <w:rPr>
          <w:szCs w:val="24"/>
        </w:rPr>
        <w:t>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w:t>
      </w:r>
      <w:r w:rsidRPr="00576ED7">
        <w:rPr>
          <w:szCs w:val="24"/>
        </w:rPr>
        <w:t>e</w:t>
      </w:r>
      <w:r w:rsidRPr="00576ED7">
        <w:rPr>
          <w:szCs w:val="24"/>
        </w:rPr>
        <w:t>nues for 2006. For federal income tax purposes, A must include 1∕12 of the pa</w:t>
      </w:r>
      <w:r w:rsidRPr="00576ED7">
        <w:rPr>
          <w:szCs w:val="24"/>
        </w:rPr>
        <w:t>y</w:t>
      </w:r>
      <w:r w:rsidRPr="00576ED7">
        <w:rPr>
          <w:szCs w:val="24"/>
        </w:rPr>
        <w:t>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w:t>
      </w:r>
      <w:r w:rsidRPr="00576ED7">
        <w:rPr>
          <w:szCs w:val="24"/>
        </w:rPr>
        <w:t>i</w:t>
      </w:r>
      <w:r w:rsidRPr="00576ED7">
        <w:rPr>
          <w:szCs w:val="24"/>
        </w:rPr>
        <w:t>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5. On December 2, 2004, D, in the business of selling and repairing tel</w:t>
      </w:r>
      <w:r w:rsidRPr="00576ED7">
        <w:rPr>
          <w:szCs w:val="24"/>
        </w:rPr>
        <w:t>e</w:t>
      </w:r>
      <w:r w:rsidRPr="00576ED7">
        <w:rPr>
          <w:szCs w:val="24"/>
        </w:rPr>
        <w:t>vision sets, sells for $200 a television set with a 90-day warranty on parts and l</w:t>
      </w:r>
      <w:r w:rsidRPr="00576ED7">
        <w:rPr>
          <w:szCs w:val="24"/>
        </w:rPr>
        <w:t>a</w:t>
      </w:r>
      <w:r w:rsidRPr="00576ED7">
        <w:rPr>
          <w:szCs w:val="24"/>
        </w:rPr>
        <w:t>bor (for which D, rather than the manufacturer, is the obligor). D regularly sells televisions sets without the warranty for $188. In its applicable financial stat</w:t>
      </w:r>
      <w:r w:rsidRPr="00576ED7">
        <w:rPr>
          <w:szCs w:val="24"/>
        </w:rPr>
        <w:t>e</w:t>
      </w:r>
      <w:r w:rsidRPr="00576ED7">
        <w:rPr>
          <w:szCs w:val="24"/>
        </w:rPr>
        <w:t>ment, D allocates $188 of the sales price to the television set and $12 to the 90-day warranty, recognizes 1∕3 of the amount allocable to the warranty ($4) in rev</w:t>
      </w:r>
      <w:r w:rsidRPr="00576ED7">
        <w:rPr>
          <w:szCs w:val="24"/>
        </w:rPr>
        <w:t>e</w:t>
      </w:r>
      <w:r w:rsidRPr="00576ED7">
        <w:rPr>
          <w:szCs w:val="24"/>
        </w:rPr>
        <w:t>nues for 2004, and recognizes the remaining 2∕3 of the amount allocable to the warranty ($8) in revenues for 2005. D uses the Deferral Method. For federal i</w:t>
      </w:r>
      <w:r w:rsidRPr="00576ED7">
        <w:rPr>
          <w:szCs w:val="24"/>
        </w:rPr>
        <w:t>n</w:t>
      </w:r>
      <w:r w:rsidRPr="00576ED7">
        <w:rPr>
          <w:szCs w:val="24"/>
        </w:rPr>
        <w:t>come tax purposes, D must include the $4 allocable to the warranty in gross i</w:t>
      </w:r>
      <w:r w:rsidRPr="00576ED7">
        <w:rPr>
          <w:szCs w:val="24"/>
        </w:rPr>
        <w:t>n</w:t>
      </w:r>
      <w:r w:rsidRPr="00576ED7">
        <w:rPr>
          <w:szCs w:val="24"/>
        </w:rPr>
        <w:t>come for 2004 and the remaining $8 allocable to the warranty in gross income for 2005.</w:t>
      </w:r>
    </w:p>
    <w:p w:rsidR="00457B5A" w:rsidRPr="00576ED7" w:rsidRDefault="00457B5A" w:rsidP="00A6585D">
      <w:pPr>
        <w:widowControl w:val="0"/>
        <w:jc w:val="both"/>
        <w:rPr>
          <w:szCs w:val="24"/>
        </w:rPr>
      </w:pPr>
    </w:p>
    <w:p w:rsidR="0049128E" w:rsidRPr="00576ED7" w:rsidRDefault="0049128E" w:rsidP="00A6585D">
      <w:pPr>
        <w:widowControl w:val="0"/>
        <w:jc w:val="both"/>
        <w:rPr>
          <w:szCs w:val="24"/>
        </w:rPr>
      </w:pPr>
      <w:r w:rsidRPr="00576ED7">
        <w:rPr>
          <w:szCs w:val="24"/>
        </w:rPr>
        <w:t>Example 6. E, in the business of photographic processing, receives advance pa</w:t>
      </w:r>
      <w:r w:rsidRPr="00576ED7">
        <w:rPr>
          <w:szCs w:val="24"/>
        </w:rPr>
        <w:t>y</w:t>
      </w:r>
      <w:r w:rsidRPr="00576ED7">
        <w:rPr>
          <w:szCs w:val="24"/>
        </w:rPr>
        <w:t>ments for mailers and certificates that oblige E to process photographic film, prints, or other photographic materials returned in the mailer or with the certif</w:t>
      </w:r>
      <w:r w:rsidRPr="00576ED7">
        <w:rPr>
          <w:szCs w:val="24"/>
        </w:rPr>
        <w:t>i</w:t>
      </w:r>
      <w:r w:rsidRPr="00576ED7">
        <w:rPr>
          <w:szCs w:val="24"/>
        </w:rPr>
        <w:t>cate. E tracks each of the mailers and certificates with unique identifying nu</w:t>
      </w:r>
      <w:r w:rsidRPr="00576ED7">
        <w:rPr>
          <w:szCs w:val="24"/>
        </w:rPr>
        <w:t>m</w:t>
      </w:r>
      <w:r w:rsidRPr="00576ED7">
        <w:rPr>
          <w:szCs w:val="24"/>
        </w:rPr>
        <w:t>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w:t>
      </w:r>
      <w:r w:rsidRPr="00576ED7">
        <w:rPr>
          <w:szCs w:val="24"/>
        </w:rPr>
        <w:t>e</w:t>
      </w:r>
      <w:r w:rsidRPr="00576ED7">
        <w:rPr>
          <w:szCs w:val="24"/>
        </w:rPr>
        <w:t>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Example 13. In 2004, J, in the business of operating tours, receives payments from customers for a 10-day cruise that will take place in April 2005. Under the </w:t>
      </w:r>
      <w:r w:rsidRPr="00576ED7">
        <w:rPr>
          <w:szCs w:val="24"/>
        </w:rPr>
        <w:lastRenderedPageBreak/>
        <w:t>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According to the revenue procedure, when must an accrual method taxpayer include income in his/her/its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w:t>
      </w:r>
      <w:r w:rsidRPr="00576ED7">
        <w:rPr>
          <w:szCs w:val="24"/>
        </w:rPr>
        <w:t>m</w:t>
      </w:r>
      <w:r w:rsidRPr="00576ED7">
        <w:rPr>
          <w:szCs w:val="24"/>
        </w:rPr>
        <w:t xml:space="preserve">mer. [There’s never been much October baseball in Chicago.]  </w:t>
      </w:r>
      <w:r w:rsidR="001D067E">
        <w:rPr>
          <w:szCs w:val="24"/>
        </w:rPr>
        <w:t>In its fina</w:t>
      </w:r>
      <w:r w:rsidR="001D067E">
        <w:rPr>
          <w:szCs w:val="24"/>
        </w:rPr>
        <w:t>n</w:t>
      </w:r>
      <w:r w:rsidR="001D067E">
        <w:rPr>
          <w:szCs w:val="24"/>
        </w:rPr>
        <w:t>cial statement, taxpayer recognizes the payments in revenue for the fo</w:t>
      </w:r>
      <w:r w:rsidR="001D067E">
        <w:rPr>
          <w:szCs w:val="24"/>
        </w:rPr>
        <w:t>l</w:t>
      </w:r>
      <w:r w:rsidR="001D067E">
        <w:rPr>
          <w:szCs w:val="24"/>
        </w:rPr>
        <w:t xml:space="preserve">lowing spring and summer.  </w:t>
      </w:r>
      <w:r w:rsidRPr="00576ED7">
        <w:rPr>
          <w:szCs w:val="24"/>
        </w:rPr>
        <w:t>Taxpayer sought to defer recognition of this ticket income until the following year.  What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6A7414BA" wp14:editId="024C0282">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Cash and Accrual Methods of Accounting</w:t>
      </w:r>
    </w:p>
    <w:p w:rsidR="0049128E" w:rsidRPr="00576ED7" w:rsidRDefault="0049128E" w:rsidP="00A6585D">
      <w:pPr>
        <w:widowControl w:val="0"/>
        <w:ind w:left="720"/>
        <w:jc w:val="both"/>
        <w:rPr>
          <w:szCs w:val="24"/>
        </w:rPr>
      </w:pPr>
      <w:r w:rsidRPr="00576ED7">
        <w:rPr>
          <w:szCs w:val="24"/>
        </w:rPr>
        <w:t>Don’t worry about question 17, 18, and 19 (points on a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taxpayer’s accounting method must clearly reflect income.  § 446(b).  Reg. § 1.471-1(a)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order to reflect taxable income correctly, inventories at the beginning and end of each taxable year are necessary in every case in which the pr</w:t>
      </w:r>
      <w:r w:rsidRPr="00576ED7">
        <w:rPr>
          <w:szCs w:val="24"/>
        </w:rPr>
        <w:t>o</w:t>
      </w:r>
      <w:r w:rsidRPr="00576ED7">
        <w:rPr>
          <w:szCs w:val="24"/>
        </w:rPr>
        <w:t>duction, purchase, or sale of merchandise is an income-producing factor.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 taxpayer who sells from inventory who uses the cash method can too easily manipulate the cost of the goods that he/she/it sells.  Hence the regulations require that such taxpayers match the cost of goods sold with the actual sale of the goods.  Reg. § 1.446-1(c)(2)(i)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 any case in which it is necessary to use an inventory the accrual method of accounting must be used with regard to purchases and sales unless ot</w:t>
      </w:r>
      <w:r w:rsidRPr="00576ED7">
        <w:rPr>
          <w:szCs w:val="24"/>
        </w:rPr>
        <w:t>h</w:t>
      </w:r>
      <w:r w:rsidRPr="00576ED7">
        <w:rPr>
          <w:szCs w:val="24"/>
        </w:rPr>
        <w:t>erwise authorized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Reg. § 1.61-3(a)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a formula for determining gross income for sales from inventory is the fo</w:t>
      </w:r>
      <w:r w:rsidRPr="00576ED7">
        <w:rPr>
          <w:szCs w:val="24"/>
        </w:rPr>
        <w:t>l</w:t>
      </w:r>
      <w:r w:rsidRPr="00576ED7">
        <w:rPr>
          <w:szCs w:val="24"/>
        </w:rPr>
        <w:t>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GR − COGS = GI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GR = gross revenue</w:t>
      </w:r>
    </w:p>
    <w:p w:rsidR="0049128E" w:rsidRPr="00576ED7" w:rsidRDefault="0049128E" w:rsidP="00A6585D">
      <w:pPr>
        <w:widowControl w:val="0"/>
        <w:jc w:val="both"/>
        <w:rPr>
          <w:szCs w:val="24"/>
        </w:rPr>
      </w:pPr>
      <w:r w:rsidRPr="00576ED7">
        <w:rPr>
          <w:szCs w:val="24"/>
        </w:rPr>
        <w:t>COGS = cost of goods sold</w:t>
      </w:r>
    </w:p>
    <w:p w:rsidR="0049128E" w:rsidRPr="00576ED7" w:rsidRDefault="0049128E" w:rsidP="00A6585D">
      <w:pPr>
        <w:widowControl w:val="0"/>
        <w:jc w:val="both"/>
        <w:rPr>
          <w:szCs w:val="24"/>
        </w:rPr>
      </w:pPr>
      <w:r w:rsidRPr="00576ED7">
        <w:rPr>
          <w:szCs w:val="24"/>
        </w:rPr>
        <w:t>GI=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formula for determining COGS is the following: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OI + P − CI = COGS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OI = opening inventory</w:t>
      </w:r>
    </w:p>
    <w:p w:rsidR="0049128E" w:rsidRPr="00576ED7" w:rsidRDefault="0049128E" w:rsidP="00A6585D">
      <w:pPr>
        <w:widowControl w:val="0"/>
        <w:jc w:val="both"/>
        <w:rPr>
          <w:szCs w:val="24"/>
        </w:rPr>
      </w:pPr>
      <w:r w:rsidRPr="00576ED7">
        <w:rPr>
          <w:szCs w:val="24"/>
        </w:rPr>
        <w:t>P = purchases of or additions to inventory</w:t>
      </w:r>
    </w:p>
    <w:p w:rsidR="0049128E" w:rsidRPr="00576ED7" w:rsidRDefault="0049128E" w:rsidP="00A6585D">
      <w:pPr>
        <w:widowControl w:val="0"/>
        <w:jc w:val="both"/>
        <w:rPr>
          <w:szCs w:val="24"/>
        </w:rPr>
      </w:pPr>
      <w:r w:rsidRPr="00576ED7">
        <w:rPr>
          <w:szCs w:val="24"/>
        </w:rPr>
        <w:t>CI = closing inventory.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Code presumes that taxpayer makes sales from the first of the items that he/she/it purchased and placed in inventory, i.e., “first-in-first-out” or FIFO.  § 472.  However, taxpayer may elect to treat sales as made from the last inventory items purchased, i.e., “last-in-first-out” of LIFO.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Simple illustration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December 31, 2011, taxpayer opened a retail store for business and spent $10,000 to acquire 2000 toolboxes at $5 each.  During 2012, taxpayer paid $6000 to acquire 1000 more toolboxes at $6 each.  Taxpayer sold 2500 toolboxes for $10 each.</w:t>
      </w:r>
    </w:p>
    <w:p w:rsidR="0049128E" w:rsidRPr="00576ED7" w:rsidRDefault="0049128E" w:rsidP="00A6585D">
      <w:pPr>
        <w:widowControl w:val="0"/>
        <w:ind w:left="720"/>
        <w:jc w:val="both"/>
        <w:rPr>
          <w:szCs w:val="24"/>
        </w:rPr>
      </w:pPr>
      <w:r w:rsidRPr="00576ED7">
        <w:rPr>
          <w:szCs w:val="24"/>
        </w:rPr>
        <w:t>•Taxpayer’s gross revenue was $25,000, i.e., 2500 x $10.</w:t>
      </w:r>
    </w:p>
    <w:p w:rsidR="0049128E" w:rsidRPr="00576ED7" w:rsidRDefault="0049128E" w:rsidP="00A6585D">
      <w:pPr>
        <w:widowControl w:val="0"/>
        <w:ind w:left="720"/>
        <w:jc w:val="both"/>
        <w:rPr>
          <w:szCs w:val="24"/>
        </w:rPr>
      </w:pPr>
      <w:r w:rsidRPr="00576ED7">
        <w:rPr>
          <w:szCs w:val="24"/>
        </w:rPr>
        <w:t>•Taxpayer’s opening inventory was $10,000.  Taxpayer’s purchases were $6000.</w:t>
      </w:r>
    </w:p>
    <w:p w:rsidR="0049128E" w:rsidRPr="00576ED7" w:rsidRDefault="0049128E" w:rsidP="00A6585D">
      <w:pPr>
        <w:widowControl w:val="0"/>
        <w:ind w:left="720"/>
        <w:jc w:val="both"/>
        <w:rPr>
          <w:szCs w:val="24"/>
        </w:rPr>
      </w:pPr>
      <w:r w:rsidRPr="00576ED7">
        <w:rPr>
          <w:szCs w:val="24"/>
        </w:rPr>
        <w:t>•At the end of the year, taxpayer’s had 500 toolboxes remaining in inve</w:t>
      </w:r>
      <w:r w:rsidRPr="00576ED7">
        <w:rPr>
          <w:szCs w:val="24"/>
        </w:rPr>
        <w:t>n</w:t>
      </w:r>
      <w:r w:rsidRPr="00576ED7">
        <w:rPr>
          <w:szCs w:val="24"/>
        </w:rPr>
        <w:t>tory.</w:t>
      </w:r>
    </w:p>
    <w:p w:rsidR="0049128E" w:rsidRPr="00576ED7" w:rsidRDefault="0049128E" w:rsidP="00A6585D">
      <w:pPr>
        <w:widowControl w:val="0"/>
        <w:ind w:left="720"/>
        <w:jc w:val="both"/>
        <w:rPr>
          <w:szCs w:val="24"/>
        </w:rPr>
      </w:pPr>
      <w:r w:rsidRPr="00576ED7">
        <w:rPr>
          <w:szCs w:val="24"/>
        </w:rPr>
        <w:t>•If we use the FIFO method, we presume that taxpayer sold the toolboxes that he/she/it already had at the beginning the year plus the ones he/she/it purchased earliest in the year.  Hence taxpayer presumptively sold the 2000 toolboxes that he/she/it had on hand at the first of the year plus 500 more that he/she/it purchased.</w:t>
      </w:r>
    </w:p>
    <w:p w:rsidR="0049128E" w:rsidRPr="00576ED7" w:rsidRDefault="0049128E" w:rsidP="00A6585D">
      <w:pPr>
        <w:widowControl w:val="0"/>
        <w:ind w:left="1440"/>
        <w:jc w:val="both"/>
        <w:rPr>
          <w:szCs w:val="24"/>
        </w:rPr>
      </w:pPr>
      <w:r w:rsidRPr="00576ED7">
        <w:rPr>
          <w:szCs w:val="24"/>
        </w:rPr>
        <w:t>COGS = $10,000 + $6000 − $3,000 = $13,000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$12,000.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Now suppose that taxpayer has adopted the LIFO method.</w:t>
      </w:r>
    </w:p>
    <w:p w:rsidR="0049128E" w:rsidRPr="00576ED7" w:rsidRDefault="0049128E" w:rsidP="00A6585D">
      <w:pPr>
        <w:widowControl w:val="0"/>
        <w:ind w:left="720"/>
        <w:jc w:val="both"/>
        <w:rPr>
          <w:szCs w:val="24"/>
        </w:rPr>
      </w:pPr>
      <w:r w:rsidRPr="00576ED7">
        <w:rPr>
          <w:szCs w:val="24"/>
        </w:rPr>
        <w:t>•Taxpayer’s gross revenue remains $25,000.</w:t>
      </w:r>
    </w:p>
    <w:p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rsidR="0049128E" w:rsidRPr="00576ED7" w:rsidRDefault="0049128E" w:rsidP="00A6585D">
      <w:pPr>
        <w:widowControl w:val="0"/>
        <w:ind w:left="720"/>
        <w:jc w:val="both"/>
        <w:rPr>
          <w:szCs w:val="24"/>
        </w:rPr>
      </w:pPr>
      <w:r w:rsidRPr="00576ED7">
        <w:rPr>
          <w:szCs w:val="24"/>
        </w:rPr>
        <w:t>•At the end of the year, taxpayer still has 500 toolboxes on hand.</w:t>
      </w:r>
    </w:p>
    <w:p w:rsidR="0049128E" w:rsidRPr="00576ED7" w:rsidRDefault="0049128E" w:rsidP="00A6585D">
      <w:pPr>
        <w:widowControl w:val="0"/>
        <w:ind w:left="720"/>
        <w:jc w:val="both"/>
        <w:rPr>
          <w:szCs w:val="24"/>
        </w:rPr>
      </w:pPr>
      <w:r w:rsidRPr="00576ED7">
        <w:rPr>
          <w:szCs w:val="24"/>
        </w:rPr>
        <w:t>•Under the LIFO method, we presume that taxpayer sold the toolboxes that he/she/it purchased last in time.  Thus, we presume that taxpayer sold (in order) the 1000 toolboxes that he/she/it purchased during the years plus 1500 that he/she/it had on hand at the first of the year.</w:t>
      </w:r>
    </w:p>
    <w:p w:rsidR="0049128E" w:rsidRPr="00576ED7" w:rsidRDefault="0049128E" w:rsidP="00A6585D">
      <w:pPr>
        <w:widowControl w:val="0"/>
        <w:ind w:left="1440"/>
        <w:jc w:val="both"/>
        <w:rPr>
          <w:szCs w:val="24"/>
        </w:rPr>
      </w:pPr>
      <w:r w:rsidRPr="00576ED7">
        <w:rPr>
          <w:szCs w:val="24"/>
        </w:rPr>
        <w:t>COGS = $10,000 + $6000 − $2500 = $13,500.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lastRenderedPageBreak/>
        <w:t>GI = $25,000 − $13,500 = $11,500.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 1.471-2(c) permits a FIFO-method taxpayer to elect to value inventory at cost or market, whichever is lower.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rsidR="0049128E" w:rsidRPr="00576ED7" w:rsidRDefault="0049128E" w:rsidP="00A6585D">
      <w:pPr>
        <w:widowControl w:val="0"/>
        <w:ind w:left="720"/>
        <w:jc w:val="both"/>
        <w:rPr>
          <w:szCs w:val="24"/>
        </w:rPr>
      </w:pPr>
      <w:r w:rsidRPr="00576ED7">
        <w:rPr>
          <w:szCs w:val="24"/>
        </w:rPr>
        <w:t>•Taxpayer’s closing inventory = 500 x $4 = $2000.</w:t>
      </w:r>
    </w:p>
    <w:p w:rsidR="0049128E" w:rsidRPr="00576ED7" w:rsidRDefault="0049128E" w:rsidP="00A6585D">
      <w:pPr>
        <w:widowControl w:val="0"/>
        <w:ind w:left="720"/>
        <w:jc w:val="both"/>
        <w:rPr>
          <w:szCs w:val="24"/>
        </w:rPr>
      </w:pPr>
      <w:r w:rsidRPr="00576ED7">
        <w:rPr>
          <w:szCs w:val="24"/>
        </w:rPr>
        <w:t>•Now:</w:t>
      </w:r>
    </w:p>
    <w:p w:rsidR="0049128E" w:rsidRPr="00576ED7" w:rsidRDefault="0049128E" w:rsidP="00A6585D">
      <w:pPr>
        <w:widowControl w:val="0"/>
        <w:ind w:left="1440"/>
        <w:jc w:val="both"/>
        <w:rPr>
          <w:szCs w:val="24"/>
        </w:rPr>
      </w:pPr>
      <w:r w:rsidRPr="00576ED7">
        <w:rPr>
          <w:szCs w:val="24"/>
        </w:rPr>
        <w:t>COGS = $10,000 + $6000 − $2000 = $14,000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taxpayer anticipates a loss on inventory before it is sold, he/she/it might elect cost or market valuation of inventory, whichever is lower.</w:t>
      </w:r>
    </w:p>
    <w:p w:rsidR="0049128E" w:rsidRPr="00576ED7" w:rsidRDefault="0049128E" w:rsidP="00A6585D">
      <w:pPr>
        <w:widowControl w:val="0"/>
        <w:jc w:val="both"/>
        <w:rPr>
          <w:szCs w:val="24"/>
        </w:rPr>
      </w:pPr>
    </w:p>
    <w:p w:rsidR="0049128E" w:rsidRPr="00576ED7" w:rsidRDefault="0049128E" w:rsidP="00910345">
      <w:pPr>
        <w:pStyle w:val="Heading3"/>
      </w:pPr>
      <w:bookmarkStart w:id="77" w:name="_Toc375132964"/>
      <w:r w:rsidRPr="00576ED7">
        <w:t>Wrap-Up Questions for Chapter 9</w:t>
      </w:r>
      <w:r w:rsidRPr="00576ED7">
        <w:fldChar w:fldCharType="begin"/>
      </w:r>
      <w:r w:rsidRPr="00576ED7">
        <w:instrText xml:space="preserve"> TC \l1 "Wrap-Up Questions for Chapter 9</w:instrText>
      </w:r>
      <w:r w:rsidRPr="00576ED7">
        <w:fldChar w:fldCharType="end"/>
      </w:r>
      <w:r w:rsidRPr="00576ED7">
        <w:t>:</w:t>
      </w:r>
      <w:bookmarkEnd w:id="77"/>
    </w:p>
    <w:p w:rsidR="0049128E" w:rsidRPr="00576ED7" w:rsidRDefault="0049128E" w:rsidP="00A6585D">
      <w:pPr>
        <w:widowControl w:val="0"/>
        <w:jc w:val="both"/>
        <w:rPr>
          <w:szCs w:val="24"/>
        </w:rPr>
      </w:pPr>
      <w:r w:rsidRPr="00576ED7">
        <w:rPr>
          <w:szCs w:val="24"/>
        </w:rPr>
        <w:t>1.  Why do you think that Congress has never enacted a counterpart to § 1341 and imposed a tax rate on recovery of tax benefit items equal to the rate applicable at the time of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$5000 of before-tax income to save in an IRA.  Taxpayer antic</w:t>
      </w:r>
      <w:r w:rsidRPr="00576ED7">
        <w:rPr>
          <w:szCs w:val="24"/>
        </w:rPr>
        <w:t>i</w:t>
      </w:r>
      <w:r w:rsidRPr="00576ED7">
        <w:rPr>
          <w:szCs w:val="24"/>
        </w:rPr>
        <w:t>pates that his/her tax bracket will never change.  Will taxpayer come out ahead with a Roth IRA or a traditional IRA?</w:t>
      </w:r>
      <w:r w:rsidR="006D215E">
        <w:rPr>
          <w:szCs w:val="24"/>
        </w:rPr>
        <w:t xml:space="preserve"> What if taxpayer anticipates that his/her tax bracket will be lower in retirement years than in working (and saving)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How should Health Savings Accounts bring down the cost of medical care in a sustainable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Consider: Congress should permit taxpayers to save money tax-free for a v</w:t>
      </w:r>
      <w:r w:rsidRPr="00576ED7">
        <w:rPr>
          <w:szCs w:val="24"/>
        </w:rPr>
        <w:t>a</w:t>
      </w:r>
      <w:r w:rsidRPr="00576ED7">
        <w:rPr>
          <w:szCs w:val="24"/>
        </w:rPr>
        <w:t xml:space="preserve">riety of future needs, i.e., to implement a consumption tax model for various </w:t>
      </w:r>
      <w:r w:rsidRPr="00576ED7">
        <w:rPr>
          <w:szCs w:val="24"/>
        </w:rPr>
        <w:lastRenderedPageBreak/>
        <w:t>needs.  In addition to saving for retirement and future health care, Congress pe</w:t>
      </w:r>
      <w:r w:rsidRPr="00576ED7">
        <w:rPr>
          <w:szCs w:val="24"/>
        </w:rPr>
        <w:t>r</w:t>
      </w:r>
      <w:r w:rsidRPr="00576ED7">
        <w:rPr>
          <w:szCs w:val="24"/>
        </w:rPr>
        <w:t>mits saving for future educational expenses.  Can you think of other objectives that Congress should pursue through this consumption model? What criteria should govern these decisions?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would you structure a retirement plan using Revenue Ruling 60-31 to d</w:t>
      </w:r>
      <w:r w:rsidRPr="00576ED7">
        <w:rPr>
          <w:szCs w:val="24"/>
        </w:rPr>
        <w:t>e</w:t>
      </w:r>
      <w:r w:rsidRPr="00576ED7">
        <w:rPr>
          <w:szCs w:val="24"/>
        </w:rPr>
        <w:t>fer income tax for taxpayers, yet make the payments as secure as possible?</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AB61A1">
      <w:pPr>
        <w:pStyle w:val="Heading2"/>
      </w:pPr>
      <w:r w:rsidRPr="00576ED7">
        <w:lastRenderedPageBreak/>
        <w:fldChar w:fldCharType="begin"/>
      </w:r>
      <w:r w:rsidRPr="00576ED7">
        <w:instrText xml:space="preserve"> TC \l5 "</w:instrText>
      </w:r>
    </w:p>
    <w:p w:rsidR="0049128E" w:rsidRPr="00576ED7" w:rsidRDefault="0049128E" w:rsidP="00AB61A1">
      <w:pPr>
        <w:pStyle w:val="Heading2"/>
      </w:pPr>
      <w:r w:rsidRPr="00576ED7">
        <w:tab/>
      </w:r>
      <w:r w:rsidRPr="00576ED7">
        <w:fldChar w:fldCharType="end"/>
      </w:r>
      <w:bookmarkStart w:id="78" w:name="_Toc375132965"/>
      <w:r w:rsidRPr="00576ED7">
        <w:t>Chapter 10: Character of Income and Comput</w:t>
      </w:r>
      <w:r w:rsidRPr="00576ED7">
        <w:t>a</w:t>
      </w:r>
      <w:r w:rsidRPr="00576ED7">
        <w:t>tion of Tax</w:t>
      </w:r>
      <w:bookmarkEnd w:id="78"/>
      <w:r w:rsidRPr="00576ED7">
        <w:fldChar w:fldCharType="begin"/>
      </w:r>
      <w:r w:rsidRPr="00576ED7">
        <w:instrText xml:space="preserve"> TC \l1 "Chapter 10: Character of Income and Computation of Tax</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Recall that there are three principles that guide us through every question of i</w:t>
      </w:r>
      <w:r w:rsidRPr="00576ED7">
        <w:rPr>
          <w:szCs w:val="24"/>
        </w:rPr>
        <w:t>n</w:t>
      </w:r>
      <w:r w:rsidRPr="00576ED7">
        <w:rPr>
          <w:szCs w:val="24"/>
        </w:rPr>
        <w:t xml:space="preserve">come tax.  </w:t>
      </w:r>
      <w:r w:rsidRPr="00576ED7">
        <w:rPr>
          <w:i/>
          <w:szCs w:val="24"/>
        </w:rPr>
        <w:t>See</w:t>
      </w:r>
      <w:r w:rsidRPr="00576ED7">
        <w:rPr>
          <w:szCs w:val="24"/>
        </w:rPr>
        <w:t xml:space="preserve"> chapter 1.  The first of these principles is that “[w]e tax income of a particular taxpayer once and only once.”  A good bit of our study to this point has been to identify inconsistencies or anomalies with this principle, i.e., excl</w:t>
      </w:r>
      <w:r w:rsidRPr="00576ED7">
        <w:rPr>
          <w:szCs w:val="24"/>
        </w:rPr>
        <w:t>u</w:t>
      </w:r>
      <w:r w:rsidRPr="00576ED7">
        <w:rPr>
          <w:szCs w:val="24"/>
        </w:rPr>
        <w:t>sions from gross income and certain deductions.  In this chapter, we refine the n</w:t>
      </w:r>
      <w:r w:rsidRPr="00576ED7">
        <w:rPr>
          <w:szCs w:val="24"/>
        </w:rPr>
        <w:t>o</w:t>
      </w:r>
      <w:r w:rsidRPr="00576ED7">
        <w:rPr>
          <w:szCs w:val="24"/>
        </w:rPr>
        <w:t>tion of taxing all income once by adding this caveat:  not all income is taxed the same.  Taxable income has a “character” that determines the tax burden to which it is subject.  Under § 1(h), an individual’s tax liability is actually the sum of the taxes of different rates on income of several different characters.</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94080" behindDoc="0" locked="0" layoutInCell="0" allowOverlap="1" wp14:anchorId="7E0D805E" wp14:editId="67028D95">
                <wp:simplePos x="0" y="0"/>
                <wp:positionH relativeFrom="margin">
                  <wp:posOffset>36830</wp:posOffset>
                </wp:positionH>
                <wp:positionV relativeFrom="paragraph">
                  <wp:posOffset>409575</wp:posOffset>
                </wp:positionV>
                <wp:extent cx="2065020" cy="2936240"/>
                <wp:effectExtent l="0" t="0" r="11430" b="16510"/>
                <wp:wrapSquare wrapText="largest"/>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93624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BF5F03">
                            <w:pPr>
                              <w:widowControl w:val="0"/>
                              <w:jc w:val="both"/>
                              <w:rPr>
                                <w:rFonts w:ascii="Tw Cen MT" w:hAnsi="Tw Cen MT"/>
                              </w:rPr>
                            </w:pPr>
                            <w:r>
                              <w:rPr>
                                <w:rFonts w:ascii="Tw Cen MT" w:hAnsi="Tw Cen MT"/>
                              </w:rPr>
                              <w:t>MINUS (standard deduction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exemptions)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liability from tables in § 1 (indexed for inflation)</w:t>
                            </w:r>
                          </w:p>
                          <w:p w:rsidR="00FF5E72" w:rsidRDefault="00FF5E72" w:rsidP="00BF5F0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9" type="#_x0000_t202" style="position:absolute;left:0;text-align:left;margin-left:2.9pt;margin-top:32.25pt;width:162.6pt;height:231.2pt;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zLAIAAFwEAAAOAAAAZHJzL2Uyb0RvYy54bWysVNtu2zAMfR+wfxD0vthxuqQ14hRdugwD&#10;ugvQ7gNkWY6FSaImKbGzry8lJ1nQbS/D/CCIEnVInkN6eTtoRfbCeQmmotNJTokwHBppthX99rR5&#10;c02JD8w0TIERFT0IT29Xr18te1uKAjpQjXAEQYwve1vRLgRbZpnnndDMT8AKg5ctOM0Cmm6bNY71&#10;iK5VVuT5POvBNdYBF97j6f14SVcJv20FD1/a1otAVEUxt5BWl9Y6rtlqycqtY7aT/JgG+4csNJMG&#10;g56h7llgZOfkb1Bacgce2jDhoDNoW8lFqgGrmeYvqnnsmBWpFiTH2zNN/v/B8s/7r47IpqJXM0oM&#10;06jRkxgCeQcDWSwiP731Jbo9WnQMA56jzqlWbx+Af/fEwLpjZivunIO+E6zB/KbxZXbxdMTxEaTu&#10;P0GDcdguQAIaWqcjeUgHQXTU6XDWJubC8bDI52/zAq843hU3s3lxldTLWHl6bp0PHwRoEjcVdSh+&#10;gmf7Bx9iOqw8ucRoHpRsNlKpZLhtvVaO7Bk2yiZ9qYIXbsqQHosrpjfFSMFfMfL0/QlDy4Atr6Su&#10;6PXZiZWRuPemSQ0ZmFTjHnNW5shkJG+kMQz1kERbzE4K1dAckFsHY4vjSOKmA/eTkh7bu6L+x445&#10;QYn6aFCfxRynB+fh0nCXRn1pMMMRqqKBknG7DuMM7ayT2w4jjR1h4A41bWViO4o/ZnXMH1s4iXAc&#10;tzgjl3by+vVTWD0DAAD//wMAUEsDBBQABgAIAAAAIQA4FsXp3AAAAAgBAAAPAAAAZHJzL2Rvd25y&#10;ZXYueG1sTI/BTsMwEETvSPyDtUjcqNOURm2IU6FI3JsAgqMbL3FEvA6x24S/ZznBcXZWM2+Kw+IG&#10;ccEp9J4UrFcJCKTWm546BS/PT3c7ECFqMnrwhAq+McChvL4qdG78TDVemtgJDqGQawU2xjGXMrQW&#10;nQ4rPyKx9+EnpyPLqZNm0jOHu0GmSZJJp3viBqtHrCy2n83ZKfB1Xb2mzdfxrZpN1c3HJY7vVqnb&#10;m+XxAUTEJf49wy8+o0PJTCd/JhPEoGDL4FFBdr8FwfZms+ZpJ76n2R5kWcj/A8ofAAAA//8DAFBL&#10;AQItABQABgAIAAAAIQC2gziS/gAAAOEBAAATAAAAAAAAAAAAAAAAAAAAAABbQ29udGVudF9UeXBl&#10;c10ueG1sUEsBAi0AFAAGAAgAAAAhADj9If/WAAAAlAEAAAsAAAAAAAAAAAAAAAAALwEAAF9yZWxz&#10;Ly5yZWxzUEsBAi0AFAAGAAgAAAAhAH6oQ3MsAgAAXAQAAA4AAAAAAAAAAAAAAAAALgIAAGRycy9l&#10;Mm9Eb2MueG1sUEsBAi0AFAAGAAgAAAAhADgWxencAAAACAEAAA8AAAAAAAAAAAAAAAAAhgQAAGRy&#10;cy9kb3ducmV2LnhtbFBLBQYAAAAABAAEAPMAAACPBQAAAAA=&#10;" o:allowincell="f" strokeweight=".96pt">
                <v:textbox inset="6pt,6pt,6pt,6pt">
                  <w:txbxContent>
                    <w:p w:rsidR="00FF5E72" w:rsidRDefault="00FF5E72" w:rsidP="00BF5F03">
                      <w:pPr>
                        <w:widowControl w:val="0"/>
                        <w:jc w:val="both"/>
                        <w:rPr>
                          <w:rFonts w:ascii="Tw Cen MT" w:hAnsi="Tw Cen MT"/>
                        </w:rPr>
                      </w:pPr>
                      <w:r>
                        <w:rPr>
                          <w:rFonts w:ascii="Tw Cen MT" w:hAnsi="Tw Cen MT"/>
                          <w:i/>
                        </w:rPr>
                        <w:t>The Tax Formula</w:t>
                      </w:r>
                      <w:r>
                        <w:rPr>
                          <w:rFonts w:ascii="Tw Cen MT" w:hAnsi="Tw Cen MT"/>
                        </w:rPr>
                        <w:t>:</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(gross income)</w:t>
                      </w:r>
                    </w:p>
                    <w:p w:rsidR="00FF5E72" w:rsidRDefault="00FF5E72" w:rsidP="00BF5F03">
                      <w:pPr>
                        <w:widowControl w:val="0"/>
                        <w:jc w:val="both"/>
                        <w:rPr>
                          <w:rFonts w:ascii="Tw Cen MT" w:hAnsi="Tw Cen MT"/>
                        </w:rPr>
                      </w:pPr>
                      <w:r>
                        <w:rPr>
                          <w:rFonts w:ascii="Tw Cen MT" w:hAnsi="Tw Cen MT"/>
                          <w:u w:val="single"/>
                        </w:rPr>
                        <w:t>MINUS deductions named in § 62</w:t>
                      </w:r>
                      <w:r>
                        <w:rPr>
                          <w:rFonts w:ascii="Tw Cen MT" w:hAnsi="Tw Cen MT"/>
                        </w:rPr>
                        <w:t xml:space="preserve"> </w:t>
                      </w:r>
                    </w:p>
                    <w:p w:rsidR="00FF5E72" w:rsidRDefault="00FF5E72" w:rsidP="00BF5F03">
                      <w:pPr>
                        <w:widowControl w:val="0"/>
                        <w:jc w:val="both"/>
                        <w:rPr>
                          <w:rFonts w:ascii="Tw Cen MT" w:hAnsi="Tw Cen MT"/>
                        </w:rPr>
                      </w:pPr>
                      <w:r>
                        <w:rPr>
                          <w:rFonts w:ascii="Tw Cen MT" w:hAnsi="Tw Cen MT"/>
                        </w:rPr>
                        <w:t>EQUALS (adjusted gross i</w:t>
                      </w:r>
                      <w:r>
                        <w:rPr>
                          <w:rFonts w:ascii="Tw Cen MT" w:hAnsi="Tw Cen MT"/>
                        </w:rPr>
                        <w:t>n</w:t>
                      </w:r>
                      <w:r>
                        <w:rPr>
                          <w:rFonts w:ascii="Tw Cen MT" w:hAnsi="Tw Cen MT"/>
                        </w:rPr>
                        <w:t>come (AGI))</w:t>
                      </w:r>
                    </w:p>
                    <w:p w:rsidR="00FF5E72" w:rsidRDefault="00FF5E72" w:rsidP="00BF5F03">
                      <w:pPr>
                        <w:widowControl w:val="0"/>
                        <w:jc w:val="both"/>
                        <w:rPr>
                          <w:rFonts w:ascii="Tw Cen MT" w:hAnsi="Tw Cen MT"/>
                        </w:rPr>
                      </w:pPr>
                      <w:r>
                        <w:rPr>
                          <w:rFonts w:ascii="Tw Cen MT" w:hAnsi="Tw Cen MT"/>
                        </w:rPr>
                        <w:t>MINUS (standard deduction or</w:t>
                      </w:r>
                    </w:p>
                    <w:p w:rsidR="00FF5E72" w:rsidRDefault="00FF5E72" w:rsidP="00BF5F03">
                      <w:pPr>
                        <w:widowControl w:val="0"/>
                        <w:jc w:val="both"/>
                        <w:rPr>
                          <w:rFonts w:ascii="Tw Cen MT" w:hAnsi="Tw Cen MT"/>
                        </w:rPr>
                      </w:pPr>
                      <w:r>
                        <w:rPr>
                          <w:rFonts w:ascii="Tw Cen MT" w:hAnsi="Tw Cen MT"/>
                        </w:rPr>
                        <w:t xml:space="preserve"> itemized deductions)</w:t>
                      </w:r>
                    </w:p>
                    <w:p w:rsidR="00FF5E72" w:rsidRDefault="00FF5E72" w:rsidP="00BF5F03">
                      <w:pPr>
                        <w:widowControl w:val="0"/>
                        <w:jc w:val="both"/>
                        <w:rPr>
                          <w:rFonts w:ascii="Tw Cen MT" w:hAnsi="Tw Cen MT"/>
                        </w:rPr>
                      </w:pPr>
                      <w:r>
                        <w:rPr>
                          <w:rFonts w:ascii="Tw Cen MT" w:hAnsi="Tw Cen MT"/>
                        </w:rPr>
                        <w:t>MINUS (personal exemptions)</w:t>
                      </w:r>
                    </w:p>
                    <w:p w:rsidR="00FF5E72" w:rsidRDefault="00FF5E72" w:rsidP="00BF5F03">
                      <w:pPr>
                        <w:widowControl w:val="0"/>
                        <w:jc w:val="both"/>
                        <w:rPr>
                          <w:rFonts w:ascii="Tw Cen MT" w:hAnsi="Tw Cen MT"/>
                        </w:rPr>
                      </w:pPr>
                      <w:r>
                        <w:rPr>
                          <w:rFonts w:ascii="Tw Cen MT" w:hAnsi="Tw Cen MT"/>
                        </w:rPr>
                        <w:t>EQUALS (taxable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➔Compute income tax liability from tables in § 1 (indexed for inflation)</w:t>
                      </w:r>
                    </w:p>
                    <w:p w:rsidR="00FF5E72" w:rsidRDefault="00FF5E72" w:rsidP="00BF5F0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We have also seen that the Code states rules whose effect is to match income and expenses over </w:t>
      </w:r>
      <w:r w:rsidR="0049128E" w:rsidRPr="00576ED7">
        <w:rPr>
          <w:i/>
          <w:szCs w:val="24"/>
        </w:rPr>
        <w:t>time</w:t>
      </w:r>
      <w:r w:rsidR="0049128E" w:rsidRPr="00576ED7">
        <w:rPr>
          <w:szCs w:val="24"/>
        </w:rPr>
        <w:t xml:space="preserve">.  </w:t>
      </w:r>
      <w:r w:rsidR="0049128E" w:rsidRPr="00576ED7">
        <w:rPr>
          <w:i/>
          <w:szCs w:val="24"/>
        </w:rPr>
        <w:t>See</w:t>
      </w:r>
      <w:r w:rsidR="0049128E" w:rsidRPr="00576ED7">
        <w:rPr>
          <w:szCs w:val="24"/>
        </w:rPr>
        <w:t xml:space="preserve"> </w:t>
      </w:r>
      <w:r w:rsidR="0049128E" w:rsidRPr="00576ED7">
        <w:rPr>
          <w:i/>
          <w:szCs w:val="24"/>
        </w:rPr>
        <w:t>Idaho Power</w:t>
      </w:r>
      <w:r w:rsidR="0049128E" w:rsidRPr="00576ED7">
        <w:rPr>
          <w:szCs w:val="24"/>
        </w:rPr>
        <w:t xml:space="preserve">, </w:t>
      </w:r>
      <w:r w:rsidR="0049128E" w:rsidRPr="00576ED7">
        <w:rPr>
          <w:i/>
          <w:szCs w:val="24"/>
        </w:rPr>
        <w:t>Enc</w:t>
      </w:r>
      <w:r w:rsidR="0049128E" w:rsidRPr="00576ED7">
        <w:rPr>
          <w:i/>
          <w:szCs w:val="24"/>
        </w:rPr>
        <w:t>y</w:t>
      </w:r>
      <w:r w:rsidR="0049128E" w:rsidRPr="00576ED7">
        <w:rPr>
          <w:i/>
          <w:szCs w:val="24"/>
        </w:rPr>
        <w:t>clopaedia Britannica</w:t>
      </w:r>
      <w:r w:rsidR="0049128E" w:rsidRPr="00576ED7">
        <w:rPr>
          <w:szCs w:val="24"/>
        </w:rPr>
        <w:t xml:space="preserve">, </w:t>
      </w:r>
      <w:r w:rsidR="0049128E" w:rsidRPr="00576ED7">
        <w:rPr>
          <w:i/>
          <w:szCs w:val="24"/>
        </w:rPr>
        <w:t>supra</w:t>
      </w:r>
      <w:r w:rsidR="0049128E" w:rsidRPr="00576ED7">
        <w:rPr>
          <w:szCs w:val="24"/>
        </w:rPr>
        <w:t xml:space="preserve">.  We now find that the Code requires taxpayers – with only quite limited exceptions – to match income, gains, losses, and expenses with respect to </w:t>
      </w:r>
      <w:r w:rsidR="0049128E" w:rsidRPr="00576ED7">
        <w:rPr>
          <w:i/>
          <w:szCs w:val="24"/>
        </w:rPr>
        <w:t>character</w:t>
      </w:r>
      <w:r w:rsidR="0049128E" w:rsidRPr="00576ED7">
        <w:rPr>
          <w:szCs w:val="24"/>
        </w:rPr>
        <w:t>.  Taxpa</w:t>
      </w:r>
      <w:r w:rsidR="0049128E" w:rsidRPr="00576ED7">
        <w:rPr>
          <w:szCs w:val="24"/>
        </w:rPr>
        <w:t>y</w:t>
      </w:r>
      <w:r w:rsidR="0049128E" w:rsidRPr="00576ED7">
        <w:rPr>
          <w:szCs w:val="24"/>
        </w:rPr>
        <w:t>ers who perceive these points may try to manipulate the character of income and associated expenses, and the Code addresses these efforts.  Generally, a taxpayer prefers gains to be subject to a lo</w:t>
      </w:r>
      <w:r w:rsidR="0049128E" w:rsidRPr="00576ED7">
        <w:rPr>
          <w:szCs w:val="24"/>
        </w:rPr>
        <w:t>w</w:t>
      </w:r>
      <w:r w:rsidR="0049128E" w:rsidRPr="00576ED7">
        <w:rPr>
          <w:szCs w:val="24"/>
        </w:rPr>
        <w:t>er rate of tax, and deductions to be taken against income subject to a higher rate of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incomes of the following characters: long-term capital gain (and its variations), short-term capital gain, depreci</w:t>
      </w:r>
      <w:r w:rsidRPr="00576ED7">
        <w:rPr>
          <w:szCs w:val="24"/>
        </w:rPr>
        <w:t>a</w:t>
      </w:r>
      <w:r w:rsidRPr="00576ED7">
        <w:rPr>
          <w:szCs w:val="24"/>
        </w:rPr>
        <w:t>tion recapture, § 1231 gain, dividends, and passive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79" w:name="_Toc375132966"/>
      <w:r w:rsidRPr="00576ED7">
        <w:lastRenderedPageBreak/>
        <w:t>I.  Capital Gain</w:t>
      </w:r>
      <w:bookmarkEnd w:id="79"/>
      <w:r w:rsidRPr="00576ED7">
        <w:fldChar w:fldCharType="begin"/>
      </w:r>
      <w:r w:rsidRPr="00576ED7">
        <w:instrText xml:space="preserve"> TC \l1 "I.  Capital Gain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have already seen that § 61(a)(3) includes within the scope of “gross income” “gains derived from dealings in property.”  Section 1001(a) informed us that ta</w:t>
      </w:r>
      <w:r w:rsidRPr="00576ED7">
        <w:rPr>
          <w:szCs w:val="24"/>
        </w:rPr>
        <w:t>x</w:t>
      </w:r>
      <w:r w:rsidRPr="00576ED7">
        <w:rPr>
          <w:szCs w:val="24"/>
        </w:rPr>
        <w:t xml:space="preserve">payer measures such gains (and losses) by subtracting “adjusted basis” from “amount realized.”  Gains from the sale or exchange of “capital assets” </w:t>
      </w:r>
      <w:r w:rsidRPr="00576ED7">
        <w:rPr>
          <w:i/>
          <w:szCs w:val="24"/>
        </w:rPr>
        <w:t>might</w:t>
      </w:r>
      <w:r w:rsidRPr="00576ED7">
        <w:rPr>
          <w:szCs w:val="24"/>
        </w:rPr>
        <w:t xml:space="preserve"> be subject to tax rates lower than those applicable to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 we begin with a definition of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“Capital Asset:” Property Held by the Taxpayer</w:t>
      </w:r>
      <w:r w:rsidRPr="00576ED7">
        <w:rPr>
          <w:szCs w:val="24"/>
        </w:rPr>
        <w:fldChar w:fldCharType="begin"/>
      </w:r>
      <w:r w:rsidRPr="00576ED7">
        <w:rPr>
          <w:i/>
          <w:szCs w:val="24"/>
        </w:rPr>
        <w:instrText xml:space="preserve"> TC \l2 "A.  “Capital Asset:” Property Held by the Taxpayer</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 1221(a).  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w:t>
      </w:r>
      <w:r w:rsidRPr="00576ED7">
        <w:rPr>
          <w:szCs w:val="24"/>
        </w:rPr>
        <w:t>n</w:t>
      </w:r>
      <w:r w:rsidRPr="00576ED7">
        <w:rPr>
          <w:szCs w:val="24"/>
        </w:rPr>
        <w:t>cept? Is there a common theme to the exceptions – at least to some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manufacturer of products made from corn.  Its profitability was vulnerable to price increases for corn.  In order to protect itself against price increases and potential shortages, taxpayer “took a long position in corn futures[</w:t>
      </w:r>
      <w:r w:rsidRPr="00576ED7">
        <w:rPr>
          <w:rStyle w:val="FootnoteReference"/>
          <w:szCs w:val="24"/>
        </w:rPr>
        <w:footnoteReference w:id="188"/>
      </w:r>
      <w:r w:rsidRPr="00576ED7">
        <w:rPr>
          <w:szCs w:val="24"/>
        </w:rPr>
        <w:t xml:space="preserve">]” at harvest time when prices were “favorable.”  </w:t>
      </w:r>
      <w:r w:rsidRPr="00576ED7">
        <w:rPr>
          <w:i/>
          <w:szCs w:val="24"/>
        </w:rPr>
        <w:t>Id.</w:t>
      </w:r>
      <w:r w:rsidRPr="00576ED7">
        <w:rPr>
          <w:szCs w:val="24"/>
        </w:rPr>
        <w:t xml:space="preserve"> at 48.  If no shortage appeared when ta</w:t>
      </w:r>
      <w:r w:rsidRPr="00576ED7">
        <w:rPr>
          <w:szCs w:val="24"/>
        </w:rPr>
        <w:t>x</w:t>
      </w:r>
      <w:r w:rsidRPr="00576ED7">
        <w:rPr>
          <w:szCs w:val="24"/>
        </w:rPr>
        <w:t>payer needed corn, it would take delivery on as much corn as it needed and sell the unneeded futures.  However, if there were a shortage, it would sell the futures only as it was able to purchase corn on the spot market.  In this manner, taxpayer protected itself against seasonal increases in the price of corn.  Taxpayer was co</w:t>
      </w:r>
      <w:r w:rsidRPr="00576ED7">
        <w:rPr>
          <w:szCs w:val="24"/>
        </w:rPr>
        <w:t>n</w:t>
      </w:r>
      <w:r w:rsidRPr="00576ED7">
        <w:rPr>
          <w:szCs w:val="24"/>
        </w:rPr>
        <w:t>cerned only with losses resulting from price increases, not from price decreases.  It evidently purchased futures to cover (much) more than the corn it would actua</w:t>
      </w:r>
      <w:r w:rsidRPr="00576ED7">
        <w:rPr>
          <w:szCs w:val="24"/>
        </w:rPr>
        <w:t>l</w:t>
      </w:r>
      <w:r w:rsidRPr="00576ED7">
        <w:rPr>
          <w:szCs w:val="24"/>
        </w:rPr>
        <w:t xml:space="preserve">ly need.  </w:t>
      </w:r>
      <w:r w:rsidRPr="00576ED7">
        <w:rPr>
          <w:i/>
          <w:szCs w:val="24"/>
        </w:rPr>
        <w:t>See</w:t>
      </w:r>
      <w:r w:rsidRPr="00576ED7">
        <w:rPr>
          <w:szCs w:val="24"/>
        </w:rPr>
        <w:t xml:space="preserve"> </w:t>
      </w:r>
      <w:r w:rsidRPr="00576ED7">
        <w:rPr>
          <w:i/>
          <w:szCs w:val="24"/>
        </w:rPr>
        <w:t>id.</w:t>
      </w:r>
      <w:r w:rsidRPr="00576ED7">
        <w:rPr>
          <w:szCs w:val="24"/>
        </w:rPr>
        <w:t xml:space="preserve"> at 49 n.5.  Hence, taxpayer sold corn futures at a profit or loss.  Over a period when its gains far exceeded its losses, taxpayer treated these sales as sales of capital assets.  This would subject its gains to tax rates lower than the tax rate on its ordinary income.  At the time, the Code did not expressly exclude transactions of this nature from property constituting a capital asset.  The Co</w:t>
      </w:r>
      <w:r w:rsidRPr="00576ED7">
        <w:rPr>
          <w:szCs w:val="24"/>
        </w:rPr>
        <w:t>m</w:t>
      </w:r>
      <w:r w:rsidRPr="00576ED7">
        <w:rPr>
          <w:szCs w:val="24"/>
        </w:rPr>
        <w:t xml:space="preserve">missioner argued that taxpayer’s transactions in corn futures were hedges that protected taxpayer from price increases of a commodity that was “‘integral to its manufacturing business[.]’” </w:t>
      </w:r>
      <w:r w:rsidRPr="00576ED7">
        <w:rPr>
          <w:i/>
          <w:szCs w:val="24"/>
        </w:rPr>
        <w:t>Id.</w:t>
      </w:r>
      <w:r w:rsidRPr="00576ED7">
        <w:rPr>
          <w:szCs w:val="24"/>
        </w:rPr>
        <w:t xml:space="preserve"> at 51.  The Tax Court agreed with the Commi</w:t>
      </w:r>
      <w:r w:rsidRPr="00576ED7">
        <w:rPr>
          <w:szCs w:val="24"/>
        </w:rPr>
        <w:t>s</w:t>
      </w:r>
      <w:r w:rsidRPr="00576ED7">
        <w:rPr>
          <w:szCs w:val="24"/>
        </w:rPr>
        <w:lastRenderedPageBreak/>
        <w:t>sioner as did the United States Court of Appeals for the Second Circuit.  The United States Supreme Court affirmed.  The Court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Admittedly, [taxpayer’s] corn futures do not come within the literal la</w:t>
      </w:r>
      <w:r w:rsidRPr="00576ED7">
        <w:rPr>
          <w:szCs w:val="24"/>
        </w:rPr>
        <w:t>n</w:t>
      </w:r>
      <w:r w:rsidRPr="00576ED7">
        <w:rPr>
          <w:szCs w:val="24"/>
        </w:rPr>
        <w:t>guage of the exclusions set out in that section.  They were not stock in trade, actual inventory, property held for sale to customers or depreciable property used in a trade or business.  But the capital-asset provision ... must not be so broadly applied as to defeat rather than further the purpose of Congress. [citation omitted].  Congress intended that profits and losses arising from the everyday operation of a business be considered as ord</w:t>
      </w:r>
      <w:r w:rsidRPr="00576ED7">
        <w:rPr>
          <w:szCs w:val="24"/>
        </w:rPr>
        <w:t>i</w:t>
      </w:r>
      <w:r w:rsidRPr="00576ED7">
        <w:rPr>
          <w:szCs w:val="24"/>
        </w:rPr>
        <w:t>nary income or loss rather than capital gain or loss. The [Code’s] prefere</w:t>
      </w:r>
      <w:r w:rsidRPr="00576ED7">
        <w:rPr>
          <w:szCs w:val="24"/>
        </w:rPr>
        <w:t>n</w:t>
      </w:r>
      <w:r w:rsidRPr="00576ED7">
        <w:rPr>
          <w:szCs w:val="24"/>
        </w:rPr>
        <w:t>tial treatment [of capital gains] applies to transactions in property which are not the normal source of business income. It was intended ‘to relieve the taxpayer from * * * excessive tax burdens on gains resulting from a conversion of capital investments, and to remove the deterrent effect of those burdens on such conversions.’ [citation omitted].  Since this section is an exception from the normal tax requirements of the Internal Revenue Code, the definition of a capital asset must be narrowly applied and its e</w:t>
      </w:r>
      <w:r w:rsidRPr="00576ED7">
        <w:rPr>
          <w:szCs w:val="24"/>
        </w:rPr>
        <w:t>x</w:t>
      </w:r>
      <w:r w:rsidRPr="00576ED7">
        <w:rPr>
          <w:szCs w:val="24"/>
        </w:rPr>
        <w:t>clusions interpreted broadly. This is necessary to effectuate the basic co</w:t>
      </w:r>
      <w:r w:rsidRPr="00576ED7">
        <w:rPr>
          <w:szCs w:val="24"/>
        </w:rPr>
        <w:t>n</w:t>
      </w:r>
      <w:r w:rsidRPr="00576ED7">
        <w:rPr>
          <w:szCs w:val="24"/>
        </w:rPr>
        <w:t>gressional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51-52.  Subsequent to this case, Congress amended § 1221 by adding what is now § 1221(a)(7).  A “capital asset” does not include “any hedging transaction which is clearly identified as such before the close of the day on which it was a</w:t>
      </w:r>
      <w:r w:rsidRPr="00576ED7">
        <w:rPr>
          <w:szCs w:val="24"/>
        </w:rPr>
        <w:t>c</w:t>
      </w:r>
      <w:r w:rsidRPr="00576ED7">
        <w:rPr>
          <w:szCs w:val="24"/>
        </w:rPr>
        <w:t>quired, originated, or entered into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cases, taxpayers successfully argued that a futures transaction that proved profitable involved a “capital asset,” whereas a futures transaction that proved u</w:t>
      </w:r>
      <w:r w:rsidRPr="00576ED7">
        <w:rPr>
          <w:szCs w:val="24"/>
        </w:rPr>
        <w:t>n</w:t>
      </w:r>
      <w:r w:rsidRPr="00576ED7">
        <w:rPr>
          <w:szCs w:val="24"/>
        </w:rPr>
        <w:t>profitable was a hedge against price fluctuations in a commodity that was defin</w:t>
      </w:r>
      <w:r w:rsidRPr="00576ED7">
        <w:rPr>
          <w:szCs w:val="24"/>
        </w:rPr>
        <w:t>i</w:t>
      </w:r>
      <w:r w:rsidRPr="00576ED7">
        <w:rPr>
          <w:szCs w:val="24"/>
        </w:rPr>
        <w:t xml:space="preserve">tionally not a “capital asset.”  Losses therefore could offset ordinary income.  This “head-I-win-tails-you-lose” whipsaw of the Commissioner should have ended with the holding in </w:t>
      </w:r>
      <w:r w:rsidRPr="00576ED7">
        <w:rPr>
          <w:i/>
          <w:szCs w:val="24"/>
        </w:rPr>
        <w:t>Corn Products</w:t>
      </w:r>
      <w:r w:rsidRPr="00576ED7">
        <w:rPr>
          <w:szCs w:val="24"/>
        </w:rPr>
        <w:t xml:space="preserve">.  The Commissioner won in </w:t>
      </w:r>
      <w:r w:rsidRPr="00576ED7">
        <w:rPr>
          <w:i/>
          <w:szCs w:val="24"/>
        </w:rPr>
        <w:t>Corn Products</w:t>
      </w:r>
      <w:r w:rsidRPr="00576ED7">
        <w:rPr>
          <w:szCs w:val="24"/>
        </w:rPr>
        <w:t>.  Should the Commissioner be happy about that? Do you think that hedge transa</w:t>
      </w:r>
      <w:r w:rsidRPr="00576ED7">
        <w:rPr>
          <w:szCs w:val="24"/>
        </w:rPr>
        <w:t>c</w:t>
      </w:r>
      <w:r w:rsidRPr="00576ED7">
        <w:rPr>
          <w:szCs w:val="24"/>
        </w:rPr>
        <w:t xml:space="preserve">tions of the sort described in </w:t>
      </w:r>
      <w:r w:rsidRPr="00576ED7">
        <w:rPr>
          <w:i/>
          <w:szCs w:val="24"/>
        </w:rPr>
        <w:t>Corn Products</w:t>
      </w:r>
      <w:r w:rsidRPr="00576ED7">
        <w:rPr>
          <w:szCs w:val="24"/>
        </w:rPr>
        <w:t xml:space="preserve"> more often produce profit or loss?</w:t>
      </w:r>
    </w:p>
    <w:p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w:t>
      </w:r>
      <w:r w:rsidRPr="00576ED7">
        <w:rPr>
          <w:szCs w:val="24"/>
        </w:rPr>
        <w:t>p</w:t>
      </w:r>
      <w:r w:rsidRPr="00576ED7">
        <w:rPr>
          <w:szCs w:val="24"/>
        </w:rPr>
        <w:t xml:space="preserve">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  How does this scheme prevent the whipsaw of the Commi</w:t>
      </w:r>
      <w:r w:rsidRPr="00576ED7">
        <w:rPr>
          <w:szCs w:val="24"/>
        </w:rPr>
        <w:t>s</w:t>
      </w:r>
      <w:r w:rsidRPr="00576ED7">
        <w:rPr>
          <w:szCs w:val="24"/>
        </w:rPr>
        <w:t>sioner?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Corn Products</w:t>
      </w:r>
      <w:r w:rsidRPr="00576ED7">
        <w:rPr>
          <w:szCs w:val="24"/>
        </w:rPr>
        <w:t xml:space="preserve"> is also important for its statements concerning how to construe § 1221.  While the structure of § 1221 implies that “capital asset” is a broad co</w:t>
      </w:r>
      <w:r w:rsidRPr="00576ED7">
        <w:rPr>
          <w:szCs w:val="24"/>
        </w:rPr>
        <w:t>n</w:t>
      </w:r>
      <w:r w:rsidRPr="00576ED7">
        <w:rPr>
          <w:szCs w:val="24"/>
        </w:rPr>
        <w:t>cept, i.e., “all property except ...”, the Court stated that the exceptions were to be construed broadly – thereby eroding the scope of the phrase “capital asset.”  Fu</w:t>
      </w:r>
      <w:r w:rsidRPr="00576ED7">
        <w:rPr>
          <w:szCs w:val="24"/>
        </w:rPr>
        <w:t>r</w:t>
      </w:r>
      <w:r w:rsidRPr="00576ED7">
        <w:rPr>
          <w:szCs w:val="24"/>
        </w:rPr>
        <w:t xml:space="preserve">thermore, we might surmise that a major point of </w:t>
      </w:r>
      <w:r w:rsidRPr="00576ED7">
        <w:rPr>
          <w:i/>
          <w:szCs w:val="24"/>
        </w:rPr>
        <w:t>Corn Products</w:t>
      </w:r>
      <w:r w:rsidRPr="00576ED7">
        <w:rPr>
          <w:szCs w:val="24"/>
        </w:rPr>
        <w:t xml:space="preserve"> is that a transa</w:t>
      </w:r>
      <w:r w:rsidRPr="00576ED7">
        <w:rPr>
          <w:szCs w:val="24"/>
        </w:rPr>
        <w:t>c</w:t>
      </w:r>
      <w:r w:rsidRPr="00576ED7">
        <w:rPr>
          <w:szCs w:val="24"/>
        </w:rPr>
        <w:t>tion that is a “surrogate” for a  “non-capital” transaction is in fact a non-capital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485 U.S. 212 (1988), taxpayer was a diversified holding company that purchased approximately 65% of the stock of a Dallas bank.  The bank needed more capital and so over the course of five years, taxpayer tripled its investment in the bank without increasing its percentage inte</w:t>
      </w:r>
      <w:r w:rsidRPr="00576ED7">
        <w:rPr>
          <w:szCs w:val="24"/>
        </w:rPr>
        <w:t>r</w:t>
      </w:r>
      <w:r w:rsidRPr="00576ED7">
        <w:rPr>
          <w:szCs w:val="24"/>
        </w:rPr>
        <w:t xml:space="preserve">est.  During that time, the financial health of the bank declined significantly.  Taxpayer sold the bulk of its stock, retaining only a 14.7% interest.  It claimed an ordinary loss on the sale of this stock, arguing that its ownership of the stock was for business purposes rather than investment purposes.  The Commissioner argued that the loss was a capital loss.  Taxpayer argued that </w:t>
      </w:r>
      <w:r w:rsidRPr="00576ED7">
        <w:rPr>
          <w:i/>
          <w:szCs w:val="24"/>
        </w:rPr>
        <w:t>Corn Products</w:t>
      </w:r>
      <w:r w:rsidRPr="00576ED7">
        <w:rPr>
          <w:szCs w:val="24"/>
        </w:rPr>
        <w:t xml:space="preserve"> supported the position that property purchased with a business motive was not a capital a</w:t>
      </w:r>
      <w:r w:rsidRPr="00576ED7">
        <w:rPr>
          <w:szCs w:val="24"/>
        </w:rPr>
        <w:t>s</w:t>
      </w:r>
      <w:r w:rsidRPr="00576ED7">
        <w:rPr>
          <w:szCs w:val="24"/>
        </w:rPr>
        <w:t xml:space="preserve">set.  The Tax Court agreed with this analysis and applied it to the individual blocks of stock that taxpayer had purchased, evidently finding that the motivation for different purchases was different.  The United States Court of Appeals for the Eighth Circuit reversed, finding that the bank stock was clearly a capital asset.  The Supreme Court affirmed.  The Court refused to define “capital asset” so as to exclude the entire class of assets purchased for a business purpose.  “The broad definition of the term ‘capital asset’ explicitly makes irrelevant any consideration of the property’s connection with the taxpayer’s business ...”  </w:t>
      </w:r>
      <w:r w:rsidRPr="00576ED7">
        <w:rPr>
          <w:i/>
          <w:szCs w:val="24"/>
        </w:rPr>
        <w:t>Id.</w:t>
      </w:r>
      <w:r w:rsidRPr="00576ED7">
        <w:rPr>
          <w:szCs w:val="24"/>
        </w:rPr>
        <w:t xml:space="preserve"> at 217.  The Court held that the list of exceptions to § 1221's broad definition of “capital asset” is exclusive.  </w:t>
      </w:r>
      <w:r w:rsidRPr="00576ED7">
        <w:rPr>
          <w:i/>
          <w:szCs w:val="24"/>
        </w:rPr>
        <w:t>Id.</w:t>
      </w:r>
      <w:r w:rsidRPr="00576ED7">
        <w:rPr>
          <w:szCs w:val="24"/>
        </w:rPr>
        <w:t xml:space="preserve"> at 217-18.  The Court (perhaps) narrowed its approach to “capital asset” questions in </w:t>
      </w:r>
      <w:r w:rsidRPr="00576ED7">
        <w:rPr>
          <w:i/>
          <w:szCs w:val="24"/>
        </w:rPr>
        <w:t xml:space="preserve">Corn Products </w:t>
      </w:r>
      <w:r w:rsidRPr="00576ED7">
        <w:rPr>
          <w:szCs w:val="24"/>
        </w:rPr>
        <w:t>to a broad application of the inventory exce</w:t>
      </w:r>
      <w:r w:rsidRPr="00576ED7">
        <w:rPr>
          <w:szCs w:val="24"/>
        </w:rPr>
        <w:t>p</w:t>
      </w:r>
      <w:r w:rsidRPr="00576ED7">
        <w:rPr>
          <w:szCs w:val="24"/>
        </w:rPr>
        <w:t xml:space="preserve">tion rather than a narrow reading of the phrase “property held by the taxpayer[.]” </w:t>
      </w:r>
      <w:r w:rsidRPr="00576ED7">
        <w:rPr>
          <w:i/>
          <w:szCs w:val="24"/>
        </w:rPr>
        <w:t>Id.</w:t>
      </w:r>
      <w:r w:rsidRPr="00576ED7">
        <w:rPr>
          <w:szCs w:val="24"/>
        </w:rPr>
        <w:t xml:space="preserve"> at 220.  The corn futures in </w:t>
      </w:r>
      <w:r w:rsidRPr="00576ED7">
        <w:rPr>
          <w:i/>
          <w:szCs w:val="24"/>
        </w:rPr>
        <w:t>Corn Products</w:t>
      </w:r>
      <w:r w:rsidRPr="00576ED7">
        <w:rPr>
          <w:szCs w:val="24"/>
        </w:rPr>
        <w:t xml:space="preserve"> were surrogates for inventory.</w:t>
      </w:r>
    </w:p>
    <w:p w:rsidR="0049128E" w:rsidRPr="00576ED7" w:rsidRDefault="0049128E" w:rsidP="00A6585D">
      <w:pPr>
        <w:widowControl w:val="0"/>
        <w:ind w:left="720"/>
        <w:jc w:val="both"/>
        <w:rPr>
          <w:szCs w:val="24"/>
        </w:rPr>
      </w:pPr>
      <w:r w:rsidRPr="00576ED7">
        <w:rPr>
          <w:szCs w:val="24"/>
        </w:rPr>
        <w:t>•Thus, “capital asset” is indeed “all property” except for the items – broa</w:t>
      </w:r>
      <w:r w:rsidRPr="00576ED7">
        <w:rPr>
          <w:szCs w:val="24"/>
        </w:rPr>
        <w:t>d</w:t>
      </w:r>
      <w:r w:rsidRPr="00576ED7">
        <w:rPr>
          <w:szCs w:val="24"/>
        </w:rPr>
        <w:t>ly defined – specifically named in § 1221(a).</w:t>
      </w:r>
    </w:p>
    <w:p w:rsidR="0049128E" w:rsidRPr="00576ED7" w:rsidRDefault="0049128E" w:rsidP="00A6585D">
      <w:pPr>
        <w:widowControl w:val="0"/>
        <w:ind w:left="720"/>
        <w:jc w:val="both"/>
        <w:rPr>
          <w:szCs w:val="24"/>
        </w:rPr>
      </w:pPr>
      <w:r w:rsidRPr="00576ED7">
        <w:rPr>
          <w:szCs w:val="24"/>
        </w:rPr>
        <w:t>•Read § 1221(a)’s list of exceptions to “capital assets” again.  Is (are) there a general theme(s) to these exceptions?</w:t>
      </w:r>
    </w:p>
    <w:p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rsidR="0049128E" w:rsidRPr="00576ED7" w:rsidRDefault="0049128E" w:rsidP="00A6585D">
      <w:pPr>
        <w:widowControl w:val="0"/>
        <w:ind w:left="720"/>
        <w:jc w:val="both"/>
        <w:rPr>
          <w:szCs w:val="24"/>
        </w:rPr>
      </w:pPr>
      <w:r w:rsidRPr="00576ED7">
        <w:rPr>
          <w:szCs w:val="24"/>
        </w:rPr>
        <w:t>•The phrase “capital asset” certainly includes personal use property.  Thus if a taxpayer sells his/her personal automobile for a gain, the gain is su</w:t>
      </w:r>
      <w:r w:rsidRPr="00576ED7">
        <w:rPr>
          <w:szCs w:val="24"/>
        </w:rPr>
        <w:t>b</w:t>
      </w:r>
      <w:r w:rsidRPr="00576ED7">
        <w:rPr>
          <w:szCs w:val="24"/>
        </w:rPr>
        <w:lastRenderedPageBreak/>
        <w:t>ject to tax as capital gain.</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38503F06" wp14:editId="798E8B57">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B51034" w:rsidP="00B51034">
      <w:pPr>
        <w:widowControl w:val="0"/>
        <w:jc w:val="both"/>
        <w:rPr>
          <w:szCs w:val="24"/>
        </w:rPr>
      </w:pPr>
      <w:r w:rsidRPr="00576ED7">
        <w:rPr>
          <w:noProof/>
          <w:szCs w:val="24"/>
        </w:rPr>
        <mc:AlternateContent>
          <mc:Choice Requires="wps">
            <w:drawing>
              <wp:anchor distT="152400" distB="152400" distL="152400" distR="152400" simplePos="0" relativeHeight="251695104" behindDoc="0" locked="0" layoutInCell="0" allowOverlap="1" wp14:anchorId="6C84715A" wp14:editId="2FFD875A">
                <wp:simplePos x="0" y="0"/>
                <wp:positionH relativeFrom="margin">
                  <wp:posOffset>1951990</wp:posOffset>
                </wp:positionH>
                <wp:positionV relativeFrom="paragraph">
                  <wp:posOffset>198755</wp:posOffset>
                </wp:positionV>
                <wp:extent cx="3200400" cy="6013450"/>
                <wp:effectExtent l="0" t="0" r="19050" b="2540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1345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0" type="#_x0000_t202" style="position:absolute;left:0;text-align:left;margin-left:153.7pt;margin-top:15.65pt;width:252pt;height:473.5pt;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aKwIAAFwEAAAOAAAAZHJzL2Uyb0RvYy54bWysVNuO0zAQfUfiHyy/06Td0pao6WrpUoS0&#10;XKRdPsBxnMTC9hjbbVK+nrHTlmqBF0QeLI89PjNzzkzWt4NW5CCcl2BKOp3klAjDoZamLenXp92r&#10;FSU+MFMzBUaU9Cg8vd28fLHubSFm0IGqhSMIYnzR25J2IdgiyzzvhGZ+AlYYvGzAaRbQdG1WO9Yj&#10;ulbZLM8XWQ+utg648B5P78dLukn4TSN4+Nw0XgSiSoq5hbS6tFZxzTZrVrSO2U7yUxrsH7LQTBoM&#10;eoG6Z4GRvZO/QWnJHXhowoSDzqBpJBepBqxmmj+r5rFjVqRakBxvLzT5/wfLPx2+OCLrks5nlBim&#10;UaMnMQTyFgayXEV+eusLdHu06BgGPEedU63ePgD/5omBbcdMK+6cg74TrMb8pvFldvV0xPERpOo/&#10;Qo1x2D5AAhoapyN5SAdBdNTpeNEm5sLx8AbVnud4xfFukU9v5q+Tehkrzs+t8+G9AE3ipqQOxU/w&#10;7PDgQ0yHFWeXGM2DkvVOKpUM11Zb5ciBYaPs0pcqeOamDOmxuNn0zWyk4K8Yefr+hKFlwJZXUpd0&#10;dXFiRSTunalTQwYm1bjHnJU5MRnJG2kMQzUk0Zbzs0IV1Efk1sHY4jiSuOnA/aCkx/Yuqf++Z05Q&#10;oj4Y1Ge5QD5xHq4Nd21U1wYzHKFKGigZt9swztDeOtl2GGnsCAN3qGkjE9tR/DGrU/7YwkmE07jF&#10;Gbm2k9evn8LmJwAAAP//AwBQSwMEFAAGAAgAAAAhAF2M7oXcAAAACgEAAA8AAABkcnMvZG93bnJl&#10;di54bWxMj01PhDAQhu8m/odmTLy5hcW4iJSNIfG+oEaPXTpSIp0i7S747x1PepuPJ+88U+5XN4oz&#10;zmHwpCDdJCCQOm8G6hW8PD/d5CBC1GT06AkVfGOAfXV5UerC+IUaPLexFxxCodAKbIxTIWXoLDod&#10;Nn5C4t2Hn52O3M69NLNeONyNcpskd9LpgfiC1RPWFrvP9uQU+KapX7ft1+GtXkzdL4c1Tu9Wqeur&#10;9fEBRMQ1/sHwq8/qULHT0Z/IBDEqyJLdLaNcpBkIBvI05cFRwf0uz0BWpfz/QvUDAAD//wMAUEsB&#10;Ai0AFAAGAAgAAAAhALaDOJL+AAAA4QEAABMAAAAAAAAAAAAAAAAAAAAAAFtDb250ZW50X1R5cGVz&#10;XS54bWxQSwECLQAUAAYACAAAACEAOP0h/9YAAACUAQAACwAAAAAAAAAAAAAAAAAvAQAAX3JlbHMv&#10;LnJlbHNQSwECLQAUAAYACAAAACEAYzi8WisCAABcBAAADgAAAAAAAAAAAAAAAAAuAgAAZHJzL2Uy&#10;b0RvYy54bWxQSwECLQAUAAYACAAAACEAXYzuhdwAAAAKAQAADwAAAAAAAAAAAAAAAACFBAAAZHJz&#10;L2Rvd25yZXYueG1sUEsFBgAAAAAEAAQA8wAAAI4FA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w:t>
                      </w:r>
                      <w:r>
                        <w:rPr>
                          <w:rFonts w:ascii="Tw Cen MT" w:hAnsi="Tw Cen MT"/>
                        </w:rPr>
                        <w:t>e</w:t>
                      </w:r>
                      <w:r>
                        <w:rPr>
                          <w:rFonts w:ascii="Tw Cen MT" w:hAnsi="Tw Cen MT"/>
                        </w:rPr>
                        <w:t>quires some advantageous mismatching of income and losses with different characters.  The opposite is true.  We know that reductions in taxable i</w:t>
                      </w:r>
                      <w:r>
                        <w:rPr>
                          <w:rFonts w:ascii="Tw Cen MT" w:hAnsi="Tw Cen MT"/>
                        </w:rPr>
                        <w:t>n</w:t>
                      </w:r>
                      <w:r>
                        <w:rPr>
                          <w:rFonts w:ascii="Tw Cen MT" w:hAnsi="Tw Cen MT"/>
                        </w:rPr>
                        <w:t>come, whether by exclusion or deduction, “work” only as hard as taxpayer’s marginal bracket to reduce his/her tax liability.  We learn mome</w:t>
                      </w:r>
                      <w:r>
                        <w:rPr>
                          <w:rFonts w:ascii="Tw Cen MT" w:hAnsi="Tw Cen MT"/>
                        </w:rPr>
                        <w:t>n</w:t>
                      </w:r>
                      <w:r>
                        <w:rPr>
                          <w:rFonts w:ascii="Tw Cen MT" w:hAnsi="Tw Cen MT"/>
                        </w:rPr>
                        <w:t>tarily that a taxpayer’s tax bracket on net cap</w:t>
                      </w:r>
                      <w:r>
                        <w:rPr>
                          <w:rFonts w:ascii="Tw Cen MT" w:hAnsi="Tw Cen MT"/>
                        </w:rPr>
                        <w:t>i</w:t>
                      </w:r>
                      <w:r>
                        <w:rPr>
                          <w:rFonts w:ascii="Tw Cen MT" w:hAnsi="Tw Cen MT"/>
                        </w:rPr>
                        <w:t xml:space="preserve">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b/>
                        </w:rPr>
                        <w:t>Mismatch of NSTCL and different types of LTCG</w:t>
                      </w:r>
                      <w:r>
                        <w:rPr>
                          <w:rFonts w:ascii="Tw Cen MT" w:hAnsi="Tw Cen MT"/>
                        </w:rPr>
                        <w:t>: We shall momentarily see that different types of LTCG combine to make up net capital gain, and that these types are not all subject to the same tax rates to an individual taxpayer.  NSTCL r</w:t>
                      </w:r>
                      <w:r>
                        <w:rPr>
                          <w:rFonts w:ascii="Tw Cen MT" w:hAnsi="Tw Cen MT"/>
                        </w:rPr>
                        <w:t>e</w:t>
                      </w:r>
                      <w:r>
                        <w:rPr>
                          <w:rFonts w:ascii="Tw Cen MT" w:hAnsi="Tw Cen MT"/>
                        </w:rPr>
                        <w:t>duces first LTCG of the same type, e.g., collectible losses first offset collectible gains.  Then in s</w:t>
                      </w:r>
                      <w:r>
                        <w:rPr>
                          <w:rFonts w:ascii="Tw Cen MT" w:hAnsi="Tw Cen MT"/>
                        </w:rPr>
                        <w:t>e</w:t>
                      </w:r>
                      <w:r>
                        <w:rPr>
                          <w:rFonts w:ascii="Tw Cen MT" w:hAnsi="Tw Cen MT"/>
                        </w:rPr>
                        <w:t>quence, NSTCL reduces LTCG that would othe</w:t>
                      </w:r>
                      <w:r>
                        <w:rPr>
                          <w:rFonts w:ascii="Tw Cen MT" w:hAnsi="Tw Cen MT"/>
                        </w:rPr>
                        <w:t>r</w:t>
                      </w:r>
                      <w:r>
                        <w:rPr>
                          <w:rFonts w:ascii="Tw Cen MT" w:hAnsi="Tw Cen MT"/>
                        </w:rPr>
                        <w:t xml:space="preserve">wise be subject to successively lower rates of tax, i.e., NSTCL first reduces “net capital  gain” subject to a tax rate of 28%, then to a tax rate of 25%, and then to a tax rate of 20%, 15%, or 0%.  </w:t>
                      </w:r>
                      <w:r>
                        <w:rPr>
                          <w:rFonts w:ascii="Tw Cen MT" w:hAnsi="Tw Cen MT"/>
                          <w:i/>
                        </w:rPr>
                        <w:t>See</w:t>
                      </w:r>
                      <w:r>
                        <w:rPr>
                          <w:rFonts w:ascii="Tw Cen MT" w:hAnsi="Tw Cen MT"/>
                        </w:rPr>
                        <w:t xml:space="preserve"> §§ 1(h)(4)(B)(ii), 1(h)(6)(A)(ii).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p>
                  </w:txbxContent>
                </v:textbox>
                <w10:wrap type="square" side="largest" anchorx="margin"/>
              </v:shape>
            </w:pict>
          </mc:Fallback>
        </mc:AlternateContent>
      </w:r>
      <w:r w:rsidR="0049128E" w:rsidRPr="00576ED7">
        <w:rPr>
          <w:szCs w:val="24"/>
        </w:rPr>
        <w:t xml:space="preserve">Do the CALI </w:t>
      </w:r>
      <w:r w:rsidR="0093600D" w:rsidRPr="00576ED7">
        <w:rPr>
          <w:szCs w:val="24"/>
        </w:rPr>
        <w:t>Lesson</w:t>
      </w:r>
      <w:r w:rsidR="0049128E" w:rsidRPr="00576ED7">
        <w:rPr>
          <w:szCs w:val="24"/>
        </w:rPr>
        <w:t xml:space="preserve"> </w:t>
      </w:r>
      <w:r w:rsidR="0049128E" w:rsidRPr="00576ED7">
        <w:rPr>
          <w:i/>
          <w:szCs w:val="24"/>
        </w:rPr>
        <w:t>Basic Federal Income Taxation: Property Transactions: Ca</w:t>
      </w:r>
      <w:r w:rsidR="0049128E" w:rsidRPr="00576ED7">
        <w:rPr>
          <w:i/>
          <w:szCs w:val="24"/>
        </w:rPr>
        <w:t>p</w:t>
      </w:r>
      <w:r w:rsidR="0049128E" w:rsidRPr="00576ED7">
        <w:rPr>
          <w:i/>
          <w:szCs w:val="24"/>
        </w:rPr>
        <w:t>ital Asset Identification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Other Terms R</w:t>
      </w:r>
      <w:r w:rsidRPr="00576ED7">
        <w:rPr>
          <w:i/>
          <w:szCs w:val="24"/>
        </w:rPr>
        <w:t>e</w:t>
      </w:r>
      <w:r w:rsidRPr="00576ED7">
        <w:rPr>
          <w:i/>
          <w:szCs w:val="24"/>
        </w:rPr>
        <w:t>lating to Capital Gains and Losses: Long Term and Short Term Gains and Losses</w:t>
      </w:r>
      <w:r w:rsidRPr="00576ED7">
        <w:rPr>
          <w:szCs w:val="24"/>
        </w:rPr>
        <w:fldChar w:fldCharType="begin"/>
      </w:r>
      <w:r w:rsidRPr="00576ED7">
        <w:rPr>
          <w:i/>
          <w:szCs w:val="24"/>
        </w:rPr>
        <w:instrText xml:space="preserve"> TC \l2 "B.  Other Terms Relating to Capital Gains and Losses: Long Term and Short Term Gains and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 1222.  You will see that the Code distinguishes between sales or exchanges of capital assets held for one year or less, and sales or e</w:t>
      </w:r>
      <w:r w:rsidRPr="00576ED7">
        <w:rPr>
          <w:szCs w:val="24"/>
        </w:rPr>
        <w:t>x</w:t>
      </w:r>
      <w:r w:rsidRPr="00576ED7">
        <w:rPr>
          <w:szCs w:val="24"/>
        </w:rPr>
        <w:t>changes of capital assets held for more than one year.</w:t>
      </w:r>
      <w:r w:rsidRPr="00576ED7">
        <w:rPr>
          <w:rStyle w:val="FootnoteReference"/>
          <w:szCs w:val="24"/>
        </w:rPr>
        <w:footnoteReference w:id="189"/>
      </w:r>
      <w:r w:rsidRPr="00576ED7">
        <w:rPr>
          <w:szCs w:val="24"/>
        </w:rPr>
        <w:t xml:space="preserve">  Sections 1221(3 and 4) i</w:t>
      </w:r>
      <w:r w:rsidRPr="00576ED7">
        <w:rPr>
          <w:szCs w:val="24"/>
        </w:rPr>
        <w:t>n</w:t>
      </w:r>
      <w:r w:rsidRPr="00576ED7">
        <w:rPr>
          <w:szCs w:val="24"/>
        </w:rPr>
        <w:t xml:space="preserve">form us that </w:t>
      </w:r>
      <w:r w:rsidRPr="00576ED7">
        <w:rPr>
          <w:i/>
          <w:szCs w:val="24"/>
        </w:rPr>
        <w:t>every single sale or exchange of a capital a</w:t>
      </w:r>
      <w:r w:rsidRPr="00576ED7">
        <w:rPr>
          <w:i/>
          <w:szCs w:val="24"/>
        </w:rPr>
        <w:t>s</w:t>
      </w:r>
      <w:r w:rsidRPr="00576ED7">
        <w:rPr>
          <w:i/>
          <w:szCs w:val="24"/>
        </w:rPr>
        <w:t>set</w:t>
      </w:r>
      <w:r w:rsidRPr="00576ED7">
        <w:rPr>
          <w:szCs w:val="24"/>
        </w:rPr>
        <w:t xml:space="preserve"> gives rise to one of the following:</w:t>
      </w:r>
    </w:p>
    <w:p w:rsidR="0049128E" w:rsidRPr="00576ED7" w:rsidRDefault="0049128E" w:rsidP="00A6585D">
      <w:pPr>
        <w:widowControl w:val="0"/>
        <w:ind w:left="720"/>
        <w:jc w:val="both"/>
        <w:rPr>
          <w:szCs w:val="24"/>
        </w:rPr>
      </w:pPr>
      <w:r w:rsidRPr="00576ED7">
        <w:rPr>
          <w:szCs w:val="24"/>
        </w:rPr>
        <w:t>•short-term capital gain (STCG);</w:t>
      </w:r>
    </w:p>
    <w:p w:rsidR="0049128E" w:rsidRPr="00576ED7" w:rsidRDefault="0049128E" w:rsidP="00A6585D">
      <w:pPr>
        <w:widowControl w:val="0"/>
        <w:ind w:left="720"/>
        <w:jc w:val="both"/>
        <w:rPr>
          <w:szCs w:val="24"/>
        </w:rPr>
      </w:pPr>
      <w:r w:rsidRPr="00576ED7">
        <w:rPr>
          <w:szCs w:val="24"/>
        </w:rPr>
        <w:t>•short-term capital loss (STCL);</w:t>
      </w:r>
    </w:p>
    <w:p w:rsidR="0049128E" w:rsidRPr="00576ED7" w:rsidRDefault="0049128E" w:rsidP="00A6585D">
      <w:pPr>
        <w:widowControl w:val="0"/>
        <w:ind w:left="720"/>
        <w:jc w:val="both"/>
        <w:rPr>
          <w:szCs w:val="24"/>
        </w:rPr>
      </w:pPr>
      <w:r w:rsidRPr="00576ED7">
        <w:rPr>
          <w:szCs w:val="24"/>
        </w:rPr>
        <w:t>•long-term capital gain (LTCG);</w:t>
      </w:r>
    </w:p>
    <w:p w:rsidR="0049128E" w:rsidRPr="00576ED7" w:rsidRDefault="0049128E" w:rsidP="00A6585D">
      <w:pPr>
        <w:widowControl w:val="0"/>
        <w:ind w:left="720"/>
        <w:jc w:val="both"/>
        <w:rPr>
          <w:szCs w:val="24"/>
        </w:rPr>
      </w:pPr>
      <w:r w:rsidRPr="00576ED7">
        <w:rPr>
          <w:szCs w:val="24"/>
        </w:rPr>
        <w:t>•long-term capital loss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1221(5, 6, 7, and 8) direct us to net all short-term transactions and to net all long-term transactions.</w:t>
      </w:r>
    </w:p>
    <w:p w:rsidR="0049128E" w:rsidRPr="00576ED7" w:rsidRDefault="0049128E" w:rsidP="00A6585D">
      <w:pPr>
        <w:widowControl w:val="0"/>
        <w:ind w:left="720"/>
        <w:jc w:val="both"/>
        <w:rPr>
          <w:szCs w:val="24"/>
        </w:rPr>
      </w:pPr>
      <w:r w:rsidRPr="00576ED7">
        <w:rPr>
          <w:szCs w:val="24"/>
        </w:rPr>
        <w:t>•net short-term capital gain (NSTCG) = STCG − STCL, but not less than zero;</w:t>
      </w:r>
    </w:p>
    <w:p w:rsidR="0049128E" w:rsidRPr="00576ED7" w:rsidRDefault="0049128E" w:rsidP="00A6585D">
      <w:pPr>
        <w:widowControl w:val="0"/>
        <w:ind w:left="720"/>
        <w:jc w:val="both"/>
        <w:rPr>
          <w:szCs w:val="24"/>
        </w:rPr>
      </w:pPr>
      <w:r w:rsidRPr="00576ED7">
        <w:rPr>
          <w:szCs w:val="24"/>
        </w:rPr>
        <w:t>•net short-term capital loss (NSTCL) = STCL − STCG, but not less than zero;</w:t>
      </w:r>
    </w:p>
    <w:p w:rsidR="0049128E" w:rsidRPr="00576ED7" w:rsidRDefault="0049128E" w:rsidP="00A6585D">
      <w:pPr>
        <w:widowControl w:val="0"/>
        <w:ind w:left="720"/>
        <w:jc w:val="both"/>
        <w:rPr>
          <w:szCs w:val="24"/>
        </w:rPr>
      </w:pPr>
      <w:r w:rsidRPr="00576ED7">
        <w:rPr>
          <w:szCs w:val="24"/>
        </w:rPr>
        <w:t>•net long-term capital gain (NLTCG) = LTCG − LTCL, but not less than zero;</w:t>
      </w:r>
    </w:p>
    <w:p w:rsidR="0049128E" w:rsidRPr="00576ED7" w:rsidRDefault="0049128E" w:rsidP="00A6585D">
      <w:pPr>
        <w:widowControl w:val="0"/>
        <w:ind w:left="720"/>
        <w:jc w:val="both"/>
        <w:rPr>
          <w:szCs w:val="24"/>
        </w:rPr>
      </w:pPr>
      <w:r w:rsidRPr="00576ED7">
        <w:rPr>
          <w:szCs w:val="24"/>
        </w:rPr>
        <w:t>•net long-term capital loss (NLTCL) = LTCL − LTCG, but not less than zero.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the precise phrasing of §§ 1221(9, 10, and 11).  The definitions of these phrases is in § 1222, but other code sections assign specific tax consequences to them.  Section 1222(11) defines “net capital gain” to be </w:t>
      </w:r>
    </w:p>
    <w:p w:rsidR="0049128E" w:rsidRPr="00576ED7" w:rsidRDefault="0049128E" w:rsidP="00A6585D">
      <w:pPr>
        <w:widowControl w:val="0"/>
        <w:ind w:left="720"/>
        <w:jc w:val="both"/>
        <w:rPr>
          <w:szCs w:val="24"/>
        </w:rPr>
      </w:pPr>
      <w:r w:rsidRPr="00576ED7">
        <w:rPr>
          <w:szCs w:val="24"/>
        </w:rPr>
        <w:t>NLTCG − NSTCL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defer for the moment the definition of “net capital loss” to the discussion of capital loss carryovers.</w:t>
      </w:r>
      <w:r w:rsidRPr="00576ED7">
        <w:rPr>
          <w:rStyle w:val="FootnoteReference"/>
          <w:szCs w:val="24"/>
        </w:rPr>
        <w:footnoteReference w:id="190"/>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Notice that the definitions of § 1222 implement, at least initially, a matching pri</w:t>
      </w:r>
      <w:r w:rsidRPr="00576ED7">
        <w:rPr>
          <w:szCs w:val="24"/>
        </w:rPr>
        <w:t>n</w:t>
      </w:r>
      <w:r w:rsidRPr="00576ED7">
        <w:rPr>
          <w:szCs w:val="24"/>
        </w:rPr>
        <w:t>ciple to gains and losses.  Short-term losses offset only short-term gains.  Long-term losses offset only long-term gains.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Net short-term capital loss offsets net long-term capital gain.  Section 1222 does not allow any other mismatching.  The matching principle is very important b</w:t>
      </w:r>
      <w:r w:rsidRPr="00576ED7">
        <w:rPr>
          <w:szCs w:val="24"/>
        </w:rPr>
        <w:t>e</w:t>
      </w:r>
      <w:r w:rsidRPr="00576ED7">
        <w:rPr>
          <w:szCs w:val="24"/>
        </w:rPr>
        <w:t>cause only the LTCG that remains after allowable offsets (LTCL and NSTCL) is subject to tax at reduced rates; other income is subject to tax at higher “ordinary income” rates.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191"/>
      </w:r>
      <w:r w:rsidRPr="00576ED7">
        <w:rPr>
          <w:szCs w:val="24"/>
        </w:rPr>
        <w:t xml:space="preserve"> may claim capital losses only to the extent of capital gains </w:t>
      </w:r>
      <w:r w:rsidRPr="00576ED7">
        <w:rPr>
          <w:i/>
          <w:szCs w:val="24"/>
        </w:rPr>
        <w:t>plus</w:t>
      </w:r>
      <w:r w:rsidRPr="00576ED7">
        <w:rPr>
          <w:szCs w:val="24"/>
        </w:rPr>
        <w:t xml:space="preserve"> the lesser of $3000 or the e</w:t>
      </w:r>
      <w:r w:rsidRPr="00576ED7">
        <w:rPr>
          <w:szCs w:val="24"/>
        </w:rPr>
        <w:t>x</w:t>
      </w:r>
      <w:r w:rsidRPr="00576ED7">
        <w:rPr>
          <w:szCs w:val="24"/>
        </w:rPr>
        <w:lastRenderedPageBreak/>
        <w:t>cess of such losses over gains.  This is one of very few places in the Code where taxpayer may mismatch what might be NLTCL against income subject to ord</w:t>
      </w:r>
      <w:r w:rsidRPr="00576ED7">
        <w:rPr>
          <w:szCs w:val="24"/>
        </w:rPr>
        <w:t>i</w:t>
      </w:r>
      <w:r w:rsidRPr="00576ED7">
        <w:rPr>
          <w:szCs w:val="24"/>
        </w:rPr>
        <w:t>nary income rates, whether STCG or otherwise.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event taxpayer incurred losses greater than those allowed by § 1211(b), i.e., a “net capital loss, § 1222(10), taxpayer may carry them forward until he/she dies.  § 1212(b).  Section 1212(b) treats a capital loss-carryover as if it were one of the transactions described in §§ 1222(3 or 4) in the next succeeding year.</w:t>
      </w:r>
    </w:p>
    <w:p w:rsidR="0049128E" w:rsidRPr="00576ED7" w:rsidRDefault="0049128E" w:rsidP="00A6585D">
      <w:pPr>
        <w:widowControl w:val="0"/>
        <w:ind w:left="720"/>
        <w:jc w:val="both"/>
        <w:rPr>
          <w:szCs w:val="24"/>
        </w:rPr>
      </w:pPr>
      <w:r w:rsidRPr="00576ED7">
        <w:rPr>
          <w:szCs w:val="24"/>
        </w:rPr>
        <w:t>•The Code creates a pecking order of capital loss carryovers by requiring taxpayer – before calculating his/her capital loss carryovers – to add a (hypothetical) STCG equal to the lesser of taxpayer’s § 1211(b) deduction or taxpayer’s “adjusted taxable income.”  § 1212(b)(2)(A).</w:t>
      </w:r>
      <w:r w:rsidRPr="00576ED7">
        <w:rPr>
          <w:rStyle w:val="FootnoteReference"/>
          <w:szCs w:val="24"/>
        </w:rPr>
        <w:footnoteReference w:id="192"/>
      </w:r>
    </w:p>
    <w:p w:rsidR="0049128E" w:rsidRPr="00576ED7" w:rsidRDefault="0049128E" w:rsidP="00A6585D">
      <w:pPr>
        <w:widowControl w:val="0"/>
        <w:ind w:left="720"/>
        <w:jc w:val="both"/>
        <w:rPr>
          <w:szCs w:val="24"/>
        </w:rPr>
      </w:pPr>
      <w:r w:rsidRPr="00576ED7">
        <w:rPr>
          <w:szCs w:val="24"/>
        </w:rPr>
        <w:t>•If the “net capital loss” results from NLTCL and NSTCL, the taxpayer first reduces the NSTCL by the amount of his/her § 1211(b) deduction, second reduces the NLTCL by the balance (if any) of his/her § 1211(b) deduction.  Taxpayer carries forward all of the NLTCL and reduces the NSTCL by the amount deducted.  § 1212(b)(2)(A).</w:t>
      </w:r>
    </w:p>
    <w:p w:rsidR="0049128E" w:rsidRPr="00576ED7" w:rsidRDefault="0049128E" w:rsidP="00A6585D">
      <w:pPr>
        <w:widowControl w:val="0"/>
        <w:ind w:left="720"/>
        <w:jc w:val="both"/>
        <w:rPr>
          <w:szCs w:val="24"/>
        </w:rPr>
      </w:pPr>
      <w:r w:rsidRPr="00576ED7">
        <w:rPr>
          <w:szCs w:val="24"/>
        </w:rPr>
        <w:t>•If NSTCL &gt; NLTCG, taxpayer carries forward the “net capital loss” as a STCL transaction.  § 1212(b)(1)(A) and § 1212(b)(2)(A).</w:t>
      </w:r>
    </w:p>
    <w:p w:rsidR="0049128E" w:rsidRPr="00576ED7" w:rsidRDefault="0049128E" w:rsidP="00A6585D">
      <w:pPr>
        <w:widowControl w:val="0"/>
        <w:ind w:left="720"/>
        <w:jc w:val="both"/>
        <w:rPr>
          <w:szCs w:val="24"/>
        </w:rPr>
      </w:pPr>
      <w:r w:rsidRPr="00576ED7">
        <w:rPr>
          <w:szCs w:val="24"/>
        </w:rPr>
        <w:t>•If NLTCL &gt; NSTCG, taxpa</w:t>
      </w:r>
      <w:r w:rsidRPr="00576ED7">
        <w:rPr>
          <w:szCs w:val="24"/>
        </w:rPr>
        <w:t>y</w:t>
      </w:r>
      <w:r w:rsidRPr="00576ED7">
        <w:rPr>
          <w:szCs w:val="24"/>
        </w:rPr>
        <w:t>er carries forward the “net capital loss” as a LTCL transaction.  §§ 1212(b)(1)(B) and 1212(b)(2)(A).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 Taxpayer has $100,000 of ordinary income.  Taxpayer does his/her § 1222 calcul</w:t>
      </w:r>
      <w:r w:rsidRPr="00576ED7">
        <w:rPr>
          <w:szCs w:val="24"/>
        </w:rPr>
        <w:t>a</w:t>
      </w:r>
      <w:r w:rsidRPr="00576ED7">
        <w:rPr>
          <w:szCs w:val="24"/>
        </w:rPr>
        <w:t>tions.  For the tax year, taxpayer has $5000 of NSTCL and $4000 of NLTCL.  What is taxpayer’s § 1211(b) deduction, and what is taxpayer’s § 1212(b) capital loss carryover?</w:t>
      </w:r>
    </w:p>
    <w:p w:rsidR="0049128E" w:rsidRPr="00576ED7" w:rsidRDefault="0049128E" w:rsidP="00A6585D">
      <w:pPr>
        <w:widowControl w:val="0"/>
        <w:ind w:left="720"/>
        <w:jc w:val="both"/>
        <w:rPr>
          <w:szCs w:val="24"/>
        </w:rPr>
      </w:pPr>
      <w:r w:rsidRPr="00576ED7">
        <w:rPr>
          <w:szCs w:val="24"/>
        </w:rPr>
        <w:t>•Taxpayer’s capital losses exceed his/her capital gains by $9000. Taxpa</w:t>
      </w:r>
      <w:r w:rsidRPr="00576ED7">
        <w:rPr>
          <w:szCs w:val="24"/>
        </w:rPr>
        <w:t>y</w:t>
      </w:r>
      <w:r w:rsidRPr="00576ED7">
        <w:rPr>
          <w:szCs w:val="24"/>
        </w:rPr>
        <w:t>er’s § 1211(b) deduction is $3000.  Taxpayer’s “net capital loss” (§ 1222(10)) is $6000.</w:t>
      </w:r>
    </w:p>
    <w:p w:rsidR="0049128E" w:rsidRPr="00576ED7" w:rsidRDefault="0049128E" w:rsidP="00A6585D">
      <w:pPr>
        <w:widowControl w:val="0"/>
        <w:ind w:left="720"/>
        <w:jc w:val="both"/>
        <w:rPr>
          <w:szCs w:val="24"/>
        </w:rPr>
      </w:pPr>
      <w:r w:rsidRPr="00576ED7">
        <w:rPr>
          <w:szCs w:val="24"/>
        </w:rPr>
        <w:t>•We calculate taxpayer’s capital loss carryovers by first adding $3000 (the amount of taxpayer’s § 1211(b) deduction) to his/her NSTCL.  Taxpayer’s NSTCL becomes $2000; taxpayer’s NLTCL is $4000.  Taxpayer will ca</w:t>
      </w:r>
      <w:r w:rsidRPr="00576ED7">
        <w:rPr>
          <w:szCs w:val="24"/>
        </w:rPr>
        <w:t>r</w:t>
      </w:r>
      <w:r w:rsidRPr="00576ED7">
        <w:rPr>
          <w:szCs w:val="24"/>
        </w:rPr>
        <w:t>ry these amounts forward.  In the succeeding year, tax</w:t>
      </w:r>
      <w:r w:rsidR="001673CA" w:rsidRPr="00576ED7">
        <w:rPr>
          <w:szCs w:val="24"/>
        </w:rPr>
        <w:t xml:space="preserve">payer </w:t>
      </w:r>
      <w:r w:rsidRPr="00576ED7">
        <w:rPr>
          <w:szCs w:val="24"/>
        </w:rPr>
        <w:t>will include $2000 as a STCL and include $4000 as a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has $100,000 of ordinary income.  Taxpayer does his/her § 1222 ca</w:t>
      </w:r>
      <w:r w:rsidRPr="00576ED7">
        <w:rPr>
          <w:szCs w:val="24"/>
        </w:rPr>
        <w:t>l</w:t>
      </w:r>
      <w:r w:rsidRPr="00576ED7">
        <w:rPr>
          <w:szCs w:val="24"/>
        </w:rPr>
        <w:lastRenderedPageBreak/>
        <w:t>culations.  For the year, taxpayer has $7000 of NSTCL and $2000 of NLTCG.</w:t>
      </w:r>
    </w:p>
    <w:p w:rsidR="0049128E" w:rsidRPr="00576ED7" w:rsidRDefault="0049128E" w:rsidP="00A6585D">
      <w:pPr>
        <w:widowControl w:val="0"/>
        <w:ind w:left="720"/>
        <w:jc w:val="both"/>
        <w:rPr>
          <w:szCs w:val="24"/>
        </w:rPr>
      </w:pPr>
      <w:r w:rsidRPr="00576ED7">
        <w:rPr>
          <w:szCs w:val="24"/>
        </w:rPr>
        <w:t>•Taxpayer’s capital losses exceed his/her capital gains by $5000.  Taxpa</w:t>
      </w:r>
      <w:r w:rsidRPr="00576ED7">
        <w:rPr>
          <w:szCs w:val="24"/>
        </w:rPr>
        <w:t>y</w:t>
      </w:r>
      <w:r w:rsidRPr="00576ED7">
        <w:rPr>
          <w:szCs w:val="24"/>
        </w:rPr>
        <w:t>er’s § 1211(b) deduction is $3000.  Taxpayer’s “net capital loss” is $2000.</w:t>
      </w:r>
    </w:p>
    <w:p w:rsidR="0049128E" w:rsidRPr="00576ED7" w:rsidRDefault="007210F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696128" behindDoc="0" locked="0" layoutInCell="0" allowOverlap="1" wp14:anchorId="2C3E52B3" wp14:editId="6DF7700C">
                <wp:simplePos x="0" y="0"/>
                <wp:positionH relativeFrom="margin">
                  <wp:posOffset>1704975</wp:posOffset>
                </wp:positionH>
                <wp:positionV relativeFrom="paragraph">
                  <wp:posOffset>617855</wp:posOffset>
                </wp:positionV>
                <wp:extent cx="3265805" cy="5055870"/>
                <wp:effectExtent l="0" t="0" r="10795" b="1143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505587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left:0;text-align:left;margin-left:134.25pt;margin-top:48.65pt;width:257.15pt;height:398.1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NFLAIAAFwEAAAOAAAAZHJzL2Uyb0RvYy54bWysVNuO0zAQfUfiHyy/06SFXjZqulq6FCEt&#10;F2mXD3AcJ7GwPcZ2m5SvZ+y0pVrgBZEHy2OPz8ycM5P17aAVOQjnJZiSTic5JcJwqKVpS/r1afdq&#10;RYkPzNRMgRElPQpPbzcvX6x7W4gZdKBq4QiCGF/0tqRdCLbIMs87oZmfgBUGLxtwmgU0XZvVjvWI&#10;rlU2y/NF1oOrrQMuvMfT+/GSbhJ+0wgePjeNF4GokmJuIa0urVVcs82aFa1jtpP8lAb7hyw0kwaD&#10;XqDuWWBk7+RvUFpyBx6aMOGgM2gayUWqAauZ5s+qeeyYFakWJMfbC03+/8HyT4cvjsi6pG+mlBim&#10;UaMnMQTyFgayvIn89NYX6PZo0TEMeI46p1q9fQD+zRMD246ZVtw5B30nWI35TePL7OrpiOMjSNV/&#10;hBrjsH2ABDQ0TkfykA6C6KjT8aJNzIXj4evZYr7K55RwvJvn8/lqmdTLWHF+bp0P7wVoEjcldSh+&#10;gmeHBx9iOqw4u8RoHpSsd1KpZLi22ipHDgwbZZe+VMEzN2VIj8XNpjezkYK/YuTp+xOGlgFbXkld&#10;0tXFiRWRuHemTg0ZmFTjHnNW5sRkJG+kMQzVkERbzs8KVVAfkVsHY4vjSOKmA/eDkh7bu6T++545&#10;QYn6YFCf5QKnB+fh2nDXRnVtMMMRqqSBknG7DeMM7a2TbYeRxo4wcIeaNjKxHcUfszrljy2cRDiN&#10;W5yRazt5/fopbH4CAAD//wMAUEsDBBQABgAIAAAAIQA6j7Pa3gAAAAoBAAAPAAAAZHJzL2Rvd25y&#10;ZXYueG1sTI/BTsMwEETvSPyDtUjcqEOqtmmIU6FI3JsAgqMbL3FEvA6x24S/ZznBcbVPM2+Kw+IG&#10;ccEp9J4U3K8SEEitNz11Cl6en+4yECFqMnrwhAq+McChvL4qdG78TDVemtgJDqGQawU2xjGXMrQW&#10;nQ4rPyLx78NPTkc+p06aSc8c7gaZJslWOt0TN1g9YmWx/WzOToGv6+o1bb6Ob9Vsqm4+LnF8t0rd&#10;3iyPDyAiLvEPhl99VoeSnU7+TCaIQUG6zTaMKtjv1iAY2GUpbzkpyPbrDciykP8nlD8AAAD//wMA&#10;UEsBAi0AFAAGAAgAAAAhALaDOJL+AAAA4QEAABMAAAAAAAAAAAAAAAAAAAAAAFtDb250ZW50X1R5&#10;cGVzXS54bWxQSwECLQAUAAYACAAAACEAOP0h/9YAAACUAQAACwAAAAAAAAAAAAAAAAAvAQAAX3Jl&#10;bHMvLnJlbHNQSwECLQAUAAYACAAAACEAVp+jRSwCAABcBAAADgAAAAAAAAAAAAAAAAAuAgAAZHJz&#10;L2Uyb0RvYy54bWxQSwECLQAUAAYACAAAACEAOo+z2t4AAAAKAQAADwAAAAAAAAAAAAAAAACGBAAA&#10;ZHJzL2Rvd25yZXYueG1sUEsFBgAAAAAEAAQA8wAAAJEFA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w:t>
                      </w:r>
                      <w:r>
                        <w:rPr>
                          <w:rFonts w:ascii="Tw Cen MT" w:hAnsi="Tw Cen MT"/>
                        </w:rPr>
                        <w:t>i</w:t>
                      </w:r>
                      <w:r>
                        <w:rPr>
                          <w:rFonts w:ascii="Tw Cen MT" w:hAnsi="Tw Cen MT"/>
                        </w:rPr>
                        <w:t>nary income. Dividend income comes from corp</w:t>
                      </w:r>
                      <w:r>
                        <w:rPr>
                          <w:rFonts w:ascii="Tw Cen MT" w:hAnsi="Tw Cen MT"/>
                        </w:rPr>
                        <w:t>o</w:t>
                      </w:r>
                      <w:r>
                        <w:rPr>
                          <w:rFonts w:ascii="Tw Cen MT" w:hAnsi="Tw Cen MT"/>
                        </w:rPr>
                        <w:t>rate profits on which the corporation pays income tax. The corporation may not deduct dividends that it pays to shareholders.  Hence, dividend i</w:t>
                      </w:r>
                      <w:r>
                        <w:rPr>
                          <w:rFonts w:ascii="Tw Cen MT" w:hAnsi="Tw Cen MT"/>
                        </w:rPr>
                        <w:t>n</w:t>
                      </w:r>
                      <w:r>
                        <w:rPr>
                          <w:rFonts w:ascii="Tw Cen MT" w:hAnsi="Tw Cen MT"/>
                        </w:rPr>
                        <w:t>come that a shareholder actually receives is su</w:t>
                      </w:r>
                      <w:r>
                        <w:rPr>
                          <w:rFonts w:ascii="Tw Cen MT" w:hAnsi="Tw Cen MT"/>
                        </w:rPr>
                        <w:t>b</w:t>
                      </w:r>
                      <w:r>
                        <w:rPr>
                          <w:rFonts w:ascii="Tw Cen MT" w:hAnsi="Tw Cen MT"/>
                        </w:rPr>
                        <w:t>ject to two levels of income tax. This double tax has been subject to criticism from the beginning.  Nevertheless, it is constitutional. A legislative co</w:t>
                      </w:r>
                      <w:r>
                        <w:rPr>
                          <w:rFonts w:ascii="Tw Cen MT" w:hAnsi="Tw Cen MT"/>
                        </w:rPr>
                        <w:t>m</w:t>
                      </w:r>
                      <w:r>
                        <w:rPr>
                          <w:rFonts w:ascii="Tw Cen MT" w:hAnsi="Tw Cen MT"/>
                        </w:rPr>
                        <w:t xml:space="preserve">promise between removing one level of tax and retaining the rules taxing dividends as ordinary income is § 1(h)(11). An individual adds “qualified dividend income” to his/her net capital gain.  § 1(h)(11)(A).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w:t>
                      </w:r>
                      <w:r>
                        <w:rPr>
                          <w:rFonts w:ascii="Tw Cen MT" w:hAnsi="Tw Cen MT"/>
                        </w:rPr>
                        <w:t>b</w:t>
                      </w:r>
                      <w:r>
                        <w:rPr>
                          <w:rFonts w:ascii="Tw Cen MT" w:hAnsi="Tw Cen MT"/>
                        </w:rPr>
                        <w:t>lished securities market in the United States.” § 1(h)(11)(C).</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i/>
                        </w:rPr>
                        <w:t>The effect of treating dividend income as “net cap</w:t>
                      </w:r>
                      <w:r>
                        <w:rPr>
                          <w:rFonts w:ascii="Tw Cen MT" w:hAnsi="Tw Cen MT"/>
                          <w:i/>
                        </w:rPr>
                        <w:t>i</w:t>
                      </w:r>
                      <w:r>
                        <w:rPr>
                          <w:rFonts w:ascii="Tw Cen MT" w:hAnsi="Tw Cen MT"/>
                          <w:i/>
                        </w:rPr>
                        <w:t>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v:textbox>
                <w10:wrap type="square" side="largest" anchorx="margin"/>
              </v:shape>
            </w:pict>
          </mc:Fallback>
        </mc:AlternateContent>
      </w:r>
      <w:r w:rsidR="0049128E" w:rsidRPr="00576ED7">
        <w:rPr>
          <w:szCs w:val="24"/>
        </w:rPr>
        <w:t>•We calculate taxpayer’s capital loss carryover by first adding $3000 to his/her NSTCL.  Taxpayer’s NSTCL becomes $4000.  Taxpayer will carry this amount fo</w:t>
      </w:r>
      <w:r w:rsidR="0049128E" w:rsidRPr="00576ED7">
        <w:rPr>
          <w:szCs w:val="24"/>
        </w:rPr>
        <w:t>r</w:t>
      </w:r>
      <w:r w:rsidR="0049128E" w:rsidRPr="00576ED7">
        <w:rPr>
          <w:szCs w:val="24"/>
        </w:rPr>
        <w:t>ward.  In the su</w:t>
      </w:r>
      <w:r w:rsidR="0049128E" w:rsidRPr="00576ED7">
        <w:rPr>
          <w:szCs w:val="24"/>
        </w:rPr>
        <w:t>c</w:t>
      </w:r>
      <w:r w:rsidR="0049128E" w:rsidRPr="00576ED7">
        <w:rPr>
          <w:szCs w:val="24"/>
        </w:rPr>
        <w:t>ceeding year, taxpayer will i</w:t>
      </w:r>
      <w:r w:rsidR="0049128E" w:rsidRPr="00576ED7">
        <w:rPr>
          <w:szCs w:val="24"/>
        </w:rPr>
        <w:t>n</w:t>
      </w:r>
      <w:r w:rsidR="0049128E" w:rsidRPr="00576ED7">
        <w:rPr>
          <w:szCs w:val="24"/>
        </w:rPr>
        <w:t>clude $4000 as a 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Taxpayer has $100,000 of ordinary income.  Taxpayer does his/her § 1222 calcul</w:t>
      </w:r>
      <w:r w:rsidRPr="00576ED7">
        <w:rPr>
          <w:szCs w:val="24"/>
        </w:rPr>
        <w:t>a</w:t>
      </w:r>
      <w:r w:rsidRPr="00576ED7">
        <w:rPr>
          <w:szCs w:val="24"/>
        </w:rPr>
        <w:t>tions.  For the year, ta</w:t>
      </w:r>
      <w:r w:rsidRPr="00576ED7">
        <w:rPr>
          <w:szCs w:val="24"/>
        </w:rPr>
        <w:t>x</w:t>
      </w:r>
      <w:r w:rsidRPr="00576ED7">
        <w:rPr>
          <w:szCs w:val="24"/>
        </w:rPr>
        <w:t>payer has $11,000 of NSTCG and $18,000 of NLTCL.</w:t>
      </w:r>
    </w:p>
    <w:p w:rsidR="0049128E" w:rsidRPr="00576ED7" w:rsidRDefault="0049128E" w:rsidP="00A6585D">
      <w:pPr>
        <w:widowControl w:val="0"/>
        <w:ind w:left="720"/>
        <w:jc w:val="both"/>
        <w:rPr>
          <w:szCs w:val="24"/>
        </w:rPr>
      </w:pPr>
      <w:r w:rsidRPr="00576ED7">
        <w:rPr>
          <w:szCs w:val="24"/>
        </w:rPr>
        <w:t>•Taxpayer’s cap</w:t>
      </w:r>
      <w:r w:rsidRPr="00576ED7">
        <w:rPr>
          <w:szCs w:val="24"/>
        </w:rPr>
        <w:t>i</w:t>
      </w:r>
      <w:r w:rsidRPr="00576ED7">
        <w:rPr>
          <w:szCs w:val="24"/>
        </w:rPr>
        <w:t>tal losses exceed his/her capital gains by $7000.  Taxpayer’s § 1211(b) dedu</w:t>
      </w:r>
      <w:r w:rsidRPr="00576ED7">
        <w:rPr>
          <w:szCs w:val="24"/>
        </w:rPr>
        <w:t>c</w:t>
      </w:r>
      <w:r w:rsidRPr="00576ED7">
        <w:rPr>
          <w:szCs w:val="24"/>
        </w:rPr>
        <w:t>tion is $3000.  Taxpayer’s “net capital loss” is $4000.</w:t>
      </w:r>
    </w:p>
    <w:p w:rsidR="0049128E" w:rsidRPr="00576ED7" w:rsidRDefault="0049128E" w:rsidP="00A6585D">
      <w:pPr>
        <w:widowControl w:val="0"/>
        <w:ind w:left="720"/>
        <w:jc w:val="both"/>
        <w:rPr>
          <w:szCs w:val="24"/>
        </w:rPr>
      </w:pPr>
      <w:r w:rsidRPr="00576ED7">
        <w:rPr>
          <w:szCs w:val="24"/>
        </w:rPr>
        <w:t>•We calculate taxpayer’s capital loss carryover by first adding $3000 to his/her NSTCG.  Ta</w:t>
      </w:r>
      <w:r w:rsidRPr="00576ED7">
        <w:rPr>
          <w:szCs w:val="24"/>
        </w:rPr>
        <w:t>x</w:t>
      </w:r>
      <w:r w:rsidRPr="00576ED7">
        <w:rPr>
          <w:szCs w:val="24"/>
        </w:rPr>
        <w:t>payer’s NSTCG becomes $14,000.  Subtract $14,000 from $18,000.  Taxpayer will carry forward $4000 forward to the succeeding year as a LTC</w:t>
      </w:r>
      <w:r w:rsidR="007210FC">
        <w:rPr>
          <w:szCs w:val="24"/>
        </w:rPr>
        <w:t>L</w:t>
      </w:r>
      <w:r w:rsidRPr="00576ED7">
        <w:rPr>
          <w:szCs w:val="24"/>
        </w:rPr>
        <w:t xml:space="preserve">.  § </w:t>
      </w:r>
      <w:r w:rsidRPr="00576ED7">
        <w:rPr>
          <w:szCs w:val="24"/>
        </w:rPr>
        <w:lastRenderedPageBreak/>
        <w:t>1212(b)(1)(B).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 1211 and 1212, the Code strictly implements a matching regime with respect to ordinary gains and losses, and capital gains and losses.  A taxpayer who regularly earns substantial amounts of ordinary income and incurs very large investment losses can use those losses only at the rate prescribed by § 1211(b) in the absence of investment gains.</w:t>
      </w:r>
      <w:r w:rsidRPr="00576ED7">
        <w:rPr>
          <w:rStyle w:val="FootnoteReference"/>
          <w:szCs w:val="24"/>
        </w:rPr>
        <w:footnoteReference w:id="193"/>
      </w:r>
    </w:p>
    <w:p w:rsidR="0049128E" w:rsidRPr="00576ED7" w:rsidRDefault="003C2A49" w:rsidP="00A6585D">
      <w:pPr>
        <w:widowControl w:val="0"/>
        <w:jc w:val="both"/>
        <w:rPr>
          <w:szCs w:val="24"/>
        </w:rPr>
      </w:pPr>
      <w:r w:rsidRPr="00576ED7">
        <w:rPr>
          <w:noProof/>
          <w:szCs w:val="24"/>
        </w:rPr>
        <mc:AlternateContent>
          <mc:Choice Requires="wps">
            <w:drawing>
              <wp:anchor distT="152400" distB="152400" distL="152400" distR="152400" simplePos="0" relativeHeight="251697152" behindDoc="0" locked="0" layoutInCell="0" allowOverlap="1" wp14:anchorId="096082C9" wp14:editId="56861410">
                <wp:simplePos x="0" y="0"/>
                <wp:positionH relativeFrom="margin">
                  <wp:posOffset>1654810</wp:posOffset>
                </wp:positionH>
                <wp:positionV relativeFrom="paragraph">
                  <wp:posOffset>74295</wp:posOffset>
                </wp:positionV>
                <wp:extent cx="3387090" cy="5002530"/>
                <wp:effectExtent l="0" t="0" r="22860" b="2667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5002530"/>
                        </a:xfrm>
                        <a:prstGeom prst="rect">
                          <a:avLst/>
                        </a:prstGeom>
                        <a:solidFill>
                          <a:srgbClr val="FFFFFF"/>
                        </a:solidFill>
                        <a:ln w="12192">
                          <a:solidFill>
                            <a:srgbClr val="000000"/>
                          </a:solidFill>
                          <a:miter lim="800000"/>
                          <a:headEnd/>
                          <a:tailEnd/>
                        </a:ln>
                      </wps:spPr>
                      <wps:txbx>
                        <w:txbxContent>
                          <w:p w:rsidR="00FF5E72" w:rsidRDefault="00FF5E72"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FF5E72" w:rsidRDefault="00FF5E72" w:rsidP="00BF5F03">
                            <w:pPr>
                              <w:widowControl w:val="0"/>
                              <w:jc w:val="both"/>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2" type="#_x0000_t202" style="position:absolute;left:0;text-align:left;margin-left:130.3pt;margin-top:5.85pt;width:266.7pt;height:393.9pt;z-index:251697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6qLAIAAFwEAAAOAAAAZHJzL2Uyb0RvYy54bWysVNtu2zAMfR+wfxD0vthJ1iQ14hRdugwD&#10;ugvQ7gNkWbaFSaImKbGzrx8lp2nQbS/D/CCIEnV4eEh6fTNoRQ7CeQmmpNNJTokwHGpp2pJ+e9y9&#10;WVHiAzM1U2BESY/C05vN61fr3hZiBh2oWjiCIMYXvS1pF4ItsszzTmjmJ2CFwcsGnGYBTddmtWM9&#10;omuVzfJ8kfXgauuAC+/x9G68pJuE3zSChy9N40UgqqTILaTVpbWKa7ZZs6J1zHaSn2iwf2ChmTQY&#10;9Ax1xwIjeyd/g9KSO/DQhAkHnUHTSC5SDpjNNH+RzUPHrEi5oDjenmXy/w+Wfz58dUTWJX2L8him&#10;sUaPYgjkHQxklfTprS/Q7cGiYxjwHOuccvX2Hvh3TwxsO2Zacesc9J1gNfKbRmWzi6exIr7wEaTq&#10;P0GNcdg+QAIaGqejeCgHQXQkcjzXJnLheDifr5b5NV5xvLvK89nVPLHLWPH03DofPgjQJG5K6rD4&#10;CZ4d7n2IdFjx5BKjeVCy3kmlkuHaaqscOTBslF36UgYv3JQhPSY3m17PRgn+ipGn708YWgZseSV1&#10;SVdnJ1ZE4d6bOjVkYFKNe+SszEnJKN4oYxiqIRVtuYgRorIV1EfU1sHY4jiSuOnA/aSkx/Yuqf+x&#10;Z05Qoj4arM9ygdOD83BpuEujujSY4QhV0kDJuN2GcYb21sm2w0hjRxi4xZo2Mqn9zOrEH1s4FeE0&#10;bnFGLu3k9fxT2PwCAAD//wMAUEsDBBQABgAIAAAAIQBIQ69q3QAAAAoBAAAPAAAAZHJzL2Rvd25y&#10;ZXYueG1sTI/BTsMwEETvSPyDtUjcqNMIUhriVCgS9yYUwdGNlzgiXofYbcLfsz3BbUfzNDtT7BY3&#10;iDNOofekYL1KQCC13vTUKTi8vtw9gghRk9GDJ1TwgwF25fVVoXPjZ6rx3MROcAiFXCuwMY65lKG1&#10;6HRY+RGJvU8/OR1ZTp00k5453A0yTZJMOt0Tf7B6xMpi+9WcnAJf19Vb2nzv36vZVN28X+L4YZW6&#10;vVmen0BEXOIfDJf6XB1K7nT0JzJBDArSLMkYZWO9AcHAZnvP446XY/sAsizk/wnlLwAAAP//AwBQ&#10;SwECLQAUAAYACAAAACEAtoM4kv4AAADhAQAAEwAAAAAAAAAAAAAAAAAAAAAAW0NvbnRlbnRfVHlw&#10;ZXNdLnhtbFBLAQItABQABgAIAAAAIQA4/SH/1gAAAJQBAAALAAAAAAAAAAAAAAAAAC8BAABfcmVs&#10;cy8ucmVsc1BLAQItABQABgAIAAAAIQDKm06qLAIAAFwEAAAOAAAAAAAAAAAAAAAAAC4CAABkcnMv&#10;ZTJvRG9jLnhtbFBLAQItABQABgAIAAAAIQBIQ69q3QAAAAoBAAAPAAAAAAAAAAAAAAAAAIYEAABk&#10;cnMvZG93bnJldi54bWxQSwUGAAAAAAQABADzAAAAkAUAAAAA&#10;" o:allowincell="f" strokeweight=".96pt">
                <v:textbox inset="6pt,6pt,6pt,6pt">
                  <w:txbxContent>
                    <w:p w:rsidR="00FF5E72" w:rsidRDefault="00FF5E72" w:rsidP="00BF5F0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capital gain is taxed alike, but no capital gain income should be taxed at a rate higher than the rate applicable to a taxpayer’s ordinary income.  To implement this pri</w:t>
                      </w:r>
                      <w:r>
                        <w:rPr>
                          <w:rFonts w:ascii="Tw Cen MT" w:hAnsi="Tw Cen MT"/>
                        </w:rPr>
                        <w:t>n</w:t>
                      </w:r>
                      <w:r>
                        <w:rPr>
                          <w:rFonts w:ascii="Tw Cen MT" w:hAnsi="Tw Cen MT"/>
                        </w:rPr>
                        <w:t>ciple, § 1(h) establishes various maximum rates.  The highest maximum rate is the rate on ordinary income.  In the event that taxpayer’s circumstances qualify different forms of capital gain income to a lower maximum rate, then, and only then, that lower max</w:t>
                      </w:r>
                      <w:r>
                        <w:rPr>
                          <w:rFonts w:ascii="Tw Cen MT" w:hAnsi="Tw Cen MT"/>
                        </w:rPr>
                        <w:t>i</w:t>
                      </w:r>
                      <w:r>
                        <w:rPr>
                          <w:rFonts w:ascii="Tw Cen MT" w:hAnsi="Tw Cen MT"/>
                        </w:rPr>
                        <w:t xml:space="preserve">mum rate applies.  Otherwise the ordinary income rate applies. </w:t>
                      </w:r>
                    </w:p>
                    <w:p w:rsidR="00FF5E72" w:rsidRDefault="00FF5E72" w:rsidP="00BF5F03">
                      <w:pPr>
                        <w:widowControl w:val="0"/>
                        <w:jc w:val="both"/>
                        <w:rPr>
                          <w:rFonts w:ascii="Tw Cen MT" w:hAnsi="Tw Cen MT"/>
                        </w:rPr>
                      </w:pPr>
                    </w:p>
                    <w:p w:rsidR="00FF5E72" w:rsidRDefault="00FF5E72" w:rsidP="00BF5F03">
                      <w:pPr>
                        <w:widowControl w:val="0"/>
                        <w:jc w:val="both"/>
                        <w:rPr>
                          <w:rFonts w:ascii="Tw Cen MT" w:hAnsi="Tw Cen MT"/>
                        </w:rPr>
                      </w:pPr>
                      <w:r>
                        <w:rPr>
                          <w:rFonts w:ascii="Tw Cen MT" w:hAnsi="Tw Cen MT"/>
                        </w:rPr>
                        <w:t>Section 1(h) distinguishes between “net capital gain” and “adjusted net capital gain.”  Section 1(h)(3) d</w:t>
                      </w:r>
                      <w:r>
                        <w:rPr>
                          <w:rFonts w:ascii="Tw Cen MT" w:hAnsi="Tw Cen MT"/>
                        </w:rPr>
                        <w:t>e</w:t>
                      </w:r>
                      <w:r>
                        <w:rPr>
                          <w:rFonts w:ascii="Tw Cen MT" w:hAnsi="Tw Cen MT"/>
                        </w:rPr>
                        <w:t>fines the phrase “adjusted net capital gain” to be “net capital gain” MINUS “unrecaptured § 1250 gain,” MINUS “28-percent rate gain,” PLUS “qual</w:t>
                      </w:r>
                      <w:r>
                        <w:rPr>
                          <w:rFonts w:ascii="Tw Cen MT" w:hAnsi="Tw Cen MT"/>
                        </w:rPr>
                        <w:t>i</w:t>
                      </w:r>
                      <w:r>
                        <w:rPr>
                          <w:rFonts w:ascii="Tw Cen MT" w:hAnsi="Tw Cen MT"/>
                        </w:rPr>
                        <w:t>fied dividend income.”  There are different maximum rates applicable to taxpayer’s “adjusted net capital gain” that depend on what taxpayer’s marginal bracket would be if all of his/her taxable income were subject to tax as ordinary income.  Those ma</w:t>
                      </w:r>
                      <w:r>
                        <w:rPr>
                          <w:rFonts w:ascii="Tw Cen MT" w:hAnsi="Tw Cen MT"/>
                        </w:rPr>
                        <w:t>x</w:t>
                      </w:r>
                      <w:r>
                        <w:rPr>
                          <w:rFonts w:ascii="Tw Cen MT" w:hAnsi="Tw Cen MT"/>
                        </w:rPr>
                        <w:t>imum rates (0%, 10%, 20%) are applicable only if they are lower than the marginal rate otherwise a</w:t>
                      </w:r>
                      <w:r>
                        <w:rPr>
                          <w:rFonts w:ascii="Tw Cen MT" w:hAnsi="Tw Cen MT"/>
                        </w:rPr>
                        <w:t>p</w:t>
                      </w:r>
                      <w:r>
                        <w:rPr>
                          <w:rFonts w:ascii="Tw Cen MT" w:hAnsi="Tw Cen MT"/>
                        </w:rPr>
                        <w:t>plicable to taxpayer’s taxable income taxed as o</w:t>
                      </w:r>
                      <w:r>
                        <w:rPr>
                          <w:rFonts w:ascii="Tw Cen MT" w:hAnsi="Tw Cen MT"/>
                        </w:rPr>
                        <w:t>r</w:t>
                      </w:r>
                      <w:r>
                        <w:rPr>
                          <w:rFonts w:ascii="Tw Cen MT" w:hAnsi="Tw Cen MT"/>
                        </w:rPr>
                        <w:t>dinary income.  The maximum tax rates on unreca</w:t>
                      </w:r>
                      <w:r>
                        <w:rPr>
                          <w:rFonts w:ascii="Tw Cen MT" w:hAnsi="Tw Cen MT"/>
                        </w:rPr>
                        <w:t>p</w:t>
                      </w:r>
                      <w:r>
                        <w:rPr>
                          <w:rFonts w:ascii="Tw Cen MT" w:hAnsi="Tw Cen MT"/>
                        </w:rPr>
                        <w:t>tured § 1250 gain is 25%, and the maximum tax rate on 28% rate gain is 28%.</w:t>
                      </w:r>
                    </w:p>
                    <w:p w:rsidR="00FF5E72" w:rsidRDefault="00FF5E72" w:rsidP="00BF5F03">
                      <w:pPr>
                        <w:widowControl w:val="0"/>
                        <w:jc w:val="both"/>
                        <w:rPr>
                          <w:rFonts w:ascii="Tw Cen MT" w:hAnsi="Tw Cen MT"/>
                        </w:rPr>
                      </w:pPr>
                    </w:p>
                  </w:txbxContent>
                </v:textbox>
                <w10:wrap type="square" side="largest" anchorx="margin"/>
              </v:shape>
            </w:pict>
          </mc:Fallback>
        </mc:AlternateContent>
      </w:r>
    </w:p>
    <w:p w:rsidR="0025177E" w:rsidRPr="00576ED7" w:rsidRDefault="00C007EA" w:rsidP="00A6585D">
      <w:pPr>
        <w:widowControl w:val="0"/>
        <w:jc w:val="both"/>
        <w:rPr>
          <w:szCs w:val="24"/>
        </w:rPr>
      </w:pPr>
      <w:r w:rsidRPr="00576ED7">
        <w:rPr>
          <w:noProof/>
          <w:szCs w:val="24"/>
        </w:rPr>
        <w:drawing>
          <wp:inline distT="0" distB="0" distL="0" distR="0" wp14:anchorId="75CC9FF5" wp14:editId="46215FAE">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Federal Income </w:t>
      </w:r>
      <w:r w:rsidRPr="003C2A49">
        <w:rPr>
          <w:i/>
          <w:szCs w:val="24"/>
        </w:rPr>
        <w:t>Taxation: Property</w:t>
      </w:r>
      <w:r w:rsidRPr="00576ED7">
        <w:rPr>
          <w:i/>
          <w:szCs w:val="24"/>
        </w:rPr>
        <w:t xml:space="preserve"> Transactions: Capital Loss Mechanics</w:t>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already know that § 1 imposes income taxes on individuals.</w:t>
      </w:r>
      <w:r w:rsidRPr="00576ED7">
        <w:rPr>
          <w:rStyle w:val="FootnoteReference"/>
          <w:szCs w:val="24"/>
        </w:rPr>
        <w:footnoteReference w:id="194"/>
      </w:r>
      <w:r w:rsidRPr="00576ED7">
        <w:rPr>
          <w:szCs w:val="24"/>
        </w:rPr>
        <w:t xml:space="preserve">  Se</w:t>
      </w:r>
      <w:r w:rsidRPr="00576ED7">
        <w:rPr>
          <w:szCs w:val="24"/>
        </w:rPr>
        <w:t>c</w:t>
      </w:r>
      <w:r w:rsidRPr="00576ED7">
        <w:rPr>
          <w:szCs w:val="24"/>
        </w:rPr>
        <w:t>tion 1(h) creates income “baskets” that are su</w:t>
      </w:r>
      <w:r w:rsidRPr="00576ED7">
        <w:rPr>
          <w:szCs w:val="24"/>
        </w:rPr>
        <w:t>b</w:t>
      </w:r>
      <w:r w:rsidR="00484C56">
        <w:rPr>
          <w:szCs w:val="24"/>
        </w:rPr>
        <w:t xml:space="preserve">ject to </w:t>
      </w:r>
      <w:r w:rsidRPr="00576ED7">
        <w:rPr>
          <w:szCs w:val="24"/>
        </w:rPr>
        <w:t xml:space="preserve">different </w:t>
      </w:r>
      <w:r w:rsidR="00484C56" w:rsidRPr="00484C56">
        <w:rPr>
          <w:i/>
          <w:szCs w:val="24"/>
        </w:rPr>
        <w:t>max</w:t>
      </w:r>
      <w:r w:rsidR="00484C56" w:rsidRPr="00484C56">
        <w:rPr>
          <w:i/>
          <w:szCs w:val="24"/>
        </w:rPr>
        <w:t>i</w:t>
      </w:r>
      <w:r w:rsidR="00484C56" w:rsidRPr="00484C56">
        <w:rPr>
          <w:i/>
          <w:szCs w:val="24"/>
        </w:rPr>
        <w:t>mum</w:t>
      </w:r>
      <w:r w:rsidR="00484C56">
        <w:rPr>
          <w:szCs w:val="24"/>
        </w:rPr>
        <w:t xml:space="preserve"> </w:t>
      </w:r>
      <w:r w:rsidRPr="00576ED7">
        <w:rPr>
          <w:szCs w:val="24"/>
        </w:rPr>
        <w:t>rates of income tax</w:t>
      </w:r>
      <w:r w:rsidR="00851252">
        <w:rPr>
          <w:szCs w:val="24"/>
        </w:rPr>
        <w:t xml:space="preserve"> (</w:t>
      </w:r>
      <w:r w:rsidR="00851252" w:rsidRPr="00851252">
        <w:rPr>
          <w:i/>
          <w:szCs w:val="24"/>
        </w:rPr>
        <w:t>see</w:t>
      </w:r>
      <w:r w:rsidR="00851252">
        <w:rPr>
          <w:szCs w:val="24"/>
        </w:rPr>
        <w:t xml:space="preserve"> text box)</w:t>
      </w:r>
      <w:r w:rsidRPr="00576ED7">
        <w:rPr>
          <w:szCs w:val="24"/>
        </w:rPr>
        <w:t>.  Once an income “basket” has been subject to a parti</w:t>
      </w:r>
      <w:r w:rsidRPr="00576ED7">
        <w:rPr>
          <w:szCs w:val="24"/>
        </w:rPr>
        <w:t>c</w:t>
      </w:r>
      <w:r w:rsidRPr="00576ED7">
        <w:rPr>
          <w:szCs w:val="24"/>
        </w:rPr>
        <w:t xml:space="preserve">ular </w:t>
      </w:r>
      <w:r w:rsidR="00475E2D">
        <w:rPr>
          <w:szCs w:val="24"/>
        </w:rPr>
        <w:t xml:space="preserve">maximum </w:t>
      </w:r>
      <w:r w:rsidRPr="00576ED7">
        <w:rPr>
          <w:szCs w:val="24"/>
        </w:rPr>
        <w:t>rate of tax, the principle that we tax income once a</w:t>
      </w:r>
      <w:r w:rsidRPr="00576ED7">
        <w:rPr>
          <w:szCs w:val="24"/>
        </w:rPr>
        <w:t>p</w:t>
      </w:r>
      <w:r w:rsidRPr="00576ED7">
        <w:rPr>
          <w:szCs w:val="24"/>
        </w:rPr>
        <w:t>plies.</w:t>
      </w:r>
    </w:p>
    <w:p w:rsidR="0049128E" w:rsidRPr="00576ED7" w:rsidRDefault="0049128E" w:rsidP="00A6585D">
      <w:pPr>
        <w:widowControl w:val="0"/>
        <w:jc w:val="both"/>
        <w:rPr>
          <w:szCs w:val="24"/>
        </w:rPr>
      </w:pPr>
    </w:p>
    <w:p w:rsidR="00080EEC" w:rsidRDefault="00080EEC" w:rsidP="00A6585D">
      <w:pPr>
        <w:widowControl w:val="0"/>
        <w:jc w:val="both"/>
        <w:rPr>
          <w:szCs w:val="24"/>
        </w:rPr>
      </w:pPr>
      <w:r w:rsidRPr="00576ED7">
        <w:rPr>
          <w:szCs w:val="24"/>
        </w:rPr>
        <w:lastRenderedPageBreak/>
        <w:t>Section 1(h) refers to “net capital gain,” which we determined under § 1222 by netting gains and losses from sales or exchanges of various cap</w:t>
      </w:r>
      <w:r w:rsidRPr="00576ED7">
        <w:rPr>
          <w:szCs w:val="24"/>
        </w:rPr>
        <w:t>i</w:t>
      </w:r>
      <w:r w:rsidRPr="00576ED7">
        <w:rPr>
          <w:szCs w:val="24"/>
        </w:rPr>
        <w:t xml:space="preserve">tal assets.  </w:t>
      </w:r>
      <w:r>
        <w:rPr>
          <w:szCs w:val="24"/>
        </w:rPr>
        <w:t xml:space="preserve">Section 1(h) </w:t>
      </w:r>
      <w:r w:rsidR="0049128E" w:rsidRPr="00576ED7">
        <w:rPr>
          <w:szCs w:val="24"/>
        </w:rPr>
        <w:t>supplies more definitions, most of which refine the co</w:t>
      </w:r>
      <w:r w:rsidR="0049128E" w:rsidRPr="00576ED7">
        <w:rPr>
          <w:szCs w:val="24"/>
        </w:rPr>
        <w:t>n</w:t>
      </w:r>
      <w:r w:rsidR="0049128E" w:rsidRPr="00576ED7">
        <w:rPr>
          <w:szCs w:val="24"/>
        </w:rPr>
        <w:t xml:space="preserve">cept of “net capital gain.”  The importance of placing definitions in § 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49128E" w:rsidRPr="00576ED7">
        <w:rPr>
          <w:szCs w:val="24"/>
        </w:rPr>
        <w:t>§ 1222 is that the particular definition only a</w:t>
      </w:r>
      <w:r w:rsidR="0049128E" w:rsidRPr="00576ED7">
        <w:rPr>
          <w:szCs w:val="24"/>
        </w:rPr>
        <w:t>p</w:t>
      </w:r>
      <w:r w:rsidR="0049128E" w:rsidRPr="00576ED7">
        <w:rPr>
          <w:szCs w:val="24"/>
        </w:rPr>
        <w:t>plies to individuals</w:t>
      </w:r>
      <w:r w:rsidR="0049128E" w:rsidRPr="00576ED7">
        <w:rPr>
          <w:rStyle w:val="FootnoteReference"/>
          <w:szCs w:val="24"/>
        </w:rPr>
        <w:footnoteReference w:id="195"/>
      </w:r>
      <w:r w:rsidR="0049128E" w:rsidRPr="00576ED7">
        <w:rPr>
          <w:szCs w:val="24"/>
        </w:rPr>
        <w:t xml:space="preserve"> – not to corporations.</w:t>
      </w:r>
      <w:r w:rsidRPr="00080EEC">
        <w:rPr>
          <w:szCs w:val="24"/>
        </w:rPr>
        <w:t xml:space="preserve"> </w:t>
      </w:r>
    </w:p>
    <w:p w:rsidR="00080EEC" w:rsidRDefault="00080EEC" w:rsidP="00A6585D">
      <w:pPr>
        <w:widowControl w:val="0"/>
        <w:jc w:val="both"/>
        <w:rPr>
          <w:szCs w:val="24"/>
        </w:rPr>
      </w:pPr>
    </w:p>
    <w:p w:rsidR="0049128E" w:rsidRPr="00576ED7" w:rsidRDefault="00AD76CA" w:rsidP="00A6585D">
      <w:pPr>
        <w:widowControl w:val="0"/>
        <w:jc w:val="both"/>
        <w:rPr>
          <w:szCs w:val="24"/>
        </w:rPr>
      </w:pPr>
      <w:r w:rsidRPr="00576ED7">
        <w:rPr>
          <w:noProof/>
          <w:szCs w:val="24"/>
        </w:rPr>
        <mc:AlternateContent>
          <mc:Choice Requires="wps">
            <w:drawing>
              <wp:anchor distT="152400" distB="152400" distL="152400" distR="152400" simplePos="0" relativeHeight="251698176" behindDoc="0" locked="0" layoutInCell="0" allowOverlap="1" wp14:anchorId="5696903E" wp14:editId="69288D3D">
                <wp:simplePos x="0" y="0"/>
                <wp:positionH relativeFrom="margin">
                  <wp:posOffset>26035</wp:posOffset>
                </wp:positionH>
                <wp:positionV relativeFrom="paragraph">
                  <wp:posOffset>624205</wp:posOffset>
                </wp:positionV>
                <wp:extent cx="2971800" cy="2942590"/>
                <wp:effectExtent l="0" t="0" r="19050" b="1016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42590"/>
                        </a:xfrm>
                        <a:prstGeom prst="rect">
                          <a:avLst/>
                        </a:prstGeom>
                        <a:solidFill>
                          <a:srgbClr val="FFFFFF"/>
                        </a:solidFill>
                        <a:ln w="12192">
                          <a:solidFill>
                            <a:srgbClr val="000000"/>
                          </a:solidFill>
                          <a:miter lim="800000"/>
                          <a:headEnd/>
                          <a:tailEnd/>
                        </a:ln>
                      </wps:spPr>
                      <wps:txbx>
                        <w:txbxContent>
                          <w:p w:rsidR="00FF5E72" w:rsidRDefault="00FF5E72"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3" type="#_x0000_t202" style="position:absolute;left:0;text-align:left;margin-left:2.05pt;margin-top:49.15pt;width:234pt;height:231.7pt;z-index:25169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slLgIAAFwEAAAOAAAAZHJzL2Uyb0RvYy54bWysVNuO2yAQfa/Uf0C8N3bcdpNYcVbbbFNV&#10;2l6k3X4AxthGBYYCib39+h1wkqa3l6o8IAaGw8w5M6yvR63IQTgvwVR0PsspEYZDI01X0S8PuxdL&#10;SnxgpmEKjKjoo/D0evP82XqwpSigB9UIRxDE+HKwFe1DsGWWed4LzfwMrDB42ILTLKDpuqxxbEB0&#10;rbIiz6+yAVxjHXDhPe7eTod0k/DbVvDwqW29CERVFGMLaXZpruOcbdas7ByzveTHMNg/RKGZNPjo&#10;GeqWBUb2Tv4GpSV34KENMw46g7aVXKQcMJt5/ks29z2zIuWC5Hh7psn/P1j+8fDZEdlU9OWKEsM0&#10;avQgxkDewEiW88jPYH2JbvcWHcOI+6hzytXbO+BfPTGw7ZnpxI1zMPSCNRhfupldXJ1wfASphw/Q&#10;4DtsHyABja3TkTykgyA66vR41ibGwnGzWC3myxyPOJ4Vq1fF61VSL2Pl6bp1PrwToElcVNSh+Ame&#10;He58wETQ9eQSX/OgZLOTSiXDdfVWOXJgWCi7NGLueOUnN2XIgMkV81UxUfBXjDyNP2FoGbDkldQV&#10;xYRwTEUYiXtrmlSQgUk1rTEAZTCOyGQkb6IxjPWYRFssTgrV0Dwitw6mEseWxEUP7jslA5Z3Rf23&#10;PXOCEvXeoD6LK+we7IdLw10a9aXBDEeoigZKpuU2TD20t052Pb40VYSBG9S0lYntGPIU1TF+LOHE&#10;6LHdYo9c2snrx6eweQIAAP//AwBQSwMEFAAGAAgAAAAhABDaM0DcAAAACAEAAA8AAABkcnMvZG93&#10;bnJldi54bWxMj8FOwzAQRO9I/IO1SNyok1DaEuJUKBL3JoDg6MZLHBGvQ+w24e9ZTnCcndHM22K/&#10;uEGccQq9JwXpKgGB1HrTU6fg5fnpZgciRE1GD55QwTcG2JeXF4XOjZ+pxnMTO8ElFHKtwMY45lKG&#10;1qLTYeVHJPY+/OR0ZDl10kx65nI3yCxJNtLpnnjB6hEri+1nc3IKfF1Xr1nzdXirZlN182GJ47tV&#10;6vpqeXwAEXGJf2H4xWd0KJnp6E9kghgUrFMOKrjf3YJge73N+HBUcLdJtyDLQv5/oPwBAAD//wMA&#10;UEsBAi0AFAAGAAgAAAAhALaDOJL+AAAA4QEAABMAAAAAAAAAAAAAAAAAAAAAAFtDb250ZW50X1R5&#10;cGVzXS54bWxQSwECLQAUAAYACAAAACEAOP0h/9YAAACUAQAACwAAAAAAAAAAAAAAAAAvAQAAX3Jl&#10;bHMvLnJlbHNQSwECLQAUAAYACAAAACEA1TrbJS4CAABcBAAADgAAAAAAAAAAAAAAAAAuAgAAZHJz&#10;L2Uyb0RvYy54bWxQSwECLQAUAAYACAAAACEAENozQNwAAAAIAQAADwAAAAAAAAAAAAAAAACIBAAA&#10;ZHJzL2Rvd25yZXYueG1sUEsFBgAAAAAEAAQA8wAAAJEFAAAAAA==&#10;" o:allowincell="f" strokeweight=".96pt">
                <v:textbox inset="6pt,6pt,6pt,6pt">
                  <w:txbxContent>
                    <w:p w:rsidR="00FF5E72" w:rsidRDefault="00FF5E72" w:rsidP="00484C56">
                      <w:pPr>
                        <w:widowControl w:val="0"/>
                        <w:jc w:val="both"/>
                        <w:rPr>
                          <w:rFonts w:ascii="Tw Cen MT" w:hAnsi="Tw Cen MT"/>
                        </w:rPr>
                      </w:pPr>
                      <w:r>
                        <w:rPr>
                          <w:rFonts w:ascii="Tw Cen MT" w:hAnsi="Tw Cen MT"/>
                          <w:b/>
                        </w:rPr>
                        <w:t>Unrecaptured § 1250 gain and 28-percent rate gain</w:t>
                      </w:r>
                      <w:r>
                        <w:rPr>
                          <w:rFonts w:ascii="Tw Cen MT" w:hAnsi="Tw Cen MT"/>
                        </w:rPr>
                        <w:t>: “Unrecaptured § 1250 gain” is the income attributable to recapture of depreci</w:t>
                      </w:r>
                      <w:r>
                        <w:rPr>
                          <w:rFonts w:ascii="Tw Cen MT" w:hAnsi="Tw Cen MT"/>
                        </w:rPr>
                        <w:t>a</w:t>
                      </w:r>
                      <w:r>
                        <w:rPr>
                          <w:rFonts w:ascii="Tw Cen MT" w:hAnsi="Tw Cen MT"/>
                        </w:rPr>
                        <w:t>tion that taxpayer has claimed on real pro</w:t>
                      </w:r>
                      <w:r>
                        <w:rPr>
                          <w:rFonts w:ascii="Tw Cen MT" w:hAnsi="Tw Cen MT"/>
                        </w:rPr>
                        <w:t>p</w:t>
                      </w:r>
                      <w:r>
                        <w:rPr>
                          <w:rFonts w:ascii="Tw Cen MT" w:hAnsi="Tw Cen MT"/>
                        </w:rPr>
                        <w:t>erty.   It will be included in taxpayer’s net § 1231 gain.  “28-percent rate gain” property is the net of collectibles gains and losses PLUS § 1202 gain, i.e., half of the gain from the sale of certain small business stock held for more than five years.  § 1(h)(4).  Temporarily, none of the gain from the sale of such stock was included in “28-percent rate gain.”  A “collectible” is essentially any work of art, rug or antique, metal or gem, stamps or certain coins, an alcoholic beverage, and anything else that the Secretary of the Treasury desi</w:t>
                      </w:r>
                      <w:r>
                        <w:rPr>
                          <w:rFonts w:ascii="Tw Cen MT" w:hAnsi="Tw Cen MT"/>
                        </w:rPr>
                        <w:t>g</w:t>
                      </w:r>
                      <w:r>
                        <w:rPr>
                          <w:rFonts w:ascii="Tw Cen MT" w:hAnsi="Tw Cen MT"/>
                        </w:rPr>
                        <w:t>nates.  § 408(m)(2).</w:t>
                      </w:r>
                    </w:p>
                  </w:txbxContent>
                </v:textbox>
                <w10:wrap type="square" side="largest" anchorx="margin"/>
              </v:shape>
            </w:pict>
          </mc:Fallback>
        </mc:AlternateContent>
      </w:r>
      <w:r w:rsidR="0049128E" w:rsidRPr="00576ED7">
        <w:rPr>
          <w:szCs w:val="24"/>
        </w:rPr>
        <w:t>Sections 1(h)(1)(B, C, D, E</w:t>
      </w:r>
      <w:r w:rsidR="00671A66">
        <w:rPr>
          <w:szCs w:val="24"/>
        </w:rPr>
        <w:t>, and F</w:t>
      </w:r>
      <w:r w:rsidR="0049128E" w:rsidRPr="00576ED7">
        <w:rPr>
          <w:szCs w:val="24"/>
        </w:rPr>
        <w:t xml:space="preserve">) impose different </w:t>
      </w:r>
      <w:r w:rsidR="00475E2D">
        <w:rPr>
          <w:szCs w:val="24"/>
        </w:rPr>
        <w:t xml:space="preserve">maximum </w:t>
      </w:r>
      <w:r w:rsidR="0049128E" w:rsidRPr="00576ED7">
        <w:rPr>
          <w:szCs w:val="24"/>
        </w:rPr>
        <w:t>rates of tax on di</w:t>
      </w:r>
      <w:r w:rsidR="0049128E" w:rsidRPr="00576ED7">
        <w:rPr>
          <w:szCs w:val="24"/>
        </w:rPr>
        <w:t>f</w:t>
      </w:r>
      <w:r w:rsidR="0049128E" w:rsidRPr="00576ED7">
        <w:rPr>
          <w:szCs w:val="24"/>
        </w:rPr>
        <w:t>ferent forms of “net capital gain.”  These rates are dependent on the rate of tax imposed on a taxpayer’s ord</w:t>
      </w:r>
      <w:r w:rsidR="0049128E" w:rsidRPr="00576ED7">
        <w:rPr>
          <w:szCs w:val="24"/>
        </w:rPr>
        <w:t>i</w:t>
      </w:r>
      <w:r w:rsidR="0049128E" w:rsidRPr="00576ED7">
        <w:rPr>
          <w:szCs w:val="24"/>
        </w:rPr>
        <w:t xml:space="preserve">nary income – </w:t>
      </w:r>
      <w:r w:rsidR="0049128E" w:rsidRPr="00576ED7">
        <w:rPr>
          <w:i/>
          <w:szCs w:val="24"/>
        </w:rPr>
        <w:t>viz.</w:t>
      </w:r>
      <w:r w:rsidR="0049128E" w:rsidRPr="00576ED7">
        <w:rPr>
          <w:szCs w:val="24"/>
        </w:rPr>
        <w:t>, they i</w:t>
      </w:r>
      <w:r w:rsidR="0049128E" w:rsidRPr="00576ED7">
        <w:rPr>
          <w:szCs w:val="24"/>
        </w:rPr>
        <w:t>n</w:t>
      </w:r>
      <w:r w:rsidR="0049128E" w:rsidRPr="00576ED7">
        <w:rPr>
          <w:szCs w:val="24"/>
        </w:rPr>
        <w:t>crease when a taxpayer’s marginal rate on ordinary i</w:t>
      </w:r>
      <w:r w:rsidR="0049128E" w:rsidRPr="00576ED7">
        <w:rPr>
          <w:szCs w:val="24"/>
        </w:rPr>
        <w:t>n</w:t>
      </w:r>
      <w:r w:rsidR="0049128E" w:rsidRPr="00576ED7">
        <w:rPr>
          <w:szCs w:val="24"/>
        </w:rPr>
        <w:t>come reaches 25%</w:t>
      </w:r>
      <w:r w:rsidR="00671A66">
        <w:rPr>
          <w:szCs w:val="24"/>
        </w:rPr>
        <w:t xml:space="preserve"> and i</w:t>
      </w:r>
      <w:r w:rsidR="00671A66">
        <w:rPr>
          <w:szCs w:val="24"/>
        </w:rPr>
        <w:t>n</w:t>
      </w:r>
      <w:r w:rsidR="00671A66">
        <w:rPr>
          <w:szCs w:val="24"/>
        </w:rPr>
        <w:t>crease again when a taxpa</w:t>
      </w:r>
      <w:r w:rsidR="00671A66">
        <w:rPr>
          <w:szCs w:val="24"/>
        </w:rPr>
        <w:t>y</w:t>
      </w:r>
      <w:r w:rsidR="00671A66">
        <w:rPr>
          <w:szCs w:val="24"/>
        </w:rPr>
        <w:t xml:space="preserve">er’s marginal rate on ordinary income reaches 39.6%.  </w:t>
      </w:r>
      <w:r w:rsidR="00424555">
        <w:rPr>
          <w:szCs w:val="24"/>
        </w:rPr>
        <w:t>In addition, there is a</w:t>
      </w:r>
      <w:r w:rsidR="00475E2D">
        <w:rPr>
          <w:szCs w:val="24"/>
        </w:rPr>
        <w:t xml:space="preserve"> </w:t>
      </w:r>
      <w:r w:rsidR="00671A66">
        <w:rPr>
          <w:szCs w:val="24"/>
        </w:rPr>
        <w:t>me</w:t>
      </w:r>
      <w:r w:rsidR="00671A66">
        <w:rPr>
          <w:szCs w:val="24"/>
        </w:rPr>
        <w:t>d</w:t>
      </w:r>
      <w:r w:rsidR="00671A66">
        <w:rPr>
          <w:szCs w:val="24"/>
        </w:rPr>
        <w:t>icare “contribution” of 3.8% on the unearned income of (relativ</w:t>
      </w:r>
      <w:r w:rsidR="00671A66">
        <w:rPr>
          <w:szCs w:val="24"/>
        </w:rPr>
        <w:t>e</w:t>
      </w:r>
      <w:r w:rsidR="00671A66">
        <w:rPr>
          <w:szCs w:val="24"/>
        </w:rPr>
        <w:t>ly</w:t>
      </w:r>
      <w:r w:rsidR="006722C4">
        <w:rPr>
          <w:rStyle w:val="FootnoteReference"/>
          <w:szCs w:val="24"/>
        </w:rPr>
        <w:footnoteReference w:id="196"/>
      </w:r>
      <w:r w:rsidR="00671A66">
        <w:rPr>
          <w:szCs w:val="24"/>
        </w:rPr>
        <w:t>) high i</w:t>
      </w:r>
      <w:r w:rsidR="00671A66">
        <w:rPr>
          <w:szCs w:val="24"/>
        </w:rPr>
        <w:t>n</w:t>
      </w:r>
      <w:r w:rsidR="00671A66">
        <w:rPr>
          <w:szCs w:val="24"/>
        </w:rPr>
        <w:t>come earners.  § 1411.</w:t>
      </w:r>
      <w:r w:rsidR="00424555">
        <w:rPr>
          <w:szCs w:val="24"/>
        </w:rPr>
        <w:t xml:space="preserve">  [Thus the net of federal taxes on the long-term capital gains of some taxpayers is </w:t>
      </w:r>
      <w:r w:rsidR="00475E2D">
        <w:rPr>
          <w:szCs w:val="24"/>
        </w:rPr>
        <w:t xml:space="preserve">18.8% or </w:t>
      </w:r>
      <w:r w:rsidR="00424555">
        <w:rPr>
          <w:szCs w:val="24"/>
        </w:rPr>
        <w:t xml:space="preserve">23.8%, not </w:t>
      </w:r>
      <w:r w:rsidR="00475E2D">
        <w:rPr>
          <w:szCs w:val="24"/>
        </w:rPr>
        <w:t xml:space="preserve">15% of </w:t>
      </w:r>
      <w:r w:rsidR="00424555">
        <w:rPr>
          <w:szCs w:val="24"/>
        </w:rPr>
        <w:t>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1(h)(1)(A) isolates “ordinary income”</w:t>
      </w:r>
      <w:r w:rsidRPr="00576ED7">
        <w:rPr>
          <w:rStyle w:val="FootnoteReference"/>
          <w:szCs w:val="24"/>
        </w:rPr>
        <w:footnoteReference w:id="197"/>
      </w:r>
      <w:r w:rsidRPr="00576ED7">
        <w:rPr>
          <w:szCs w:val="24"/>
        </w:rPr>
        <w:t xml:space="preserve"> and su</w:t>
      </w:r>
      <w:r w:rsidRPr="00576ED7">
        <w:rPr>
          <w:szCs w:val="24"/>
        </w:rPr>
        <w:t>b</w:t>
      </w:r>
      <w:r w:rsidRPr="00576ED7">
        <w:rPr>
          <w:szCs w:val="24"/>
        </w:rPr>
        <w:lastRenderedPageBreak/>
        <w:t>jects it to the progressive tax brackets of § 1(a).</w:t>
      </w:r>
      <w:r w:rsidRPr="00576ED7">
        <w:rPr>
          <w:rStyle w:val="FootnoteReference"/>
          <w:szCs w:val="24"/>
        </w:rPr>
        <w:footnoteReference w:id="198"/>
      </w:r>
      <w:r w:rsidRPr="00576ED7">
        <w:rPr>
          <w:szCs w:val="24"/>
        </w:rPr>
        <w:t xml:space="preserve">  Section 1(h)(1)(A) also assures that the “net capital gain” of a taxpayer is subject to the lower rates of tax on only so much of the gain otherwise necessary for a taxpayer’s total taxable income to reach the 25% bracket</w:t>
      </w:r>
      <w:r w:rsidR="00851252">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next “basket” of income is “adjusted net capital gain” (</w:t>
      </w:r>
      <w:r w:rsidRPr="00576ED7">
        <w:rPr>
          <w:i/>
          <w:szCs w:val="24"/>
        </w:rPr>
        <w:t>see</w:t>
      </w:r>
      <w:r w:rsidRPr="00576ED7">
        <w:rPr>
          <w:szCs w:val="24"/>
        </w:rPr>
        <w:t xml:space="preserve"> accompanying box).  Section 1(h)(1)(B) subjects the “adjusted net capital gain” of a taxpayer whose marginal rate on ordinary income is less than 25% to a 0% tax.  If a ta</w:t>
      </w:r>
      <w:r w:rsidRPr="00576ED7">
        <w:rPr>
          <w:szCs w:val="24"/>
        </w:rPr>
        <w:t>x</w:t>
      </w:r>
      <w:r w:rsidRPr="00576ED7">
        <w:rPr>
          <w:szCs w:val="24"/>
        </w:rPr>
        <w:t>payer’s ordinary income plus “adjusted net capital gain” is less than the 25% bracket threshold, to that extent the elements that distinguish “adjusted net capital gain” from “net capital gain” (</w:t>
      </w:r>
      <w:r w:rsidRPr="00576ED7">
        <w:rPr>
          <w:i/>
          <w:szCs w:val="24"/>
        </w:rPr>
        <w:t>see</w:t>
      </w:r>
      <w:r w:rsidRPr="00576ED7">
        <w:rPr>
          <w:szCs w:val="24"/>
        </w:rPr>
        <w:t xml:space="preserve"> accompanying box) are subject to tax at ord</w:t>
      </w:r>
      <w:r w:rsidRPr="00576ED7">
        <w:rPr>
          <w:szCs w:val="24"/>
        </w:rPr>
        <w:t>i</w:t>
      </w:r>
      <w:r w:rsidRPr="00576ED7">
        <w:rPr>
          <w:szCs w:val="24"/>
        </w:rPr>
        <w:t>nary income rates.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1(h)(1)(C) subjects the “adjusted net capital gain” of taxpayers whose marginal rate on ordinary income is 25% or more to a tax rate of 15%.  </w:t>
      </w:r>
      <w:r w:rsidR="0073605F">
        <w:rPr>
          <w:szCs w:val="24"/>
        </w:rPr>
        <w:t xml:space="preserve">Section 1(h)(1)(D) subjects the “adjusted net capital gain” of taxpayers whose marginal rate on ordinary income is 39.6% to a tax rate of 20%.  </w:t>
      </w:r>
      <w:r w:rsidRPr="00576ED7">
        <w:rPr>
          <w:szCs w:val="24"/>
        </w:rPr>
        <w:t>Section 1(h)(1)(</w:t>
      </w:r>
      <w:r w:rsidR="0073605F">
        <w:rPr>
          <w:szCs w:val="24"/>
        </w:rPr>
        <w:t>E</w:t>
      </w:r>
      <w:r w:rsidRPr="00576ED7">
        <w:rPr>
          <w:szCs w:val="24"/>
        </w:rPr>
        <w:t>) su</w:t>
      </w:r>
      <w:r w:rsidRPr="00576ED7">
        <w:rPr>
          <w:szCs w:val="24"/>
        </w:rPr>
        <w:t>b</w:t>
      </w:r>
      <w:r w:rsidRPr="00576ED7">
        <w:rPr>
          <w:szCs w:val="24"/>
        </w:rPr>
        <w:t>jects unrecaptured depreciation on real property up to the amount of net § 1231 gain to a maximum rate of 25%. Section 1(h)(1)(</w:t>
      </w:r>
      <w:r w:rsidR="0073605F">
        <w:rPr>
          <w:szCs w:val="24"/>
        </w:rPr>
        <w:t>F</w:t>
      </w:r>
      <w:r w:rsidRPr="00576ED7">
        <w:rPr>
          <w:szCs w:val="24"/>
        </w:rPr>
        <w:t>) subjects “28-percent rate gain” property to a maximum rate of (surprise) 28%.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tax liability is the sum of the taxes imposed on these income baskets.</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53BF3A85" wp14:editId="6A34E697">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Capital Gain Mechanics</w:t>
      </w:r>
      <w:r w:rsidRPr="00576ED7">
        <w:rPr>
          <w:szCs w:val="24"/>
        </w:rPr>
        <w:t xml:space="preserve"> (Do not worry about the questions on “capital gain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0" w:name="_Toc375132967"/>
      <w:r w:rsidRPr="00576ED7">
        <w:t>II.  Sections 1245 and 1250: Depreciation Recapture</w:t>
      </w:r>
      <w:bookmarkEnd w:id="80"/>
      <w:r w:rsidRPr="00576ED7">
        <w:fldChar w:fldCharType="begin"/>
      </w:r>
      <w:r w:rsidRPr="00576ED7">
        <w:instrText xml:space="preserve"> TC \l1 "II.  Sections 1245 and 1250: Depreciation Recapture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basis of an allowance for depreciation is the notion that a taxpayer consumes a portion, but only a portion, of an asset that enables him/her/it to generate income over a period longer than one year.  The Code treats that bit of “consumption” the same as any other consumption that enables a taxpayer to generate income, i.e., a </w:t>
      </w:r>
      <w:r w:rsidRPr="00576ED7">
        <w:rPr>
          <w:szCs w:val="24"/>
        </w:rPr>
        <w:lastRenderedPageBreak/>
        <w:t xml:space="preserve">deduction from ordinary income.  </w:t>
      </w:r>
      <w:r w:rsidRPr="00576ED7">
        <w:rPr>
          <w:i/>
          <w:szCs w:val="24"/>
        </w:rPr>
        <w:t>See</w:t>
      </w:r>
      <w:r w:rsidRPr="00576ED7">
        <w:rPr>
          <w:szCs w:val="24"/>
        </w:rPr>
        <w:t xml:space="preserve"> §§ 162, 212.  Such an allowance requires an equal reduction in taxpayer’s basis in the asset.  </w:t>
      </w:r>
      <w:r w:rsidRPr="00576ED7">
        <w:rPr>
          <w:i/>
          <w:szCs w:val="24"/>
        </w:rPr>
        <w:t>See</w:t>
      </w:r>
      <w:r w:rsidRPr="00576ED7">
        <w:rPr>
          <w:szCs w:val="24"/>
        </w:rPr>
        <w:t xml:space="preserve"> § 1016(a)(2).</w:t>
      </w:r>
    </w:p>
    <w:p w:rsidR="00345CA3" w:rsidRDefault="00345CA3" w:rsidP="00A6585D">
      <w:pPr>
        <w:widowControl w:val="0"/>
        <w:jc w:val="both"/>
        <w:rPr>
          <w:szCs w:val="24"/>
        </w:rPr>
      </w:pPr>
    </w:p>
    <w:p w:rsidR="0049128E" w:rsidRPr="00576ED7" w:rsidRDefault="0049128E" w:rsidP="00A6585D">
      <w:pPr>
        <w:widowControl w:val="0"/>
        <w:jc w:val="both"/>
        <w:rPr>
          <w:szCs w:val="24"/>
        </w:rPr>
      </w:pPr>
      <w:r w:rsidRPr="00576ED7">
        <w:rPr>
          <w:szCs w:val="24"/>
        </w:rPr>
        <w:t>We learn shortly that the Code treats gain upon the sale of most assets subject to depreciation – and therefore not capital assets, § 1222(a)(2) – that taxpayer has held for more than one year as LTCG.  This would mean that whatever gain ta</w:t>
      </w:r>
      <w:r w:rsidRPr="00576ED7">
        <w:rPr>
          <w:szCs w:val="24"/>
        </w:rPr>
        <w:t>x</w:t>
      </w:r>
      <w:r w:rsidRPr="00576ED7">
        <w:rPr>
          <w:szCs w:val="24"/>
        </w:rPr>
        <w:t>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199"/>
      </w:r>
      <w:r w:rsidRPr="00576ED7">
        <w:rPr>
          <w:szCs w:val="24"/>
        </w:rPr>
        <w:t xml:space="preserve">  The Code addresses this mismatch of cha</w:t>
      </w:r>
      <w:r w:rsidRPr="00576ED7">
        <w:rPr>
          <w:szCs w:val="24"/>
        </w:rPr>
        <w:t>r</w:t>
      </w:r>
      <w:r w:rsidRPr="00576ED7">
        <w:rPr>
          <w:szCs w:val="24"/>
        </w:rPr>
        <w:t>acter of income and deductions through “depreciation recapture” provisions, i.e., §§ 1245</w:t>
      </w:r>
      <w:r w:rsidRPr="00576ED7">
        <w:rPr>
          <w:rStyle w:val="FootnoteReference"/>
          <w:szCs w:val="24"/>
        </w:rPr>
        <w:footnoteReference w:id="200"/>
      </w:r>
      <w:r w:rsidRPr="00576ED7">
        <w:rPr>
          <w:szCs w:val="24"/>
        </w:rPr>
        <w:t xml:space="preserve"> and 1250.</w:t>
      </w:r>
      <w:r w:rsidRPr="00576ED7">
        <w:rPr>
          <w:rStyle w:val="FootnoteReference"/>
          <w:szCs w:val="24"/>
        </w:rPr>
        <w:footnoteReference w:id="201"/>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w:t>
      </w:r>
      <w:r w:rsidRPr="00576ED7">
        <w:rPr>
          <w:szCs w:val="24"/>
        </w:rPr>
        <w:t>i</w:t>
      </w:r>
      <w:r w:rsidRPr="00576ED7">
        <w:rPr>
          <w:szCs w:val="24"/>
        </w:rPr>
        <w:t>tion</w:t>
      </w:r>
      <w:r w:rsidRPr="00576ED7">
        <w:rPr>
          <w:rStyle w:val="FootnoteReference"/>
          <w:szCs w:val="24"/>
        </w:rPr>
        <w:footnoteReference w:id="202"/>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03"/>
      </w:r>
      <w:r w:rsidRPr="00576ED7">
        <w:rPr>
          <w:szCs w:val="24"/>
        </w:rPr>
        <w:t xml:space="preserve">  § 1245(a)(1).</w:t>
      </w:r>
    </w:p>
    <w:p w:rsidR="0049128E" w:rsidRPr="00576ED7" w:rsidRDefault="0049128E" w:rsidP="00A6585D">
      <w:pPr>
        <w:widowControl w:val="0"/>
        <w:ind w:left="720"/>
        <w:jc w:val="both"/>
        <w:rPr>
          <w:szCs w:val="24"/>
        </w:rPr>
      </w:pPr>
      <w:r w:rsidRPr="00576ED7">
        <w:rPr>
          <w:szCs w:val="24"/>
        </w:rPr>
        <w:t>•A property’s “recomputed basis” is its adjusted basis plus all “adjus</w:t>
      </w:r>
      <w:r w:rsidRPr="00576ED7">
        <w:rPr>
          <w:szCs w:val="24"/>
        </w:rPr>
        <w:t>t</w:t>
      </w:r>
      <w:r w:rsidRPr="00576ED7">
        <w:rPr>
          <w:szCs w:val="24"/>
        </w:rPr>
        <w:t>ments reflected in such adjusted basis on account of deductions (whether in respect of the same or other property) allowed or allowable to the ta</w:t>
      </w:r>
      <w:r w:rsidRPr="00576ED7">
        <w:rPr>
          <w:szCs w:val="24"/>
        </w:rPr>
        <w:t>x</w:t>
      </w:r>
      <w:r w:rsidRPr="00576ED7">
        <w:rPr>
          <w:szCs w:val="24"/>
        </w:rPr>
        <w:t>payer or to any other person for depreciation or amortization.”  § 1245(a)(2)(A).</w:t>
      </w:r>
    </w:p>
    <w:p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t>
      </w:r>
      <w:r w:rsidRPr="00576ED7">
        <w:rPr>
          <w:szCs w:val="24"/>
        </w:rPr>
        <w:lastRenderedPageBreak/>
        <w:t>was less than the amount allowable.  § 1245(a)(2)(B).</w:t>
      </w:r>
    </w:p>
    <w:p w:rsidR="0049128E" w:rsidRPr="00576ED7" w:rsidRDefault="0049128E" w:rsidP="00A6585D">
      <w:pPr>
        <w:widowControl w:val="0"/>
        <w:ind w:left="1440"/>
        <w:jc w:val="both"/>
        <w:rPr>
          <w:szCs w:val="24"/>
        </w:rPr>
      </w:pPr>
      <w:r w:rsidRPr="00576ED7">
        <w:rPr>
          <w:szCs w:val="24"/>
        </w:rPr>
        <w:t>•Deductions allowed by provisions other than § 167 and § 168 – notably expensing provisions that reduce taxpayer’s basis in the property – are also considered to be “amortization,” § 1245(a)(2)(C), and so become a part of the property’s “recomputed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property” is property that is subject to an allowance for depreci</w:t>
      </w:r>
      <w:r w:rsidRPr="00576ED7">
        <w:rPr>
          <w:szCs w:val="24"/>
        </w:rPr>
        <w:t>a</w:t>
      </w:r>
      <w:r w:rsidRPr="00576ED7">
        <w:rPr>
          <w:szCs w:val="24"/>
        </w:rPr>
        <w:t xml:space="preserve">tion under § 167 (which of course includes § 168) and is – </w:t>
      </w:r>
    </w:p>
    <w:p w:rsidR="0049128E" w:rsidRPr="00576ED7" w:rsidRDefault="0049128E" w:rsidP="00A6585D">
      <w:pPr>
        <w:widowControl w:val="0"/>
        <w:ind w:left="720"/>
        <w:jc w:val="both"/>
        <w:rPr>
          <w:szCs w:val="24"/>
        </w:rPr>
      </w:pPr>
      <w:r w:rsidRPr="00576ED7">
        <w:rPr>
          <w:szCs w:val="24"/>
        </w:rPr>
        <w:t>•personal property, § 1245(a)(3)(A),</w:t>
      </w:r>
    </w:p>
    <w:p w:rsidR="0049128E" w:rsidRPr="00576ED7" w:rsidRDefault="0049128E" w:rsidP="00A6585D">
      <w:pPr>
        <w:widowControl w:val="0"/>
        <w:ind w:left="720"/>
        <w:jc w:val="both"/>
        <w:rPr>
          <w:szCs w:val="24"/>
        </w:rPr>
      </w:pPr>
      <w:r w:rsidRPr="00576ED7">
        <w:rPr>
          <w:szCs w:val="24"/>
        </w:rPr>
        <w:t>•other tangible property – not including a building or structural comp</w:t>
      </w:r>
      <w:r w:rsidRPr="00576ED7">
        <w:rPr>
          <w:szCs w:val="24"/>
        </w:rPr>
        <w:t>o</w:t>
      </w:r>
      <w:r w:rsidRPr="00576ED7">
        <w:rPr>
          <w:szCs w:val="24"/>
        </w:rPr>
        <w:t>nents – that was used as an “integral part of manufacturing, production, or extraction or of furnishing transportation, communications, electrical e</w:t>
      </w:r>
      <w:r w:rsidRPr="00576ED7">
        <w:rPr>
          <w:szCs w:val="24"/>
        </w:rPr>
        <w:t>n</w:t>
      </w:r>
      <w:r w:rsidRPr="00576ED7">
        <w:rPr>
          <w:szCs w:val="24"/>
        </w:rPr>
        <w:t>ergy, gas, water, or sewage disposal services,” § 1245(a)(3)(B)(i), that constituted a research facility in connection with these activities, § 1245(a)(3)(B)(ii), or that constituted a facility used in connection with such activities for the bulk storage of fungible commodities, § 1245(a)(3)(B)(iii),</w:t>
      </w:r>
    </w:p>
    <w:p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 1245(a)(3)(C),</w:t>
      </w:r>
    </w:p>
    <w:p w:rsidR="0049128E" w:rsidRPr="00576ED7" w:rsidRDefault="0049128E" w:rsidP="00A6585D">
      <w:pPr>
        <w:widowControl w:val="0"/>
        <w:ind w:left="720"/>
        <w:jc w:val="both"/>
        <w:rPr>
          <w:szCs w:val="24"/>
        </w:rPr>
      </w:pPr>
      <w:r w:rsidRPr="00576ED7">
        <w:rPr>
          <w:szCs w:val="24"/>
        </w:rPr>
        <w:t>•a “single purpose agricultural or horticultural structure,” § 1245(a)(3)(D),</w:t>
      </w:r>
    </w:p>
    <w:p w:rsidR="0049128E" w:rsidRPr="00576ED7" w:rsidRDefault="0049128E" w:rsidP="00A6585D">
      <w:pPr>
        <w:widowControl w:val="0"/>
        <w:ind w:left="720"/>
        <w:jc w:val="both"/>
        <w:rPr>
          <w:szCs w:val="24"/>
        </w:rPr>
      </w:pPr>
      <w:r w:rsidRPr="00576ED7">
        <w:rPr>
          <w:szCs w:val="24"/>
        </w:rPr>
        <w:t>•a “storage facility (not including a building or its structural components) used in connection with the distribution of petroleum” products, § 1245(a)(3)(E), or</w:t>
      </w:r>
    </w:p>
    <w:p w:rsidR="0049128E" w:rsidRPr="00576ED7" w:rsidRDefault="0049128E" w:rsidP="00A6585D">
      <w:pPr>
        <w:widowControl w:val="0"/>
        <w:ind w:left="720"/>
        <w:jc w:val="both"/>
        <w:rPr>
          <w:szCs w:val="24"/>
        </w:rPr>
      </w:pPr>
      <w:r w:rsidRPr="00576ED7">
        <w:rPr>
          <w:szCs w:val="24"/>
        </w:rPr>
        <w:t>•a “railroad grading or tunnel bore,” § 1245(a)(3)(F).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w:t>
      </w:r>
      <w:r w:rsidRPr="00576ED7">
        <w:rPr>
          <w:szCs w:val="24"/>
        </w:rPr>
        <w:t>:</w:t>
      </w:r>
    </w:p>
    <w:p w:rsidR="0049128E" w:rsidRPr="00576ED7" w:rsidRDefault="0049128E" w:rsidP="00A6585D">
      <w:pPr>
        <w:widowControl w:val="0"/>
        <w:jc w:val="both"/>
        <w:rPr>
          <w:szCs w:val="24"/>
        </w:rPr>
      </w:pPr>
      <w:r w:rsidRPr="00576ED7">
        <w:rPr>
          <w:szCs w:val="24"/>
        </w:rPr>
        <w:t>•Taxpayer is a professional violinist who plays the violin for the local symphony orchestra.  She purchased a violin bow for $100,000 in May 2011.  Treat a violin bow as 7-year property.  In January 2013, she sold the bow for $110,000.  What is the taxable gain on which taxpayer must pay tax and what is the character of that gain?</w:t>
      </w:r>
    </w:p>
    <w:p w:rsidR="0049128E" w:rsidRPr="00576ED7" w:rsidRDefault="0049128E" w:rsidP="00A6585D">
      <w:pPr>
        <w:widowControl w:val="0"/>
        <w:ind w:left="720"/>
        <w:jc w:val="both"/>
        <w:rPr>
          <w:szCs w:val="24"/>
        </w:rPr>
      </w:pPr>
      <w:r w:rsidRPr="00576ED7">
        <w:rPr>
          <w:szCs w:val="24"/>
        </w:rPr>
        <w:t>•Taxpayer will deduct a depreciation allowance under § 168.  She will a</w:t>
      </w:r>
      <w:r w:rsidRPr="00576ED7">
        <w:rPr>
          <w:szCs w:val="24"/>
        </w:rPr>
        <w:t>p</w:t>
      </w:r>
      <w:r w:rsidRPr="00576ED7">
        <w:rPr>
          <w:szCs w:val="24"/>
        </w:rPr>
        <w:t>ply the half-year convention to both the year in which she placed the bow in service and the year of sale.  § 168(d)(4).</w:t>
      </w:r>
    </w:p>
    <w:p w:rsidR="0049128E" w:rsidRPr="00576ED7" w:rsidRDefault="0049128E" w:rsidP="00A6585D">
      <w:pPr>
        <w:widowControl w:val="0"/>
        <w:ind w:left="1440"/>
        <w:jc w:val="both"/>
        <w:rPr>
          <w:szCs w:val="24"/>
        </w:rPr>
      </w:pPr>
      <w:r w:rsidRPr="00576ED7">
        <w:rPr>
          <w:szCs w:val="24"/>
        </w:rPr>
        <w:t>•Go to the tables at the front of your Code.  In 2011, she will d</w:t>
      </w:r>
      <w:r w:rsidRPr="00576ED7">
        <w:rPr>
          <w:szCs w:val="24"/>
        </w:rPr>
        <w:t>e</w:t>
      </w:r>
      <w:r w:rsidRPr="00576ED7">
        <w:rPr>
          <w:szCs w:val="24"/>
        </w:rPr>
        <w:t xml:space="preserve">duct 14.29% of $100,000, or $14,290.  In 2012, she will deduct 24.49% of $100,000, or $24,490.  In 2013, she will deduct half of </w:t>
      </w:r>
      <w:r w:rsidRPr="00576ED7">
        <w:rPr>
          <w:szCs w:val="24"/>
        </w:rPr>
        <w:lastRenderedPageBreak/>
        <w:t>17.49% of $100,000, or $8745.</w:t>
      </w:r>
    </w:p>
    <w:p w:rsidR="0049128E" w:rsidRPr="00576ED7" w:rsidRDefault="0049128E" w:rsidP="00A6585D">
      <w:pPr>
        <w:widowControl w:val="0"/>
        <w:ind w:left="1440"/>
        <w:jc w:val="both"/>
        <w:rPr>
          <w:szCs w:val="24"/>
        </w:rPr>
      </w:pPr>
      <w:r w:rsidRPr="00576ED7">
        <w:rPr>
          <w:szCs w:val="24"/>
        </w:rPr>
        <w:t>•Taxpayer’s remaining basis in the violin bow is $52,475.</w:t>
      </w:r>
    </w:p>
    <w:p w:rsidR="0049128E" w:rsidRPr="00576ED7" w:rsidRDefault="0049128E" w:rsidP="00A6585D">
      <w:pPr>
        <w:widowControl w:val="0"/>
        <w:ind w:left="1440"/>
        <w:jc w:val="both"/>
        <w:rPr>
          <w:szCs w:val="24"/>
        </w:rPr>
      </w:pPr>
      <w:r w:rsidRPr="00576ED7">
        <w:rPr>
          <w:szCs w:val="24"/>
        </w:rPr>
        <w:t>•Taxpayer’s “recomputed basis” is $100,000.  It is less than the amount realized.  Hence, taxpayer has depreciation recapture i</w:t>
      </w:r>
      <w:r w:rsidRPr="00576ED7">
        <w:rPr>
          <w:szCs w:val="24"/>
        </w:rPr>
        <w:t>n</w:t>
      </w:r>
      <w:r w:rsidRPr="00576ED7">
        <w:rPr>
          <w:szCs w:val="24"/>
        </w:rPr>
        <w:t>come of $47,525.  This is ordinary income.  The balance of ta</w:t>
      </w:r>
      <w:r w:rsidRPr="00576ED7">
        <w:rPr>
          <w:szCs w:val="24"/>
        </w:rPr>
        <w:t>x</w:t>
      </w:r>
      <w:r w:rsidRPr="00576ED7">
        <w:rPr>
          <w:szCs w:val="24"/>
        </w:rPr>
        <w:t>payer’s gain (i.e., $10,000) is § 1231 gain, which will be subject to tax as if it were long 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•Suppose that taxpayer sold the violin bow for $90,000.</w:t>
      </w:r>
    </w:p>
    <w:p w:rsidR="0049128E" w:rsidRPr="00576ED7" w:rsidRDefault="0049128E" w:rsidP="00A6585D">
      <w:pPr>
        <w:widowControl w:val="0"/>
        <w:ind w:left="720"/>
        <w:jc w:val="both"/>
        <w:rPr>
          <w:szCs w:val="24"/>
        </w:rPr>
      </w:pPr>
      <w:r w:rsidRPr="00576ED7">
        <w:rPr>
          <w:szCs w:val="24"/>
        </w:rPr>
        <w:t>•Now the amount realized is less than taxpayer’s recomputed basis.</w:t>
      </w:r>
    </w:p>
    <w:p w:rsidR="0049128E" w:rsidRPr="00576ED7" w:rsidRDefault="0049128E" w:rsidP="00A6585D">
      <w:pPr>
        <w:widowControl w:val="0"/>
        <w:ind w:left="720"/>
        <w:jc w:val="both"/>
        <w:rPr>
          <w:szCs w:val="24"/>
        </w:rPr>
      </w:pPr>
      <w:r w:rsidRPr="00576ED7">
        <w:rPr>
          <w:szCs w:val="24"/>
        </w:rPr>
        <w:t>•Hence, taxpayer’s depreciation recapture income is $37,525.  This i</w:t>
      </w:r>
      <w:r w:rsidRPr="00576ED7">
        <w:rPr>
          <w:szCs w:val="24"/>
        </w:rPr>
        <w:t>n</w:t>
      </w:r>
      <w:r w:rsidRPr="00576ED7">
        <w:rPr>
          <w:szCs w:val="24"/>
        </w:rPr>
        <w:t>come is subject to tax as ordinary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provides specific rules governing certain dispositions.</w:t>
      </w:r>
    </w:p>
    <w:p w:rsidR="0049128E" w:rsidRPr="00576ED7" w:rsidRDefault="0049128E" w:rsidP="00A6585D">
      <w:pPr>
        <w:widowControl w:val="0"/>
        <w:ind w:left="720"/>
        <w:jc w:val="both"/>
        <w:rPr>
          <w:szCs w:val="24"/>
        </w:rPr>
      </w:pPr>
      <w:r w:rsidRPr="00576ED7">
        <w:rPr>
          <w:szCs w:val="24"/>
        </w:rPr>
        <w:t>•Section 1245 does not apply to a disposition by gift.  § 1245(b)(1).  I</w:t>
      </w:r>
      <w:r w:rsidRPr="00576ED7">
        <w:rPr>
          <w:szCs w:val="24"/>
        </w:rPr>
        <w:t>n</w:t>
      </w:r>
      <w:r w:rsidRPr="00576ED7">
        <w:rPr>
          <w:szCs w:val="24"/>
        </w:rPr>
        <w:t>stead, the donee takes the donor’s basis for purposes of determining gain – and includes recapture income in his/her income upon disposition of the gifted property.</w:t>
      </w:r>
    </w:p>
    <w:p w:rsidR="0049128E" w:rsidRPr="00576ED7" w:rsidRDefault="0049128E" w:rsidP="00A6585D">
      <w:pPr>
        <w:widowControl w:val="0"/>
        <w:ind w:left="720"/>
        <w:jc w:val="both"/>
        <w:rPr>
          <w:szCs w:val="24"/>
        </w:rPr>
      </w:pPr>
      <w:r w:rsidRPr="00576ED7">
        <w:rPr>
          <w:szCs w:val="24"/>
        </w:rPr>
        <w:t>•Section 1245 does not apply to a transfer at death.  § 1245(b)(2).  Since there is a basis step-up on property acquired from a decedent, § 1014(a), depreciation recapture is not subject to tax at all upon such a disposition.</w:t>
      </w:r>
    </w:p>
    <w:p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  § 1245(b)(3).  Instead, the recipient – who takes a carryover basis – will recognize depreciation recapture income upon disposition of the property.</w:t>
      </w:r>
    </w:p>
    <w:p w:rsidR="0049128E" w:rsidRPr="00576ED7" w:rsidRDefault="0049128E" w:rsidP="00A6585D">
      <w:pPr>
        <w:widowControl w:val="0"/>
        <w:ind w:left="720"/>
        <w:jc w:val="both"/>
        <w:rPr>
          <w:szCs w:val="24"/>
        </w:rPr>
      </w:pPr>
      <w:r w:rsidRPr="00576ED7">
        <w:rPr>
          <w:szCs w:val="24"/>
        </w:rPr>
        <w:t>•In a tax-deferred like-kind exchange (§ 1031) or involuntary conversion (§ 1033), depreciation recapture is subject to tax only to the extent the a</w:t>
      </w:r>
      <w:r w:rsidRPr="00576ED7">
        <w:rPr>
          <w:szCs w:val="24"/>
        </w:rPr>
        <w:t>c</w:t>
      </w:r>
      <w:r w:rsidRPr="00576ED7">
        <w:rPr>
          <w:szCs w:val="24"/>
        </w:rPr>
        <w:t>quisition of property not qualifying for tax-deferred treatment is subject to tax plus the fmv of non-section 1245 property acquired.  § 1245(b)(4).  I</w:t>
      </w:r>
      <w:r w:rsidRPr="00576ED7">
        <w:rPr>
          <w:szCs w:val="24"/>
        </w:rPr>
        <w:t>n</w:t>
      </w:r>
      <w:r w:rsidRPr="00576ED7">
        <w:rPr>
          <w:szCs w:val="24"/>
        </w:rPr>
        <w:t>stead gain on the disposition of the replacement property attributable to depreciation allowances on both the original and the replacement prope</w:t>
      </w:r>
      <w:r w:rsidRPr="00576ED7">
        <w:rPr>
          <w:szCs w:val="24"/>
        </w:rPr>
        <w:t>r</w:t>
      </w:r>
      <w:r w:rsidRPr="00576ED7">
        <w:rPr>
          <w:szCs w:val="24"/>
        </w:rPr>
        <w:t>ties is depreciation recapture income.</w:t>
      </w:r>
    </w:p>
    <w:p w:rsidR="0049128E" w:rsidRPr="00576ED7" w:rsidRDefault="0049128E" w:rsidP="00A6585D">
      <w:pPr>
        <w:widowControl w:val="0"/>
        <w:ind w:left="720"/>
        <w:jc w:val="both"/>
        <w:rPr>
          <w:szCs w:val="24"/>
        </w:rPr>
      </w:pPr>
      <w:r w:rsidRPr="00576ED7">
        <w:rPr>
          <w:szCs w:val="24"/>
        </w:rPr>
        <w:t>•Section 1245 does not apply to a tax-deferred distribution of partnership property to a partner.  § 1245(b)(5)(A).  The partner will recognize depr</w:t>
      </w:r>
      <w:r w:rsidRPr="00576ED7">
        <w:rPr>
          <w:szCs w:val="24"/>
        </w:rPr>
        <w:t>e</w:t>
      </w:r>
      <w:r w:rsidRPr="00576ED7">
        <w:rPr>
          <w:szCs w:val="24"/>
        </w:rPr>
        <w:t>ciation recapture income upon his/her/its disposition of the property (su</w:t>
      </w:r>
      <w:r w:rsidRPr="00576ED7">
        <w:rPr>
          <w:szCs w:val="24"/>
        </w:rPr>
        <w:t>b</w:t>
      </w:r>
      <w:r w:rsidRPr="00576ED7">
        <w:rPr>
          <w:szCs w:val="24"/>
        </w:rPr>
        <w:t>ject to some very technical adjustments).</w:t>
      </w:r>
    </w:p>
    <w:p w:rsidR="0049128E" w:rsidRPr="00576ED7" w:rsidRDefault="0049128E" w:rsidP="00A6585D">
      <w:pPr>
        <w:widowControl w:val="0"/>
        <w:ind w:left="720"/>
        <w:jc w:val="both"/>
        <w:rPr>
          <w:szCs w:val="24"/>
        </w:rPr>
      </w:pPr>
      <w:r w:rsidRPr="00576ED7">
        <w:rPr>
          <w:szCs w:val="24"/>
        </w:rPr>
        <w:t>•Section 1245 does not apply to a disposition to a tax-exempt organiz</w:t>
      </w:r>
      <w:r w:rsidRPr="00576ED7">
        <w:rPr>
          <w:szCs w:val="24"/>
        </w:rPr>
        <w:t>a</w:t>
      </w:r>
      <w:r w:rsidRPr="00576ED7">
        <w:rPr>
          <w:szCs w:val="24"/>
        </w:rPr>
        <w:t xml:space="preserve">tion, § 1245(b)(3), unless the organization immediately uses the property </w:t>
      </w:r>
      <w:r w:rsidRPr="00576ED7">
        <w:rPr>
          <w:szCs w:val="24"/>
        </w:rPr>
        <w:lastRenderedPageBreak/>
        <w:t>in a trade or business unrelated to its exemption, § 1245(b)(6)(A).  If the tax exempt organization later ceases to use the property for a purpose r</w:t>
      </w:r>
      <w:r w:rsidRPr="00576ED7">
        <w:rPr>
          <w:szCs w:val="24"/>
        </w:rPr>
        <w:t>e</w:t>
      </w:r>
      <w:r w:rsidRPr="00576ED7">
        <w:rPr>
          <w:szCs w:val="24"/>
        </w:rPr>
        <w:t xml:space="preserve">lated to its exemption, </w:t>
      </w:r>
      <w:r w:rsidRPr="00576ED7">
        <w:rPr>
          <w:i/>
          <w:szCs w:val="24"/>
        </w:rPr>
        <w:t>it</w:t>
      </w:r>
      <w:r w:rsidRPr="00576ED7">
        <w:rPr>
          <w:szCs w:val="24"/>
        </w:rPr>
        <w:t xml:space="preserve"> is treated as having made a disposition on the date of such cessation.  § 1245(b)(6)(B).</w:t>
      </w:r>
    </w:p>
    <w:p w:rsidR="0049128E" w:rsidRPr="00576ED7" w:rsidRDefault="0049128E" w:rsidP="00A6585D">
      <w:pPr>
        <w:widowControl w:val="0"/>
        <w:ind w:left="720"/>
        <w:jc w:val="both"/>
        <w:rPr>
          <w:szCs w:val="24"/>
        </w:rPr>
      </w:pPr>
      <w:r w:rsidRPr="00576ED7">
        <w:rPr>
          <w:szCs w:val="24"/>
        </w:rPr>
        <w:t>•Special amortization rules apply to reforestation expenditures.  § 194.  An 84-month amortization period applies.  § 194(a)(1).  Ten years after a</w:t>
      </w:r>
      <w:r w:rsidRPr="00576ED7">
        <w:rPr>
          <w:szCs w:val="24"/>
        </w:rPr>
        <w:t>c</w:t>
      </w:r>
      <w:r w:rsidRPr="00576ED7">
        <w:rPr>
          <w:szCs w:val="24"/>
        </w:rPr>
        <w:t>quiring the “amortizable basis” for incurring reforestation expenditures, gain on the disposition of such assets is no longer considered to be depr</w:t>
      </w:r>
      <w:r w:rsidRPr="00576ED7">
        <w:rPr>
          <w:szCs w:val="24"/>
        </w:rPr>
        <w:t>e</w:t>
      </w:r>
      <w:r w:rsidRPr="00576ED7">
        <w:rPr>
          <w:szCs w:val="24"/>
        </w:rPr>
        <w:t>ciation recapture.  § 1245(b)(7).</w:t>
      </w:r>
    </w:p>
    <w:p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w:t>
      </w:r>
      <w:r w:rsidRPr="00576ED7">
        <w:rPr>
          <w:szCs w:val="24"/>
        </w:rPr>
        <w:t>d</w:t>
      </w:r>
      <w:r w:rsidRPr="00576ED7">
        <w:rPr>
          <w:szCs w:val="24"/>
        </w:rPr>
        <w:t>ered to be one section 1245 property.  § 1245(b)(8)(A).  However, this rule does not apply to a section 197 intangible whose fmv is less than its a</w:t>
      </w:r>
      <w:r w:rsidRPr="00576ED7">
        <w:rPr>
          <w:szCs w:val="24"/>
        </w:rPr>
        <w:t>d</w:t>
      </w:r>
      <w:r w:rsidRPr="00576ED7">
        <w:rPr>
          <w:szCs w:val="24"/>
        </w:rPr>
        <w:t>justed basis.  § 1245(b)(8)(B).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1245(d) provides that § 1245 applies “notwithstanding any other prov</w:t>
      </w:r>
      <w:r w:rsidRPr="00576ED7">
        <w:rPr>
          <w:szCs w:val="24"/>
        </w:rPr>
        <w:t>i</w:t>
      </w:r>
      <w:r w:rsidRPr="00576ED7">
        <w:rPr>
          <w:szCs w:val="24"/>
        </w:rPr>
        <w:t>sion of this subtitle.”  This means that except to the extent § 1245 itself excepts its own applicability, depreciation recapture will be carved out of the gain on any disposition of depreciable or amortizable property and be subject to tax as ord</w:t>
      </w:r>
      <w:r w:rsidRPr="00576ED7">
        <w:rPr>
          <w:szCs w:val="24"/>
        </w:rPr>
        <w:t>i</w:t>
      </w:r>
      <w:r w:rsidRPr="00576ED7">
        <w:rPr>
          <w:szCs w:val="24"/>
        </w:rPr>
        <w:t>nary income.  This important provision limits taxpayer opportunity to mismatch the character of income against which his/she/it claims deductions with the cha</w:t>
      </w:r>
      <w:r w:rsidRPr="00576ED7">
        <w:rPr>
          <w:szCs w:val="24"/>
        </w:rPr>
        <w:t>r</w:t>
      </w:r>
      <w:r w:rsidRPr="00576ED7">
        <w:rPr>
          <w:szCs w:val="24"/>
        </w:rPr>
        <w:t>acter of subsequent resulting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Section 1250 treats as ordinary income, § 1250(a)(1)(A), the recapture of so-called “additional depreciation,” i.e., the excess of depreciation adjustments over straight-line adjustments on “section 1250 property” held for more than one year.  § 1250(b)(1).  Section 1250 property is real property to which § 1245 does not apply.  Since § 168 allowances on real property are all straight-line, the applic</w:t>
      </w:r>
      <w:r w:rsidRPr="00576ED7">
        <w:rPr>
          <w:szCs w:val="24"/>
        </w:rPr>
        <w:t>a</w:t>
      </w:r>
      <w:r w:rsidRPr="00576ED7">
        <w:rPr>
          <w:szCs w:val="24"/>
        </w:rPr>
        <w:t>bility of § 1250 is limited.</w:t>
      </w:r>
    </w:p>
    <w:p w:rsidR="00CE249A" w:rsidRPr="00576ED7" w:rsidRDefault="00CE249A" w:rsidP="00A6585D">
      <w:pPr>
        <w:widowControl w:val="0"/>
        <w:jc w:val="both"/>
        <w:rPr>
          <w:szCs w:val="24"/>
        </w:rPr>
      </w:pPr>
    </w:p>
    <w:p w:rsidR="0049128E" w:rsidRPr="00576ED7" w:rsidRDefault="0049128E" w:rsidP="00A6585D">
      <w:pPr>
        <w:widowControl w:val="0"/>
        <w:jc w:val="both"/>
        <w:rPr>
          <w:szCs w:val="24"/>
        </w:rPr>
      </w:pPr>
      <w:r w:rsidRPr="00576ED7">
        <w:rPr>
          <w:szCs w:val="24"/>
        </w:rPr>
        <w:t>Nevertheless, depreciation allowances on real property are recaptured for indivi</w:t>
      </w:r>
      <w:r w:rsidRPr="00576ED7">
        <w:rPr>
          <w:szCs w:val="24"/>
        </w:rPr>
        <w:t>d</w:t>
      </w:r>
      <w:r w:rsidRPr="00576ED7">
        <w:rPr>
          <w:szCs w:val="24"/>
        </w:rPr>
        <w:t>ual taxpayers to an extent through the (complicated) interplay of § 1(h)(6) (</w:t>
      </w:r>
      <w:r w:rsidRPr="00576ED7">
        <w:rPr>
          <w:i/>
          <w:szCs w:val="24"/>
        </w:rPr>
        <w:t>supra</w:t>
      </w:r>
      <w:r w:rsidRPr="00576ED7">
        <w:rPr>
          <w:szCs w:val="24"/>
        </w:rPr>
        <w:t>) and § 1231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1" w:name="_Toc375132968"/>
      <w:r w:rsidRPr="00576ED7">
        <w:lastRenderedPageBreak/>
        <w:t>III.  Section 1231: Some Limited Mismatching</w:t>
      </w:r>
      <w:bookmarkEnd w:id="81"/>
      <w:r w:rsidRPr="00576ED7">
        <w:fldChar w:fldCharType="begin"/>
      </w:r>
      <w:r w:rsidRPr="00576ED7">
        <w:instrText xml:space="preserve"> TC \l1 "III.  Section 1231: Some Limited Mismatching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World War II, the nation moved to a war economy.  The Government seized many of the nation’s productive assets in order to convert them to produ</w:t>
      </w:r>
      <w:r w:rsidRPr="00576ED7">
        <w:rPr>
          <w:szCs w:val="24"/>
        </w:rPr>
        <w:t>c</w:t>
      </w:r>
      <w:r w:rsidRPr="00576ED7">
        <w:rPr>
          <w:szCs w:val="24"/>
        </w:rPr>
        <w:t>tion of items critical to the war effort.  The Fifth Amendment to the Constitution of course requires that the owners of such properties be justly compensated.  However, the owners of businesses may not have particularly wished to sell their assets to the Government and then to pay income tax (at wartime rates) on the taxable gains they were forced to recognize.  Congress responded by enacting § 1231 – a sort of “heads-I-win-tails-you-lose” measure for taxpayers who found themselves with (substantial amounts of) unplanned-for taxable income.  Basica</w:t>
      </w:r>
      <w:r w:rsidRPr="00576ED7">
        <w:rPr>
          <w:szCs w:val="24"/>
        </w:rPr>
        <w:t>l</w:t>
      </w:r>
      <w:r w:rsidRPr="00576ED7">
        <w:rPr>
          <w:szCs w:val="24"/>
        </w:rPr>
        <w:t xml:space="preserve">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treated as </w:t>
      </w:r>
      <w:r w:rsidRPr="00576ED7">
        <w:rPr>
          <w:i/>
          <w:szCs w:val="24"/>
        </w:rPr>
        <w:t>ordinary</w:t>
      </w:r>
      <w:r w:rsidRPr="00576ED7">
        <w:rPr>
          <w:szCs w:val="24"/>
        </w:rPr>
        <w:t xml:space="preserve"> losses.  World War II ended a long time ago, but § 1231 is still with us.  It has become a very important prov</w:t>
      </w:r>
      <w:r w:rsidRPr="00576ED7">
        <w:rPr>
          <w:szCs w:val="24"/>
        </w:rPr>
        <w:t>i</w:t>
      </w:r>
      <w:r w:rsidRPr="00576ED7">
        <w:rPr>
          <w:szCs w:val="24"/>
        </w:rPr>
        <w:t>sion in the sale of a business’s productive assets.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 1231(a)(3).  Section 1231(b) </w:t>
      </w:r>
      <w:r w:rsidR="0094449A">
        <w:rPr>
          <w:szCs w:val="24"/>
        </w:rPr>
        <w:t xml:space="preserve">defines </w:t>
      </w:r>
      <w:r w:rsidRPr="00576ED7">
        <w:rPr>
          <w:szCs w:val="24"/>
        </w:rPr>
        <w:t>“prope</w:t>
      </w:r>
      <w:r w:rsidRPr="00576ED7">
        <w:rPr>
          <w:szCs w:val="24"/>
        </w:rPr>
        <w:t>r</w:t>
      </w:r>
      <w:r w:rsidRPr="00576ED7">
        <w:rPr>
          <w:szCs w:val="24"/>
        </w:rPr>
        <w:t xml:space="preserve">ty used in the trade or business” essentially </w:t>
      </w:r>
      <w:r w:rsidR="0094449A">
        <w:rPr>
          <w:szCs w:val="24"/>
        </w:rPr>
        <w:t xml:space="preserve">as </w:t>
      </w:r>
      <w:r w:rsidRPr="00576ED7">
        <w:rPr>
          <w:szCs w:val="24"/>
        </w:rPr>
        <w:t>“property used in the trade or bus</w:t>
      </w:r>
      <w:r w:rsidRPr="00576ED7">
        <w:rPr>
          <w:szCs w:val="24"/>
        </w:rPr>
        <w:t>i</w:t>
      </w:r>
      <w:r w:rsidRPr="00576ED7">
        <w:rPr>
          <w:szCs w:val="24"/>
        </w:rPr>
        <w:t>ness, of a character which is subject to the allowance for depreciation provided in section 167, held for more than 1 year, and real property used in the trade or bus</w:t>
      </w:r>
      <w:r w:rsidRPr="00576ED7">
        <w:rPr>
          <w:szCs w:val="24"/>
        </w:rPr>
        <w:t>i</w:t>
      </w:r>
      <w:r w:rsidRPr="00576ED7">
        <w:rPr>
          <w:szCs w:val="24"/>
        </w:rPr>
        <w:t xml:space="preserve">ness, held for more than 1 year[.]”  § 1231(b)(1).  Such property is the same as the property that § 1221(a)(2) </w:t>
      </w:r>
      <w:r w:rsidR="00D25AC8">
        <w:rPr>
          <w:szCs w:val="24"/>
        </w:rPr>
        <w:t xml:space="preserve">describes, </w:t>
      </w:r>
      <w:r w:rsidR="00835079">
        <w:rPr>
          <w:szCs w:val="24"/>
        </w:rPr>
        <w:t xml:space="preserve">but which the </w:t>
      </w:r>
      <w:r w:rsidR="00AF30B7">
        <w:rPr>
          <w:szCs w:val="24"/>
        </w:rPr>
        <w:t xml:space="preserve">taxpayer has held for more than one year.  Such property </w:t>
      </w:r>
      <w:r w:rsidRPr="00576ED7">
        <w:rPr>
          <w:szCs w:val="24"/>
        </w:rPr>
        <w:t>does not encompass property that § 1221(a)(1, 3, and 5) describes</w:t>
      </w:r>
      <w:r w:rsidR="00AF30B7">
        <w:rPr>
          <w:szCs w:val="24"/>
        </w:rPr>
        <w:t>.</w:t>
      </w:r>
    </w:p>
    <w:p w:rsidR="00D25AC8" w:rsidRDefault="00D25AC8" w:rsidP="00A6585D">
      <w:pPr>
        <w:widowControl w:val="0"/>
        <w:jc w:val="both"/>
        <w:rPr>
          <w:szCs w:val="24"/>
        </w:rPr>
      </w:pPr>
    </w:p>
    <w:p w:rsidR="00D25AC8" w:rsidRPr="00576ED7" w:rsidRDefault="00D25AC8" w:rsidP="00A6585D">
      <w:pPr>
        <w:widowControl w:val="0"/>
        <w:jc w:val="both"/>
        <w:rPr>
          <w:szCs w:val="24"/>
        </w:rPr>
      </w:pPr>
      <w:r>
        <w:rPr>
          <w:szCs w:val="24"/>
        </w:rPr>
        <w:t xml:space="preserve">Section 1231 requires two netting processes – both of which adopt the “heads-I-win-tails-you lose” characterization of transactions that net to a gain as capital and transactions that net to a loss as ordinary.  If the first netting process yields a gain, </w:t>
      </w:r>
      <w:r w:rsidR="00C12A23">
        <w:rPr>
          <w:szCs w:val="24"/>
        </w:rPr>
        <w:t xml:space="preserve">the net gain </w:t>
      </w:r>
      <w:r>
        <w:rPr>
          <w:szCs w:val="24"/>
        </w:rPr>
        <w:t>becomes a part of the second netting process.  Those who write about § 1231 often describe this in terms of mixing ingredients in two pots.  If the mi</w:t>
      </w:r>
      <w:r>
        <w:rPr>
          <w:szCs w:val="24"/>
        </w:rPr>
        <w:t>x</w:t>
      </w:r>
      <w:r>
        <w:rPr>
          <w:szCs w:val="24"/>
        </w:rPr>
        <w:t>ture in the first pot yields a net positive, it is added to the second pot; otherwise, it is not added.  We are talking about non-statutory terms so we can use any term</w:t>
      </w:r>
      <w:r>
        <w:rPr>
          <w:szCs w:val="24"/>
        </w:rPr>
        <w:t>i</w:t>
      </w:r>
      <w:r>
        <w:rPr>
          <w:szCs w:val="24"/>
        </w:rPr>
        <w:t>nology we wish – but let’s consider the first netting process to occur in a “fir</w:t>
      </w:r>
      <w:r>
        <w:rPr>
          <w:szCs w:val="24"/>
        </w:rPr>
        <w:t>e</w:t>
      </w:r>
      <w:r>
        <w:rPr>
          <w:szCs w:val="24"/>
        </w:rPr>
        <w:t>pot.”  The second netting process occurs in a “hotchpot.”</w:t>
      </w:r>
    </w:p>
    <w:p w:rsidR="0049128E" w:rsidRPr="00576ED7" w:rsidRDefault="0049128E" w:rsidP="00A6585D">
      <w:pPr>
        <w:widowControl w:val="0"/>
        <w:jc w:val="both"/>
        <w:rPr>
          <w:szCs w:val="24"/>
        </w:rPr>
      </w:pPr>
    </w:p>
    <w:p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w:t>
      </w:r>
      <w:r w:rsidR="0049128E" w:rsidRPr="00576ED7">
        <w:rPr>
          <w:szCs w:val="24"/>
        </w:rPr>
        <w:lastRenderedPageBreak/>
        <w:t xml:space="preserve">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w:t>
      </w:r>
      <w:r w:rsidR="00835079">
        <w:rPr>
          <w:szCs w:val="24"/>
        </w:rPr>
        <w:t>c</w:t>
      </w:r>
      <w:r w:rsidR="00835079">
        <w:rPr>
          <w:szCs w:val="24"/>
        </w:rPr>
        <w:t>tion with a trade or business or transaction entered into for profit.</w:t>
      </w:r>
      <w:r>
        <w:rPr>
          <w:szCs w:val="24"/>
        </w:rPr>
        <w:t xml:space="preserve">  § 1231(a)(4)(C).  </w:t>
      </w:r>
      <w:r w:rsidRPr="00576ED7">
        <w:rPr>
          <w:szCs w:val="24"/>
        </w:rPr>
        <w:t xml:space="preserve">If a taxpayer’s gains and losses from </w:t>
      </w:r>
      <w:r>
        <w:rPr>
          <w:szCs w:val="24"/>
        </w:rPr>
        <w:t xml:space="preserve">such </w:t>
      </w:r>
      <w:r w:rsidRPr="00576ED7">
        <w:rPr>
          <w:szCs w:val="24"/>
        </w:rPr>
        <w:t>“involuntary conve</w:t>
      </w:r>
      <w:r w:rsidRPr="00576ED7">
        <w:rPr>
          <w:szCs w:val="24"/>
        </w:rPr>
        <w:t>r</w:t>
      </w:r>
      <w:r w:rsidRPr="00576ED7">
        <w:rPr>
          <w:szCs w:val="24"/>
        </w:rPr>
        <w:t xml:space="preserve">sions” </w:t>
      </w:r>
      <w:r>
        <w:rPr>
          <w:szCs w:val="24"/>
        </w:rPr>
        <w:t xml:space="preserve">resulting from </w:t>
      </w:r>
      <w:r w:rsidRPr="00576ED7">
        <w:rPr>
          <w:szCs w:val="24"/>
        </w:rPr>
        <w:t>casualty losses net to a loss, then § 1231 does not apply to any such gains and losses.  § 1231(a)(4)</w:t>
      </w:r>
      <w:r w:rsidR="00C12A23">
        <w:rPr>
          <w:szCs w:val="24"/>
        </w:rPr>
        <w:t xml:space="preserve"> </w:t>
      </w:r>
      <w:r w:rsidRPr="00576ED7">
        <w:rPr>
          <w:szCs w:val="24"/>
        </w:rPr>
        <w:t>(carryout paragraph). The upshot of this “inapplicability” is that such gains and losses are treated as realized on the disp</w:t>
      </w:r>
      <w:r w:rsidRPr="00576ED7">
        <w:rPr>
          <w:szCs w:val="24"/>
        </w:rPr>
        <w:t>o</w:t>
      </w:r>
      <w:r w:rsidRPr="00576ED7">
        <w:rPr>
          <w:szCs w:val="24"/>
        </w:rPr>
        <w:t xml:space="preserve">sition of non-capital assets, so the net loss will be an ordinary loss.  </w:t>
      </w:r>
      <w:r>
        <w:rPr>
          <w:szCs w:val="24"/>
        </w:rPr>
        <w:t xml:space="preserve">If the gains and losses from such transactions yield a net gain or if the net gain and loss is $0, then § 1231 is applicable to them.  </w:t>
      </w:r>
      <w:r w:rsidR="00BC5897" w:rsidRPr="00BC5897">
        <w:rPr>
          <w:i/>
          <w:szCs w:val="24"/>
        </w:rPr>
        <w:t>See</w:t>
      </w:r>
      <w:r w:rsidR="00BC5897">
        <w:rPr>
          <w:szCs w:val="24"/>
        </w:rPr>
        <w:t xml:space="preserve"> Reg. § 1.1231-1(e)(3).  Such </w:t>
      </w:r>
      <w:r>
        <w:rPr>
          <w:szCs w:val="24"/>
        </w:rPr>
        <w:t xml:space="preserve">transactions are </w:t>
      </w:r>
      <w:r w:rsidR="00C12A23">
        <w:rPr>
          <w:szCs w:val="24"/>
        </w:rPr>
        <w:t xml:space="preserve">added to </w:t>
      </w:r>
      <w:r>
        <w:rPr>
          <w:szCs w:val="24"/>
        </w:rPr>
        <w:t>the §1231 hotchpot.</w:t>
      </w:r>
    </w:p>
    <w:p w:rsidR="0049128E" w:rsidRDefault="0049128E" w:rsidP="00A6585D">
      <w:pPr>
        <w:widowControl w:val="0"/>
        <w:jc w:val="both"/>
        <w:rPr>
          <w:szCs w:val="24"/>
        </w:rPr>
      </w:pPr>
    </w:p>
    <w:p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rsidR="0094449A"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w:t>
      </w:r>
      <w:r>
        <w:rPr>
          <w:szCs w:val="24"/>
        </w:rPr>
        <w:t>i</w:t>
      </w:r>
      <w:r>
        <w:rPr>
          <w:szCs w:val="24"/>
        </w:rPr>
        <w:t xml:space="preserve">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in connection with a trade or business or a transaction entered into for pro</w:t>
      </w:r>
      <w:r w:rsidR="0049128E" w:rsidRPr="00576ED7">
        <w:rPr>
          <w:szCs w:val="24"/>
        </w:rPr>
        <w:t>f</w:t>
      </w:r>
      <w:r w:rsidR="0049128E" w:rsidRPr="00576ED7">
        <w:rPr>
          <w:szCs w:val="24"/>
        </w:rPr>
        <w:t>it.”  § 1231(a)(3)(A).</w:t>
      </w:r>
      <w:r>
        <w:rPr>
          <w:szCs w:val="24"/>
        </w:rPr>
        <w:t xml:space="preserve">  But</w:t>
      </w:r>
    </w:p>
    <w:p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 1245(d), § 1250(h), Reg. § 1.1245-6(a), Reg. § 1.1250-1(e)(1).</w:t>
      </w:r>
    </w:p>
    <w:p w:rsidR="00835079" w:rsidRDefault="00835079" w:rsidP="0094449A">
      <w:pPr>
        <w:widowControl w:val="0"/>
        <w:jc w:val="both"/>
        <w:rPr>
          <w:szCs w:val="24"/>
        </w:rPr>
      </w:pPr>
    </w:p>
    <w:p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 1231((a)(3)(A)(ii) </w:t>
      </w:r>
      <w:r w:rsidR="00C12A23" w:rsidRPr="00C12A23">
        <w:rPr>
          <w:i/>
          <w:szCs w:val="24"/>
        </w:rPr>
        <w:t>with</w:t>
      </w:r>
      <w:r w:rsidR="00C12A23">
        <w:rPr>
          <w:szCs w:val="24"/>
        </w:rPr>
        <w:t xml:space="preserve"> § 1231(a)(4)(C).</w:t>
      </w:r>
    </w:p>
    <w:p w:rsidR="00BC5897" w:rsidRDefault="00BC5897" w:rsidP="00A6585D">
      <w:pPr>
        <w:widowControl w:val="0"/>
        <w:jc w:val="both"/>
        <w:rPr>
          <w:szCs w:val="24"/>
        </w:rPr>
      </w:pPr>
    </w:p>
    <w:p w:rsidR="0049128E" w:rsidRPr="00576ED7" w:rsidRDefault="0049128E" w:rsidP="00A6585D">
      <w:pPr>
        <w:widowControl w:val="0"/>
        <w:jc w:val="both"/>
        <w:rPr>
          <w:szCs w:val="24"/>
        </w:rPr>
      </w:pPr>
      <w:r w:rsidRPr="00576ED7">
        <w:rPr>
          <w:szCs w:val="24"/>
        </w:rPr>
        <w:t>Section 1231(a)(1 and 2) implements the “heads-I-win-tails-you-lose” principle.</w:t>
      </w:r>
    </w:p>
    <w:p w:rsidR="0049128E" w:rsidRPr="00576ED7" w:rsidRDefault="0049128E" w:rsidP="00A6585D">
      <w:pPr>
        <w:widowControl w:val="0"/>
        <w:ind w:left="720"/>
        <w:jc w:val="both"/>
        <w:rPr>
          <w:szCs w:val="24"/>
        </w:rPr>
      </w:pPr>
      <w:r w:rsidRPr="00576ED7">
        <w:rPr>
          <w:szCs w:val="24"/>
        </w:rPr>
        <w:t>•If section 1231 gains for any taxable year exceed section 1231 losses, such gains and losses are treated as LTCG or LTCL as the case may be.  § 1231(a)(1).</w:t>
      </w:r>
    </w:p>
    <w:p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04"/>
      </w:r>
      <w:r w:rsidRPr="00576ED7">
        <w:rPr>
          <w:szCs w:val="24"/>
        </w:rPr>
        <w:t xml:space="preserve"> section 1231 losses for the taxable year, then such gains and losses are not treated as gains and losses derived from sales or exchanges of capital assets.  § 1231(a)(2).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 provision so taxpayer-friendly would be subject to some abuse.  With only a little planning, a taxpayer may dispose of section 1231 “winners” in one taxable year and section 1231 “losers” in a different taxable year.  Hence, §  1231(c) cr</w:t>
      </w:r>
      <w:r w:rsidRPr="00576ED7">
        <w:rPr>
          <w:szCs w:val="24"/>
        </w:rPr>
        <w:t>e</w:t>
      </w:r>
      <w:r w:rsidRPr="00576ED7">
        <w:rPr>
          <w:szCs w:val="24"/>
        </w:rPr>
        <w:t>ates a so-called “5-year lookback rule.”  For any year in which taxpayer recogni</w:t>
      </w:r>
      <w:r w:rsidRPr="00576ED7">
        <w:rPr>
          <w:szCs w:val="24"/>
        </w:rPr>
        <w:t>z</w:t>
      </w:r>
      <w:r w:rsidRPr="00576ED7">
        <w:rPr>
          <w:szCs w:val="24"/>
        </w:rPr>
        <w:t>es net section 1231 gains, such gains are taxed as ordinary income to the extent taxpayer recognized section 1231 losses during the five most recent preceding taxable years.  § 1231(c).</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1FACAFD8" wp14:editId="3EE2ABD7">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Identification of Section 1231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Section 1231 Mechanics</w:t>
      </w:r>
    </w:p>
    <w:p w:rsidR="0049128E" w:rsidRPr="00576ED7" w:rsidRDefault="0049128E" w:rsidP="00835079">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2" w:name="_Toc375132969"/>
      <w:r w:rsidRPr="00576ED7">
        <w:t>IV.  Some Basis Transfer Transactions:  §§ 1031, 1033</w:t>
      </w:r>
      <w:bookmarkEnd w:id="82"/>
      <w:r w:rsidRPr="00576ED7">
        <w:fldChar w:fldCharType="begin"/>
      </w:r>
      <w:r w:rsidRPr="00576ED7">
        <w:instrText xml:space="preserve"> TC \l1 "IV.  Some Basis Transfer Transactions:  §§ 1031, 1033</w:instrText>
      </w:r>
      <w:r w:rsidRPr="00576ED7">
        <w:fldChar w:fldCharType="end"/>
      </w:r>
    </w:p>
    <w:p w:rsidR="0049128E" w:rsidRPr="00576ED7" w:rsidRDefault="0049128E" w:rsidP="00A6585D">
      <w:pPr>
        <w:widowControl w:val="0"/>
        <w:jc w:val="both"/>
        <w:rPr>
          <w:szCs w:val="24"/>
        </w:rPr>
      </w:pPr>
      <w:r w:rsidRPr="00576ED7">
        <w:rPr>
          <w:szCs w:val="24"/>
        </w:rPr>
        <w:t>Congress has identified some transactions in which it does not want taxpayers to “recognize” gain even though a taxpayer may have “realized” gain.  The “tec</w:t>
      </w:r>
      <w:r w:rsidRPr="00576ED7">
        <w:rPr>
          <w:szCs w:val="24"/>
        </w:rPr>
        <w:t>h</w:t>
      </w:r>
      <w:r w:rsidRPr="00576ED7">
        <w:rPr>
          <w:szCs w:val="24"/>
        </w:rPr>
        <w:t>nique” by which Congress accomplishes this is the basis transfer.  Taxpayer sim</w:t>
      </w:r>
      <w:r w:rsidRPr="00576ED7">
        <w:rPr>
          <w:szCs w:val="24"/>
        </w:rPr>
        <w:t>p</w:t>
      </w:r>
      <w:r w:rsidRPr="00576ED7">
        <w:rPr>
          <w:szCs w:val="24"/>
        </w:rPr>
        <w:t>ly keeps as the basis in the asset he/she/it acquires the basis in the asset he/she/it gave up.  Some examples include –</w:t>
      </w:r>
    </w:p>
    <w:p w:rsidR="0049128E" w:rsidRPr="00576ED7" w:rsidRDefault="0049128E" w:rsidP="00A6585D">
      <w:pPr>
        <w:widowControl w:val="0"/>
        <w:ind w:left="720"/>
        <w:jc w:val="both"/>
        <w:rPr>
          <w:szCs w:val="24"/>
        </w:rPr>
      </w:pPr>
      <w:r w:rsidRPr="00576ED7">
        <w:rPr>
          <w:szCs w:val="24"/>
        </w:rPr>
        <w:t>•Like-kind exchanges under § 1031:  Under certain defined conditions, taxpayer does not recognize gain or loss upon the exchange of property for other property of like kind.  Instead, taxpayer has the same basis in the a</w:t>
      </w:r>
      <w:r w:rsidRPr="00576ED7">
        <w:rPr>
          <w:szCs w:val="24"/>
        </w:rPr>
        <w:t>c</w:t>
      </w:r>
      <w:r w:rsidRPr="00576ED7">
        <w:rPr>
          <w:szCs w:val="24"/>
        </w:rPr>
        <w:t>quired property as he/she/it had in the property exchanged.  § 1031(d) (with adjustments for receipt of and taxation of non-like kind property r</w:t>
      </w:r>
      <w:r w:rsidRPr="00576ED7">
        <w:rPr>
          <w:szCs w:val="24"/>
        </w:rPr>
        <w:t>e</w:t>
      </w:r>
      <w:r w:rsidRPr="00576ED7">
        <w:rPr>
          <w:szCs w:val="24"/>
        </w:rPr>
        <w:t>ceived).</w:t>
      </w:r>
    </w:p>
    <w:p w:rsidR="0049128E" w:rsidRPr="00576ED7" w:rsidRDefault="0049128E" w:rsidP="00A6585D">
      <w:pPr>
        <w:widowControl w:val="0"/>
        <w:ind w:left="720"/>
        <w:jc w:val="both"/>
        <w:rPr>
          <w:szCs w:val="24"/>
        </w:rPr>
      </w:pPr>
      <w:r w:rsidRPr="00576ED7">
        <w:rPr>
          <w:szCs w:val="24"/>
        </w:rPr>
        <w:t>•Involuntary conversions under § 1033: If taxpayer’s property is compu</w:t>
      </w:r>
      <w:r w:rsidRPr="00576ED7">
        <w:rPr>
          <w:szCs w:val="24"/>
        </w:rPr>
        <w:t>l</w:t>
      </w:r>
      <w:r w:rsidRPr="00576ED7">
        <w:rPr>
          <w:szCs w:val="24"/>
        </w:rPr>
        <w:t>sorily or involuntarily converted because of theft, seizure, requisition or condemnation, taxpayer may, by complying with the rules of § 1033, elect to spend money received because of such conversion on replacement property.  Taxpayer does not recognize the gain realized on such a conve</w:t>
      </w:r>
      <w:r w:rsidRPr="00576ED7">
        <w:rPr>
          <w:szCs w:val="24"/>
        </w:rPr>
        <w:t>r</w:t>
      </w:r>
      <w:r w:rsidRPr="00576ED7">
        <w:rPr>
          <w:szCs w:val="24"/>
        </w:rPr>
        <w:t>sion.  Instead, taxpayer has the same basis in the replacement property that he/she/it had in the property compulsorily or involuntarily converted.  § 1033(b) (with various adjustments).</w:t>
      </w:r>
    </w:p>
    <w:p w:rsidR="0049128E" w:rsidRPr="00576ED7" w:rsidRDefault="0049128E" w:rsidP="00A6585D">
      <w:pPr>
        <w:widowControl w:val="0"/>
        <w:ind w:left="720"/>
        <w:jc w:val="both"/>
        <w:rPr>
          <w:szCs w:val="24"/>
        </w:rPr>
      </w:pPr>
      <w:r w:rsidRPr="00576ED7">
        <w:rPr>
          <w:szCs w:val="24"/>
        </w:rPr>
        <w:t>•The gain or loss that a partner “realizes” upon contributions of property to a partnership in exchange for a partnership interest are not “reco</w:t>
      </w:r>
      <w:r w:rsidRPr="00576ED7">
        <w:rPr>
          <w:szCs w:val="24"/>
        </w:rPr>
        <w:t>g</w:t>
      </w:r>
      <w:r w:rsidRPr="00576ED7">
        <w:rPr>
          <w:szCs w:val="24"/>
        </w:rPr>
        <w:lastRenderedPageBreak/>
        <w:t>nized.”  § 721.  The partner’s basis in his/her/its partnership interest is the basis he/she/it had in the property contributed.  § 722.</w:t>
      </w:r>
    </w:p>
    <w:p w:rsidR="0049128E" w:rsidRPr="00576ED7" w:rsidRDefault="0049128E" w:rsidP="00A6585D">
      <w:pPr>
        <w:widowControl w:val="0"/>
        <w:ind w:left="720"/>
        <w:jc w:val="both"/>
        <w:rPr>
          <w:szCs w:val="24"/>
        </w:rPr>
      </w:pPr>
      <w:r w:rsidRPr="00576ED7">
        <w:rPr>
          <w:szCs w:val="24"/>
        </w:rPr>
        <w:t>•The gain or loss that a shareholder “realizes” upon contributing property to a corporation in exchange for shares of stock in the corporation are not “recognized” if the conditions of § 351(a) are met.  Shareholder’s basis in his/her/its shares is the basis of the property he/she/it contributed.  § 358(a).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these transactions and many more, tax on gain is not forgiven.  It is merely d</w:t>
      </w:r>
      <w:r w:rsidRPr="00576ED7">
        <w:rPr>
          <w:szCs w:val="24"/>
        </w:rPr>
        <w:t>e</w:t>
      </w:r>
      <w:r w:rsidRPr="00576ED7">
        <w:rPr>
          <w:szCs w:val="24"/>
        </w:rPr>
        <w:t>ferred until the time when taxpayer disposes of the asset acquired in a taxable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910345">
      <w:pPr>
        <w:pStyle w:val="Heading3"/>
      </w:pPr>
      <w:bookmarkStart w:id="83" w:name="_Toc375132970"/>
      <w:r w:rsidRPr="00576ED7">
        <w:t>V.  More Matching</w:t>
      </w:r>
      <w:bookmarkEnd w:id="83"/>
      <w:r w:rsidRPr="00576ED7">
        <w:fldChar w:fldCharType="begin"/>
      </w:r>
      <w:r w:rsidRPr="00576ED7">
        <w:instrText xml:space="preserve"> TC \l1 "V.  More Matching</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materials should make the point that matching income and expen</w:t>
      </w:r>
      <w:r w:rsidRPr="00576ED7">
        <w:rPr>
          <w:szCs w:val="24"/>
        </w:rPr>
        <w:t>s</w:t>
      </w:r>
      <w:r w:rsidRPr="00576ED7">
        <w:rPr>
          <w:szCs w:val="24"/>
        </w:rPr>
        <w:t>es with respect to character is more than simply the rule of some Code sections: it is a principle that pervades construction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w:t>
      </w:r>
      <w:r w:rsidRPr="00576ED7">
        <w:rPr>
          <w:szCs w:val="24"/>
        </w:rPr>
        <w:t>t</w:t>
      </w:r>
      <w:r w:rsidRPr="00576ED7">
        <w:rPr>
          <w:szCs w:val="24"/>
        </w:rPr>
        <w: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w:t>
      </w:r>
      <w:r w:rsidRPr="00576ED7">
        <w:rPr>
          <w:szCs w:val="24"/>
        </w:rPr>
        <w:t>n</w:t>
      </w:r>
      <w:r w:rsidRPr="00576ED7">
        <w:rPr>
          <w:szCs w:val="24"/>
        </w:rPr>
        <w:t xml:space="preserve">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w:t>
      </w:r>
      <w:r w:rsidRPr="00576ED7">
        <w:rPr>
          <w:szCs w:val="24"/>
        </w:rPr>
        <w:lastRenderedPageBreak/>
        <w:t>treated the original dividends as capital gains. Disagreeing with the Commissio</w:t>
      </w:r>
      <w:r w:rsidRPr="00576ED7">
        <w:rPr>
          <w:szCs w:val="24"/>
        </w:rPr>
        <w:t>n</w:t>
      </w:r>
      <w:r w:rsidRPr="00576ED7">
        <w:rPr>
          <w:szCs w:val="24"/>
        </w:rPr>
        <w:t>er, the Tax Court classified the 1944 payment as an ordinary business loss. Dis</w:t>
      </w:r>
      <w:r w:rsidRPr="00576ED7">
        <w:rPr>
          <w:szCs w:val="24"/>
        </w:rPr>
        <w:t>a</w:t>
      </w:r>
      <w:r w:rsidRPr="00576ED7">
        <w:rPr>
          <w:szCs w:val="24"/>
        </w:rPr>
        <w:t xml:space="preserve">greeing with the Tax Court, the Court of Appeals reversed, treating the loss as “capital.” This latter holding conflicts with the Third Circuit’s holding in </w:t>
      </w:r>
      <w:r w:rsidRPr="00576ED7">
        <w:rPr>
          <w:i/>
          <w:szCs w:val="24"/>
        </w:rPr>
        <w:t>Co</w:t>
      </w:r>
      <w:r w:rsidRPr="00576ED7">
        <w:rPr>
          <w:i/>
          <w:szCs w:val="24"/>
        </w:rPr>
        <w:t>m</w:t>
      </w:r>
      <w:r w:rsidRPr="00576ED7">
        <w:rPr>
          <w:i/>
          <w:szCs w:val="24"/>
        </w:rPr>
        <w:t>missioner v. Switlik</w:t>
      </w:r>
      <w:r w:rsidRPr="00576ED7">
        <w:rPr>
          <w:szCs w:val="24"/>
        </w:rPr>
        <w:t>, 184 F.2d 299. Because of this conflict,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I.R.C. § 23(g) [(1222)] treats losses from sales or exchanges of capital assets as “capital losses,” and I.R.C. § 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w:t>
      </w:r>
      <w:r w:rsidRPr="00576ED7">
        <w:rPr>
          <w:szCs w:val="24"/>
        </w:rPr>
        <w:t>i</w:t>
      </w:r>
      <w:r w:rsidRPr="00576ED7">
        <w:rPr>
          <w:szCs w:val="24"/>
        </w:rPr>
        <w:t>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w:t>
      </w:r>
      <w:r w:rsidRPr="00576ED7">
        <w:rPr>
          <w:szCs w:val="24"/>
        </w:rPr>
        <w:t>y</w:t>
      </w:r>
      <w:r w:rsidRPr="00576ED7">
        <w:rPr>
          <w:szCs w:val="24"/>
        </w:rPr>
        <w:t>ment during 1940 would simply have reduced the amount of capital gains taxpa</w:t>
      </w:r>
      <w:r w:rsidRPr="00576ED7">
        <w:rPr>
          <w:szCs w:val="24"/>
        </w:rPr>
        <w:t>y</w:t>
      </w:r>
      <w:r w:rsidRPr="00576ED7">
        <w:rPr>
          <w:szCs w:val="24"/>
        </w:rPr>
        <w:t>ers received during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w:t>
      </w:r>
      <w:r w:rsidRPr="00576ED7">
        <w:rPr>
          <w:i/>
          <w:szCs w:val="24"/>
        </w:rPr>
        <w:t>i</w:t>
      </w:r>
      <w:r w:rsidRPr="00576ED7">
        <w:rPr>
          <w:i/>
          <w:szCs w:val="24"/>
        </w:rPr>
        <w:t>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MR. JUSTICE JACKSON, whom MR. JUSTICE FRANKFURTER joins, di</w:t>
      </w:r>
      <w:r w:rsidRPr="00576ED7">
        <w:rPr>
          <w:szCs w:val="24"/>
        </w:rPr>
        <w:t>s</w:t>
      </w:r>
      <w:r w:rsidRPr="00576ED7">
        <w:rPr>
          <w:szCs w:val="24"/>
        </w:rPr>
        <w:t>senting.</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problem arises only because the judgment was rendered in a taxable year </w:t>
      </w:r>
      <w:r w:rsidRPr="00576ED7">
        <w:rPr>
          <w:szCs w:val="24"/>
        </w:rPr>
        <w:lastRenderedPageBreak/>
        <w:t>subsequent to the liquidation.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w:t>
      </w:r>
      <w:r w:rsidRPr="00576ED7">
        <w:rPr>
          <w:szCs w:val="24"/>
        </w:rPr>
        <w:t>n</w:t>
      </w:r>
      <w:r w:rsidRPr="00576ED7">
        <w:rPr>
          <w:szCs w:val="24"/>
        </w:rPr>
        <w:t>ished the capital gains taxes assessed against the stockholders. Probably it would also have decreased the corporation’s own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w:t>
      </w:r>
      <w:r w:rsidRPr="00576ED7">
        <w:rPr>
          <w:szCs w:val="24"/>
        </w:rPr>
        <w:t>s</w:t>
      </w:r>
      <w:r w:rsidRPr="00576ED7">
        <w:rPr>
          <w:szCs w:val="24"/>
        </w:rPr>
        <w:t>tened by operation of law on the transferee as an ordinary loss for the year of a</w:t>
      </w:r>
      <w:r w:rsidRPr="00576ED7">
        <w:rPr>
          <w:szCs w:val="24"/>
        </w:rPr>
        <w:t>d</w:t>
      </w:r>
      <w:r w:rsidRPr="00576ED7">
        <w:rPr>
          <w:szCs w:val="24"/>
        </w:rPr>
        <w:t>judication or to regard it as a capital loss for such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find little aid in the choice of alternatives from arguments based on equities. One enables the taxpayer to deduct the amount of the judgment against his ordinary income which might be taxed as high as 87%, while, if the liability had been a</w:t>
      </w:r>
      <w:r w:rsidRPr="00576ED7">
        <w:rPr>
          <w:szCs w:val="24"/>
        </w:rPr>
        <w:t>s</w:t>
      </w:r>
      <w:r w:rsidRPr="00576ED7">
        <w:rPr>
          <w:szCs w:val="24"/>
        </w:rPr>
        <w:t>sessed against the corporation prior to liquidation, it would have reduced his cap</w:t>
      </w:r>
      <w:r w:rsidRPr="00576ED7">
        <w:rPr>
          <w:szCs w:val="24"/>
        </w:rPr>
        <w:t>i</w:t>
      </w:r>
      <w:r w:rsidRPr="00576ED7">
        <w:rPr>
          <w:szCs w:val="24"/>
        </w:rPr>
        <w:t>tal gain which was taxable at only 25% (now 26%). The consequence may readily be characterized as a windfall (regarding a windfall as anything that is left to a taxpayer after the collector has finished with him).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w:t>
      </w:r>
      <w:r w:rsidRPr="00576ED7">
        <w:rPr>
          <w:szCs w:val="24"/>
        </w:rPr>
        <w:t>f</w:t>
      </w:r>
      <w:r w:rsidRPr="00576ED7">
        <w:rPr>
          <w:szCs w:val="24"/>
        </w:rPr>
        <w:t>fect, have been paid by the Government, since the corporation could have taken it as a deduction, while here, the total liability comes out of the pockets of the stockholders.</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Upon liquidation of a corporation, the corporation distributes its assets to its shareholders in exchange for their stock.  Shareholders treat this as a sale or e</w:t>
      </w:r>
      <w:r w:rsidRPr="00576ED7">
        <w:rPr>
          <w:szCs w:val="24"/>
        </w:rPr>
        <w:t>x</w:t>
      </w:r>
      <w:r w:rsidRPr="00576ED7">
        <w:rPr>
          <w:szCs w:val="24"/>
        </w:rPr>
        <w:t xml:space="preserve">change of a capital asset.  § 331(a).  Recall from our discussion of </w:t>
      </w:r>
      <w:r w:rsidRPr="00576ED7">
        <w:rPr>
          <w:i/>
          <w:szCs w:val="24"/>
        </w:rPr>
        <w:t>Gilliam</w:t>
      </w:r>
      <w:r w:rsidRPr="00576ED7">
        <w:rPr>
          <w:szCs w:val="24"/>
        </w:rPr>
        <w:t xml:space="preserve"> that payment of a tort judgment would have been an ordinary and necessary business expense, deductible under § 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opinion of Justice Jackson spells out just what is at stake.  First, recogn</w:t>
      </w:r>
      <w:r w:rsidRPr="00576ED7">
        <w:rPr>
          <w:szCs w:val="24"/>
        </w:rPr>
        <w:t>i</w:t>
      </w:r>
      <w:r w:rsidRPr="00576ED7">
        <w:rPr>
          <w:szCs w:val="24"/>
        </w:rPr>
        <w:t>tion of capital losses would save taxpayers less than recognition of the same los</w:t>
      </w:r>
      <w:r w:rsidRPr="00576ED7">
        <w:rPr>
          <w:szCs w:val="24"/>
        </w:rPr>
        <w:t>s</w:t>
      </w:r>
      <w:r w:rsidRPr="00576ED7">
        <w:rPr>
          <w:szCs w:val="24"/>
        </w:rPr>
        <w:t>es as ordinary.  Second, long term capital losses are – except to the narrow extent permitted by § 1211 – only offset by long-term capital gains.  If a taxpayer does not or cannot recognize long-term capital gains, the long-term capital losses sim</w:t>
      </w:r>
      <w:r w:rsidRPr="00576ED7">
        <w:rPr>
          <w:szCs w:val="24"/>
        </w:rPr>
        <w:t>p</w:t>
      </w:r>
      <w:r w:rsidRPr="00576ED7">
        <w:rPr>
          <w:szCs w:val="24"/>
        </w:rPr>
        <w:t>ly become a useless asset to the taxpayer.</w:t>
      </w:r>
      <w:r w:rsidR="004542E3">
        <w:rPr>
          <w:szCs w:val="24"/>
        </w:rPr>
        <w:t xml:space="preserve">  Also the tax liability of the </w:t>
      </w:r>
      <w:r w:rsidR="0089079B">
        <w:rPr>
          <w:szCs w:val="24"/>
        </w:rPr>
        <w:t>liquidated corporation should have been less under the majority’s view because of the d</w:t>
      </w:r>
      <w:r w:rsidR="0089079B">
        <w:rPr>
          <w:szCs w:val="24"/>
        </w:rPr>
        <w:t>e</w:t>
      </w:r>
      <w:r w:rsidR="0089079B">
        <w:rPr>
          <w:szCs w:val="24"/>
        </w:rPr>
        <w:t>ductions, but the statute of limitations had no doubt run.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Pr="00576ED7">
        <w:rPr>
          <w:szCs w:val="24"/>
        </w:rPr>
        <w:t xml:space="preserve">.  The Tax Court and Justice Jackson bought into the annual accounting principle.  The other principle that permeates the Code is that a taxpayer may not change the character of income or loss – whether capital or ordinary.  This is a </w:t>
      </w:r>
      <w:r w:rsidRPr="00576ED7">
        <w:rPr>
          <w:i/>
          <w:szCs w:val="24"/>
        </w:rPr>
        <w:t>very</w:t>
      </w:r>
      <w:r w:rsidRPr="00576ED7">
        <w:rPr>
          <w:szCs w:val="24"/>
        </w:rPr>
        <w:t xml:space="preserve"> strong policy that only rarely loses to another policy.  Often times, taxpayers’ machinations are much more d</w:t>
      </w:r>
      <w:r w:rsidRPr="00576ED7">
        <w:rPr>
          <w:szCs w:val="24"/>
        </w:rPr>
        <w:t>e</w:t>
      </w:r>
      <w:r w:rsidRPr="00576ED7">
        <w:rPr>
          <w:szCs w:val="24"/>
        </w:rPr>
        <w:t>liberate than they were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Ours is an income tax system that taxes net income.  But what if certain income is not subject to tax because it falls within an exception to the first of our three gui</w:t>
      </w:r>
      <w:r w:rsidRPr="00576ED7">
        <w:rPr>
          <w:szCs w:val="24"/>
        </w:rPr>
        <w:t>d</w:t>
      </w:r>
      <w:r w:rsidRPr="00576ED7">
        <w:rPr>
          <w:szCs w:val="24"/>
        </w:rPr>
        <w:t>ing principles? Logically, such expenses should not be deductible – and this is indeed a rule that the Code implements in at least two places.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265 denies deductions for the costs of realizing tax exempt income.  Se</w:t>
      </w:r>
      <w:r w:rsidRPr="00576ED7">
        <w:rPr>
          <w:szCs w:val="24"/>
        </w:rPr>
        <w:t>c</w:t>
      </w:r>
      <w:r w:rsidRPr="00576ED7">
        <w:rPr>
          <w:szCs w:val="24"/>
        </w:rPr>
        <w:t>tion 264(a)(1) provides that a life insurance contract beneficiary’s premium pa</w:t>
      </w:r>
      <w:r w:rsidRPr="00576ED7">
        <w:rPr>
          <w:szCs w:val="24"/>
        </w:rPr>
        <w:t>y</w:t>
      </w:r>
      <w:r w:rsidRPr="00576ED7">
        <w:rPr>
          <w:szCs w:val="24"/>
        </w:rPr>
        <w:t>ment is not deductible.  Of course, the life insurance payment by reason of death is excluded from the beneficiary’s gross income.  § 101(a)(1).  This same princ</w:t>
      </w:r>
      <w:r w:rsidRPr="00576ED7">
        <w:rPr>
          <w:szCs w:val="24"/>
        </w:rPr>
        <w:t>i</w:t>
      </w:r>
      <w:r w:rsidRPr="00576ED7">
        <w:rPr>
          <w:szCs w:val="24"/>
        </w:rPr>
        <w:t>ple generally applies to interest incurred to pay life insurance contract premiums.  § 264(a)(4).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163(d)(1) limits the interest deduction for investment income to the ta</w:t>
      </w:r>
      <w:r w:rsidRPr="00576ED7">
        <w:rPr>
          <w:szCs w:val="24"/>
        </w:rPr>
        <w:t>x</w:t>
      </w:r>
      <w:r w:rsidRPr="00576ED7">
        <w:rPr>
          <w:szCs w:val="24"/>
        </w:rPr>
        <w:t>payer’s “net investment income ... for the taxable year.”  Taxpayer may carry forward any investment interest disallowed to the succeeding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passive activity is a trade or business in which the taxpayer does not “materially participate.”  § 469(c)(1).  An individual taxpayer may not deduct aggregate pa</w:t>
      </w:r>
      <w:r w:rsidRPr="00576ED7">
        <w:rPr>
          <w:szCs w:val="24"/>
        </w:rPr>
        <w:t>s</w:t>
      </w:r>
      <w:r w:rsidRPr="00576ED7">
        <w:rPr>
          <w:szCs w:val="24"/>
        </w:rPr>
        <w:t>sive activity losses in excess of his/her passive activity income, nor claim credits in excess of the tax attributable to the aggregate of his/her net income from pa</w:t>
      </w:r>
      <w:r w:rsidRPr="00576ED7">
        <w:rPr>
          <w:szCs w:val="24"/>
        </w:rPr>
        <w:t>s</w:t>
      </w:r>
      <w:r w:rsidRPr="00576ED7">
        <w:rPr>
          <w:szCs w:val="24"/>
        </w:rPr>
        <w:t>sive activities.  §§ 469(a)(1), 469(d).  We defer discussion of the details of § 469 to a course in partnership tax.  The important point here is that there is absolutely no mis-matching of losses derived from passive activities with any other type of income – whether ordinary income or portfolio (investment) income – until ta</w:t>
      </w:r>
      <w:r w:rsidRPr="00576ED7">
        <w:rPr>
          <w:szCs w:val="24"/>
        </w:rPr>
        <w:t>x</w:t>
      </w:r>
      <w:r w:rsidRPr="00576ED7">
        <w:rPr>
          <w:szCs w:val="24"/>
        </w:rPr>
        <w:t>payer has sold all of his/her interests in passive activities.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General Comment about Matching Principles</w:t>
      </w:r>
      <w:r w:rsidRPr="00576ED7">
        <w:rPr>
          <w:szCs w:val="24"/>
        </w:rPr>
        <w:fldChar w:fldCharType="begin"/>
      </w:r>
      <w:r w:rsidRPr="00576ED7">
        <w:rPr>
          <w:i/>
          <w:szCs w:val="24"/>
        </w:rPr>
        <w:instrText xml:space="preserve"> TC \l2 "D.  General Comment about Matching Principles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Perhaps it does not seem very significant that implementation of matching princ</w:t>
      </w:r>
      <w:r w:rsidRPr="00576ED7">
        <w:rPr>
          <w:szCs w:val="24"/>
        </w:rPr>
        <w:t>i</w:t>
      </w:r>
      <w:r w:rsidRPr="00576ED7">
        <w:rPr>
          <w:szCs w:val="24"/>
        </w:rPr>
        <w:t xml:space="preserve">ples results in disallowance of a deduction, loss, or credit because usually there is a carryover.  Your attitude may be “pick it up next year.”  Reality may be quite different.  When losses are “locked inside” a particular activity or type of income, it probably is the case that circumstances are not going to change radically for a taxpayer from one year to the next.  The investor who loses a deduction because of insufficient income of a particular type is not likely suddenly to receive a lot of that type of income during the next year.  The effect of implementing matching principles in reality </w:t>
      </w:r>
      <w:r w:rsidRPr="00576ED7">
        <w:rPr>
          <w:i/>
          <w:szCs w:val="24"/>
        </w:rPr>
        <w:t>may be</w:t>
      </w:r>
      <w:r w:rsidRPr="00576ED7">
        <w:rPr>
          <w:szCs w:val="24"/>
        </w:rPr>
        <w:t xml:space="preserve"> that the excess expense or loss is simply disallowed – forever.  However, forewarned is forearmed.  Taxpayers may choose their activ</w:t>
      </w:r>
      <w:r w:rsidRPr="00576ED7">
        <w:rPr>
          <w:szCs w:val="24"/>
        </w:rPr>
        <w:t>i</w:t>
      </w:r>
      <w:r w:rsidRPr="00576ED7">
        <w:rPr>
          <w:szCs w:val="24"/>
        </w:rPr>
        <w:t>ties or transactions so that he/she/it will have gains against which losses can be can be matched.</w:t>
      </w:r>
    </w:p>
    <w:p w:rsidR="0049128E" w:rsidRPr="00576ED7" w:rsidRDefault="0049128E" w:rsidP="00A6585D">
      <w:pPr>
        <w:widowControl w:val="0"/>
        <w:jc w:val="both"/>
        <w:rPr>
          <w:szCs w:val="24"/>
        </w:rPr>
      </w:pPr>
    </w:p>
    <w:p w:rsidR="0049128E" w:rsidRPr="00576ED7" w:rsidRDefault="0049128E" w:rsidP="00910345">
      <w:pPr>
        <w:pStyle w:val="Heading3"/>
      </w:pPr>
      <w:bookmarkStart w:id="84" w:name="_Toc375132971"/>
      <w:r w:rsidRPr="00576ED7">
        <w:t>Wrap-Up Questions for Chapter 10</w:t>
      </w:r>
      <w:bookmarkEnd w:id="84"/>
      <w:r w:rsidRPr="00576ED7">
        <w:fldChar w:fldCharType="begin"/>
      </w:r>
      <w:r w:rsidRPr="00576ED7">
        <w:instrText xml:space="preserve"> TC \l1 "Wrap-Up Questions for Chapter 10</w:instrText>
      </w:r>
      <w:r w:rsidRPr="00576ED7">
        <w:fldChar w:fldCharType="end"/>
      </w:r>
    </w:p>
    <w:p w:rsidR="0049128E" w:rsidRPr="00576ED7" w:rsidRDefault="0049128E" w:rsidP="00A6585D">
      <w:pPr>
        <w:widowControl w:val="0"/>
        <w:jc w:val="both"/>
        <w:rPr>
          <w:szCs w:val="24"/>
        </w:rPr>
      </w:pPr>
      <w:r w:rsidRPr="00576ED7">
        <w:rPr>
          <w:szCs w:val="24"/>
        </w:rPr>
        <w:t>1.  What policy (policies) is served by the exceptions to the definition of “capital asset” in §§ 1221(a)(1, 2, 3, 4, 6, 7, 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w:t>
      </w:r>
      <w:r w:rsidRPr="00576ED7">
        <w:rPr>
          <w:szCs w:val="24"/>
        </w:rPr>
        <w:t>u</w:t>
      </w:r>
      <w:r w:rsidRPr="00576ED7">
        <w:rPr>
          <w:szCs w:val="24"/>
        </w:rPr>
        <w:t>preme Court held that a taxpayer was entitled to depreciation deduction up to the date it sold an asset.  In the days before § 1245 (but after § 1231), why would this have been important?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what ways does § 1231 help facilitate growth within our economy?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Why should a taxpayer not be permitted to deduct the cost of obtaining tax-exempt income?</w:t>
      </w:r>
    </w:p>
    <w:sectPr w:rsidR="0049128E" w:rsidRPr="00576ED7" w:rsidSect="00485D9D">
      <w:headerReference w:type="even" r:id="rId30"/>
      <w:headerReference w:type="default" r:id="rId31"/>
      <w:footerReference w:type="even" r:id="rId32"/>
      <w:footerReference w:type="default" r:id="rId33"/>
      <w:type w:val="continuous"/>
      <w:pgSz w:w="12240" w:h="15840"/>
      <w:pgMar w:top="2160" w:right="2160" w:bottom="2160" w:left="2160" w:header="720" w:footer="2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0F7" w:rsidRDefault="00E630F7">
      <w:r>
        <w:separator/>
      </w:r>
    </w:p>
  </w:endnote>
  <w:endnote w:type="continuationSeparator" w:id="0">
    <w:p w:rsidR="00E630F7" w:rsidRDefault="00E63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rsidR="00FF5E72" w:rsidRDefault="00FF5E72">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jc w:val="center"/>
    </w:pPr>
  </w:p>
  <w:p w:rsidR="00FF5E72" w:rsidRDefault="00FF5E72">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35741"/>
      <w:docPartObj>
        <w:docPartGallery w:val="Page Numbers (Bottom of Page)"/>
        <w:docPartUnique/>
      </w:docPartObj>
    </w:sdtPr>
    <w:sdtEndPr>
      <w:rPr>
        <w:noProof/>
      </w:rPr>
    </w:sdtEndPr>
    <w:sdtContent>
      <w:p w:rsidR="00423A02" w:rsidRDefault="00423A02">
        <w:pPr>
          <w:pStyle w:val="Footer"/>
          <w:jc w:val="center"/>
        </w:pPr>
        <w:r>
          <w:fldChar w:fldCharType="begin"/>
        </w:r>
        <w:r>
          <w:instrText xml:space="preserve"> PAGE   \* MERGEFORMAT </w:instrText>
        </w:r>
        <w:r>
          <w:fldChar w:fldCharType="separate"/>
        </w:r>
        <w:r w:rsidR="006E01AE">
          <w:rPr>
            <w:noProof/>
          </w:rPr>
          <w:t>ii</w:t>
        </w:r>
        <w:r>
          <w:rPr>
            <w:noProof/>
          </w:rPr>
          <w:fldChar w:fldCharType="end"/>
        </w:r>
      </w:p>
    </w:sdtContent>
  </w:sdt>
  <w:p w:rsidR="00423A02" w:rsidRDefault="00423A02">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399308"/>
      <w:docPartObj>
        <w:docPartGallery w:val="Page Numbers (Bottom of Page)"/>
        <w:docPartUnique/>
      </w:docPartObj>
    </w:sdtPr>
    <w:sdtEndPr>
      <w:rPr>
        <w:noProof/>
      </w:rPr>
    </w:sdtEndPr>
    <w:sdtContent>
      <w:p w:rsidR="00423A02" w:rsidRDefault="00423A02">
        <w:pPr>
          <w:pStyle w:val="Footer"/>
          <w:jc w:val="center"/>
        </w:pPr>
        <w:r>
          <w:fldChar w:fldCharType="begin"/>
        </w:r>
        <w:r>
          <w:instrText xml:space="preserve"> PAGE   \* MERGEFORMAT </w:instrText>
        </w:r>
        <w:r>
          <w:fldChar w:fldCharType="separate"/>
        </w:r>
        <w:r w:rsidR="006E01AE">
          <w:rPr>
            <w:noProof/>
          </w:rPr>
          <w:t>10</w:t>
        </w:r>
        <w:r>
          <w:rPr>
            <w:noProof/>
          </w:rPr>
          <w:fldChar w:fldCharType="end"/>
        </w:r>
      </w:p>
    </w:sdtContent>
  </w:sdt>
  <w:p w:rsidR="00423A02" w:rsidRDefault="00423A02">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81158"/>
      <w:docPartObj>
        <w:docPartGallery w:val="Page Numbers (Bottom of Page)"/>
        <w:docPartUnique/>
      </w:docPartObj>
    </w:sdtPr>
    <w:sdtEndPr>
      <w:rPr>
        <w:noProof/>
      </w:rPr>
    </w:sdtEndPr>
    <w:sdtContent>
      <w:p w:rsidR="00423A02" w:rsidRDefault="00423A02">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423A02" w:rsidRDefault="00423A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rsidR="00FF5E72" w:rsidRDefault="00FF5E72">
    <w:pPr>
      <w:widowControl w:val="0"/>
      <w:tabs>
        <w:tab w:val="left" w:pos="0"/>
        <w:tab w:val="left" w:pos="720"/>
        <w:tab w:val="left" w:pos="14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40730"/>
      <w:docPartObj>
        <w:docPartGallery w:val="Page Numbers (Bottom of Page)"/>
        <w:docPartUnique/>
      </w:docPartObj>
    </w:sdtPr>
    <w:sdtEndPr>
      <w:rPr>
        <w:noProof/>
      </w:rPr>
    </w:sdtEndPr>
    <w:sdtContent>
      <w:p w:rsidR="00FF5E72" w:rsidRDefault="00FF5E72">
        <w:pPr>
          <w:pStyle w:val="Footer"/>
          <w:jc w:val="right"/>
        </w:pPr>
        <w:r>
          <w:fldChar w:fldCharType="begin"/>
        </w:r>
        <w:r>
          <w:instrText xml:space="preserve"> PAGE   \* MERGEFORMAT </w:instrText>
        </w:r>
        <w:r>
          <w:fldChar w:fldCharType="separate"/>
        </w:r>
        <w:r w:rsidR="006E01AE">
          <w:rPr>
            <w:noProof/>
          </w:rPr>
          <w:t>401</w:t>
        </w:r>
        <w:r>
          <w:rPr>
            <w:noProof/>
          </w:rPr>
          <w:fldChar w:fldCharType="end"/>
        </w:r>
      </w:p>
    </w:sdtContent>
  </w:sdt>
  <w:p w:rsidR="00FF5E72" w:rsidRDefault="00FF5E72">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0F7" w:rsidRDefault="00E630F7">
      <w:r>
        <w:separator/>
      </w:r>
    </w:p>
  </w:footnote>
  <w:footnote w:type="continuationSeparator" w:id="0">
    <w:p w:rsidR="00E630F7" w:rsidRDefault="00E630F7">
      <w:r>
        <w:continuationSeparator/>
      </w:r>
    </w:p>
  </w:footnote>
  <w:footnote w:id="1">
    <w:p w:rsidR="00FF5E72" w:rsidRDefault="00FF5E72" w:rsidP="00355EF3">
      <w:pPr>
        <w:pStyle w:val="FootnoteText"/>
      </w:pPr>
      <w:r>
        <w:rPr>
          <w:vertAlign w:val="superscript"/>
        </w:rPr>
        <w:footnoteRef/>
      </w:r>
      <w:r>
        <w:t xml:space="preserve">  Of course, state legislatures may carve out exceptions.  Purchases of food might not be subject to a sales tax, or to a reduced sales tax.  Purchases of services might not be subject to a sales tax.  Online purchasers from out-of-state sellers who have no physical presence within a state are not (yet) subject to sales taxes.  </w:t>
      </w:r>
      <w:r>
        <w:rPr>
          <w:i/>
        </w:rPr>
        <w:t>See</w:t>
      </w:r>
      <w:r>
        <w:t xml:space="preserve"> </w:t>
      </w:r>
      <w:r w:rsidRPr="00463256">
        <w:t>Quill v. North Dakota</w:t>
      </w:r>
      <w:r>
        <w:t>, 504 U.S. 298 (1992).</w:t>
      </w:r>
    </w:p>
  </w:footnote>
  <w:footnote w:id="2">
    <w:p w:rsidR="00FF5E72" w:rsidRDefault="00FF5E72" w:rsidP="00355EF3">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w:t>
      </w:r>
      <w:r>
        <w:t>i</w:t>
      </w:r>
      <w:r>
        <w:t>vidual is subject to a 3.8% Medicare tax on his/her “net investment income” to the extent his/her modified AGI exceeds a threshold amount.  I.R.C. § 1411(a)  The threshold amount is $250,000 for taxpayers who are married filing jointly, one-half that amount for taxpayers who are married filing separately, and $200,000 for all others.  I.R.C. § 1411(b).</w:t>
      </w:r>
    </w:p>
  </w:footnote>
  <w:footnote w:id="3">
    <w:p w:rsidR="00FF5E72" w:rsidRDefault="00FF5E72">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4">
    <w:p w:rsidR="00FF5E72" w:rsidRDefault="00FF5E72" w:rsidP="00355EF3">
      <w:pPr>
        <w:pStyle w:val="FootnoteText"/>
      </w:pPr>
      <w:r>
        <w:rPr>
          <w:vertAlign w:val="superscript"/>
        </w:rPr>
        <w:footnoteRef/>
      </w:r>
      <w:r>
        <w:t xml:space="preserve">  </w:t>
      </w:r>
      <w:r>
        <w:rPr>
          <w:i/>
        </w:rPr>
        <w:t>See</w:t>
      </w:r>
      <w:r>
        <w:t xml:space="preserve"> William P. Kratzke, </w:t>
      </w:r>
      <w:r>
        <w:rPr>
          <w:i/>
        </w:rPr>
        <w:t>The Imbalance of Externalities in Employment-Based Exclusions from Gross Income</w:t>
      </w:r>
      <w:r>
        <w:t xml:space="preserve">, 60 </w:t>
      </w:r>
      <w:r>
        <w:rPr>
          <w:smallCaps/>
        </w:rPr>
        <w:t>The Tax Lawyer</w:t>
      </w:r>
      <w:r>
        <w:t xml:space="preserve"> 1, 3-8 (2006) (noting that employment taxes reach even income that the i</w:t>
      </w:r>
      <w:r>
        <w:t>n</w:t>
      </w:r>
      <w:r>
        <w:t>come tax would not reach because of the standard deduction and personal exemptions applicable to the latter).</w:t>
      </w:r>
    </w:p>
  </w:footnote>
  <w:footnote w:id="5">
    <w:p w:rsidR="00FF5E72" w:rsidRDefault="00FF5E72" w:rsidP="00355EF3">
      <w:pPr>
        <w:pStyle w:val="FootnoteText"/>
      </w:pPr>
      <w:r>
        <w:rPr>
          <w:vertAlign w:val="superscript"/>
        </w:rPr>
        <w:footnoteRef/>
      </w:r>
      <w:r>
        <w:t xml:space="preserve">  The federal income tax applies to the worldwide income of citizens and permanent residents of the United States.</w:t>
      </w:r>
    </w:p>
  </w:footnote>
  <w:footnote w:id="6">
    <w:p w:rsidR="00FF5E72" w:rsidRDefault="00FF5E72" w:rsidP="00355EF3">
      <w:pPr>
        <w:pStyle w:val="FootnoteText"/>
      </w:pPr>
      <w:r>
        <w:rPr>
          <w:vertAlign w:val="superscript"/>
        </w:rPr>
        <w:footnoteRef/>
      </w:r>
      <w:r>
        <w:t xml:space="preserve">  This figure is derived from the accompanying table, </w:t>
      </w:r>
      <w:r>
        <w:rPr>
          <w:i/>
        </w:rPr>
        <w:t>SOI Tax Stats at a Glance</w:t>
      </w:r>
      <w:r>
        <w:t>.  The portion of total tax revenues derived from corporate income taxes is 11.9%, from employment taxes (Social Security and Medicare) 35.3%, from excise taxes 2%, from gift taxes 0.1%, and from estate taxes 0.7%.  Do these percentages surprise you?</w:t>
      </w:r>
    </w:p>
  </w:footnote>
  <w:footnote w:id="7">
    <w:p w:rsidR="00FF5E72" w:rsidRDefault="00FF5E72" w:rsidP="00355EF3">
      <w:pPr>
        <w:pStyle w:val="FootnoteText"/>
      </w:pPr>
      <w:r>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8">
    <w:p w:rsidR="00FF5E72" w:rsidRDefault="00FF5E72" w:rsidP="00355EF3">
      <w:pPr>
        <w:pStyle w:val="FootnoteText"/>
      </w:pPr>
      <w:r>
        <w:rPr>
          <w:vertAlign w:val="superscript"/>
        </w:rPr>
        <w:footnoteRef/>
      </w:r>
      <w:r>
        <w:t xml:space="preserve">  We refer to this phenomenon as the declining marginal utility of money.</w:t>
      </w:r>
    </w:p>
  </w:footnote>
  <w:footnote w:id="9">
    <w:p w:rsidR="00FF5E72" w:rsidRDefault="00FF5E72" w:rsidP="00355EF3">
      <w:pPr>
        <w:pStyle w:val="FootnoteText"/>
      </w:pPr>
      <w:r>
        <w:rPr>
          <w:vertAlign w:val="superscript"/>
        </w:rPr>
        <w:footnoteRef/>
      </w:r>
      <w:r>
        <w:t xml:space="preserve">  Constitutional scholars have observed that the phrase “direct taxes” (</w:t>
      </w:r>
      <w:r>
        <w:rPr>
          <w:i/>
        </w:rPr>
        <w:t>see</w:t>
      </w:r>
      <w:r>
        <w:t xml:space="preserve"> Art. I, § 9, cl. 4 of U.S. Constitution) refers to taxes whose burden cannot be transferred to another, e.g., head taxes.  I</w:t>
      </w:r>
      <w:r>
        <w:t>m</w:t>
      </w:r>
      <w:r>
        <w:t>plicitly, “indirect taxes” are taxes whose burden can be transferred to another, e.g., excise taxes.  The point at which a transferee is not willing to pay the “indirect tax” constitutes a practical limit co</w:t>
      </w:r>
      <w:r>
        <w:t>n</w:t>
      </w:r>
      <w:r>
        <w:t>gressional power to increase such taxes.</w:t>
      </w:r>
    </w:p>
  </w:footnote>
  <w:footnote w:id="10">
    <w:p w:rsidR="00FF5E72" w:rsidRDefault="00FF5E72" w:rsidP="00355EF3">
      <w:pPr>
        <w:pStyle w:val="FootnoteText"/>
      </w:pPr>
      <w:r>
        <w:rPr>
          <w:vertAlign w:val="superscript"/>
        </w:rPr>
        <w:footnoteRef/>
      </w:r>
      <w:r>
        <w:t xml:space="preserve">  See William P. Kratzke, The (Im)Balance of Externalities in Employment-Based Exclusions from Gross Income, 60 </w:t>
      </w:r>
      <w:r>
        <w:rPr>
          <w:smallCaps/>
        </w:rPr>
        <w:t>The Tax Lawyer</w:t>
      </w:r>
      <w:r>
        <w:t xml:space="preserve"> 1 (2006).</w:t>
      </w:r>
    </w:p>
  </w:footnote>
  <w:footnote w:id="11">
    <w:p w:rsidR="00FF5E72" w:rsidRDefault="00FF5E72" w:rsidP="00355EF3">
      <w:pPr>
        <w:pStyle w:val="FootnoteText"/>
      </w:pPr>
      <w:r>
        <w:rPr>
          <w:vertAlign w:val="superscript"/>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2">
    <w:p w:rsidR="00FF5E72" w:rsidRDefault="00FF5E72" w:rsidP="00355EF3">
      <w:pPr>
        <w:pStyle w:val="FootnoteText"/>
      </w:pPr>
      <w:r>
        <w:rPr>
          <w:vertAlign w:val="superscript"/>
        </w:rPr>
        <w:footnoteRef/>
      </w:r>
      <w:r>
        <w:t xml:space="preserve">  There is a separate sub-section on “basis,” </w:t>
      </w:r>
      <w:r>
        <w:rPr>
          <w:i/>
        </w:rPr>
        <w:t>infra</w:t>
      </w:r>
      <w:r>
        <w:t>.</w:t>
      </w:r>
    </w:p>
  </w:footnote>
  <w:footnote w:id="13">
    <w:p w:rsidR="00FF5E72" w:rsidRDefault="00FF5E72" w:rsidP="00355EF3">
      <w:pPr>
        <w:pStyle w:val="FootnoteText"/>
      </w:pPr>
      <w:r>
        <w:rPr>
          <w:vertAlign w:val="superscript"/>
        </w:rPr>
        <w:footnoteRef/>
      </w:r>
      <w:r>
        <w:t xml:space="preserve">  We will not spend any more time on the AMT.  You should be aware that it exists and of its basic approach to addressing a particular (perceived) problem.</w:t>
      </w:r>
    </w:p>
  </w:footnote>
  <w:footnote w:id="14">
    <w:p w:rsidR="00FF5E72" w:rsidRDefault="00FF5E72" w:rsidP="00355EF3">
      <w:pPr>
        <w:pStyle w:val="FootnoteText"/>
      </w:pPr>
      <w:r>
        <w:rPr>
          <w:vertAlign w:val="superscript"/>
        </w:rPr>
        <w:footnoteRef/>
      </w:r>
      <w:r>
        <w:t xml:space="preserve">  SOI Tax Statistics at a Glance notes that 56.0% of individual taxpayers pay a tax preparer.  Ce</w:t>
      </w:r>
      <w:r>
        <w:t>r</w:t>
      </w:r>
      <w:r>
        <w:t>tainly, many more purchase off-the-shelf tax preparation programs.  Close to 100,000,000 taxpayers received assistance by calling or walking into an IRS Office or taking advantage of an IRS program.</w:t>
      </w:r>
    </w:p>
  </w:footnote>
  <w:footnote w:id="15">
    <w:p w:rsidR="00FF5E72" w:rsidRDefault="00FF5E72" w:rsidP="00355EF3">
      <w:pPr>
        <w:pStyle w:val="FootnoteText"/>
      </w:pPr>
      <w:r>
        <w:rPr>
          <w:vertAlign w:val="superscript"/>
        </w:rPr>
        <w:footnoteRef/>
      </w:r>
      <w:r>
        <w:t xml:space="preserve">  26 U.S.C. § 3101(a) (for “Old-Age, Survivors, and Disability Insurance;” 6.2%); 26 U.S.C. §  3101(b) (for “Hospital Insurance;” 1.45% and 2.35% for amounts over a certain threshold).</w:t>
      </w:r>
    </w:p>
  </w:footnote>
  <w:footnote w:id="16">
    <w:p w:rsidR="00FF5E72" w:rsidRDefault="00FF5E72" w:rsidP="00355EF3">
      <w:pPr>
        <w:pStyle w:val="FootnoteText"/>
      </w:pPr>
      <w:r>
        <w:rPr>
          <w:vertAlign w:val="superscript"/>
        </w:rPr>
        <w:footnoteRef/>
      </w:r>
      <w:r>
        <w:t xml:space="preserve">  26 U.S.C. § 3111(a) (for “Old-Age, Survivors, and Disability Insurance;” 6.2%); 26 U.S.C. § 3111(b) (for “Hospital Insurance;” 1.45%).</w:t>
      </w:r>
    </w:p>
  </w:footnote>
  <w:footnote w:id="17">
    <w:p w:rsidR="00FF5E72" w:rsidRDefault="00FF5E72" w:rsidP="00355EF3">
      <w:pPr>
        <w:pStyle w:val="FootnoteText"/>
      </w:pPr>
      <w:r>
        <w:rPr>
          <w:vertAlign w:val="superscript"/>
        </w:rPr>
        <w:footnoteRef/>
      </w:r>
      <w:r>
        <w:t xml:space="preserve">  That is, gain on the sale of property that a taxpayer owns for more than one year.</w:t>
      </w:r>
    </w:p>
  </w:footnote>
  <w:footnote w:id="18">
    <w:p w:rsidR="00FF5E72" w:rsidRDefault="00FF5E72" w:rsidP="00355EF3">
      <w:pPr>
        <w:pStyle w:val="FootnoteText"/>
      </w:pPr>
      <w:r>
        <w:rPr>
          <w:vertAlign w:val="superscript"/>
        </w:rPr>
        <w:footnoteRef/>
      </w:r>
      <w:r>
        <w:t xml:space="preserve">  This has been temporarily reduced to 4.2%.</w:t>
      </w:r>
    </w:p>
  </w:footnote>
  <w:footnote w:id="19">
    <w:p w:rsidR="00FF5E72" w:rsidRDefault="00FF5E72" w:rsidP="00355EF3">
      <w:pPr>
        <w:pStyle w:val="FootnoteText"/>
      </w:pPr>
      <w:r>
        <w:rPr>
          <w:vertAlign w:val="superscript"/>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The Code still prevails in such countries over court pronouncements insofar as they might guide persons other than parties to a particular case.</w:t>
      </w:r>
    </w:p>
  </w:footnote>
  <w:footnote w:id="20">
    <w:p w:rsidR="00FF5E72" w:rsidRDefault="00FF5E72" w:rsidP="00355EF3">
      <w:pPr>
        <w:pStyle w:val="FootnoteText"/>
      </w:pPr>
      <w:r>
        <w:rPr>
          <w:vertAlign w:val="superscript"/>
        </w:rPr>
        <w:footnoteRef/>
      </w:r>
      <w:r>
        <w:t xml:space="preserve">  In </w:t>
      </w:r>
      <w:r w:rsidRPr="00960EBA">
        <w:t>Mayo Found. for Medical Educ. and Res. v. U.S.,</w:t>
      </w:r>
      <w:r>
        <w:t xml:space="preserve"> ___ U.S. ___, ___, 131 S. Ct. 704 (2011) the Supreme Court passed upon the validity of a rule that the Treasury Department promulgated which provided that any employee normally scheduled to work 40 or more hours per week does not pe</w:t>
      </w:r>
      <w:r>
        <w:t>r</w:t>
      </w:r>
      <w:r>
        <w:t>form such work “incident to and for the purpose of pursuing a course of study” and so his/her e</w:t>
      </w:r>
      <w:r>
        <w:t>m</w:t>
      </w:r>
      <w:r>
        <w:t>ployer is not exempt from paying employment taxes.  In the absence of any justification, the S</w:t>
      </w:r>
      <w:r>
        <w:t>u</w:t>
      </w:r>
      <w:r>
        <w:t xml:space="preserve">preme Court would give </w:t>
      </w:r>
      <w:r>
        <w:rPr>
          <w:i/>
        </w:rPr>
        <w:t>Chevron</w:t>
      </w:r>
      <w:r>
        <w:t xml:space="preserve"> deference to this Treasury Department regulation.  </w:t>
      </w:r>
      <w:r>
        <w:rPr>
          <w:i/>
        </w:rPr>
        <w:t>See</w:t>
      </w:r>
      <w:r>
        <w:t xml:space="preserve"> </w:t>
      </w:r>
      <w:r>
        <w:rPr>
          <w:i/>
        </w:rPr>
        <w:t>id.</w:t>
      </w:r>
      <w:r>
        <w:t xml:space="preserve"> at ___ U.S. ___, ___, 131 S. Ct. 704, 713 (2011).  </w:t>
      </w:r>
      <w:r w:rsidRPr="006E46C0">
        <w:t>Chevron, U.S.A. Inc. v. Natural Resources Defense Council, Inc</w:t>
      </w:r>
      <w:r>
        <w:rPr>
          <w:i/>
        </w:rPr>
        <w:t>.</w:t>
      </w:r>
      <w:r>
        <w:t xml:space="preserve">,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w:t>
      </w:r>
      <w:r>
        <w:rPr>
          <w:i/>
        </w:rPr>
        <w:t>Id.</w:t>
      </w:r>
      <w:r>
        <w:t xml:space="preserve"> at ___ U.S. at ___, 131 S. Ct. at 711-12.</w:t>
      </w:r>
    </w:p>
  </w:footnote>
  <w:footnote w:id="21">
    <w:p w:rsidR="00FF5E72" w:rsidRDefault="00FF5E72" w:rsidP="00355EF3">
      <w:pPr>
        <w:pStyle w:val="FootnoteText"/>
      </w:pPr>
      <w:r>
        <w:rPr>
          <w:vertAlign w:val="superscript"/>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rsidR="00FF5E72" w:rsidRDefault="00FF5E72" w:rsidP="00355EF3">
      <w:pPr>
        <w:pStyle w:val="FootnoteText"/>
      </w:pPr>
      <w:r>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rsidR="00FF5E72" w:rsidRDefault="00FF5E72" w:rsidP="00355EF3">
      <w:pPr>
        <w:pStyle w:val="FootnoteText"/>
      </w:pPr>
      <w:r>
        <w:rPr>
          <w:vertAlign w:val="superscript"/>
        </w:rPr>
        <w:footnoteRef/>
      </w:r>
      <w:r>
        <w:t xml:space="preserve">  Henry C. Simons, Personal Income Taxation 50 (1937).</w:t>
      </w:r>
    </w:p>
  </w:footnote>
  <w:footnote w:id="24">
    <w:p w:rsidR="00FF5E72" w:rsidRDefault="00FF5E72" w:rsidP="00355EF3">
      <w:pPr>
        <w:pStyle w:val="FootnoteText"/>
      </w:pPr>
      <w:r>
        <w:rPr>
          <w:vertAlign w:val="superscript"/>
        </w:rPr>
        <w:footnoteRef/>
      </w:r>
      <w:r>
        <w:t xml:space="preserve">    The Zimbabwean dollar once fit this description.</w:t>
      </w:r>
    </w:p>
  </w:footnote>
  <w:footnote w:id="25">
    <w:p w:rsidR="00FF5E72" w:rsidRDefault="00FF5E72" w:rsidP="00355EF3">
      <w:pPr>
        <w:pStyle w:val="FootnoteText"/>
      </w:pPr>
      <w:r>
        <w:rPr>
          <w:vertAlign w:val="superscript"/>
        </w:rPr>
        <w:footnoteRef/>
      </w:r>
      <w:r>
        <w:t xml:space="preserve">  A person tends to value what s/he already has more than what s/he does not have.</w:t>
      </w:r>
    </w:p>
  </w:footnote>
  <w:footnote w:id="26">
    <w:p w:rsidR="00FF5E72" w:rsidRDefault="00FF5E72" w:rsidP="00355EF3">
      <w:pPr>
        <w:pStyle w:val="FootnoteText"/>
      </w:pPr>
      <w:r>
        <w:rPr>
          <w:vertAlign w:val="superscript"/>
        </w:rPr>
        <w:footnoteRef/>
      </w:r>
      <w:r>
        <w:t xml:space="preserve">  The only exception to this principle is the trade or business of trafficking in certain controlled substances.  </w:t>
      </w:r>
      <w:r>
        <w:rPr>
          <w:i/>
        </w:rPr>
        <w:t>See</w:t>
      </w:r>
      <w:r>
        <w:t xml:space="preserve"> § 280E.</w:t>
      </w:r>
    </w:p>
  </w:footnote>
  <w:footnote w:id="27">
    <w:p w:rsidR="00FF5E72" w:rsidRDefault="00FF5E72" w:rsidP="00355EF3">
      <w:pPr>
        <w:pStyle w:val="FootnoteText"/>
      </w:pPr>
      <w:r>
        <w:rPr>
          <w:vertAlign w:val="superscript"/>
        </w:rPr>
        <w:footnoteRef/>
      </w:r>
      <w:r>
        <w:t xml:space="preserve"> ... or amortization or cost recovery.</w:t>
      </w:r>
    </w:p>
  </w:footnote>
  <w:footnote w:id="28">
    <w:p w:rsidR="00FF5E72" w:rsidRDefault="00FF5E72" w:rsidP="00355EF3">
      <w:pPr>
        <w:pStyle w:val="FootnoteText"/>
      </w:pPr>
      <w:r>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9">
    <w:p w:rsidR="00FF5E72" w:rsidRDefault="00FF5E72" w:rsidP="00355EF3">
      <w:pPr>
        <w:pStyle w:val="FootnoteText"/>
      </w:pPr>
      <w:r>
        <w:rPr>
          <w:vertAlign w:val="superscript"/>
        </w:rPr>
        <w:footnoteRef/>
      </w:r>
      <w:r>
        <w:t xml:space="preserve">  Title I.  – Income Tax</w:t>
      </w:r>
    </w:p>
    <w:p w:rsidR="00FF5E72" w:rsidRPr="00B93BAC" w:rsidRDefault="00FF5E72" w:rsidP="00355EF3">
      <w:pPr>
        <w:pStyle w:val="FootnoteText"/>
      </w:pPr>
      <w:r>
        <w:t>Part I. – On Individuals”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w:t>
      </w:r>
      <w:r>
        <w:rPr>
          <w:rFonts w:ascii="Sylfaen" w:hAnsi="Sylfaen"/>
          <w:sz w:val="20"/>
        </w:rPr>
        <w:t>r</w:t>
      </w:r>
      <w:r>
        <w:rPr>
          <w:rFonts w:ascii="Sylfaen" w:hAnsi="Sylfaen"/>
          <w:sz w:val="20"/>
        </w:rPr>
        <w:t>poration, ... which stock dividend shall be considered income, to the amount of its cash value.”</w:t>
      </w:r>
    </w:p>
  </w:footnote>
  <w:footnote w:id="30">
    <w:p w:rsidR="00FF5E72" w:rsidRDefault="00FF5E72" w:rsidP="00355EF3">
      <w:pPr>
        <w:pStyle w:val="FootnoteText"/>
      </w:pPr>
      <w:r>
        <w:rPr>
          <w:vertAlign w:val="superscript"/>
        </w:rPr>
        <w:footnoteRef/>
      </w:r>
      <w:r>
        <w:t xml:space="preserve">  There was no SHS definition of “income” in 1919.</w:t>
      </w:r>
    </w:p>
  </w:footnote>
  <w:footnote w:id="31">
    <w:p w:rsidR="00FF5E72" w:rsidRDefault="00FF5E72" w:rsidP="00355EF3">
      <w:pPr>
        <w:pStyle w:val="FootnoteText"/>
      </w:pPr>
      <w:r>
        <w:rPr>
          <w:vertAlign w:val="superscript"/>
        </w:rP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2">
    <w:p w:rsidR="00FF5E72" w:rsidRDefault="00FF5E72" w:rsidP="00355EF3">
      <w:pPr>
        <w:pStyle w:val="FootnoteText"/>
      </w:pPr>
      <w:r>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3">
    <w:p w:rsidR="00FF5E72" w:rsidRDefault="00FF5E72" w:rsidP="00355EF3">
      <w:pPr>
        <w:pStyle w:val="FootnoteText"/>
      </w:pPr>
      <w:r>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4">
    <w:p w:rsidR="00FF5E72" w:rsidRDefault="00FF5E72" w:rsidP="00355EF3">
      <w:pPr>
        <w:pStyle w:val="FootnoteText"/>
      </w:pPr>
      <w:r>
        <w:rPr>
          <w:vertAlign w:val="superscript"/>
        </w:rPr>
        <w:footnoteRef/>
      </w:r>
      <w:r>
        <w:t xml:space="preserve">  Many Northern delegates were opposed to the three-fifths compromise on the ground that if slaves were property, then they should not count for the purpose of representation. Apportionment effectively meant that if the slaveholding states were to receive representation in the House for their slaves, then because apportioned taxes must be allocated across states based upon their represent</w:t>
      </w:r>
      <w:r>
        <w:t>a</w:t>
      </w:r>
      <w:r>
        <w:t xml:space="preserve">tion, the slaveholding states would pay more in taxes to the national government than they would have if slaves were not counted at all in determining representation. </w:t>
      </w:r>
      <w:r>
        <w:rPr>
          <w:i/>
        </w:rPr>
        <w:t>See</w:t>
      </w:r>
      <w:r>
        <w:t xml:space="preserve"> Ackerman, </w:t>
      </w:r>
      <w:r>
        <w:rPr>
          <w:i/>
        </w:rPr>
        <w:t>supra</w:t>
      </w:r>
      <w:r>
        <w:t>, at 9. A</w:t>
      </w:r>
      <w:r>
        <w:t>p</w:t>
      </w:r>
      <w:r>
        <w:t>portionment was then limited to direct taxes lest it drive the Congress back to reliance upon requis</w:t>
      </w:r>
      <w:r>
        <w:t>i</w:t>
      </w:r>
      <w:r>
        <w:t xml:space="preserve">tions from the States. </w:t>
      </w:r>
      <w:r>
        <w:rPr>
          <w:i/>
        </w:rPr>
        <w:t>See</w:t>
      </w:r>
      <w:r>
        <w:t xml:space="preserve"> </w:t>
      </w:r>
      <w:r>
        <w:rPr>
          <w:i/>
        </w:rPr>
        <w:t>id.</w:t>
      </w:r>
      <w:r>
        <w:t xml:space="preserve"> at 9-10.</w:t>
      </w:r>
    </w:p>
  </w:footnote>
  <w:footnote w:id="35">
    <w:p w:rsidR="00FF5E72" w:rsidRDefault="00FF5E72" w:rsidP="00355EF3">
      <w:pPr>
        <w:pStyle w:val="FootnoteText"/>
      </w:pPr>
      <w:r>
        <w:rPr>
          <w:vertAlign w:val="superscript"/>
        </w:rPr>
        <w:footnoteRef/>
      </w:r>
      <w:r>
        <w:t xml:space="preserve">  For the same reason, we infer from </w:t>
      </w:r>
      <w:r w:rsidRPr="00AF25DB">
        <w:t xml:space="preserve">Knowlton </w:t>
      </w:r>
      <w:r>
        <w:t>that a tax laid upon an amount received in settl</w:t>
      </w:r>
      <w:r>
        <w:t>e</w:t>
      </w:r>
      <w:r>
        <w:t xml:space="preserve">ment of a suit for a personal nonphysical injury would also be an excise.  </w:t>
      </w:r>
      <w:r>
        <w:rPr>
          <w:i/>
        </w:rPr>
        <w:t>See</w:t>
      </w:r>
      <w:r>
        <w:t xml:space="preserve"> 178 U.S. at 55.</w:t>
      </w:r>
    </w:p>
    <w:p w:rsidR="00FF5E72" w:rsidRDefault="00FF5E72">
      <w:pPr>
        <w:widowControl w:val="0"/>
        <w:tabs>
          <w:tab w:val="left" w:pos="0"/>
          <w:tab w:val="left" w:pos="720"/>
          <w:tab w:val="left" w:pos="1440"/>
        </w:tabs>
        <w:jc w:val="both"/>
      </w:pPr>
    </w:p>
  </w:footnote>
  <w:footnote w:id="36">
    <w:p w:rsidR="00FF5E72" w:rsidRDefault="00FF5E72" w:rsidP="00355EF3">
      <w:pPr>
        <w:pStyle w:val="FootnoteText"/>
      </w:pPr>
      <w:r>
        <w:rPr>
          <w:vertAlign w:val="superscript"/>
        </w:rPr>
        <w:footnoteRef/>
      </w:r>
      <w:r>
        <w:t xml:space="preserve">  Aside from being part of the restructuring agreement, the taxpayer’s transfer of $6,123 cash to the PCA has little significance for the purposes of the present appeal.</w:t>
      </w:r>
    </w:p>
  </w:footnote>
  <w:footnote w:id="37">
    <w:p w:rsidR="00FF5E72" w:rsidRDefault="00FF5E72" w:rsidP="00355EF3">
      <w:pPr>
        <w:pStyle w:val="FootnoteText"/>
      </w:pPr>
      <w:r>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p w:rsidR="00FF5E72" w:rsidRDefault="00FF5E72">
      <w:pPr>
        <w:widowControl w:val="0"/>
        <w:tabs>
          <w:tab w:val="left" w:pos="0"/>
          <w:tab w:val="left" w:pos="720"/>
          <w:tab w:val="left" w:pos="1440"/>
        </w:tabs>
        <w:jc w:val="both"/>
      </w:pPr>
    </w:p>
  </w:footnote>
  <w:footnote w:id="38">
    <w:p w:rsidR="00FF5E72" w:rsidRDefault="00FF5E72" w:rsidP="00355EF3">
      <w:pPr>
        <w:pStyle w:val="FootnoteText"/>
      </w:pPr>
      <w:r>
        <w:rPr>
          <w:vertAlign w:val="superscript"/>
        </w:rPr>
        <w:footnoteRef/>
      </w:r>
      <w:r>
        <w:t xml:space="preserve">  Despite the technical accuracy of the decision, one wonders about the propriety of the gover</w:t>
      </w:r>
      <w:r>
        <w:t>n</w:t>
      </w:r>
      <w:r>
        <w:t>ment’s exhaustive pursuit of this matter in view of the taxpayers’ dire financial situation and conti</w:t>
      </w:r>
      <w:r>
        <w:t>n</w:t>
      </w:r>
      <w:r>
        <w:t>ued insolvency.</w:t>
      </w:r>
    </w:p>
  </w:footnote>
  <w:footnote w:id="39">
    <w:p w:rsidR="00FF5E72" w:rsidRDefault="00FF5E72" w:rsidP="00355EF3">
      <w:pPr>
        <w:pStyle w:val="FootnoteText"/>
      </w:pPr>
      <w:r>
        <w:rPr>
          <w:vertAlign w:val="superscript"/>
        </w:rPr>
        <w:footnoteRef/>
      </w:r>
      <w:r>
        <w:t xml:space="preserve">  The Tax Code makes a substantial contribution to urban sprawl.</w:t>
      </w:r>
    </w:p>
  </w:footnote>
  <w:footnote w:id="40">
    <w:p w:rsidR="00FF5E72" w:rsidRDefault="00FF5E72" w:rsidP="00355EF3">
      <w:pPr>
        <w:pStyle w:val="FootnoteText"/>
      </w:pPr>
      <w:r>
        <w:rPr>
          <w:vertAlign w:val="superscript"/>
        </w:rPr>
        <w:footnoteRef/>
      </w:r>
      <w:r>
        <w:t xml:space="preserve">  Many gamblers have learned the hard way that there is a limit to what they can deduct from their gambling winnings.  § 165(d) (wagering losses deductible only to extent of gain from wagering tran</w:t>
      </w:r>
      <w:r>
        <w:t>s</w:t>
      </w:r>
      <w:r>
        <w:t>actions).</w:t>
      </w:r>
    </w:p>
    <w:p w:rsidR="00FF5E72" w:rsidRDefault="00FF5E72">
      <w:pPr>
        <w:widowControl w:val="0"/>
        <w:tabs>
          <w:tab w:val="left" w:pos="0"/>
          <w:tab w:val="left" w:pos="720"/>
          <w:tab w:val="left" w:pos="1440"/>
        </w:tabs>
        <w:jc w:val="both"/>
      </w:pPr>
    </w:p>
  </w:footnote>
  <w:footnote w:id="41">
    <w:p w:rsidR="00FF5E72" w:rsidRDefault="00FF5E72" w:rsidP="00355EF3">
      <w:pPr>
        <w:pStyle w:val="FootnoteText"/>
      </w:pPr>
      <w:r>
        <w:rPr>
          <w:vertAlign w:val="superscript"/>
        </w:rPr>
        <w:footnoteRef/>
      </w:r>
      <w:r>
        <w:t xml:space="preserve">  Memorandum R-49 listed 10 criteria for classifying mortgages as substantially identical.</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“The loans involved must:”</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“1. involve single-family residential mortgages,”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“2. be of similar type (e.g., conventionals for conventionals),”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“3. have the same stated terms to maturity (e.g., 30 years),”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“4. have identical stated interest rates,”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“5. have similar seasoning (i.e., remaining terms to maturity),”</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“6. have aggregate principal amounts within the lesser of 2 ½% or $100,000 (plus or minus) on both sides of the transaction, with any additional consideration being paid in cash,”</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“7. be sold without recourse,”</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“8. have similar fair market values,”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b/>
        <w:t>“9. have similar loan-to-value ratios at the time of the reciprocal sale, and”</w:t>
      </w:r>
    </w:p>
    <w:p w:rsidR="00FF5E72" w:rsidRDefault="00FF5E72">
      <w:pPr>
        <w:widowControl w:val="0"/>
        <w:tabs>
          <w:tab w:val="left" w:pos="0"/>
          <w:tab w:val="left" w:pos="720"/>
          <w:tab w:val="left" w:pos="1440"/>
        </w:tabs>
        <w:jc w:val="both"/>
      </w:pPr>
      <w:r>
        <w:rPr>
          <w:rFonts w:ascii="Sylfaen" w:hAnsi="Sylfaen"/>
          <w:sz w:val="20"/>
        </w:rPr>
        <w:tab/>
        <w:t>“10. have all security properties for both sides of the transaction in the same state.”</w:t>
      </w:r>
    </w:p>
  </w:footnote>
  <w:footnote w:id="42">
    <w:p w:rsidR="00FF5E72" w:rsidRDefault="00FF5E72" w:rsidP="00355EF3">
      <w:pPr>
        <w:pStyle w:val="FootnoteText"/>
      </w:pPr>
      <w:r>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w:t>
      </w:r>
      <w:r>
        <w:t>a</w:t>
      </w:r>
      <w:r>
        <w:t>tion-interest holders.</w:t>
      </w:r>
    </w:p>
    <w:p w:rsidR="00FF5E72" w:rsidRDefault="00FF5E72">
      <w:pPr>
        <w:widowControl w:val="0"/>
        <w:tabs>
          <w:tab w:val="left" w:pos="0"/>
          <w:tab w:val="left" w:pos="720"/>
          <w:tab w:val="left" w:pos="1440"/>
        </w:tabs>
        <w:jc w:val="both"/>
      </w:pPr>
    </w:p>
  </w:footnote>
  <w:footnote w:id="43">
    <w:p w:rsidR="00FF5E72" w:rsidRDefault="00FF5E72" w:rsidP="00355EF3">
      <w:pPr>
        <w:pStyle w:val="FootnoteText"/>
      </w:pPr>
      <w:r>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4">
    <w:p w:rsidR="00FF5E72" w:rsidRDefault="00FF5E72" w:rsidP="00355EF3">
      <w:pPr>
        <w:pStyle w:val="FootnoteText"/>
      </w:pPr>
      <w:r>
        <w:rPr>
          <w:vertAlign w:val="superscript"/>
        </w:rPr>
        <w:footnoteRef/>
      </w:r>
      <w:r>
        <w:t xml:space="preserve">  Two years previously, Gilbert accomplished a merger with Bruce of another corporation co</w:t>
      </w:r>
      <w:r>
        <w:t>n</w:t>
      </w:r>
      <w:r>
        <w:t>trolled by him, Empire National Corporation, and in the process he had made some unauthorized withdrawals of Empire funds, all of which he paid back.</w:t>
      </w:r>
    </w:p>
  </w:footnote>
  <w:footnote w:id="45">
    <w:p w:rsidR="00FF5E72" w:rsidRDefault="00FF5E72" w:rsidP="00355EF3">
      <w:pPr>
        <w:pStyle w:val="FootnoteText"/>
      </w:pPr>
      <w:r>
        <w:rPr>
          <w:vertAlign w:val="superscript"/>
        </w:rPr>
        <w:footnoteRef/>
      </w:r>
      <w:r>
        <w:t xml:space="preserve">  When attempting to file in the New York County Clerk’s office on June 13 or 14, Bruce was told that it would have to pay a mortgage tax of at least $10,000 because the assignment included real property. ...</w:t>
      </w:r>
    </w:p>
  </w:footnote>
  <w:footnote w:id="46">
    <w:p w:rsidR="00FF5E72" w:rsidRDefault="00FF5E72" w:rsidP="00355EF3">
      <w:pPr>
        <w:pStyle w:val="FootnoteText"/>
      </w:pPr>
      <w:r>
        <w:rPr>
          <w:vertAlign w:val="superscript"/>
        </w:rP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47">
    <w:p w:rsidR="00FF5E72" w:rsidRDefault="00FF5E72" w:rsidP="00355EF3">
      <w:pPr>
        <w:pStyle w:val="FootnoteText"/>
      </w:pPr>
      <w:r>
        <w:rPr>
          <w:vertAlign w:val="superscript"/>
        </w:rPr>
        <w:footnoteRef/>
      </w:r>
      <w:r>
        <w:t xml:space="preserve">  Quinn v. Commissioner, </w:t>
      </w:r>
      <w:r>
        <w:rPr>
          <w:i/>
        </w:rPr>
        <w:t>supra</w:t>
      </w:r>
      <w:r>
        <w:t xml:space="preserve"> at 619, 623-25, relied on by the Commissioner, involved taxation of funds received without any contemporaneous recognition of the obligation to repay, and it is therefore distinguishable from the present case.</w:t>
      </w:r>
    </w:p>
  </w:footnote>
  <w:footnote w:id="48">
    <w:p w:rsidR="00FF5E72" w:rsidRDefault="00FF5E72" w:rsidP="00355EF3">
      <w:pPr>
        <w:pStyle w:val="FootnoteText"/>
      </w:pPr>
      <w:r>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9">
    <w:p w:rsidR="00FF5E72" w:rsidRDefault="00FF5E72" w:rsidP="00355EF3">
      <w:pPr>
        <w:pStyle w:val="FootnoteText"/>
      </w:pPr>
      <w:r>
        <w:rPr>
          <w:vertAlign w:val="superscript"/>
        </w:rPr>
        <w:footnoteRef/>
      </w:r>
      <w:r>
        <w:t xml:space="preserve">  The cases including “tips” in gross income are classic examples of this. </w:t>
      </w:r>
      <w:r>
        <w:rPr>
          <w:i/>
        </w:rPr>
        <w:t>See, e.g.</w:t>
      </w:r>
      <w:r>
        <w:t>, Roberts v. Co</w:t>
      </w:r>
      <w:r>
        <w:t>m</w:t>
      </w:r>
      <w:r>
        <w:t>missioner, 176 F.2d 221.</w:t>
      </w:r>
    </w:p>
  </w:footnote>
  <w:footnote w:id="50">
    <w:p w:rsidR="00FF5E72" w:rsidRDefault="00FF5E72" w:rsidP="00355EF3">
      <w:pPr>
        <w:pStyle w:val="FootnoteText"/>
      </w:pPr>
      <w:r>
        <w:rPr>
          <w:vertAlign w:val="superscript"/>
        </w:rPr>
        <w:footnoteRef/>
      </w:r>
      <w:r>
        <w:t xml:space="preserve">  Subtracting the stock basis of $51,073 from the gift tax paid by the donees of $62,992, the Co</w:t>
      </w:r>
      <w:r>
        <w:t>m</w:t>
      </w:r>
      <w:r>
        <w:t>missioner found that petitioners had realized a long-term capital gain of $11,919.  After a 50% redu</w:t>
      </w:r>
      <w:r>
        <w:t>c</w:t>
      </w:r>
      <w:r>
        <w:t>tion in long-term capital gain, 26 U.S.C. § 1202, the Diedrichs’ taxable income increased by $5,959.</w:t>
      </w:r>
    </w:p>
  </w:footnote>
  <w:footnote w:id="51">
    <w:p w:rsidR="00FF5E72" w:rsidRDefault="00FF5E72" w:rsidP="00355EF3">
      <w:pPr>
        <w:pStyle w:val="FootnoteText"/>
        <w:rPr>
          <w:rFonts w:ascii="Sylfaen" w:hAnsi="Sylfaen"/>
        </w:rPr>
      </w:pPr>
      <w:r>
        <w:rPr>
          <w:vertAlign w:val="superscript"/>
        </w:rPr>
        <w:footnoteRef/>
      </w:r>
      <w:r>
        <w:t xml:space="preserve">  ....</w:t>
      </w:r>
    </w:p>
    <w:p w:rsidR="00FF5E72" w:rsidRDefault="00FF5E72">
      <w:pPr>
        <w:widowControl w:val="0"/>
        <w:tabs>
          <w:tab w:val="left" w:pos="0"/>
          <w:tab w:val="left" w:pos="720"/>
          <w:tab w:val="left" w:pos="1440"/>
        </w:tabs>
        <w:jc w:val="both"/>
      </w:pPr>
      <w:r>
        <w:rPr>
          <w:rFonts w:ascii="Sylfaen" w:hAnsi="Sylfaen"/>
          <w:sz w:val="20"/>
        </w:rPr>
        <w:t xml:space="preserve">It should be noted that the gift tax consequences of a conditional gift will be unaffected by the holding in this case.  When a conditional “net” gift is given, the gift tax attributable to the transfer is to be deducted from the value of the property in determining the value of the gift at the time of transfer. </w:t>
      </w:r>
      <w:r>
        <w:rPr>
          <w:rFonts w:ascii="Sylfaen" w:hAnsi="Sylfaen"/>
          <w:i/>
          <w:sz w:val="20"/>
        </w:rPr>
        <w:t>See</w:t>
      </w:r>
      <w:r>
        <w:rPr>
          <w:rFonts w:ascii="Sylfaen" w:hAnsi="Sylfaen"/>
          <w:sz w:val="20"/>
        </w:rPr>
        <w:t xml:space="preserve"> Rev. Rul. 75-72, 1975-1 Cum. Bull. 310 (general formula for comput</w:t>
      </w:r>
      <w:r>
        <w:rPr>
          <w:rFonts w:ascii="Sylfaen" w:hAnsi="Sylfaen"/>
          <w:sz w:val="20"/>
        </w:rPr>
        <w:t>a</w:t>
      </w:r>
      <w:r>
        <w:rPr>
          <w:rFonts w:ascii="Sylfaen" w:hAnsi="Sylfaen"/>
          <w:sz w:val="20"/>
        </w:rPr>
        <w:t>tion of gift tax on conditional gift); Rev. Rul. 71-232, 1971-1 Cum. Bull. 275.</w:t>
      </w:r>
    </w:p>
  </w:footnote>
  <w:footnote w:id="52">
    <w:p w:rsidR="00FF5E72" w:rsidRDefault="00FF5E72" w:rsidP="00355EF3">
      <w:pPr>
        <w:pStyle w:val="FootnoteText"/>
        <w:rPr>
          <w:rFonts w:ascii="Sylfaen" w:hAnsi="Sylfaen"/>
        </w:rPr>
      </w:pPr>
      <w:r>
        <w:rPr>
          <w:vertAlign w:val="superscript"/>
        </w:rPr>
        <w:footnoteRef/>
      </w:r>
      <w:r>
        <w:t xml:space="preserve">  “The tax imposed by section 2501 shall be paid by the donor.”</w:t>
      </w:r>
    </w:p>
    <w:p w:rsidR="00FF5E72" w:rsidRDefault="00FF5E72">
      <w:pPr>
        <w:widowControl w:val="0"/>
        <w:tabs>
          <w:tab w:val="left" w:pos="0"/>
          <w:tab w:val="left" w:pos="720"/>
          <w:tab w:val="left" w:pos="1440"/>
        </w:tabs>
        <w:jc w:val="both"/>
      </w:pPr>
      <w:r>
        <w:rPr>
          <w:rFonts w:ascii="Sylfaen" w:hAnsi="Sylfaen"/>
          <w:sz w:val="20"/>
        </w:rPr>
        <w:t xml:space="preserve">Section 6321 imposes a lien on the personal property of the donor when a tax is not paid when due.  The donee is secondarily responsible for payment of the gift tax should the donor fail to pay the tax.  26 U.S.C. § 6324(b).  The donee’s liability, however, is limited to the value of the gift.  </w:t>
      </w:r>
      <w:r>
        <w:rPr>
          <w:rFonts w:ascii="Sylfaen" w:hAnsi="Sylfaen"/>
          <w:i/>
          <w:sz w:val="20"/>
        </w:rPr>
        <w:t>Ibid.</w:t>
      </w:r>
      <w:r>
        <w:rPr>
          <w:rFonts w:ascii="Sylfaen" w:hAnsi="Sylfaen"/>
          <w:sz w:val="20"/>
        </w:rPr>
        <w:t xml:space="preserve">  This responsibility of the donee is analogous to a lien or security.  </w:t>
      </w:r>
      <w:r>
        <w:rPr>
          <w:rFonts w:ascii="Sylfaen" w:hAnsi="Sylfaen"/>
          <w:i/>
          <w:sz w:val="20"/>
        </w:rPr>
        <w:t>Ibid.</w:t>
      </w:r>
      <w:r>
        <w:rPr>
          <w:rFonts w:ascii="Sylfaen" w:hAnsi="Sylfaen"/>
          <w:sz w:val="20"/>
        </w:rPr>
        <w:t xml:space="preserve">  </w:t>
      </w:r>
      <w:r>
        <w:rPr>
          <w:rFonts w:ascii="Sylfaen" w:hAnsi="Sylfaen"/>
          <w:i/>
          <w:sz w:val="20"/>
        </w:rPr>
        <w:t>See also</w:t>
      </w:r>
      <w:r>
        <w:rPr>
          <w:rFonts w:ascii="Sylfaen" w:hAnsi="Sylfaen"/>
          <w:sz w:val="20"/>
        </w:rPr>
        <w:t xml:space="preserve"> S. Rep. No. 665, 72d Cong., 1st Sess., 42 (1932); H.R. Rep. No. 708, 72d Cong., 1st Sess., 30 (1932).</w:t>
      </w:r>
    </w:p>
  </w:footnote>
  <w:footnote w:id="53">
    <w:p w:rsidR="00FF5E72" w:rsidRDefault="00FF5E72" w:rsidP="00355EF3">
      <w:pPr>
        <w:pStyle w:val="FootnoteText"/>
        <w:rPr>
          <w:rFonts w:ascii="Sylfaen" w:hAnsi="Sylfaen"/>
        </w:rPr>
      </w:pPr>
      <w:r>
        <w:rPr>
          <w:vertAlign w:val="superscript"/>
        </w:rPr>
        <w:footnoteRef/>
      </w:r>
      <w:r>
        <w:t xml:space="preserve"> ....</w:t>
      </w:r>
    </w:p>
    <w:p w:rsidR="00FF5E72" w:rsidRDefault="00FF5E72">
      <w:pPr>
        <w:widowControl w:val="0"/>
        <w:tabs>
          <w:tab w:val="left" w:pos="0"/>
          <w:tab w:val="left" w:pos="720"/>
          <w:tab w:val="left" w:pos="1440"/>
        </w:tabs>
        <w:jc w:val="both"/>
      </w:pPr>
      <w:r>
        <w:rPr>
          <w:rFonts w:ascii="Sylfaen" w:hAnsi="Sylfaen"/>
          <w:sz w:val="20"/>
        </w:rPr>
        <w:t>A conditional gift not only relieves the donor of the gift tax liability, but also may enable the donor to transfer a larger sum of money to the donee than would otherwise be possible due to such factors as differing income tax brackets of the donor and donee.</w:t>
      </w:r>
    </w:p>
  </w:footnote>
  <w:footnote w:id="54">
    <w:p w:rsidR="00FF5E72" w:rsidRDefault="00FF5E72" w:rsidP="00355EF3">
      <w:pPr>
        <w:pStyle w:val="FootnoteText"/>
      </w:pPr>
      <w:r>
        <w:rPr>
          <w:vertAlign w:val="superscript"/>
        </w:rPr>
        <w:footnoteRef/>
      </w:r>
      <w:r>
        <w:rPr>
          <w:i/>
        </w:rPr>
        <w:t>See generally</w:t>
      </w:r>
      <w:r>
        <w:t xml:space="preserve"> Committee on the Budget United States Senate 112</w:t>
      </w:r>
      <w:r>
        <w:rPr>
          <w:vertAlign w:val="superscript"/>
        </w:rPr>
        <w:t>th</w:t>
      </w:r>
      <w:r>
        <w:t xml:space="preserve"> Cong., </w:t>
      </w:r>
      <w:r>
        <w:rPr>
          <w:smallCaps/>
        </w:rPr>
        <w:t>Tax Expenditures: Compendium of Background Material on Individual Provisions, S. Prt. 112-45</w:t>
      </w:r>
      <w:r>
        <w:t xml:space="preserve"> at 1013-19 (2012), </w:t>
      </w:r>
      <w:r>
        <w:rPr>
          <w:i/>
        </w:rPr>
        <w:t xml:space="preserve">available at </w:t>
      </w:r>
      <w:r w:rsidRPr="0036550B">
        <w:t>http://www.gpo.gov/fdsys/pkg/CPRT-112SPRT77698/pdf/CPRT-112SPRT77698.pdf</w:t>
      </w:r>
    </w:p>
  </w:footnote>
  <w:footnote w:id="55">
    <w:p w:rsidR="00FF5E72" w:rsidRDefault="00FF5E72" w:rsidP="00355EF3">
      <w:pPr>
        <w:pStyle w:val="FootnoteText"/>
      </w:pPr>
      <w:r>
        <w:rPr>
          <w:vertAlign w:val="superscript"/>
        </w:rP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141(f) and §§ 142 to 145.</w:t>
      </w:r>
    </w:p>
  </w:footnote>
  <w:footnote w:id="56">
    <w:p w:rsidR="00FF5E72" w:rsidRDefault="00FF5E72" w:rsidP="00355EF3">
      <w:pPr>
        <w:pStyle w:val="FootnoteText"/>
      </w:pPr>
      <w:r>
        <w:rPr>
          <w:vertAlign w:val="superscript"/>
        </w:rPr>
        <w:footnoteRef/>
      </w:r>
      <w:r>
        <w:t xml:space="preserve">  However, such interest might be a “tax preference” item, § 57(a)(5) (private activity bonds), and so subject to the AMT.  § 55(b)(2)(B).</w:t>
      </w:r>
    </w:p>
  </w:footnote>
  <w:footnote w:id="57">
    <w:p w:rsidR="00FF5E72" w:rsidRDefault="00FF5E72" w:rsidP="00355EF3">
      <w:pPr>
        <w:pStyle w:val="FootnoteText"/>
      </w:pPr>
      <w:r>
        <w:rPr>
          <w:vertAlign w:val="superscript"/>
        </w:rPr>
        <w:footnoteRef/>
      </w:r>
      <w:r>
        <w:t xml:space="preserve"> ... in my view.</w:t>
      </w:r>
    </w:p>
  </w:footnote>
  <w:footnote w:id="58">
    <w:p w:rsidR="00FF5E72" w:rsidRDefault="00FF5E72" w:rsidP="00355EF3">
      <w:pPr>
        <w:pStyle w:val="FootnoteText"/>
      </w:pPr>
      <w:r>
        <w:rPr>
          <w:vertAlign w:val="superscript"/>
        </w:rPr>
        <w:footnoteRef/>
      </w:r>
      <w:r>
        <w:t xml:space="preserve">  “3. As a general rule, the test of ‘convenience of the employer’ is satisfied if living quarters or meals are furnished to an employee who is required to accept such quarters and meals in order to perform properly his duties.”  </w:t>
      </w:r>
      <w:r>
        <w:rPr>
          <w:rFonts w:ascii="Sylfaen" w:hAnsi="Sylfaen"/>
        </w:rPr>
        <w:t xml:space="preserve">1941 Cum. Bull., at 15, citing O.D. 915, </w:t>
      </w:r>
      <w:r>
        <w:rPr>
          <w:rFonts w:ascii="Sylfaen" w:hAnsi="Sylfaen"/>
          <w:i/>
        </w:rPr>
        <w:t>supra</w:t>
      </w:r>
      <w:r>
        <w:rPr>
          <w:rFonts w:ascii="Sylfaen" w:hAnsi="Sylfaen"/>
        </w:rPr>
        <w:t>, n. 18.</w:t>
      </w:r>
    </w:p>
  </w:footnote>
  <w:footnote w:id="59">
    <w:p w:rsidR="00FF5E72" w:rsidRDefault="00FF5E72" w:rsidP="00355EF3">
      <w:pPr>
        <w:pStyle w:val="FootnoteText"/>
        <w:rPr>
          <w:rFonts w:ascii="Sylfaen" w:hAnsi="Sylfaen"/>
        </w:rPr>
      </w:pPr>
      <w:r>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w:t>
      </w:r>
      <w:r>
        <w:t>h</w:t>
      </w:r>
      <w:r>
        <w:t>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employee were satisfied was plainly secondary and incidental to the employment.”</w:t>
      </w:r>
    </w:p>
    <w:p w:rsidR="00FF5E72" w:rsidRDefault="00FF5E72">
      <w:pPr>
        <w:widowControl w:val="0"/>
        <w:tabs>
          <w:tab w:val="left" w:pos="0"/>
          <w:tab w:val="left" w:pos="720"/>
          <w:tab w:val="left" w:pos="1440"/>
        </w:tabs>
        <w:jc w:val="both"/>
      </w:pPr>
      <w:r>
        <w:rPr>
          <w:rFonts w:ascii="Sylfaen" w:hAnsi="Sylfaen"/>
          <w:sz w:val="20"/>
        </w:rPr>
        <w:t>Van Rosen v. Commissioner, 17 T.C. at 838.</w:t>
      </w:r>
    </w:p>
  </w:footnote>
  <w:footnote w:id="60">
    <w:p w:rsidR="00FF5E72" w:rsidRDefault="00FF5E72" w:rsidP="00355EF3">
      <w:pPr>
        <w:pStyle w:val="FootnoteText"/>
      </w:pPr>
      <w:r>
        <w:rPr>
          <w:vertAlign w:val="superscript"/>
        </w:rPr>
        <w:footnoteRef/>
      </w:r>
      <w:r>
        <w:t xml:space="preserve">  “[T]he provisions of an employment contract ... shall not be determinative of whether ... meals ... are intended as compensation.”</w:t>
      </w:r>
    </w:p>
  </w:footnote>
  <w:footnote w:id="61">
    <w:p w:rsidR="00FF5E72" w:rsidRDefault="00FF5E72" w:rsidP="00355EF3">
      <w:pPr>
        <w:pStyle w:val="FootnoteText"/>
      </w:pPr>
      <w:r>
        <w:rPr>
          <w:vertAlign w:val="superscript"/>
        </w:rPr>
        <w:footnoteRef/>
      </w:r>
      <w:r>
        <w:t xml:space="preserve">  </w:t>
      </w:r>
      <w:r>
        <w:rPr>
          <w:i/>
        </w:rPr>
        <w:t>See</w:t>
      </w:r>
      <w:r>
        <w:t xml:space="preserve"> Boris I. Bittker, Martin J. McMahon, Jr., &amp; Lawrence A. Zelenak, Federal Income Taxation of Individuals ¶ 4.05[2] at 4-21 (3d ed. 2002).  </w:t>
      </w:r>
    </w:p>
  </w:footnote>
  <w:footnote w:id="62">
    <w:p w:rsidR="00FF5E72" w:rsidRDefault="00FF5E72" w:rsidP="00355EF3">
      <w:pPr>
        <w:pStyle w:val="FootnoteText"/>
      </w:pPr>
      <w:r>
        <w:rPr>
          <w:vertAlign w:val="superscript"/>
        </w:rPr>
        <w:footnoteRef/>
      </w:r>
      <w:r>
        <w:t xml:space="preserve">  We have recently described a seller-financed transaction as an ‘amalgam of two distinct transa</w:t>
      </w:r>
      <w:r>
        <w:t>c</w:t>
      </w:r>
      <w:r>
        <w:t xml:space="preserve">tions.  First, there is a transfer of the asset from the seller to the buyer.  Then, there is a ‘loan’ from the seller to the purchaser of all or a portion of the purchase price.’ </w:t>
      </w:r>
      <w:r w:rsidRPr="00540D2C">
        <w:rPr>
          <w:i/>
        </w:rPr>
        <w:t>Finkelman v. Commissioner</w:t>
      </w:r>
      <w:r>
        <w:t>, T.C. Memo. 1989-72. If respondent’s ‘cash’ argument is based on the second part of this bifurcated d</w:t>
      </w:r>
      <w:r>
        <w:t>e</w:t>
      </w:r>
      <w:r>
        <w:t>scription of a seller-financed transaction, the result would completely nullify section 108(e)(5) since no transactions would ever qualify for section 108(e)(5) relief.</w:t>
      </w:r>
    </w:p>
  </w:footnote>
  <w:footnote w:id="63">
    <w:p w:rsidR="00FF5E72" w:rsidRDefault="00FF5E72" w:rsidP="00355EF3">
      <w:pPr>
        <w:pStyle w:val="FootnoteText"/>
      </w:pPr>
      <w:r>
        <w:rPr>
          <w:vertAlign w:val="superscript"/>
        </w:rPr>
        <w:footnoteRef/>
      </w:r>
      <w:r>
        <w:t xml:space="preserve">  Had Zarin not paid the $500,000 dollar settlement, it would be likely that he would have had i</w:t>
      </w:r>
      <w:r>
        <w:t>n</w:t>
      </w:r>
      <w:r>
        <w:t>come from cancellation of indebtedness. The debt at that point would have been fixed, and Zarin would have been legally obligated to pay it.</w:t>
      </w:r>
    </w:p>
  </w:footnote>
  <w:footnote w:id="64">
    <w:p w:rsidR="00FF5E72" w:rsidRDefault="00FF5E72" w:rsidP="00355EF3">
      <w:pPr>
        <w:pStyle w:val="FootnoteText"/>
      </w:pPr>
      <w:r>
        <w:rPr>
          <w:vertAlign w:val="superscript"/>
        </w:rPr>
        <w:footnoteRef/>
      </w:r>
      <w:r>
        <w:t xml:space="preserve">  The Commissioner argues that the decision in </w:t>
      </w:r>
      <w:r w:rsidRPr="00540D2C">
        <w:rPr>
          <w:i/>
        </w:rPr>
        <w:t>Hall</w:t>
      </w:r>
      <w:r>
        <w:t xml:space="preserve"> was based on United States Supreme Court precedent since overruled, and therefore </w:t>
      </w:r>
      <w:r w:rsidRPr="00B851CD">
        <w:t xml:space="preserve">Hall </w:t>
      </w:r>
      <w:r>
        <w:t xml:space="preserve">should be disregarded.  Indeed, the </w:t>
      </w:r>
      <w:r w:rsidRPr="00540D2C">
        <w:rPr>
          <w:i/>
        </w:rPr>
        <w:t>Hall</w:t>
      </w:r>
      <w:r w:rsidRPr="00B851CD">
        <w:t xml:space="preserve"> </w:t>
      </w:r>
      <w:r>
        <w:t xml:space="preserve">court devoted a considerable amount of time to </w:t>
      </w:r>
      <w:r w:rsidRPr="00540D2C">
        <w:rPr>
          <w:i/>
        </w:rPr>
        <w:t>Bowers v. Kerbaugh-Empire Co</w:t>
      </w:r>
      <w:r w:rsidRPr="00B851CD">
        <w:t>.</w:t>
      </w:r>
      <w:r>
        <w:t xml:space="preserve">, 271 U.S. 170 (1926), a case whose validity is in question.  We do not pass on the question of whether or not </w:t>
      </w:r>
      <w:r w:rsidRPr="00540D2C">
        <w:rPr>
          <w:i/>
        </w:rPr>
        <w:t>Bowers</w:t>
      </w:r>
      <w:r w:rsidRPr="00B851CD">
        <w:t xml:space="preserve"> </w:t>
      </w:r>
      <w:r>
        <w:t xml:space="preserve">is good law.  We do note that </w:t>
      </w:r>
      <w:r w:rsidRPr="00540D2C">
        <w:rPr>
          <w:i/>
        </w:rPr>
        <w:t>Hall</w:t>
      </w:r>
      <w:r w:rsidRPr="00B851CD">
        <w:t xml:space="preserve"> </w:t>
      </w:r>
      <w:r>
        <w:t xml:space="preserve">relied on </w:t>
      </w:r>
      <w:r>
        <w:rPr>
          <w:i/>
        </w:rPr>
        <w:t>Bowers</w:t>
      </w:r>
      <w:r>
        <w:t xml:space="preserve"> only for the proposition that “‘a court need not in every case be obli</w:t>
      </w:r>
      <w:r>
        <w:t>v</w:t>
      </w:r>
      <w:r>
        <w:t xml:space="preserve">ious to the net effect of the entire transaction.’” </w:t>
      </w:r>
      <w:r w:rsidRPr="00540D2C">
        <w:rPr>
          <w:i/>
        </w:rPr>
        <w:t>United States v. Hall</w:t>
      </w:r>
      <w:r w:rsidRPr="00B851CD">
        <w:t>,</w:t>
      </w:r>
      <w:r>
        <w:t xml:space="preserve"> 307 F.2d at 242, </w:t>
      </w:r>
      <w:r>
        <w:rPr>
          <w:i/>
        </w:rPr>
        <w:t>quoting</w:t>
      </w:r>
      <w:r>
        <w:t xml:space="preserve"> </w:t>
      </w:r>
      <w:r w:rsidRPr="00540D2C">
        <w:rPr>
          <w:i/>
        </w:rPr>
        <w:t>Bradford v. Commissioner</w:t>
      </w:r>
      <w:r w:rsidRPr="00B851CD">
        <w:t xml:space="preserve">, </w:t>
      </w:r>
      <w:r>
        <w:t xml:space="preserve">233 F.2d 935, 939 (6th Cir. 1956).  </w:t>
      </w:r>
      <w:r w:rsidRPr="00540D2C">
        <w:rPr>
          <w:i/>
        </w:rPr>
        <w:t>Hall’s</w:t>
      </w:r>
      <w:r>
        <w:t xml:space="preserve"> reliance on </w:t>
      </w:r>
      <w:r w:rsidRPr="00540D2C">
        <w:rPr>
          <w:i/>
        </w:rPr>
        <w:t>Bowers</w:t>
      </w:r>
      <w:r w:rsidRPr="00B851CD">
        <w:t xml:space="preserve"> </w:t>
      </w:r>
      <w:r>
        <w:t>did not extend to the issue of contested liability, and even if it did, the idea that “Courts need not apply mechanical stan</w:t>
      </w:r>
      <w:r>
        <w:t>d</w:t>
      </w:r>
      <w:r>
        <w:t xml:space="preserve">ards which smother the reality of a particular transaction,” </w:t>
      </w:r>
      <w:r>
        <w:rPr>
          <w:i/>
        </w:rPr>
        <w:t>id</w:t>
      </w:r>
      <w:r>
        <w:t xml:space="preserve">. at 241, is hardly an exceptional concept in the tax realm.  </w:t>
      </w:r>
      <w:r>
        <w:rPr>
          <w:i/>
        </w:rPr>
        <w:t>See</w:t>
      </w:r>
      <w:r>
        <w:t xml:space="preserve"> </w:t>
      </w:r>
      <w:r w:rsidRPr="00540D2C">
        <w:rPr>
          <w:i/>
        </w:rPr>
        <w:t>Commissioner v. Tufts</w:t>
      </w:r>
      <w:r>
        <w:t xml:space="preserve">, 461 U.S. 300 (1983); </w:t>
      </w:r>
      <w:r w:rsidRPr="00540D2C">
        <w:rPr>
          <w:i/>
        </w:rPr>
        <w:t>Hillsboro Nat’l Bank v. Commissioner</w:t>
      </w:r>
      <w:r>
        <w:t>, 460 U.S. 370 (1983).</w:t>
      </w:r>
    </w:p>
  </w:footnote>
  <w:footnote w:id="65">
    <w:p w:rsidR="00FF5E72" w:rsidRDefault="00FF5E72" w:rsidP="00355EF3">
      <w:pPr>
        <w:pStyle w:val="FootnoteText"/>
      </w:pPr>
      <w:r>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6">
    <w:p w:rsidR="00FF5E72" w:rsidRDefault="00FF5E72" w:rsidP="00355EF3">
      <w:pPr>
        <w:pStyle w:val="FootnoteText"/>
      </w:pPr>
      <w:r>
        <w:rPr>
          <w:vertAlign w:val="superscript"/>
        </w:rPr>
        <w:footnoteRef/>
      </w:r>
      <w:r>
        <w:t xml:space="preserve">  The Commissioner determined the partnership’s gain on the sale by subtracting the adjusted b</w:t>
      </w:r>
      <w:r>
        <w:t>a</w:t>
      </w:r>
      <w:r>
        <w:t>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rsidR="00FF5E72" w:rsidRDefault="00FF5E72">
      <w:pPr>
        <w:widowControl w:val="0"/>
        <w:tabs>
          <w:tab w:val="left" w:pos="0"/>
          <w:tab w:val="left" w:pos="720"/>
          <w:tab w:val="left" w:pos="1440"/>
        </w:tabs>
        <w:jc w:val="both"/>
      </w:pPr>
    </w:p>
  </w:footnote>
  <w:footnote w:id="67">
    <w:p w:rsidR="00FF5E72" w:rsidRDefault="00FF5E72" w:rsidP="00355EF3">
      <w:pPr>
        <w:pStyle w:val="FootnoteText"/>
      </w:pPr>
      <w:r>
        <w:rPr>
          <w:vertAlign w:val="superscript"/>
        </w:rPr>
        <w:footnoteRef/>
      </w:r>
      <w:r>
        <w:t xml:space="preserve">  Crane also argued that, even if the statute required the inclusion of the amount of the nonr</w:t>
      </w:r>
      <w:r>
        <w:t>e</w:t>
      </w:r>
      <w:r>
        <w:t>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8">
    <w:p w:rsidR="00FF5E72" w:rsidRDefault="00FF5E72" w:rsidP="00355EF3">
      <w:pPr>
        <w:pStyle w:val="FootnoteText"/>
      </w:pPr>
      <w:r>
        <w:rPr>
          <w:vertAlign w:val="superscript"/>
        </w:rPr>
        <w:footnoteRef/>
      </w:r>
      <w:r>
        <w:t xml:space="preserve">  The Commissioner might have adopted the theory, implicit in Crane’s contentions, that a nonr</w:t>
      </w:r>
      <w:r>
        <w:t>e</w:t>
      </w:r>
      <w:r>
        <w:t>course mortgage is not true debt, but, instead, is a form of joint investment by the mortgagor and the mortgagee.  On this approach, nonrecourse debt would be considered a contingent liability, u</w:t>
      </w:r>
      <w:r>
        <w:t>n</w:t>
      </w:r>
      <w:r>
        <w:t xml:space="preserve">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w:t>
      </w:r>
      <w:r>
        <w:rPr>
          <w:i/>
        </w:rPr>
        <w:t>r</w:t>
      </w:r>
      <w:r>
        <w:rPr>
          <w:i/>
        </w:rPr>
        <w:t>sonal Liability</w:t>
      </w:r>
      <w:r>
        <w:t xml:space="preserve">, 6 </w:t>
      </w:r>
      <w:r>
        <w:rPr>
          <w:smallCaps/>
        </w:rPr>
        <w:t>Tax L. Rev</w:t>
      </w:r>
      <w:r>
        <w:t xml:space="preserve">. 319, 323 (1951); </w:t>
      </w:r>
      <w:r>
        <w:rPr>
          <w:i/>
        </w:rPr>
        <w:t>cf</w:t>
      </w:r>
      <w:r>
        <w:t>. Brief for Respondents 16 (nonrecourse debt rese</w:t>
      </w:r>
      <w:r>
        <w:t>m</w:t>
      </w:r>
      <w:r>
        <w:t>bles preferred stock).  Because the taxpayer’s investment in the property would not include the no</w:t>
      </w:r>
      <w:r>
        <w:t>n</w:t>
      </w:r>
      <w:r>
        <w:t xml:space="preserve">recourse debt, the taxpayer would not be permitted to include that debt in basis.  Note, 82 </w:t>
      </w:r>
      <w:r>
        <w:rPr>
          <w:smallCaps/>
        </w:rPr>
        <w:t>Colum. L. Rev</w:t>
      </w:r>
      <w:r>
        <w:t>. at 1515; [citation omitted.</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xml:space="preserve">... We note only that the </w:t>
      </w:r>
      <w:r w:rsidRPr="002C3AED">
        <w:rPr>
          <w:rFonts w:ascii="Sylfaen" w:hAnsi="Sylfaen"/>
          <w:i/>
          <w:sz w:val="20"/>
        </w:rPr>
        <w:t>Crane</w:t>
      </w:r>
      <w:r>
        <w:rPr>
          <w:rFonts w:ascii="Sylfaen" w:hAnsi="Sylfaen"/>
          <w:sz w:val="20"/>
        </w:rPr>
        <w:t xml:space="preserve"> Court’s resolution of the basis issue presumed that, when property is purchased with proceeds from a nonrecourse mortgage, the purchaser becomes the sole owner of the property.  331 U.S. at 6.  Under the </w:t>
      </w:r>
      <w:r w:rsidRPr="002C3AED">
        <w:rPr>
          <w:rFonts w:ascii="Sylfaen" w:hAnsi="Sylfaen"/>
          <w:i/>
          <w:sz w:val="20"/>
        </w:rPr>
        <w:t>Crane</w:t>
      </w:r>
      <w:r>
        <w:rPr>
          <w:rFonts w:ascii="Sylfaen" w:hAnsi="Sylfaen"/>
          <w:sz w:val="20"/>
        </w:rPr>
        <w:t xml:space="preserve"> approach, the mortgagee is ent</w:t>
      </w:r>
      <w:r>
        <w:rPr>
          <w:rFonts w:ascii="Sylfaen" w:hAnsi="Sylfaen"/>
          <w:sz w:val="20"/>
        </w:rPr>
        <w:t>i</w:t>
      </w:r>
      <w:r>
        <w:rPr>
          <w:rFonts w:ascii="Sylfaen" w:hAnsi="Sylfaen"/>
          <w:sz w:val="20"/>
        </w:rPr>
        <w:t xml:space="preserve">tled to no portion of the basis.  </w:t>
      </w:r>
      <w:r>
        <w:rPr>
          <w:rFonts w:ascii="Sylfaen" w:hAnsi="Sylfaen"/>
          <w:i/>
          <w:sz w:val="20"/>
        </w:rPr>
        <w:t>Id</w:t>
      </w:r>
      <w:r>
        <w:rPr>
          <w:rFonts w:ascii="Sylfaen" w:hAnsi="Sylfaen"/>
          <w:sz w:val="20"/>
        </w:rPr>
        <w:t>. at 10, n. 28.  The nonrecourse mortgage is part of the mor</w:t>
      </w:r>
      <w:r>
        <w:rPr>
          <w:rFonts w:ascii="Sylfaen" w:hAnsi="Sylfaen"/>
          <w:sz w:val="20"/>
        </w:rPr>
        <w:t>t</w:t>
      </w:r>
      <w:r>
        <w:rPr>
          <w:rFonts w:ascii="Sylfaen" w:hAnsi="Sylfaen"/>
          <w:sz w:val="20"/>
        </w:rPr>
        <w:t xml:space="preserve">gagor’s investment in the property, and does not constitute a coinvestment by the mortgagee.  </w:t>
      </w:r>
      <w:r>
        <w:rPr>
          <w:rFonts w:ascii="Sylfaen" w:hAnsi="Sylfaen"/>
          <w:i/>
          <w:sz w:val="20"/>
        </w:rPr>
        <w:t>But see</w:t>
      </w:r>
      <w:r>
        <w:rPr>
          <w:rFonts w:ascii="Sylfaen" w:hAnsi="Sylfaen"/>
          <w:sz w:val="20"/>
        </w:rPr>
        <w:t xml:space="preserve"> Note, 82 </w:t>
      </w:r>
      <w:r>
        <w:rPr>
          <w:rFonts w:ascii="Sylfaen" w:hAnsi="Sylfaen"/>
          <w:smallCaps/>
          <w:sz w:val="20"/>
        </w:rPr>
        <w:t>Colum. L. Rev</w:t>
      </w:r>
      <w:r>
        <w:rPr>
          <w:rFonts w:ascii="Sylfaen" w:hAnsi="Sylfaen"/>
          <w:sz w:val="20"/>
        </w:rPr>
        <w:t xml:space="preserve">. at 1513 (treating nonrecourse mortgage as coinvestment by mortgagee and critically concluding that </w:t>
      </w:r>
      <w:r w:rsidRPr="002C3AED">
        <w:rPr>
          <w:rFonts w:ascii="Sylfaen" w:hAnsi="Sylfaen"/>
          <w:i/>
          <w:sz w:val="20"/>
        </w:rPr>
        <w:t>Crane</w:t>
      </w:r>
      <w:r>
        <w:rPr>
          <w:rFonts w:ascii="Sylfaen" w:hAnsi="Sylfaen"/>
          <w:sz w:val="20"/>
        </w:rPr>
        <w:t xml:space="preserve"> departed from traditional analysis that basis is taxpayer’s investment in property).</w:t>
      </w:r>
    </w:p>
  </w:footnote>
  <w:footnote w:id="69">
    <w:p w:rsidR="00FF5E72" w:rsidRDefault="00FF5E72" w:rsidP="00355EF3">
      <w:pPr>
        <w:pStyle w:val="FootnoteText"/>
      </w:pPr>
      <w:r>
        <w:rPr>
          <w:vertAlign w:val="superscript"/>
        </w:rPr>
        <w:footnoteRef/>
      </w:r>
      <w:r>
        <w:t xml:space="preserve">  The Court of Appeals for the Third Circuit, in </w:t>
      </w:r>
      <w:r w:rsidRPr="002C3AED">
        <w:rPr>
          <w:i/>
        </w:rPr>
        <w:t>Millar</w:t>
      </w:r>
      <w:r>
        <w:t xml:space="preserve">, affirmed the Tax Court on the theory that inclusion of nonrecourse liability in the amount realized was necessary to prevent the taxpayer from enjoying a double deduction.  577 F.2d at 215; </w:t>
      </w:r>
      <w:r>
        <w:rPr>
          <w:i/>
        </w:rPr>
        <w:t>cf.</w:t>
      </w:r>
      <w:r>
        <w:t xml:space="preserve"> n 4, </w:t>
      </w:r>
      <w:r>
        <w:rPr>
          <w:i/>
        </w:rPr>
        <w:t>supra</w:t>
      </w:r>
      <w:r>
        <w:t>.  Because we resolve the question on another ground, we do not address the validity of the double deduction rationale.</w:t>
      </w:r>
    </w:p>
  </w:footnote>
  <w:footnote w:id="70">
    <w:p w:rsidR="00FF5E72" w:rsidRDefault="00FF5E72" w:rsidP="00355EF3">
      <w:pPr>
        <w:pStyle w:val="FootnoteText"/>
        <w:rPr>
          <w:rFonts w:ascii="Sylfaen" w:hAnsi="Sylfaen"/>
        </w:rPr>
      </w:pPr>
      <w:r>
        <w:rPr>
          <w:vertAlign w:val="superscript"/>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w:t>
      </w:r>
      <w:r>
        <w:t>a</w:t>
      </w:r>
      <w:r>
        <w:t>tion of $450,000 of ordinary income. Taxation of the ordinary income might be deferred under § 108 by a reduction of respondents’ bases in their partnership interests.</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w:t>
      </w:r>
      <w:r>
        <w:rPr>
          <w:rFonts w:ascii="Sylfaen" w:hAnsi="Sylfaen"/>
          <w:sz w:val="20"/>
        </w:rPr>
        <w:t>e</w:t>
      </w:r>
      <w:r>
        <w:rPr>
          <w:rFonts w:ascii="Sylfaen" w:hAnsi="Sylfaen"/>
          <w:sz w:val="20"/>
        </w:rPr>
        <w:t>course debt may be treated identically.</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The Commissioner also has chosen not to characterize the transaction as cancellation of i</w:t>
      </w:r>
      <w:r>
        <w:rPr>
          <w:rFonts w:ascii="Sylfaen" w:hAnsi="Sylfaen"/>
          <w:sz w:val="20"/>
        </w:rPr>
        <w:t>n</w:t>
      </w:r>
      <w:r>
        <w:rPr>
          <w:rFonts w:ascii="Sylfaen" w:hAnsi="Sylfaen"/>
          <w:sz w:val="20"/>
        </w:rPr>
        <w:t>debtedness. We are not presented with, and do not decide, the contours of the cancellation-of-indebtedness doctrine. We note only that our approach does not fall within certain prior i</w:t>
      </w:r>
      <w:r>
        <w:rPr>
          <w:rFonts w:ascii="Sylfaen" w:hAnsi="Sylfaen"/>
          <w:sz w:val="20"/>
        </w:rPr>
        <w:t>n</w:t>
      </w:r>
      <w:r>
        <w:rPr>
          <w:rFonts w:ascii="Sylfaen" w:hAnsi="Sylfaen"/>
          <w:sz w:val="20"/>
        </w:rPr>
        <w:t xml:space="preserve">terpretations of that doctrine. In one view, the doctrine rests on the same initial premise as our analysis here – an obligation to repay – but the doctrine relies on a freeing-of-assets theory to attribute ordinary income to the debtor upon cancellation. </w:t>
      </w:r>
      <w:r>
        <w:rPr>
          <w:rFonts w:ascii="Sylfaen" w:hAnsi="Sylfaen"/>
          <w:i/>
          <w:sz w:val="20"/>
        </w:rPr>
        <w:t>See</w:t>
      </w:r>
      <w:r>
        <w:rPr>
          <w:rFonts w:ascii="Sylfaen" w:hAnsi="Sylfaen"/>
          <w:sz w:val="20"/>
        </w:rPr>
        <w:t xml:space="preserve"> </w:t>
      </w:r>
      <w:r w:rsidRPr="002C3AED">
        <w:rPr>
          <w:rFonts w:ascii="Sylfaen" w:hAnsi="Sylfaen"/>
          <w:i/>
          <w:sz w:val="20"/>
        </w:rPr>
        <w:t>Commissioner v. Jacobson</w:t>
      </w:r>
      <w:r>
        <w:rPr>
          <w:rFonts w:ascii="Sylfaen" w:hAnsi="Sylfaen"/>
          <w:sz w:val="20"/>
        </w:rPr>
        <w:t xml:space="preserve">, 336 U.S. 28, 38-40 (1949); </w:t>
      </w:r>
      <w:r w:rsidRPr="002C3AED">
        <w:rPr>
          <w:rFonts w:ascii="Sylfaen" w:hAnsi="Sylfaen"/>
          <w:i/>
          <w:sz w:val="20"/>
        </w:rPr>
        <w:t>United States v. Kirby Lumber Co</w:t>
      </w:r>
      <w:r>
        <w:rPr>
          <w:rFonts w:ascii="Sylfaen" w:hAnsi="Sylfaen"/>
          <w:i/>
          <w:sz w:val="20"/>
        </w:rPr>
        <w:t>.</w:t>
      </w:r>
      <w:r>
        <w:rPr>
          <w:rFonts w:ascii="Sylfaen" w:hAnsi="Sylfaen"/>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Pr>
          <w:rFonts w:ascii="Sylfaen" w:hAnsi="Sylfaen"/>
          <w:i/>
          <w:sz w:val="20"/>
        </w:rPr>
        <w:t>See</w:t>
      </w:r>
      <w:r>
        <w:rPr>
          <w:rFonts w:ascii="Sylfaen" w:hAnsi="Sylfaen"/>
          <w:sz w:val="20"/>
        </w:rPr>
        <w:t xml:space="preserve"> </w:t>
      </w:r>
      <w:r w:rsidRPr="002C3AED">
        <w:rPr>
          <w:rFonts w:ascii="Sylfaen" w:hAnsi="Sylfaen"/>
          <w:i/>
          <w:sz w:val="20"/>
        </w:rPr>
        <w:t>Fulton Gold Corp. v. Commissioner</w:t>
      </w:r>
      <w:r w:rsidRPr="0062119F">
        <w:rPr>
          <w:rFonts w:ascii="Sylfaen" w:hAnsi="Sylfaen"/>
          <w:sz w:val="20"/>
        </w:rPr>
        <w:t>,</w:t>
      </w:r>
      <w:r>
        <w:rPr>
          <w:rFonts w:ascii="Sylfaen" w:hAnsi="Sylfaen"/>
          <w:sz w:val="20"/>
        </w:rPr>
        <w:t xml:space="preserve"> 31 B.T.A. 519, 520 (1934). Because that interpretation attributes income only when assets are freed, however, an inso</w:t>
      </w:r>
      <w:r>
        <w:rPr>
          <w:rFonts w:ascii="Sylfaen" w:hAnsi="Sylfaen"/>
          <w:sz w:val="20"/>
        </w:rPr>
        <w:t>l</w:t>
      </w:r>
      <w:r>
        <w:rPr>
          <w:rFonts w:ascii="Sylfaen" w:hAnsi="Sylfaen"/>
          <w:sz w:val="20"/>
        </w:rPr>
        <w:t>vent debtor realizes income just to the extent his assets exceed his liabilities after the cancell</w:t>
      </w:r>
      <w:r>
        <w:rPr>
          <w:rFonts w:ascii="Sylfaen" w:hAnsi="Sylfaen"/>
          <w:sz w:val="20"/>
        </w:rPr>
        <w:t>a</w:t>
      </w:r>
      <w:r>
        <w:rPr>
          <w:rFonts w:ascii="Sylfaen" w:hAnsi="Sylfaen"/>
          <w:sz w:val="20"/>
        </w:rPr>
        <w:t xml:space="preserve">tion. </w:t>
      </w:r>
      <w:r w:rsidRPr="002C3AED">
        <w:rPr>
          <w:rFonts w:ascii="Sylfaen" w:hAnsi="Sylfaen"/>
          <w:i/>
          <w:sz w:val="20"/>
        </w:rPr>
        <w:t>Lakeland Grocery Co. v. Commissioner</w:t>
      </w:r>
      <w:r w:rsidRPr="0062119F">
        <w:rPr>
          <w:rFonts w:ascii="Sylfaen" w:hAnsi="Sylfaen"/>
          <w:sz w:val="20"/>
        </w:rPr>
        <w:t>,</w:t>
      </w:r>
      <w:r>
        <w:rPr>
          <w:rFonts w:ascii="Sylfaen" w:hAnsi="Sylfaen"/>
          <w:sz w:val="20"/>
        </w:rPr>
        <w:t xml:space="preserve"> 36 B.T.A. 289, 292 (1937). Similarly, if the no</w:t>
      </w:r>
      <w:r>
        <w:rPr>
          <w:rFonts w:ascii="Sylfaen" w:hAnsi="Sylfaen"/>
          <w:sz w:val="20"/>
        </w:rPr>
        <w:t>n</w:t>
      </w:r>
      <w:r>
        <w:rPr>
          <w:rFonts w:ascii="Sylfaen" w:hAnsi="Sylfaen"/>
          <w:sz w:val="20"/>
        </w:rPr>
        <w:t>recourse indebtedness exceeds the value of the securing property, the taxpayer never realizes the full amount of the obligation canceled, because the tax law has not recognized negative basis.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 xml:space="preserve">Although the economic benefit prong of </w:t>
      </w:r>
      <w:r w:rsidRPr="002C3AED">
        <w:rPr>
          <w:rFonts w:ascii="Sylfaen" w:hAnsi="Sylfaen"/>
          <w:i/>
          <w:sz w:val="20"/>
        </w:rPr>
        <w:t>Crane</w:t>
      </w:r>
      <w:r>
        <w:rPr>
          <w:rFonts w:ascii="Sylfaen" w:hAnsi="Sylfaen"/>
          <w:sz w:val="20"/>
        </w:rPr>
        <w:t xml:space="preserve"> also relies on a freeing-of-assets theory, that theory is irrelevant to our broader approach. In the context of a sale or disposition of property under § 1001, the extinguishment of the obligation to repay is not ordinary income; instead, the amount of the canceled debt is included in the amount realized, and enters into the co</w:t>
      </w:r>
      <w:r>
        <w:rPr>
          <w:rFonts w:ascii="Sylfaen" w:hAnsi="Sylfaen"/>
          <w:sz w:val="20"/>
        </w:rPr>
        <w:t>m</w:t>
      </w:r>
      <w:r>
        <w:rPr>
          <w:rFonts w:ascii="Sylfaen" w:hAnsi="Sylfaen"/>
          <w:sz w:val="20"/>
        </w:rPr>
        <w:t xml:space="preserve">putation of gain or loss on the disposition of property. According to </w:t>
      </w:r>
      <w:r w:rsidRPr="002C3AED">
        <w:rPr>
          <w:rFonts w:ascii="Sylfaen" w:hAnsi="Sylfaen"/>
          <w:i/>
          <w:sz w:val="20"/>
        </w:rPr>
        <w:t>Crane</w:t>
      </w:r>
      <w:r>
        <w:rPr>
          <w:rFonts w:ascii="Sylfaen" w:hAnsi="Sylfaen"/>
          <w:sz w:val="20"/>
        </w:rPr>
        <w:t>, this treatment is no different when the obligation is nonrecourse: the basis is not reduced as in the cancellation-of-indebtedness context, and the full value of the outstanding liability is included in the amount realized. Thus, the problem of negative basis is avoided.</w:t>
      </w:r>
    </w:p>
    <w:p w:rsidR="00FF5E72" w:rsidRDefault="00FF5E72">
      <w:pPr>
        <w:widowControl w:val="0"/>
        <w:tabs>
          <w:tab w:val="left" w:pos="0"/>
          <w:tab w:val="left" w:pos="720"/>
          <w:tab w:val="left" w:pos="1440"/>
        </w:tabs>
        <w:jc w:val="both"/>
      </w:pPr>
    </w:p>
  </w:footnote>
  <w:footnote w:id="71">
    <w:p w:rsidR="00FF5E72" w:rsidRDefault="00FF5E72" w:rsidP="00355EF3">
      <w:pPr>
        <w:pStyle w:val="FootnoteText"/>
      </w:pPr>
      <w:r>
        <w:rPr>
          <w:vertAlign w:val="superscript"/>
        </w:rPr>
        <w:footnoteRef/>
      </w:r>
      <w:r>
        <w:t xml:space="preserve">  We will not consider § 483, but its rules are similar to those we examine here for the transactions to which it applies.</w:t>
      </w:r>
    </w:p>
  </w:footnote>
  <w:footnote w:id="72">
    <w:p w:rsidR="00FF5E72" w:rsidRDefault="00FF5E72" w:rsidP="00355EF3">
      <w:pPr>
        <w:pStyle w:val="FootnoteText"/>
      </w:pPr>
      <w:r>
        <w:rPr>
          <w:vertAlign w:val="superscript"/>
        </w:rPr>
        <w:footnoteRef/>
      </w:r>
      <w:r>
        <w:t xml:space="preserve">  Table 1 in chapter 2 provides values that are compounded annually.  Hence, these values are not quite accurate in the context of § 1272, which requires daily compounding.</w:t>
      </w:r>
    </w:p>
  </w:footnote>
  <w:footnote w:id="73">
    <w:p w:rsidR="00FF5E72" w:rsidRDefault="00FF5E72" w:rsidP="00355EF3">
      <w:pPr>
        <w:pStyle w:val="FootnoteText"/>
      </w:pPr>
      <w:r>
        <w:rPr>
          <w:vertAlign w:val="superscript"/>
        </w:rPr>
        <w:footnoteRef/>
      </w:r>
      <w:r>
        <w:t xml:space="preserve">  Technically, § 1272(a)(3 and 4) requires a recalculation of interest based upon an increasing “issue price” and a decreasing length of time until redemption.</w:t>
      </w:r>
    </w:p>
  </w:footnote>
  <w:footnote w:id="74">
    <w:p w:rsidR="00FF5E72" w:rsidRDefault="00FF5E72" w:rsidP="00355EF3">
      <w:pPr>
        <w:pStyle w:val="FootnoteText"/>
      </w:pPr>
      <w:r>
        <w:rPr>
          <w:vertAlign w:val="superscript"/>
        </w:rPr>
        <w:footnoteRef/>
      </w:r>
      <w:r>
        <w:t xml:space="preserve">  Table 3 in chapter 2 provides values that are compounded annually.  Hence, these values are not quite accurate in the context of § 1274, which requires semiannual compounding.</w:t>
      </w:r>
    </w:p>
  </w:footnote>
  <w:footnote w:id="75">
    <w:p w:rsidR="00FF5E72" w:rsidRDefault="00FF5E72" w:rsidP="00355EF3">
      <w:pPr>
        <w:pStyle w:val="FootnoteText"/>
      </w:pPr>
      <w:r>
        <w:rPr>
          <w:vertAlign w:val="superscript"/>
        </w:rPr>
        <w:footnoteRef/>
      </w:r>
      <w:r>
        <w:t xml:space="preserve">  The personal exemption and the standard deduction assure that some income is not subject to any income tax.</w:t>
      </w:r>
    </w:p>
  </w:footnote>
  <w:footnote w:id="76">
    <w:p w:rsidR="00FF5E72" w:rsidRDefault="00FF5E72" w:rsidP="00355EF3">
      <w:pPr>
        <w:pStyle w:val="FootnoteText"/>
      </w:pPr>
      <w:r>
        <w:rPr>
          <w:vertAlign w:val="superscript"/>
        </w:rPr>
        <w:footnoteRef/>
      </w:r>
      <w:r>
        <w:t xml:space="preserve">  Only $10,000 of each taxpayer’s taxable income would be subject to the 20% rate of income tax.</w:t>
      </w:r>
    </w:p>
  </w:footnote>
  <w:footnote w:id="77">
    <w:p w:rsidR="00FF5E72" w:rsidRDefault="00FF5E72" w:rsidP="00355EF3">
      <w:pPr>
        <w:pStyle w:val="FootnoteText"/>
      </w:pPr>
      <w:r>
        <w:rPr>
          <w:vertAlign w:val="superscript"/>
        </w:rPr>
        <w:footnoteRef/>
      </w:r>
      <w:r>
        <w:t xml:space="preserve">  This is really a misnomer.  The “assignment of income” doctrine prevents assignment of income.  A more accurate name would be the “non-assignment of income” doctrine.</w:t>
      </w:r>
    </w:p>
  </w:footnote>
  <w:footnote w:id="78">
    <w:p w:rsidR="00FF5E72" w:rsidRDefault="00FF5E72" w:rsidP="00355EF3">
      <w:pPr>
        <w:pStyle w:val="FootnoteText"/>
      </w:pPr>
      <w:r>
        <w:rPr>
          <w:vertAlign w:val="superscript"/>
        </w:rPr>
        <w:footnoteRef/>
      </w:r>
      <w:r>
        <w:t xml:space="preserve">  The stock of The Heim Company was owned as follows: plaintiff 1%, his wife 41%, his son and daughter 27% each, and his daughter-in-law and son-in-law 2% each</w:t>
      </w:r>
    </w:p>
    <w:p w:rsidR="00FF5E72" w:rsidRDefault="00FF5E72">
      <w:pPr>
        <w:widowControl w:val="0"/>
        <w:tabs>
          <w:tab w:val="left" w:pos="0"/>
          <w:tab w:val="left" w:pos="720"/>
          <w:tab w:val="left" w:pos="1440"/>
        </w:tabs>
        <w:jc w:val="both"/>
      </w:pPr>
    </w:p>
  </w:footnote>
  <w:footnote w:id="79">
    <w:p w:rsidR="00FF5E72" w:rsidRDefault="00FF5E72" w:rsidP="00355EF3">
      <w:pPr>
        <w:pStyle w:val="FootnoteText"/>
      </w:pPr>
      <w:r>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rPr>
          <w:vertAlign w:val="superscript"/>
        </w:rPr>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rsidR="00FF5E72" w:rsidRDefault="00FF5E72">
      <w:pPr>
        <w:widowControl w:val="0"/>
        <w:tabs>
          <w:tab w:val="left" w:pos="0"/>
          <w:tab w:val="left" w:pos="720"/>
          <w:tab w:val="left" w:pos="1440"/>
        </w:tabs>
        <w:jc w:val="both"/>
      </w:pPr>
    </w:p>
  </w:footnote>
  <w:footnote w:id="80">
    <w:p w:rsidR="00FF5E72" w:rsidRDefault="00FF5E72" w:rsidP="00355EF3">
      <w:pPr>
        <w:pStyle w:val="FootnoteText"/>
      </w:pPr>
      <w:r>
        <w:rPr>
          <w:vertAlign w:val="superscript"/>
        </w:rPr>
        <w:footnoteRef/>
      </w:r>
      <w:r>
        <w:t xml:space="preserve"> ... including social security, medicare, and unemployment taxes, as well as income taxes.</w:t>
      </w:r>
    </w:p>
  </w:footnote>
  <w:footnote w:id="81">
    <w:p w:rsidR="00FF5E72" w:rsidRDefault="00FF5E72" w:rsidP="00355EF3">
      <w:pPr>
        <w:pStyle w:val="FootnoteText"/>
      </w:pPr>
      <w:r>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82">
    <w:p w:rsidR="00FF5E72" w:rsidRDefault="00FF5E72" w:rsidP="00355EF3">
      <w:pPr>
        <w:pStyle w:val="FootnoteText"/>
      </w:pPr>
      <w:r>
        <w:rPr>
          <w:vertAlign w:val="superscript"/>
        </w:rPr>
        <w:footnoteRef/>
      </w:r>
      <w:r>
        <w:t xml:space="preserve">  Commissioner v. Groetzinger, 480 U.S. 23, 35 (1987) (alternative minimum tax; citation omitted).</w:t>
      </w:r>
    </w:p>
  </w:footnote>
  <w:footnote w:id="83">
    <w:p w:rsidR="00FF5E72" w:rsidRDefault="00FF5E72" w:rsidP="00355EF3">
      <w:pPr>
        <w:pStyle w:val="FootnoteText"/>
      </w:pPr>
      <w:r>
        <w:rPr>
          <w:vertAlign w:val="superscript"/>
        </w:rPr>
        <w:footnoteRef/>
      </w:r>
      <w:r>
        <w:t xml:space="preserve">  §§ 183(a) and (b)(2).  Furthermore, a taxpayer must attribute a share of deductions allowable without regard to whether an activity is engaged in for profit, e.g., real estate taxes, to the activity, § 183(b)(1).  This has the effect of reducing by displacement the allowable deduction for expenses attributable to the hobby or amusement activity.  Moreover, the deductions are “below-the-line” and subject to the 2% floor of § 67 for miscellaneous deductions.  A presumption in favor of the taxpa</w:t>
      </w:r>
      <w:r>
        <w:t>y</w:t>
      </w:r>
      <w:r>
        <w:t>er to the effect that the “activity is engaged in for profit” arises if s/he derives gross income from the activity greater than deductions attributable to it for three of the previous five consecutive tax years.  § 183(d).</w:t>
      </w:r>
    </w:p>
  </w:footnote>
  <w:footnote w:id="84">
    <w:p w:rsidR="00FF5E72" w:rsidRDefault="00FF5E72" w:rsidP="00355EF3">
      <w:pPr>
        <w:pStyle w:val="FootnoteText"/>
      </w:pPr>
      <w:r>
        <w:rPr>
          <w:vertAlign w:val="superscript"/>
        </w:rPr>
        <w:footnoteRef/>
      </w:r>
      <w:r>
        <w:t xml:space="preserve">  Letter Ruling 9331001.</w:t>
      </w:r>
    </w:p>
  </w:footnote>
  <w:footnote w:id="85">
    <w:p w:rsidR="00FF5E72" w:rsidRDefault="00FF5E72" w:rsidP="00644F47">
      <w:pPr>
        <w:pStyle w:val="FootnoteText"/>
        <w:rPr>
          <w:rFonts w:ascii="Sylfaen" w:hAnsi="Sylfaen"/>
        </w:rPr>
      </w:pPr>
      <w:r>
        <w:rPr>
          <w:vertAlign w:val="superscript"/>
        </w:rPr>
        <w:footnoteRef/>
      </w:r>
      <w:r>
        <w:t xml:space="preserve">  Ordinary expenses: </w:t>
      </w:r>
      <w:r w:rsidRPr="00B834A0">
        <w:t>Commissioner v. People’s Pittsburgh Trust Co.,</w:t>
      </w:r>
      <w:r>
        <w:t xml:space="preserve"> 60 F.2d 187, expenses i</w:t>
      </w:r>
      <w:r>
        <w:t>n</w:t>
      </w:r>
      <w:r>
        <w:t xml:space="preserve">curred in the defense of a criminal charge growing out of the business of the taxpayer; </w:t>
      </w:r>
      <w:r w:rsidRPr="00B834A0">
        <w:t>American Rolling Mill Co. v. Commissioner</w:t>
      </w:r>
      <w:r>
        <w:t>, 41 F.2d 314, contributions to a civic improvement fund by a co</w:t>
      </w:r>
      <w:r>
        <w:t>r</w:t>
      </w:r>
      <w:r>
        <w:t xml:space="preserve">poration employing half of the wage earning population of the city, the payments being made, not for charity, but to add to the skill and productivity of the workmen ...; </w:t>
      </w:r>
      <w:r w:rsidRPr="00B834A0">
        <w:t>Corning Glass Works v. L</w:t>
      </w:r>
      <w:r w:rsidRPr="00B834A0">
        <w:t>u</w:t>
      </w:r>
      <w:r w:rsidRPr="00B834A0">
        <w:t>cas</w:t>
      </w:r>
      <w:r>
        <w:t xml:space="preserve">, 59 App. D.C. 168, 37 F.2d 798, donations to a hospital by a corporation whose employees with their dependents made up two-thirds of the population of the city; </w:t>
      </w:r>
      <w:r w:rsidRPr="00B834A0">
        <w:t>Harris &amp; Co. v. Lucas</w:t>
      </w:r>
      <w:r>
        <w:t>, 48 F.2d 187, payments of debts discharged in bankruptcy, but subject to be revived by force of a new pro</w:t>
      </w:r>
      <w:r>
        <w:t>m</w:t>
      </w:r>
      <w:r>
        <w:t xml:space="preserve">ise. </w:t>
      </w:r>
      <w:r>
        <w:rPr>
          <w:i/>
        </w:rPr>
        <w:t>Cf</w:t>
      </w:r>
      <w:r>
        <w:t xml:space="preserve">. </w:t>
      </w:r>
      <w:r w:rsidRPr="00B834A0">
        <w:t>Lucas v. Ox Fibre Brush Co.,</w:t>
      </w:r>
      <w:r>
        <w:t xml:space="preserve"> 281 U.S. 115, where additional compensation, reasonable in amount, was allowed to the officers of a corporation for services previously rendered.</w:t>
      </w:r>
    </w:p>
    <w:p w:rsidR="00FF5E72" w:rsidRDefault="00FF5E72">
      <w:pPr>
        <w:widowControl w:val="0"/>
        <w:tabs>
          <w:tab w:val="left" w:pos="0"/>
          <w:tab w:val="left" w:pos="720"/>
          <w:tab w:val="left" w:pos="1440"/>
        </w:tabs>
        <w:jc w:val="both"/>
      </w:pPr>
      <w:r>
        <w:rPr>
          <w:rFonts w:ascii="Sylfaen" w:hAnsi="Sylfaen"/>
          <w:sz w:val="20"/>
        </w:rPr>
        <w:t xml:space="preserve">Not ordinary expenses: </w:t>
      </w:r>
      <w:r w:rsidRPr="00DC5D03">
        <w:rPr>
          <w:rFonts w:ascii="Sylfaen" w:hAnsi="Sylfaen"/>
          <w:sz w:val="20"/>
        </w:rPr>
        <w:t>Hubinger v. Commissioner</w:t>
      </w:r>
      <w:r>
        <w:rPr>
          <w:rFonts w:ascii="Sylfaen" w:hAnsi="Sylfaen"/>
          <w:sz w:val="20"/>
        </w:rPr>
        <w:t xml:space="preserve">, 36 F.2d 724, payments by the taxpayer for the repair of fire damage, such payments being distinguished from those for wear and tear; </w:t>
      </w:r>
      <w:r w:rsidRPr="00DC5D03">
        <w:rPr>
          <w:rFonts w:ascii="Sylfaen" w:hAnsi="Sylfaen"/>
          <w:sz w:val="20"/>
        </w:rPr>
        <w:t>Lloyd v. Commissioner</w:t>
      </w:r>
      <w:r>
        <w:rPr>
          <w:rFonts w:ascii="Sylfaen" w:hAnsi="Sylfaen"/>
          <w:sz w:val="20"/>
        </w:rPr>
        <w:t xml:space="preserve">, 55 F.2d 842, counsel fees incurred by the taxpayer, the president of a corporation, in prosecuting a slander suit to protect his reputation and that of his business; </w:t>
      </w:r>
      <w:r w:rsidRPr="00DC5D03">
        <w:rPr>
          <w:rFonts w:ascii="Sylfaen" w:hAnsi="Sylfaen"/>
          <w:sz w:val="20"/>
        </w:rPr>
        <w:t>One Hundred Five West Fifty-Fifth Street v. Commissioner</w:t>
      </w:r>
      <w:r>
        <w:rPr>
          <w:rFonts w:ascii="Sylfaen" w:hAnsi="Sylfaen"/>
          <w:sz w:val="20"/>
        </w:rPr>
        <w:t xml:space="preserve">, 42 F.2d 849, and </w:t>
      </w:r>
      <w:r w:rsidRPr="00DC5D03">
        <w:rPr>
          <w:rFonts w:ascii="Sylfaen" w:hAnsi="Sylfaen"/>
          <w:sz w:val="20"/>
        </w:rPr>
        <w:t>Blackwell Oil &amp; Gas Co. v. Commissioner</w:t>
      </w:r>
      <w:r>
        <w:rPr>
          <w:rFonts w:ascii="Sylfaen" w:hAnsi="Sylfaen"/>
          <w:sz w:val="20"/>
        </w:rPr>
        <w:t xml:space="preserve">, 60 F.2d 257, gratuitous payments to stockholders in settlement of disputes between them, or to assume the expense of a lawsuit in which they had been made defendants; </w:t>
      </w:r>
      <w:r w:rsidRPr="00DC5D03">
        <w:rPr>
          <w:rFonts w:ascii="Sylfaen" w:hAnsi="Sylfaen"/>
          <w:sz w:val="20"/>
        </w:rPr>
        <w:t>White v. Commissioner</w:t>
      </w:r>
      <w:r>
        <w:rPr>
          <w:rFonts w:ascii="Sylfaen" w:hAnsi="Sylfaen"/>
          <w:sz w:val="20"/>
        </w:rPr>
        <w:t>, 61 F.2d 726, payments in settlement of a lawsuit against a member of a partnership, the effect being to enable him to devote his undivided efforts to the partnership business and also to protect its credit.</w:t>
      </w:r>
    </w:p>
  </w:footnote>
  <w:footnote w:id="86">
    <w:p w:rsidR="00FF5E72" w:rsidRDefault="00FF5E72" w:rsidP="00355EF3">
      <w:pPr>
        <w:pStyle w:val="FootnoteText"/>
      </w:pPr>
      <w:r>
        <w:rPr>
          <w:vertAlign w:val="superscript"/>
        </w:rPr>
        <w:footnoteRef/>
      </w:r>
      <w:r>
        <w:t xml:space="preserve">  Other federal court decisions on the point are in conflict. [citations omitted].</w:t>
      </w:r>
    </w:p>
  </w:footnote>
  <w:footnote w:id="87">
    <w:p w:rsidR="00FF5E72" w:rsidRDefault="00FF5E72" w:rsidP="00355EF3">
      <w:pPr>
        <w:pStyle w:val="FootnoteText"/>
      </w:pPr>
      <w:r>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88">
    <w:p w:rsidR="00FF5E72" w:rsidRDefault="00FF5E72" w:rsidP="00355EF3">
      <w:pPr>
        <w:pStyle w:val="FootnoteText"/>
      </w:pPr>
      <w:r>
        <w:rPr>
          <w:vertAlign w:val="superscript"/>
        </w:rPr>
        <w:footnoteRef/>
      </w:r>
      <w:r>
        <w:t xml:space="preserve"> ... [W]herever a capital asset is transferred to a new owner in exchange for value either agreed u</w:t>
      </w:r>
      <w:r>
        <w:t>p</w:t>
      </w:r>
      <w:r>
        <w:t xml:space="preserve">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p w:rsidR="00FF5E72" w:rsidRDefault="00FF5E72">
      <w:pPr>
        <w:widowControl w:val="0"/>
        <w:tabs>
          <w:tab w:val="left" w:pos="0"/>
          <w:tab w:val="left" w:pos="720"/>
          <w:tab w:val="left" w:pos="1440"/>
        </w:tabs>
        <w:jc w:val="both"/>
      </w:pPr>
    </w:p>
  </w:footnote>
  <w:footnote w:id="89">
    <w:p w:rsidR="00FF5E72" w:rsidRDefault="00FF5E72" w:rsidP="00355EF3">
      <w:pPr>
        <w:pStyle w:val="FootnoteText"/>
      </w:pPr>
      <w:r>
        <w:rPr>
          <w:vertAlign w:val="superscript"/>
        </w:rPr>
        <w:footnoteRef/>
      </w:r>
      <w:r>
        <w:t xml:space="preserve">  § 167. Depreciation.</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 General rule.  There shall be allowed as a depreciation deduction a reasonable a</w:t>
      </w:r>
      <w:r>
        <w:rPr>
          <w:rFonts w:ascii="Sylfaen" w:hAnsi="Sylfaen"/>
          <w:sz w:val="20"/>
        </w:rPr>
        <w:t>l</w:t>
      </w:r>
      <w:r>
        <w:rPr>
          <w:rFonts w:ascii="Sylfaen" w:hAnsi="Sylfaen"/>
          <w:sz w:val="20"/>
        </w:rPr>
        <w:t>lowance for the exhaustion, wear and tear (including a reasonable allowance for obs</w:t>
      </w:r>
      <w:r>
        <w:rPr>
          <w:rFonts w:ascii="Sylfaen" w:hAnsi="Sylfaen"/>
          <w:sz w:val="20"/>
        </w:rPr>
        <w:t>o</w:t>
      </w:r>
      <w:r>
        <w:rPr>
          <w:rFonts w:ascii="Sylfaen" w:hAnsi="Sylfaen"/>
          <w:sz w:val="20"/>
        </w:rPr>
        <w:t>lescence)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(1) of property used in the trade or business, or</w:t>
      </w:r>
    </w:p>
    <w:p w:rsidR="00FF5E72" w:rsidRDefault="00FF5E72">
      <w:pPr>
        <w:widowControl w:val="0"/>
        <w:tabs>
          <w:tab w:val="left" w:pos="0"/>
          <w:tab w:val="left" w:pos="720"/>
          <w:tab w:val="left" w:pos="1440"/>
        </w:tabs>
        <w:ind w:left="1440"/>
        <w:jc w:val="both"/>
      </w:pPr>
      <w:r>
        <w:rPr>
          <w:rFonts w:ascii="Sylfaen" w:hAnsi="Sylfaen"/>
          <w:sz w:val="20"/>
        </w:rPr>
        <w:t>(2) of property held for the production of income.</w:t>
      </w:r>
    </w:p>
  </w:footnote>
  <w:footnote w:id="90">
    <w:p w:rsidR="00FF5E72" w:rsidRDefault="00FF5E72" w:rsidP="00355EF3">
      <w:pPr>
        <w:pStyle w:val="FootnoteText"/>
      </w:pPr>
      <w:r>
        <w:rPr>
          <w:vertAlign w:val="superscript"/>
        </w:rPr>
        <w:footnoteRef/>
      </w:r>
      <w:r>
        <w:t xml:space="preserve">  § 263. Capital expenditures.</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 General rule.  No deduction shall be allowed for –</w:t>
      </w:r>
    </w:p>
    <w:p w:rsidR="00FF5E72" w:rsidRDefault="00FF5E72">
      <w:pPr>
        <w:widowControl w:val="0"/>
        <w:tabs>
          <w:tab w:val="left" w:pos="0"/>
          <w:tab w:val="left" w:pos="720"/>
          <w:tab w:val="left" w:pos="1440"/>
        </w:tabs>
        <w:ind w:left="1440"/>
        <w:jc w:val="both"/>
      </w:pPr>
      <w:r>
        <w:rPr>
          <w:rFonts w:ascii="Sylfaen" w:hAnsi="Sylfaen"/>
          <w:sz w:val="20"/>
        </w:rPr>
        <w:t>(1) Any amount paid out for new buildings or for permanent improvements or betterments made to increase the value of any property or estate.</w:t>
      </w:r>
    </w:p>
  </w:footnote>
  <w:footnote w:id="91">
    <w:p w:rsidR="00FF5E72" w:rsidRDefault="00FF5E72" w:rsidP="00355EF3">
      <w:pPr>
        <w:pStyle w:val="FootnoteText"/>
      </w:pPr>
      <w:r>
        <w:rPr>
          <w:vertAlign w:val="superscript"/>
        </w:rPr>
        <w:footnoteRef/>
      </w:r>
      <w:r>
        <w:t xml:space="preserve">  For purposes of the issue here presented, the key phrase of § 167(a)(1) is “property used in the trade or business.” ... </w:t>
      </w:r>
    </w:p>
    <w:p w:rsidR="00FF5E72" w:rsidRDefault="00FF5E72">
      <w:pPr>
        <w:widowControl w:val="0"/>
        <w:tabs>
          <w:tab w:val="left" w:pos="0"/>
          <w:tab w:val="left" w:pos="720"/>
          <w:tab w:val="left" w:pos="1440"/>
        </w:tabs>
        <w:jc w:val="both"/>
      </w:pPr>
      <w:r>
        <w:rPr>
          <w:rFonts w:ascii="Sylfaen" w:hAnsi="Sylfaen"/>
          <w:sz w:val="20"/>
        </w:rPr>
        <w:t>Since the Commissioner appears to have conceded the literal application of § 167(a) to Idaho Power’s equipment depreciation, we need not reach the issue whether the Court of Appeals has given the phrase “used in the trade or business” a proper construction. For purposes of this case, we assume, without deciding, that § 167(a) does have a literal application to the depreci</w:t>
      </w:r>
      <w:r>
        <w:rPr>
          <w:rFonts w:ascii="Sylfaen" w:hAnsi="Sylfaen"/>
          <w:sz w:val="20"/>
        </w:rPr>
        <w:t>a</w:t>
      </w:r>
      <w:r>
        <w:rPr>
          <w:rFonts w:ascii="Sylfaen" w:hAnsi="Sylfaen"/>
          <w:sz w:val="20"/>
        </w:rPr>
        <w:t>tion of the taxpayer’s transportation equipment used in the construction of its capital i</w:t>
      </w:r>
      <w:r>
        <w:rPr>
          <w:rFonts w:ascii="Sylfaen" w:hAnsi="Sylfaen"/>
          <w:sz w:val="20"/>
        </w:rPr>
        <w:t>m</w:t>
      </w:r>
      <w:r>
        <w:rPr>
          <w:rFonts w:ascii="Sylfaen" w:hAnsi="Sylfaen"/>
          <w:sz w:val="20"/>
        </w:rPr>
        <w:t>provements.</w:t>
      </w:r>
    </w:p>
  </w:footnote>
  <w:footnote w:id="92">
    <w:p w:rsidR="00FF5E72" w:rsidRDefault="00FF5E72" w:rsidP="00355EF3">
      <w:pPr>
        <w:pStyle w:val="FootnoteText"/>
      </w:pPr>
      <w:r>
        <w:rPr>
          <w:vertAlign w:val="superscript"/>
        </w:rPr>
        <w:footnoteRef/>
      </w:r>
      <w:r>
        <w:t xml:space="preserve">  § 161. Allowance of deductions.  In computing taxable income under § 63(a), there shall be a</w:t>
      </w:r>
      <w:r>
        <w:t>l</w:t>
      </w:r>
      <w:r>
        <w:t>lowed as deductions the items specified in this part, subject to the exceptions provided in part IX (§§ 261 and following, relating to items not deductible).”</w:t>
      </w:r>
    </w:p>
  </w:footnote>
  <w:footnote w:id="93">
    <w:p w:rsidR="00FF5E72" w:rsidRDefault="00FF5E72" w:rsidP="00355EF3">
      <w:pPr>
        <w:pStyle w:val="FootnoteText"/>
        <w:rPr>
          <w:rFonts w:ascii="Sylfaen" w:hAnsi="Sylfaen"/>
        </w:rPr>
      </w:pPr>
      <w:r>
        <w:rPr>
          <w:vertAlign w:val="superscript"/>
        </w:rPr>
        <w:footnoteRef/>
      </w:r>
      <w:r>
        <w:t xml:space="preserve">  The Committee on Terminology of the American Institute of Certified Public Accountants has discussed various definitions of depreciation and concluded that:</w:t>
      </w:r>
    </w:p>
    <w:p w:rsidR="00FF5E72" w:rsidRDefault="00FF5E72" w:rsidP="00355EF3">
      <w:pPr>
        <w:widowControl w:val="0"/>
        <w:tabs>
          <w:tab w:val="left" w:pos="0"/>
          <w:tab w:val="left" w:pos="720"/>
          <w:tab w:val="left" w:pos="1440"/>
        </w:tabs>
        <w:ind w:left="720"/>
        <w:jc w:val="both"/>
      </w:pPr>
      <w:r>
        <w:rPr>
          <w:rFonts w:ascii="Sylfaen" w:hAnsi="Sylfaen"/>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w:t>
      </w:r>
      <w:r>
        <w:rPr>
          <w:rFonts w:ascii="Sylfaen" w:hAnsi="Sylfaen"/>
          <w:sz w:val="20"/>
        </w:rPr>
        <w:t>c</w:t>
      </w:r>
      <w:r>
        <w:rPr>
          <w:rFonts w:ascii="Sylfaen" w:hAnsi="Sylfaen"/>
          <w:sz w:val="20"/>
        </w:rPr>
        <w:t>counting meaning of the term: thus, depreciation means the cost of such exhaustion, as wages means the cost of labor.”  2 APB Accounting Principles, Accounting Term</w:t>
      </w:r>
      <w:r>
        <w:rPr>
          <w:rFonts w:ascii="Sylfaen" w:hAnsi="Sylfaen"/>
          <w:sz w:val="20"/>
        </w:rPr>
        <w:t>i</w:t>
      </w:r>
      <w:r>
        <w:rPr>
          <w:rFonts w:ascii="Sylfaen" w:hAnsi="Sylfaen"/>
          <w:sz w:val="20"/>
        </w:rPr>
        <w:t>nology Bulletin No. 1 -- Review and Resume   48, p. 9512 (1973) (emphasis in orig</w:t>
      </w:r>
      <w:r>
        <w:rPr>
          <w:rFonts w:ascii="Sylfaen" w:hAnsi="Sylfaen"/>
          <w:sz w:val="20"/>
        </w:rPr>
        <w:t>i</w:t>
      </w:r>
      <w:r>
        <w:rPr>
          <w:rFonts w:ascii="Sylfaen" w:hAnsi="Sylfaen"/>
          <w:sz w:val="20"/>
        </w:rPr>
        <w:t>nal).</w:t>
      </w:r>
    </w:p>
  </w:footnote>
  <w:footnote w:id="94">
    <w:p w:rsidR="00FF5E72" w:rsidRDefault="00FF5E72" w:rsidP="00355EF3">
      <w:pPr>
        <w:pStyle w:val="FootnoteText"/>
      </w:pPr>
      <w:r>
        <w:rPr>
          <w:vertAlign w:val="superscript"/>
        </w:rPr>
        <w:footnoteRef/>
      </w:r>
      <w:r>
        <w:t xml:space="preserve">  The general proposition that good accounting practice requires capitalization of the cost of a</w:t>
      </w:r>
      <w:r>
        <w:t>c</w:t>
      </w:r>
      <w:r>
        <w:t>quiring a capital asset is not seriously open to question. The Commissioner urges, however, that a</w:t>
      </w:r>
      <w:r>
        <w:t>c</w:t>
      </w:r>
      <w:r>
        <w:t xml:space="preserve">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95">
    <w:p w:rsidR="00FF5E72" w:rsidRDefault="00FF5E72" w:rsidP="00355EF3">
      <w:pPr>
        <w:pStyle w:val="FootnoteText"/>
      </w:pPr>
      <w:r>
        <w:rPr>
          <w:vertAlign w:val="superscript"/>
        </w:rPr>
        <w:footnoteRef/>
      </w:r>
      <w:r>
        <w:t xml:space="preserve">  § 261. General rule for disallowance of deductions.  In computing taxable income no deduction shall in any case be allowed in respect of the items specified in this part.</w:t>
      </w:r>
    </w:p>
    <w:p w:rsidR="00FF5E72" w:rsidRDefault="00FF5E72">
      <w:pPr>
        <w:widowControl w:val="0"/>
        <w:tabs>
          <w:tab w:val="left" w:pos="0"/>
          <w:tab w:val="left" w:pos="720"/>
          <w:tab w:val="left" w:pos="1440"/>
        </w:tabs>
        <w:jc w:val="both"/>
      </w:pPr>
    </w:p>
  </w:footnote>
  <w:footnote w:id="96">
    <w:p w:rsidR="00FF5E72" w:rsidRDefault="00FF5E72" w:rsidP="00355EF3">
      <w:pPr>
        <w:pStyle w:val="FootnoteText"/>
      </w:pPr>
      <w:r>
        <w:rPr>
          <w:vertAlign w:val="superscript"/>
        </w:rPr>
        <w:footnoteRef/>
      </w:r>
      <w:r>
        <w:t xml:space="preserve">  Approximately 21% of National Starch common was exchanged for Holding preferred. The r</w:t>
      </w:r>
      <w:r>
        <w:t>e</w:t>
      </w:r>
      <w:r>
        <w:t>maining 79% was exchanged for cash.</w:t>
      </w:r>
    </w:p>
  </w:footnote>
  <w:footnote w:id="97">
    <w:p w:rsidR="00FF5E72" w:rsidRDefault="00FF5E72" w:rsidP="00355EF3">
      <w:pPr>
        <w:pStyle w:val="FootnoteText"/>
      </w:pPr>
      <w:r>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rPr>
          <w:vertAlign w:val="superscript"/>
        </w:rPr>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w:t>
      </w:r>
      <w:r w:rsidRPr="006A4724">
        <w:rPr>
          <w:i/>
        </w:rPr>
        <w:t>s</w:t>
      </w:r>
      <w:r w:rsidRPr="006A4724">
        <w:rPr>
          <w:i/>
        </w:rPr>
        <w:t>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rPr>
          <w:vertAlign w:val="superscript"/>
        </w:rPr>
        <w:t>th</w:t>
      </w:r>
      <w:r>
        <w:t xml:space="preserve"> Cir. 1984) (inquiring whether establishment of new branches “creates a separate and distinct additional asset” so that capitalization is the proper tax treatment).</w:t>
      </w:r>
    </w:p>
  </w:footnote>
  <w:footnote w:id="98">
    <w:p w:rsidR="00FF5E72" w:rsidRDefault="00FF5E72" w:rsidP="00355EF3">
      <w:pPr>
        <w:pStyle w:val="FootnoteText"/>
      </w:pPr>
      <w:r>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99">
    <w:p w:rsidR="00FF5E72" w:rsidRDefault="00FF5E72" w:rsidP="00355EF3">
      <w:pPr>
        <w:pStyle w:val="FootnoteText"/>
      </w:pPr>
      <w:r>
        <w:rPr>
          <w:vertAlign w:val="superscript"/>
        </w:rP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rPr>
          <w:vertAlign w:val="superscript"/>
        </w:rPr>
        <w:t>th</w:t>
      </w:r>
      <w:r>
        <w:t xml:space="preserve"> Cir. 1976) (div</w:t>
      </w:r>
      <w:r>
        <w:t>i</w:t>
      </w:r>
      <w:r>
        <w:t xml:space="preserve">sion of corporation into two parts); </w:t>
      </w:r>
      <w:r w:rsidRPr="006A4724">
        <w:rPr>
          <w:i/>
        </w:rPr>
        <w:t>E. I. du Pont de Nemours &amp; Co. v. United States</w:t>
      </w:r>
      <w:r>
        <w:t>, 432 F. 2d 1052 (3</w:t>
      </w:r>
      <w:r w:rsidRPr="009D4DAB">
        <w:rPr>
          <w:vertAlign w:val="superscript"/>
        </w:rPr>
        <w:t>rd</w:t>
      </w:r>
      <w:r>
        <w:t xml:space="preserve"> Cir. 1970) (creation of new subsidiary to hold assets of prior joint venture); </w:t>
      </w:r>
      <w:r w:rsidRPr="006A4724">
        <w:rPr>
          <w:i/>
        </w:rPr>
        <w:t>General Bancshares Corp. v. Commissioner</w:t>
      </w:r>
      <w:r>
        <w:t>, 326 F.2d 712, 715 (8</w:t>
      </w:r>
      <w:r w:rsidRPr="009D4DAB">
        <w:rPr>
          <w:vertAlign w:val="superscript"/>
        </w:rPr>
        <w:t>th</w:t>
      </w:r>
      <w:r>
        <w:t xml:space="preserve"> Cir.) (stock dividends), </w:t>
      </w:r>
      <w:r>
        <w:rPr>
          <w:i/>
        </w:rPr>
        <w:t>cert. denied</w:t>
      </w:r>
      <w:r>
        <w:t xml:space="preserve">, 379 U.S. 832 (1964); </w:t>
      </w:r>
      <w:r w:rsidRPr="006A4724">
        <w:rPr>
          <w:i/>
        </w:rPr>
        <w:t>Mills E</w:t>
      </w:r>
      <w:r w:rsidRPr="006A4724">
        <w:rPr>
          <w:i/>
        </w:rPr>
        <w:t>s</w:t>
      </w:r>
      <w:r w:rsidRPr="006A4724">
        <w:rPr>
          <w:i/>
        </w:rPr>
        <w:t>tate, Inc. v. Commissioner</w:t>
      </w:r>
      <w:r>
        <w:t>, 206 F.2d 244 (2d Cir. 1953) (recapitalization).</w:t>
      </w:r>
    </w:p>
  </w:footnote>
  <w:footnote w:id="100">
    <w:p w:rsidR="00FF5E72" w:rsidRDefault="00FF5E72" w:rsidP="00355EF3">
      <w:pPr>
        <w:pStyle w:val="FootnoteText"/>
      </w:pPr>
      <w:r>
        <w:rPr>
          <w:vertAlign w:val="superscript"/>
        </w:rPr>
        <w:footnoteRef/>
      </w:r>
      <w:r>
        <w:rPr>
          <w:i/>
        </w:rPr>
        <w:t xml:space="preserve">  See, e.g.</w:t>
      </w:r>
      <w:r>
        <w:t xml:space="preserve">, </w:t>
      </w:r>
      <w:r w:rsidRPr="006A4724">
        <w:rPr>
          <w:i/>
        </w:rPr>
        <w:t>Motion Picture Capital Corp. v. Commissioner</w:t>
      </w:r>
      <w:r>
        <w:t>, 80 F.2d 872, 873-874 (CA2 1936) (recognizing that expenses may be “ordinary and necessary” to corporate merger, and that mergers may be “ord</w:t>
      </w:r>
      <w:r>
        <w:t>i</w:t>
      </w:r>
      <w:r>
        <w:t>nary and necessary business occurrences,” but declining to find that merger is part of “ordinary and necessary business activities,” and concluding that expenses are therefore not deductible); Gree</w:t>
      </w:r>
      <w:r>
        <w:t>n</w:t>
      </w:r>
      <w:r>
        <w:t xml:space="preserve">stein, </w:t>
      </w:r>
      <w:r>
        <w:rPr>
          <w:i/>
        </w:rPr>
        <w:t xml:space="preserve">The Deductibility of Takeover Costs After </w:t>
      </w:r>
      <w:r>
        <w:t xml:space="preserve">National Starch, 69 </w:t>
      </w:r>
      <w:r>
        <w:rPr>
          <w:smallCaps/>
        </w:rPr>
        <w:t>Taxes</w:t>
      </w:r>
      <w:r>
        <w:t xml:space="preserve"> 48, 49 (1991) (expenses i</w:t>
      </w:r>
      <w:r>
        <w:t>n</w:t>
      </w:r>
      <w:r>
        <w:t>curred to facilitate transfer of business ownership do not satisfy the “carrying on [a] trade or bus</w:t>
      </w:r>
      <w:r>
        <w:t>i</w:t>
      </w:r>
      <w:r>
        <w:t>ness” requirement of § 162(a)).</w:t>
      </w:r>
    </w:p>
    <w:p w:rsidR="00FF5E72" w:rsidRDefault="00FF5E72">
      <w:pPr>
        <w:widowControl w:val="0"/>
        <w:tabs>
          <w:tab w:val="left" w:pos="0"/>
          <w:tab w:val="left" w:pos="720"/>
          <w:tab w:val="left" w:pos="1440"/>
        </w:tabs>
        <w:jc w:val="both"/>
      </w:pPr>
    </w:p>
  </w:footnote>
  <w:footnote w:id="101">
    <w:p w:rsidR="00FF5E72" w:rsidRDefault="00FF5E72" w:rsidP="00355EF3">
      <w:pPr>
        <w:pStyle w:val="FootnoteText"/>
      </w:pPr>
      <w:r>
        <w:rPr>
          <w:vertAlign w:val="superscript"/>
        </w:rPr>
        <w:footnoteRef/>
      </w:r>
      <w:r>
        <w:t xml:space="preserve">  § 166. Bad debts.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(a) General rule.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(1) Wholly worthless debts. – There shall be allowed as a deduction any debt which becomes worthless within the taxable year.</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(d) Nonbusiness debts.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xml:space="preserve">(1) General rule. – In the case of a taxpayer other than a corporation – </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(A) subsections (a) and (c) shall not apply to any nonbusiness debt; and</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(B) where any nonbusiness debt becomes worthless within the tax</w:t>
      </w:r>
      <w:r>
        <w:rPr>
          <w:rFonts w:ascii="Sylfaen" w:hAnsi="Sylfaen"/>
          <w:sz w:val="20"/>
        </w:rPr>
        <w:t>a</w:t>
      </w:r>
      <w:r>
        <w:rPr>
          <w:rFonts w:ascii="Sylfaen" w:hAnsi="Sylfaen"/>
          <w:sz w:val="20"/>
        </w:rPr>
        <w:t>ble year, the loss resulting therefrom shall be considered a loss from the sale or exchange, during the taxable year, of a capital asset held for not more than 6 months.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(2) Nonbusiness debt defined. – For purposes of paragraph (1), the term ‘no</w:t>
      </w:r>
      <w:r>
        <w:rPr>
          <w:rFonts w:ascii="Sylfaen" w:hAnsi="Sylfaen"/>
          <w:sz w:val="20"/>
        </w:rPr>
        <w:t>n</w:t>
      </w:r>
      <w:r>
        <w:rPr>
          <w:rFonts w:ascii="Sylfaen" w:hAnsi="Sylfaen"/>
          <w:sz w:val="20"/>
        </w:rPr>
        <w:t xml:space="preserve">business debt’ means a debt other than – </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(A) a debt created or acquired (as the case may be) in connection with a trade or business of the taxpayer; or</w:t>
      </w:r>
    </w:p>
    <w:p w:rsidR="00FF5E72" w:rsidRDefault="00FF5E72">
      <w:pPr>
        <w:widowControl w:val="0"/>
        <w:tabs>
          <w:tab w:val="left" w:pos="0"/>
          <w:tab w:val="left" w:pos="720"/>
          <w:tab w:val="left" w:pos="1440"/>
        </w:tabs>
        <w:ind w:left="2160"/>
        <w:jc w:val="both"/>
        <w:rPr>
          <w:rFonts w:ascii="Sylfaen" w:hAnsi="Sylfaen"/>
          <w:sz w:val="20"/>
        </w:rPr>
      </w:pPr>
      <w:r>
        <w:rPr>
          <w:rFonts w:ascii="Sylfaen" w:hAnsi="Sylfaen"/>
          <w:sz w:val="20"/>
        </w:rPr>
        <w:t>(B) a debt the loss from the worthlessness of which is incurred in the taxpayer’s trade or business.</w:t>
      </w:r>
    </w:p>
    <w:p w:rsidR="00FF5E72" w:rsidRDefault="00FF5E72">
      <w:pPr>
        <w:widowControl w:val="0"/>
        <w:tabs>
          <w:tab w:val="left" w:pos="0"/>
          <w:tab w:val="left" w:pos="720"/>
          <w:tab w:val="left" w:pos="1440"/>
        </w:tabs>
        <w:jc w:val="both"/>
      </w:pPr>
    </w:p>
  </w:footnote>
  <w:footnote w:id="102">
    <w:p w:rsidR="00FF5E72" w:rsidRDefault="00FF5E72" w:rsidP="00355EF3">
      <w:pPr>
        <w:pStyle w:val="FootnoteText"/>
      </w:pPr>
      <w:r>
        <w:rPr>
          <w:vertAlign w:val="superscript"/>
        </w:rPr>
        <w:footnoteRef/>
      </w:r>
      <w:r>
        <w:t xml:space="preserve">  Reg. § 1.166-5 Nonbusiness debts.</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(b) Nonbusiness debt defined. For purposes of section 166 and this section, a nonbus</w:t>
      </w:r>
      <w:r>
        <w:rPr>
          <w:rFonts w:ascii="Sylfaen" w:hAnsi="Sylfaen"/>
          <w:sz w:val="20"/>
        </w:rPr>
        <w:t>i</w:t>
      </w:r>
      <w:r>
        <w:rPr>
          <w:rFonts w:ascii="Sylfaen" w:hAnsi="Sylfaen"/>
          <w:sz w:val="20"/>
        </w:rPr>
        <w:t>ness debt is any debt other than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 * * *</w:t>
      </w:r>
    </w:p>
    <w:p w:rsidR="00FF5E72" w:rsidRDefault="00FF5E72">
      <w:pPr>
        <w:widowControl w:val="0"/>
        <w:tabs>
          <w:tab w:val="left" w:pos="0"/>
          <w:tab w:val="left" w:pos="720"/>
          <w:tab w:val="left" w:pos="1440"/>
        </w:tabs>
        <w:ind w:left="1440"/>
        <w:jc w:val="both"/>
        <w:rPr>
          <w:rFonts w:ascii="Sylfaen" w:hAnsi="Sylfaen"/>
          <w:sz w:val="20"/>
        </w:rPr>
      </w:pPr>
      <w:r>
        <w:rPr>
          <w:rFonts w:ascii="Sylfaen" w:hAnsi="Sylfaen"/>
          <w:sz w:val="20"/>
        </w:rPr>
        <w:t>(2) A debt the loss from the worthlessness of which is incurred in the taxpa</w:t>
      </w:r>
      <w:r>
        <w:rPr>
          <w:rFonts w:ascii="Sylfaen" w:hAnsi="Sylfaen"/>
          <w:sz w:val="20"/>
        </w:rPr>
        <w:t>y</w:t>
      </w:r>
      <w:r>
        <w:rPr>
          <w:rFonts w:ascii="Sylfaen" w:hAnsi="Sylfaen"/>
          <w:sz w:val="20"/>
        </w:rPr>
        <w:t>er’s trade or business. The question whether a debt is a nonbusiness debt is a question of fact in each particular case.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1440"/>
        <w:jc w:val="both"/>
      </w:pPr>
      <w:r>
        <w:rPr>
          <w:rFonts w:ascii="Sylfaen" w:hAnsi="Sylfaen"/>
          <w:sz w:val="20"/>
        </w:rPr>
        <w:t>For purposes of subparagraph (2) of this paragraph, the character of the debt is to be determined by the relation which the loss resulting from the debt’s becoming worthless bears to the trade or business of the taxpayer. If that r</w:t>
      </w:r>
      <w:r>
        <w:rPr>
          <w:rFonts w:ascii="Sylfaen" w:hAnsi="Sylfaen"/>
          <w:sz w:val="20"/>
        </w:rPr>
        <w:t>e</w:t>
      </w:r>
      <w:r>
        <w:rPr>
          <w:rFonts w:ascii="Sylfaen" w:hAnsi="Sylfaen"/>
          <w:sz w:val="20"/>
        </w:rPr>
        <w:t>lation is a proximate one in the conduct of the trade or business in which the taxpayer is engaged at the time the debt becomes worthless, the debt comes within the exception provided by that subparagraph. ...</w:t>
      </w:r>
    </w:p>
  </w:footnote>
  <w:footnote w:id="103">
    <w:p w:rsidR="00FF5E72" w:rsidRDefault="00FF5E72" w:rsidP="00355EF3">
      <w:pPr>
        <w:pStyle w:val="FootnoteText"/>
      </w:pPr>
      <w:r>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04">
    <w:p w:rsidR="00FF5E72" w:rsidRDefault="00FF5E72" w:rsidP="00355EF3">
      <w:pPr>
        <w:pStyle w:val="FootnoteText"/>
      </w:pPr>
      <w:r>
        <w:rPr>
          <w:vertAlign w:val="superscript"/>
        </w:rPr>
        <w:footnoteRef/>
      </w:r>
      <w:r>
        <w:t xml:space="preserve">  “A debt is proximately related to the taxpayer’s trade or business when its creation was signif</w:t>
      </w:r>
      <w:r>
        <w:t>i</w:t>
      </w:r>
      <w:r>
        <w:t>cantly motivated by the taxpayer’s trade or business, and it is not rendered a non-business debt merely because there was a non-qualifying motivation as well, even though the non-qualifying mot</w:t>
      </w:r>
      <w:r>
        <w:t>i</w:t>
      </w:r>
      <w:r>
        <w:t>vation was the primary one.”</w:t>
      </w:r>
    </w:p>
  </w:footnote>
  <w:footnote w:id="105">
    <w:p w:rsidR="00FF5E72" w:rsidRDefault="00FF5E72" w:rsidP="00006292">
      <w:pPr>
        <w:pStyle w:val="FootnoteText"/>
      </w:pPr>
      <w:r>
        <w:rPr>
          <w:vertAlign w:val="superscript"/>
        </w:rPr>
        <w:footnoteRef/>
      </w:r>
      <w:r>
        <w:t xml:space="preserve">  “You must, in short, determine whether Mr. Generes’ dominant motivation in signing the i</w:t>
      </w:r>
      <w:r>
        <w:t>n</w:t>
      </w:r>
      <w:r>
        <w:t>demnity agreement was to protect his salary and status as an employee or was to protect his inves</w:t>
      </w:r>
      <w:r>
        <w:t>t</w:t>
      </w:r>
      <w:r>
        <w:t xml:space="preserve">ment in the Kelly Generes Construction Co.”  </w:t>
      </w:r>
      <w:r>
        <w:rPr>
          <w:rFonts w:ascii="Sylfaen" w:hAnsi="Sylfaen"/>
        </w:rPr>
        <w:t>“Mr.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w:t>
      </w:r>
      <w:r>
        <w:rPr>
          <w:rFonts w:ascii="Sylfaen" w:hAnsi="Sylfaen"/>
        </w:rPr>
        <w:t>n</w:t>
      </w:r>
      <w:r>
        <w:rPr>
          <w:rFonts w:ascii="Sylfaen" w:hAnsi="Sylfaen"/>
        </w:rPr>
        <w:t>ing the indemnity agreement. It must have been his dominant or most important reason for signing the indemnity agreement.”</w:t>
      </w:r>
    </w:p>
  </w:footnote>
  <w:footnote w:id="106">
    <w:p w:rsidR="00FF5E72" w:rsidRDefault="00FF5E72" w:rsidP="00355EF3">
      <w:pPr>
        <w:pStyle w:val="FootnoteText"/>
      </w:pPr>
      <w:r>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07">
    <w:p w:rsidR="00FF5E72" w:rsidRDefault="00FF5E72" w:rsidP="00355EF3">
      <w:pPr>
        <w:pStyle w:val="FootnoteText"/>
      </w:pPr>
      <w:r>
        <w:rPr>
          <w:vertAlign w:val="superscript"/>
        </w:rPr>
        <w:footnoteRef/>
      </w:r>
      <w:r>
        <w:t xml:space="preserve">  § 29.23(a)-4. REPAIRS.— The cost of incidental repairs which neither materially add to the va</w:t>
      </w:r>
      <w:r>
        <w:t>l</w:t>
      </w:r>
      <w:r>
        <w:t>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w:t>
      </w:r>
      <w:r>
        <w:t>i</w:t>
      </w:r>
      <w:r>
        <w:t>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08">
    <w:p w:rsidR="00FF5E72" w:rsidRDefault="00FF5E72" w:rsidP="00355EF3">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09">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71 Fed. Reg. 48590 (2006).</w:t>
      </w:r>
    </w:p>
  </w:footnote>
  <w:footnote w:id="110">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Property</w:t>
      </w:r>
      <w:r>
        <w:t>, 73 Fed. Reg. 12838 (2008).</w:t>
      </w:r>
    </w:p>
  </w:footnote>
  <w:footnote w:id="111">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Property</w:t>
      </w:r>
      <w:r>
        <w:t>, 76 Fed. Reg. 81060 (2011).</w:t>
      </w:r>
    </w:p>
  </w:footnote>
  <w:footnote w:id="112">
    <w:p w:rsidR="00FF5E72" w:rsidRDefault="00FF5E72" w:rsidP="00355EF3">
      <w:pPr>
        <w:pStyle w:val="FootnoteText"/>
      </w:pPr>
      <w:r>
        <w:rPr>
          <w:rStyle w:val="FootnoteReference"/>
        </w:rPr>
        <w:footnoteRef/>
      </w:r>
      <w:r>
        <w:t xml:space="preserve">   </w:t>
      </w:r>
      <w:r w:rsidRPr="00FA7769">
        <w:t>Guidance Regarding Deduction and Capitalization of Expenditures Related to Tangible Prope</w:t>
      </w:r>
      <w:r w:rsidRPr="00FA7769">
        <w:t>r</w:t>
      </w:r>
      <w:r w:rsidRPr="00FA7769">
        <w:t>ty</w:t>
      </w:r>
      <w:r>
        <w:t>, 78 Fed. Reg. 57686-01 (2013).</w:t>
      </w:r>
    </w:p>
  </w:footnote>
  <w:footnote w:id="113">
    <w:p w:rsidR="00FF5E72" w:rsidRDefault="00FF5E72" w:rsidP="00355EF3">
      <w:pPr>
        <w:pStyle w:val="FootnoteText"/>
      </w:pPr>
      <w:r>
        <w:rPr>
          <w:vertAlign w:val="superscript"/>
        </w:rPr>
        <w:footnoteRef/>
      </w:r>
      <w:r>
        <w:t xml:space="preserve">  No claim for deduction was made by the taxpayer for the amounts spent in traveling from M</w:t>
      </w:r>
      <w:r>
        <w:t>o</w:t>
      </w:r>
      <w:r>
        <w:t>bile to Jackson. ...</w:t>
      </w:r>
    </w:p>
  </w:footnote>
  <w:footnote w:id="114">
    <w:p w:rsidR="00FF5E72" w:rsidRDefault="00FF5E72" w:rsidP="00355EF3">
      <w:pPr>
        <w:pStyle w:val="FootnoteText"/>
      </w:pPr>
      <w:r>
        <w:rPr>
          <w:vertAlign w:val="superscript"/>
        </w:rPr>
        <w:footnoteRef/>
      </w:r>
      <w:r>
        <w:t xml:space="preserve">  [The pertinent regulation] does not attempt to define the word “home,” although the Commi</w:t>
      </w:r>
      <w:r>
        <w:t>s</w:t>
      </w:r>
      <w:r>
        <w:t>sioner argues that the statement therein contained to the effect that commuters’ fares are not bus</w:t>
      </w:r>
      <w:r>
        <w:t>i</w:t>
      </w:r>
      <w:r>
        <w:t xml:space="preserve">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15">
    <w:p w:rsidR="00FF5E72" w:rsidRDefault="00FF5E72" w:rsidP="00355EF3">
      <w:pPr>
        <w:pStyle w:val="FootnoteText"/>
      </w:pPr>
      <w:r>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6">
    <w:p w:rsidR="00FF5E72" w:rsidRDefault="00FF5E72" w:rsidP="00A77CCA">
      <w:pPr>
        <w:pStyle w:val="FootnoteText"/>
        <w:rPr>
          <w:rFonts w:ascii="Sylfaen" w:hAnsi="Sylfaen"/>
        </w:rPr>
      </w:pPr>
      <w:r>
        <w:rPr>
          <w:vertAlign w:val="superscript"/>
        </w:rPr>
        <w:footnoteRef/>
      </w:r>
      <w:r>
        <w:t xml:space="preserve">  The language is:</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“All the ordinary and necessary expenses paid or incurred during the taxable year in carrying on any trade or business, including a reasonable allowance for salaries or other compensation for personal services actually rendered; traveling expenses (i</w:t>
      </w:r>
      <w:r>
        <w:rPr>
          <w:rFonts w:ascii="Sylfaen" w:hAnsi="Sylfaen"/>
          <w:sz w:val="20"/>
        </w:rPr>
        <w:t>n</w:t>
      </w:r>
      <w:r>
        <w:rPr>
          <w:rFonts w:ascii="Sylfaen" w:hAnsi="Sylfaen"/>
          <w:sz w:val="20"/>
        </w:rPr>
        <w:t>cluding the entire amount expended for meals and lodging) while away from home in the pursuit of a trade or business. . .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[162(a)], Internal Revenue Code.</w:t>
      </w:r>
    </w:p>
  </w:footnote>
  <w:footnote w:id="117">
    <w:p w:rsidR="00FF5E72" w:rsidRDefault="00FF5E72" w:rsidP="00355EF3">
      <w:pPr>
        <w:pStyle w:val="FootnoteText"/>
      </w:pPr>
      <w:r>
        <w:rPr>
          <w:vertAlign w:val="superscript"/>
        </w:rPr>
        <w:footnoteRef/>
      </w:r>
      <w:r>
        <w:t xml:space="preserve">  “(a) In General.– There shall be allowed as a deduction all the ordinary and necessary expenses paid or incurred during the taxable year in carrying on any trade or business, including –“</w:t>
      </w:r>
    </w:p>
    <w:p w:rsidR="00FF5E72" w:rsidRDefault="00FF5E72">
      <w:pPr>
        <w:widowControl w:val="0"/>
        <w:tabs>
          <w:tab w:val="left" w:pos="0"/>
          <w:tab w:val="left" w:pos="720"/>
          <w:tab w:val="left" w:pos="1440"/>
        </w:tabs>
        <w:jc w:val="both"/>
        <w:rPr>
          <w:rFonts w:ascii="Sylfaen" w:hAnsi="Sylfaen"/>
          <w:sz w:val="20"/>
        </w:rPr>
      </w:pPr>
      <w:r>
        <w:rPr>
          <w:rFonts w:ascii="Sylfaen" w:hAnsi="Sylfaen"/>
          <w:sz w:val="20"/>
        </w:rPr>
        <w:t>“****”</w:t>
      </w:r>
    </w:p>
    <w:p w:rsidR="00FF5E72" w:rsidRDefault="00FF5E72" w:rsidP="00142FCE">
      <w:pPr>
        <w:widowControl w:val="0"/>
        <w:tabs>
          <w:tab w:val="left" w:pos="0"/>
          <w:tab w:val="left" w:pos="720"/>
          <w:tab w:val="left" w:pos="1440"/>
        </w:tabs>
        <w:ind w:left="720"/>
        <w:jc w:val="both"/>
      </w:pPr>
      <w:r>
        <w:rPr>
          <w:rFonts w:ascii="Sylfaen" w:hAnsi="Sylfaen"/>
          <w:sz w:val="20"/>
        </w:rPr>
        <w:t>“(2) traveling expenses (including the entire amount expended for meals and lodging) while away from home in the pursuit of a trade or business....”  § 162(a)(2) of the I</w:t>
      </w:r>
      <w:r>
        <w:rPr>
          <w:rFonts w:ascii="Sylfaen" w:hAnsi="Sylfaen"/>
          <w:sz w:val="20"/>
        </w:rPr>
        <w:t>n</w:t>
      </w:r>
      <w:r>
        <w:rPr>
          <w:rFonts w:ascii="Sylfaen" w:hAnsi="Sylfaen"/>
          <w:sz w:val="20"/>
        </w:rPr>
        <w:t>ternal Revenue Code of 1954, 26 U.S.C. § 162(a)(2) (1958 ed.).</w:t>
      </w:r>
    </w:p>
  </w:footnote>
  <w:footnote w:id="118">
    <w:p w:rsidR="00FF5E72" w:rsidRDefault="00FF5E72" w:rsidP="00142FCE">
      <w:pPr>
        <w:pStyle w:val="FootnoteText"/>
      </w:pPr>
      <w:r>
        <w:rPr>
          <w:vertAlign w:val="superscript"/>
        </w:rPr>
        <w:footnoteRef/>
      </w:r>
      <w:r>
        <w:t xml:space="preserve">  After denying the Government’s motion for a directed verdict, the District Judge charged the jury that it would have to “determine under all the facts of this case whether or not” the Commi</w:t>
      </w:r>
      <w:r>
        <w:t>s</w:t>
      </w:r>
      <w:r>
        <w:t>sioner’s rule was “an arbitrary regulation as applied to these plaintiffs under the facts in this case.” He told the jury to consider whether the meal expenses were “necessary for the employee to prope</w:t>
      </w:r>
      <w:r>
        <w:t>r</w:t>
      </w:r>
      <w:r>
        <w:t xml:space="preserve">ly perform the duties of his work.”  </w:t>
      </w:r>
      <w:r>
        <w:rPr>
          <w:rFonts w:ascii="Sylfaen" w:hAnsi="Sylfaen"/>
        </w:rPr>
        <w:t>“Should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w:t>
      </w:r>
      <w:r>
        <w:rPr>
          <w:rFonts w:ascii="Sylfaen" w:hAnsi="Sylfaen"/>
        </w:rPr>
        <w:t>i</w:t>
      </w:r>
      <w:r>
        <w:rPr>
          <w:rFonts w:ascii="Sylfaen" w:hAnsi="Sylfaen"/>
        </w:rPr>
        <w:t>ness.”  Under these instructions, the jury found for the respondent. The District Court denied the Government’s motion for judgment notwithstanding the verdict.</w:t>
      </w:r>
    </w:p>
  </w:footnote>
  <w:footnote w:id="119">
    <w:p w:rsidR="00FF5E72" w:rsidRDefault="00FF5E72" w:rsidP="00355EF3">
      <w:pPr>
        <w:pStyle w:val="FootnoteText"/>
      </w:pPr>
      <w:r>
        <w:rPr>
          <w:vertAlign w:val="superscript"/>
        </w:rPr>
        <w:footnoteRef/>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0">
    <w:p w:rsidR="00FF5E72" w:rsidRDefault="00FF5E72" w:rsidP="00355EF3">
      <w:pPr>
        <w:pStyle w:val="FootnoteText"/>
      </w:pPr>
      <w:r>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1">
    <w:p w:rsidR="00FF5E72" w:rsidRDefault="00FF5E72" w:rsidP="00355EF3">
      <w:pPr>
        <w:pStyle w:val="FootnoteText"/>
      </w:pPr>
      <w:r>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2">
    <w:p w:rsidR="00FF5E72" w:rsidRDefault="00FF5E72" w:rsidP="00355EF3">
      <w:pPr>
        <w:pStyle w:val="FootnoteText"/>
      </w:pPr>
      <w:r>
        <w:rPr>
          <w:vertAlign w:val="superscript"/>
        </w:rPr>
        <w:footnoteRef/>
      </w:r>
      <w:r>
        <w:t xml:space="preserve">  The respondent seldom traveled farther than 55 miles from his home, but he ordinarily drove a total of 150 to 175 miles daily.</w:t>
      </w:r>
    </w:p>
  </w:footnote>
  <w:footnote w:id="123">
    <w:p w:rsidR="00FF5E72" w:rsidRDefault="00FF5E72" w:rsidP="00355EF3">
      <w:pPr>
        <w:pStyle w:val="FootnoteText"/>
      </w:pPr>
      <w:r>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w:t>
      </w:r>
      <w:r w:rsidRPr="00142FCE">
        <w:rPr>
          <w:i/>
        </w:rPr>
        <w:t>t</w:t>
      </w:r>
      <w:r w:rsidRPr="00142FCE">
        <w:rPr>
          <w:i/>
        </w:rPr>
        <w:t>ed States</w:t>
      </w:r>
      <w:r>
        <w:t>, 308 F.2d 204, 206. The same taxpayer, however, is unlikely to incur substantially increased living expenses as a result of business travel, however far he may go, so long as he does not find it necessary to stop for lodging. ...</w:t>
      </w:r>
    </w:p>
  </w:footnote>
  <w:footnote w:id="124">
    <w:p w:rsidR="00FF5E72" w:rsidRDefault="00FF5E72" w:rsidP="00142FCE">
      <w:pPr>
        <w:pStyle w:val="FootnoteText"/>
      </w:pPr>
      <w:r>
        <w:rPr>
          <w:vertAlign w:val="superscript"/>
        </w:rPr>
        <w:footnoteRef/>
      </w:r>
      <w:r>
        <w:t xml:space="preserve">  The court below thought that </w:t>
      </w:r>
      <w:r>
        <w:rPr>
          <w:rFonts w:ascii="Sylfaen" w:hAnsi="Sylfaen"/>
        </w:rPr>
        <w:t>“[i]n an era of supersonic travel, the time factor is hardly re</w:t>
      </w:r>
      <w:r>
        <w:rPr>
          <w:rFonts w:ascii="Sylfaen" w:hAnsi="Sylfaen"/>
        </w:rPr>
        <w:t>l</w:t>
      </w:r>
      <w:r>
        <w:rPr>
          <w:rFonts w:ascii="Sylfaen" w:hAnsi="Sylfaen"/>
        </w:rPr>
        <w:t>evant to the question of whether or not ... meal expenses are related to the taxpayer’s bus</w:t>
      </w:r>
      <w:r>
        <w:rPr>
          <w:rFonts w:ascii="Sylfaen" w:hAnsi="Sylfaen"/>
        </w:rPr>
        <w:t>i</w:t>
      </w:r>
      <w:r>
        <w:rPr>
          <w:rFonts w:ascii="Sylfaen" w:hAnsi="Sylfaen"/>
        </w:rPr>
        <w:t>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w:t>
      </w:r>
      <w:r>
        <w:rPr>
          <w:rFonts w:ascii="Sylfaen" w:hAnsi="Sylfaen"/>
        </w:rPr>
        <w:t>i</w:t>
      </w:r>
      <w:r>
        <w:rPr>
          <w:rFonts w:ascii="Sylfaen" w:hAnsi="Sylfaen"/>
        </w:rPr>
        <w:t>ness necessity of the taxpayer’s meals is to demand the impossible.</w:t>
      </w:r>
    </w:p>
  </w:footnote>
  <w:footnote w:id="125">
    <w:p w:rsidR="00FF5E72" w:rsidRDefault="00FF5E72" w:rsidP="00355EF3">
      <w:pPr>
        <w:pStyle w:val="FootnoteText"/>
      </w:pPr>
      <w:r>
        <w:rPr>
          <w:vertAlign w:val="superscript"/>
        </w:rPr>
        <w:footnoteRef/>
      </w:r>
      <w:r>
        <w:t xml:space="preserve">  </w:t>
      </w:r>
      <w:r w:rsidRPr="00905A98">
        <w:rPr>
          <w:i/>
        </w:rPr>
        <w:t>Flowers</w:t>
      </w:r>
      <w:r w:rsidRPr="00565619">
        <w:t xml:space="preserve">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905A98">
        <w:rPr>
          <w:i/>
        </w:rPr>
        <w:t>Primuth v. Commissioner</w:t>
      </w:r>
      <w:r>
        <w:t>, 54 T.C. 374, 377-78 (1970) (citing cases); Rev. Rul. 77-16; Rev. Rul. 60-16. Thus, expenses necessitated by the exigencies of an emplo</w:t>
      </w:r>
      <w:r>
        <w:t>y</w:t>
      </w:r>
      <w:r>
        <w:t>ee’s occupation, without regard to the demands of the employer’s business, are also deductible.</w:t>
      </w:r>
    </w:p>
  </w:footnote>
  <w:footnote w:id="126">
    <w:p w:rsidR="00FF5E72" w:rsidRDefault="00FF5E72" w:rsidP="00355EF3">
      <w:pPr>
        <w:pStyle w:val="FootnoteText"/>
      </w:pPr>
      <w:r>
        <w:rPr>
          <w:vertAlign w:val="superscript"/>
        </w:rPr>
        <w:footnoteRef/>
      </w:r>
      <w:r>
        <w:t xml:space="preserve">  Under the general provision of § 162(a), no deduction is allowed for expenses incurred in prepa</w:t>
      </w:r>
      <w:r>
        <w:t>r</w:t>
      </w:r>
      <w:r>
        <w:t>ing to enter a new business and the phrase “in the pursuit of a trade or business” has in cases co</w:t>
      </w:r>
      <w:r>
        <w:t>n</w:t>
      </w:r>
      <w:r>
        <w:t>cerned with such expenses been read to “presuppose ( ) an existing business with which (the taxpa</w:t>
      </w:r>
      <w:r>
        <w:t>y</w:t>
      </w:r>
      <w:r>
        <w:t xml:space="preserve">er) is connected.” </w:t>
      </w:r>
      <w:r w:rsidRPr="00905A98">
        <w:rPr>
          <w:i/>
        </w:rPr>
        <w:t>Frank v. Commissioner</w:t>
      </w:r>
      <w:r>
        <w:t xml:space="preserve">, 20 T.C. 511, 513-14 (1953). </w:t>
      </w:r>
      <w:r>
        <w:rPr>
          <w:i/>
        </w:rPr>
        <w:t>See, e.g.</w:t>
      </w:r>
      <w:r>
        <w:t xml:space="preserve">, </w:t>
      </w:r>
      <w:r w:rsidRPr="00905A98">
        <w:rPr>
          <w:i/>
        </w:rPr>
        <w:t>Weinstein v. United States</w:t>
      </w:r>
      <w:r>
        <w:t>, 420 F.2d 700 (Ct. Cl.1970).</w:t>
      </w:r>
    </w:p>
  </w:footnote>
  <w:footnote w:id="127">
    <w:p w:rsidR="00FF5E72" w:rsidRDefault="00FF5E72" w:rsidP="00355EF3">
      <w:pPr>
        <w:pStyle w:val="FootnoteText"/>
      </w:pPr>
      <w:r>
        <w:rPr>
          <w:vertAlign w:val="superscript"/>
        </w:rPr>
        <w:footnoteRef/>
      </w:r>
      <w:r>
        <w:t xml:space="preserve">  The Tax Court has, with a notable exception, consistently held that a taxpayer’s home is his place of business. See </w:t>
      </w:r>
      <w:r w:rsidRPr="00905A98">
        <w:rPr>
          <w:i/>
        </w:rPr>
        <w:t>Daly v. Commissioner</w:t>
      </w:r>
      <w:r>
        <w:t xml:space="preserve">, 72 T.C. 190 (1979); </w:t>
      </w:r>
      <w:r w:rsidRPr="00905A98">
        <w:rPr>
          <w:i/>
        </w:rPr>
        <w:t>Foote v. Commissioner</w:t>
      </w:r>
      <w:r>
        <w:t xml:space="preserve">, 67 T.C. 1 (1976); </w:t>
      </w:r>
      <w:r w:rsidRPr="00905A98">
        <w:rPr>
          <w:i/>
        </w:rPr>
        <w:t>Mon</w:t>
      </w:r>
      <w:r w:rsidRPr="00905A98">
        <w:rPr>
          <w:i/>
        </w:rPr>
        <w:t>t</w:t>
      </w:r>
      <w:r w:rsidRPr="00905A98">
        <w:rPr>
          <w:i/>
        </w:rPr>
        <w:t>gomery v. Commissioner</w:t>
      </w:r>
      <w:r>
        <w:t xml:space="preserve">, 64 T.C. 175 (1975), </w:t>
      </w:r>
      <w:r>
        <w:rPr>
          <w:i/>
        </w:rPr>
        <w:t>aff’d</w:t>
      </w:r>
      <w:r>
        <w:t xml:space="preserve">, 532 F.2d 1088 (6th Cir. 1976); </w:t>
      </w:r>
      <w:r w:rsidRPr="00905A98">
        <w:rPr>
          <w:i/>
        </w:rPr>
        <w:t>Blatnick v. Commissioner</w:t>
      </w:r>
      <w:r>
        <w:t>, 56 T.C. 1344 (1971). The exception, of course, is the present case.</w:t>
      </w:r>
    </w:p>
    <w:p w:rsidR="00FF5E72" w:rsidRDefault="00FF5E72">
      <w:pPr>
        <w:widowControl w:val="0"/>
        <w:tabs>
          <w:tab w:val="left" w:pos="0"/>
          <w:tab w:val="left" w:pos="720"/>
          <w:tab w:val="left" w:pos="1440"/>
        </w:tabs>
        <w:jc w:val="both"/>
      </w:pPr>
    </w:p>
  </w:footnote>
  <w:footnote w:id="128">
    <w:p w:rsidR="00FF5E72" w:rsidRDefault="00FF5E72" w:rsidP="00355EF3">
      <w:pPr>
        <w:pStyle w:val="FootnoteText"/>
      </w:pPr>
      <w:r>
        <w:rPr>
          <w:vertAlign w:val="superscript"/>
        </w:rPr>
        <w:footnoteRef/>
      </w:r>
      <w:r>
        <w:t xml:space="preserve">  In this respect, Mr. and Mrs. Hantzis’ situation is analogous to cases involving spouses with c</w:t>
      </w:r>
      <w:r>
        <w:t>a</w:t>
      </w:r>
      <w:r>
        <w:t xml:space="preserve">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470 F.2d 475, 477-78 (3d Cir. 1972) (“Where additional expenses are incurred because, for personal reasons, husband and wife maintain separate domiciles, no dedu</w:t>
      </w:r>
      <w:r>
        <w:t>c</w:t>
      </w:r>
      <w:r>
        <w:t xml:space="preserve">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29">
    <w:p w:rsidR="00FF5E72" w:rsidRDefault="00FF5E72" w:rsidP="00355EF3">
      <w:pPr>
        <w:pStyle w:val="FootnoteText"/>
      </w:pPr>
      <w:r>
        <w:rPr>
          <w:vertAlign w:val="superscript"/>
        </w:rPr>
        <w:footnoteRef/>
      </w:r>
      <w:r>
        <w:t xml:space="preserve">  The concurrence reaches the same result on essentially the same reasoning, but under what we take to be an interpretation of the “in pursuit of business” requirement. We differ from our co</w:t>
      </w:r>
      <w:r>
        <w:t>l</w:t>
      </w:r>
      <w:r>
        <w:t>league, it would seem, only on the question of which precondition to deductibility best accomm</w:t>
      </w:r>
      <w:r>
        <w:t>o</w:t>
      </w:r>
      <w:r>
        <w:t xml:space="preserve">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30">
    <w:p w:rsidR="00FF5E72" w:rsidRDefault="00FF5E72" w:rsidP="009E53FB">
      <w:pPr>
        <w:pStyle w:val="FootnoteText"/>
        <w:rPr>
          <w:rFonts w:ascii="Sylfaen" w:hAnsi="Sylfaen"/>
        </w:rPr>
      </w:pPr>
      <w:r>
        <w:rPr>
          <w:vertAlign w:val="superscript"/>
        </w:rPr>
        <w:footnoteRef/>
      </w:r>
      <w:r>
        <w:t xml:space="preserve">  In </w:t>
      </w:r>
      <w:r w:rsidRPr="009E53FB">
        <w:rPr>
          <w:i/>
        </w:rPr>
        <w:t>Peurifoy</w:t>
      </w:r>
      <w:r>
        <w:t>, the Court stated that the Tax Court had “engrafted an exception” onto the requir</w:t>
      </w:r>
      <w:r>
        <w:t>e</w:t>
      </w:r>
      <w:r>
        <w:t>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Court’s finding as to the temporary nature of taxpayer’s employment was clearly err</w:t>
      </w:r>
      <w:r>
        <w:t>o</w:t>
      </w:r>
      <w:r>
        <w:t xml:space="preserve">neous. </w:t>
      </w:r>
      <w:r>
        <w:rPr>
          <w:i/>
        </w:rPr>
        <w:t>Id</w:t>
      </w:r>
      <w:r>
        <w:t>. at 60-61.</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pPr>
      <w:r>
        <w:rPr>
          <w:rFonts w:ascii="Sylfaen" w:hAnsi="Sylfaen"/>
          <w:sz w:val="20"/>
        </w:rPr>
        <w:t xml:space="preserve">Because we treat these requirements as inextricably intertwined, </w:t>
      </w:r>
      <w:r>
        <w:rPr>
          <w:rFonts w:ascii="Sylfaen" w:hAnsi="Sylfaen"/>
          <w:i/>
          <w:sz w:val="20"/>
        </w:rPr>
        <w:t>see</w:t>
      </w:r>
      <w:r>
        <w:rPr>
          <w:rFonts w:ascii="Sylfaen" w:hAnsi="Sylfaen"/>
          <w:sz w:val="20"/>
        </w:rPr>
        <w:t xml:space="preserve"> </w:t>
      </w:r>
      <w:r>
        <w:rPr>
          <w:rFonts w:ascii="Sylfaen" w:hAnsi="Sylfaen"/>
          <w:i/>
          <w:sz w:val="20"/>
        </w:rPr>
        <w:t>supra</w:t>
      </w:r>
      <w:r>
        <w:rPr>
          <w:rFonts w:ascii="Sylfaen" w:hAnsi="Sylfaen"/>
          <w:sz w:val="20"/>
        </w:rPr>
        <w:t>, we find it unnecessary to address this question: applied to either requirement, the temporary employment doctrine affects the meaning of both.</w:t>
      </w:r>
    </w:p>
  </w:footnote>
  <w:footnote w:id="131">
    <w:p w:rsidR="00FF5E72" w:rsidRDefault="00FF5E72" w:rsidP="00355EF3">
      <w:pPr>
        <w:pStyle w:val="FootnoteText"/>
      </w:pPr>
      <w:r>
        <w:rPr>
          <w:vertAlign w:val="superscript"/>
        </w:rPr>
        <w:footnoteRef/>
      </w:r>
      <w:r>
        <w:t xml:space="preserve">  For reasons explained by the court, the temporary nature of her employment does not bring the case within those as to which Congress was mitigating the burden of duplicative expenses when e</w:t>
      </w:r>
      <w:r>
        <w:t>n</w:t>
      </w:r>
      <w:r>
        <w:t>acting § 162(a)(2).</w:t>
      </w:r>
    </w:p>
  </w:footnote>
  <w:footnote w:id="132">
    <w:p w:rsidR="00FF5E72" w:rsidRDefault="00FF5E72" w:rsidP="00355EF3">
      <w:pPr>
        <w:pStyle w:val="FootnoteText"/>
      </w:pPr>
      <w:r>
        <w:rPr>
          <w:vertAlign w:val="superscript"/>
        </w:rPr>
        <w:footnoteRef/>
      </w:r>
      <w:r>
        <w:t xml:space="preserve">  </w:t>
      </w:r>
      <w:r>
        <w:rPr>
          <w:i/>
        </w:rPr>
        <w:t>See</w:t>
      </w:r>
      <w:r>
        <w:t xml:space="preserve"> </w:t>
      </w:r>
      <w:r w:rsidRPr="002E5BED">
        <w:rPr>
          <w:i/>
        </w:rPr>
        <w:t>Sarah Backer</w:t>
      </w:r>
      <w:r>
        <w:t xml:space="preserve">, 1 B.T.A. 214; </w:t>
      </w:r>
      <w:r w:rsidRPr="002E5BED">
        <w:rPr>
          <w:i/>
        </w:rPr>
        <w:t>Norvin R. Lindheim</w:t>
      </w:r>
      <w:r>
        <w:t xml:space="preserve">, 2 B.T.A. 229; </w:t>
      </w:r>
      <w:r w:rsidRPr="002E5BED">
        <w:rPr>
          <w:i/>
        </w:rPr>
        <w:t>Thomas A. Joseph</w:t>
      </w:r>
      <w:r>
        <w:t xml:space="preserve">, 26 T.C. 562; </w:t>
      </w:r>
      <w:r w:rsidRPr="002E5BED">
        <w:rPr>
          <w:i/>
        </w:rPr>
        <w:t>Burroughs Bldg. Material Co. v. Commissioner</w:t>
      </w:r>
      <w:r>
        <w:t xml:space="preserve">, 47 F.2d 178 (C.A.2d Cir.); </w:t>
      </w:r>
      <w:r w:rsidRPr="002E5BED">
        <w:rPr>
          <w:i/>
        </w:rPr>
        <w:t>Commissioner v. Schwartz</w:t>
      </w:r>
      <w:r>
        <w:t xml:space="preserve">, 232 F.2d 94 (C.A.5th Cir.); </w:t>
      </w:r>
      <w:r w:rsidRPr="002E5BED">
        <w:rPr>
          <w:i/>
        </w:rPr>
        <w:t>Acker v. Commissioner</w:t>
      </w:r>
      <w:r>
        <w:t xml:space="preserve">, 258 F.2d 568 (C.A.6th Cir.); </w:t>
      </w:r>
      <w:r w:rsidRPr="002E5BED">
        <w:rPr>
          <w:i/>
        </w:rPr>
        <w:t>Bell v. Commissioner</w:t>
      </w:r>
      <w:r>
        <w:t xml:space="preserve">, 320 F.2d 953 (C.A.8th Cir.); </w:t>
      </w:r>
      <w:r w:rsidRPr="002E5BED">
        <w:rPr>
          <w:i/>
        </w:rPr>
        <w:t>Peckham v. Commissioner</w:t>
      </w:r>
      <w:r>
        <w:t xml:space="preserve">, 327 F.2d 855, 856 (C.A.4th Cir.); </w:t>
      </w:r>
      <w:r w:rsidRPr="002E5BED">
        <w:rPr>
          <w:i/>
        </w:rPr>
        <w:t>Port v. United States</w:t>
      </w:r>
      <w:r>
        <w:t xml:space="preserve">, 163 F. Supp. 645. </w:t>
      </w:r>
      <w:r>
        <w:rPr>
          <w:i/>
        </w:rPr>
        <w:t>See also</w:t>
      </w:r>
      <w:r>
        <w:t xml:space="preserve"> Note, </w:t>
      </w:r>
      <w:r>
        <w:rPr>
          <w:i/>
        </w:rPr>
        <w:t>Business Expenses, Disallowance, and Public Policy: Some Problems of San</w:t>
      </w:r>
      <w:r>
        <w:rPr>
          <w:i/>
        </w:rPr>
        <w:t>c</w:t>
      </w:r>
      <w:r>
        <w:rPr>
          <w:i/>
        </w:rPr>
        <w:t>tioning with the Internal Revenue Code</w:t>
      </w:r>
      <w:r>
        <w:t xml:space="preserv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w:t>
      </w:r>
      <w:r>
        <w:rPr>
          <w:i/>
        </w:rPr>
        <w:t>Compare</w:t>
      </w:r>
      <w:r>
        <w:t xml:space="preserve"> Longhorn Portland Cement Co., 3 T.C. 310; G.C.M. 24377, 1944 Cum. Bull. 93; Lamont, </w:t>
      </w:r>
      <w:r>
        <w:rPr>
          <w:i/>
        </w:rPr>
        <w:t>Controversial Aspects of Ordinary and Necessary Business Expense</w:t>
      </w:r>
      <w:r>
        <w:t xml:space="preserve">, 42 </w:t>
      </w:r>
      <w:r>
        <w:rPr>
          <w:smallCaps/>
        </w:rPr>
        <w:t>Taxes</w:t>
      </w:r>
      <w:r>
        <w:t xml:space="preserve"> 808, 833-834.</w:t>
      </w:r>
    </w:p>
  </w:footnote>
  <w:footnote w:id="133">
    <w:p w:rsidR="00FF5E72" w:rsidRDefault="00FF5E72" w:rsidP="002E5BED">
      <w:pPr>
        <w:pStyle w:val="FootnoteText"/>
        <w:rPr>
          <w:rFonts w:ascii="Sylfaen" w:hAnsi="Sylfaen"/>
        </w:rPr>
      </w:pPr>
      <w:r>
        <w:rPr>
          <w:vertAlign w:val="superscript"/>
        </w:rPr>
        <w:footnoteRef/>
      </w:r>
      <w:r>
        <w:t xml:space="preserve">  In challenging the amendments, Senator Williams also stated:</w:t>
      </w: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“In other words, you are going to count the man as having money which he has not got, because he has lost it in a way that you do not approve of.”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50 Cong. Rec. 3850.</w:t>
      </w:r>
    </w:p>
  </w:footnote>
  <w:footnote w:id="134">
    <w:p w:rsidR="00FF5E72" w:rsidRDefault="00FF5E72" w:rsidP="002E5BED">
      <w:pPr>
        <w:pStyle w:val="FootnoteText"/>
      </w:pPr>
      <w:r>
        <w:rPr>
          <w:vertAlign w:val="superscript"/>
        </w:rPr>
        <w:footnoteRef/>
      </w:r>
      <w:r>
        <w:t xml:space="preserve">  Specific legislation denying deductions for payments that violate public policy is not unknown. </w:t>
      </w:r>
      <w:r>
        <w:rPr>
          <w:i/>
        </w:rPr>
        <w:t>E.g</w:t>
      </w:r>
      <w:r>
        <w:t xml:space="preserve">., Internal Revenue Code of 1954, § 162(c) (disallowance of deduction for payments to officials and employees of foreign countries in circumstances where the payments would be illegal if federal laws were applicable; </w:t>
      </w:r>
      <w:r>
        <w:rPr>
          <w:i/>
        </w:rPr>
        <w:t>cf.</w:t>
      </w:r>
      <w:r>
        <w:t xml:space="preserve"> Reg. § 1.162-18); § 165(d) (deduction for wagering losses limited to extent of wagering gains). </w:t>
      </w:r>
      <w:r>
        <w:rPr>
          <w:i/>
        </w:rPr>
        <w:t>See also</w:t>
      </w:r>
      <w:r>
        <w:t xml:space="preserve"> Stabilization Act of 1942, § 5(a), 56 Stat. 767, 50 U.S.C. App. § 965(a) (1946 ed.), Defense Production Act of 1950, § 405(a), 64 Stat. 807, </w:t>
      </w:r>
      <w:r>
        <w:rPr>
          <w:i/>
        </w:rPr>
        <w:t>as amended</w:t>
      </w:r>
      <w:r>
        <w:t>, c. 275, § 104(i), 65 Stat. 136 (1951), 50 U.S.C. App. § 2105(a) (1952 ed.), and Defense Production Act of 1950, § 405(b), 64 Stat. 807, 50 U.S.C. App. § 2105(b) (1952 ed.) (general authority in President to prescribe extent to which payments violating price and wage regulations should be disregarded by government agencies, i</w:t>
      </w:r>
      <w:r>
        <w:t>n</w:t>
      </w:r>
      <w:r>
        <w:t xml:space="preserve">cluding the Internal Revenue Service; </w:t>
      </w:r>
      <w:r>
        <w:rPr>
          <w:i/>
        </w:rPr>
        <w:t>see</w:t>
      </w:r>
      <w:r>
        <w:t xml:space="preserve"> Rev. Rul. 56-180). </w:t>
      </w:r>
      <w:r>
        <w:rPr>
          <w:i/>
        </w:rPr>
        <w:t>Cf.</w:t>
      </w:r>
      <w:r>
        <w:t xml:space="preserve"> § 1.162-1(a), which provides that </w:t>
      </w:r>
      <w:r>
        <w:rPr>
          <w:rFonts w:ascii="Sylfaen" w:hAnsi="Sylfaen"/>
        </w:rPr>
        <w:t>“Penalty payments with respect to Federal taxes, whether on account of negligence, deli</w:t>
      </w:r>
      <w:r>
        <w:rPr>
          <w:rFonts w:ascii="Sylfaen" w:hAnsi="Sylfaen"/>
        </w:rPr>
        <w:t>n</w:t>
      </w:r>
      <w:r>
        <w:rPr>
          <w:rFonts w:ascii="Sylfaen" w:hAnsi="Sylfaen"/>
        </w:rPr>
        <w:t>quency, or fraud, are not deductible from gross income;” Joint Committee on Internal Rev</w:t>
      </w:r>
      <w:r>
        <w:rPr>
          <w:rFonts w:ascii="Sylfaen" w:hAnsi="Sylfaen"/>
        </w:rPr>
        <w:t>e</w:t>
      </w:r>
      <w:r>
        <w:rPr>
          <w:rFonts w:ascii="Sylfaen" w:hAnsi="Sylfaen"/>
        </w:rPr>
        <w:t>nue Taxation, Staff Study of Income Tax Treatment of Treble Damage Payments under the Antitrust Laws, Nov. 1, 1965, p. 16 (proposal that § 162 be amended to deny deductions for certain fines, penalties, treble damage payments, bribes, and kickbacks).</w:t>
      </w:r>
    </w:p>
  </w:footnote>
  <w:footnote w:id="135">
    <w:p w:rsidR="00FF5E72" w:rsidRDefault="00FF5E72" w:rsidP="002E5BED">
      <w:pPr>
        <w:pStyle w:val="FootnoteText"/>
        <w:rPr>
          <w:rFonts w:ascii="Sylfaen" w:hAnsi="Sylfaen"/>
        </w:rPr>
      </w:pPr>
      <w:r>
        <w:rPr>
          <w:vertAlign w:val="superscript"/>
        </w:rPr>
        <w:footnoteRef/>
      </w:r>
      <w:r>
        <w:t xml:space="preserve">  Cf. Paul, The Use of Public Policy by the Commissioner in Disallowing Deductions, 1954</w:t>
      </w:r>
      <w:r>
        <w:rPr>
          <w:smallCaps/>
        </w:rPr>
        <w:t xml:space="preserve"> So. Calif. Tax Inst. </w:t>
      </w:r>
      <w:r>
        <w:t xml:space="preserve">715, 730-731:  </w:t>
      </w:r>
      <w:r>
        <w:rPr>
          <w:rFonts w:ascii="Sylfaen" w:hAnsi="Sylfaen"/>
        </w:rPr>
        <w:t>“...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w:t>
      </w:r>
      <w:r>
        <w:rPr>
          <w:rFonts w:ascii="Sylfaen" w:hAnsi="Sylfaen"/>
        </w:rPr>
        <w:t>s</w:t>
      </w:r>
      <w:r>
        <w:rPr>
          <w:rFonts w:ascii="Sylfaen" w:hAnsi="Sylfaen"/>
        </w:rPr>
        <w:t xml:space="preserve">sioner feels that a state or federal statute has been flouted. The statute hardly operates ‘in a vacuum’ if it serves its own vital function and leaves other problems to other statutes.” </w:t>
      </w:r>
    </w:p>
    <w:p w:rsidR="00FF5E72" w:rsidRDefault="00FF5E72">
      <w:pPr>
        <w:widowControl w:val="0"/>
        <w:tabs>
          <w:tab w:val="left" w:pos="0"/>
          <w:tab w:val="left" w:pos="720"/>
          <w:tab w:val="left" w:pos="1440"/>
        </w:tabs>
        <w:jc w:val="both"/>
      </w:pPr>
    </w:p>
  </w:footnote>
  <w:footnote w:id="136">
    <w:p w:rsidR="00FF5E72" w:rsidRDefault="00FF5E72" w:rsidP="00355EF3">
      <w:pPr>
        <w:pStyle w:val="FootnoteText"/>
      </w:pPr>
      <w:r>
        <w:rPr>
          <w:vertAlign w:val="superscript"/>
        </w:rPr>
        <w:footnoteRef/>
      </w:r>
      <w:r>
        <w:t xml:space="preserve">  The rule is otherwise where the corporate employee is entitled to, but does not seek, reimburs</w:t>
      </w:r>
      <w:r>
        <w:t>e</w:t>
      </w:r>
      <w:r>
        <w:t xml:space="preserve">ment from the corporation. </w:t>
      </w:r>
      <w:r w:rsidRPr="00681912">
        <w:rPr>
          <w:i/>
        </w:rPr>
        <w:t>Stolk v. Commissioner</w:t>
      </w:r>
      <w:r>
        <w:t xml:space="preserve">, 40 T.C. 345, 357 (1963), </w:t>
      </w:r>
      <w:r>
        <w:rPr>
          <w:i/>
        </w:rPr>
        <w:t>aff’d. per curiam</w:t>
      </w:r>
      <w:r>
        <w:t xml:space="preserve"> 326 F.2d 760 (2d Cir. 1964); </w:t>
      </w:r>
      <w:r w:rsidRPr="00681912">
        <w:rPr>
          <w:i/>
        </w:rPr>
        <w:t>Coplon v. Commissioner</w:t>
      </w:r>
      <w:r w:rsidRPr="002F7902">
        <w:t>,</w:t>
      </w:r>
      <w:r>
        <w:t xml:space="preserve"> T.C. Memo. 1959-34, </w:t>
      </w:r>
      <w:r>
        <w:rPr>
          <w:i/>
        </w:rPr>
        <w:t xml:space="preserve">aff’d. per curiam </w:t>
      </w:r>
      <w:r>
        <w:t>277 F.2d 534 (6th Cir. 1960).</w:t>
      </w:r>
    </w:p>
    <w:p w:rsidR="00FF5E72" w:rsidRDefault="00FF5E72">
      <w:pPr>
        <w:widowControl w:val="0"/>
        <w:tabs>
          <w:tab w:val="left" w:pos="0"/>
          <w:tab w:val="left" w:pos="720"/>
          <w:tab w:val="left" w:pos="1440"/>
        </w:tabs>
        <w:jc w:val="both"/>
      </w:pPr>
    </w:p>
  </w:footnote>
  <w:footnote w:id="137">
    <w:p w:rsidR="00FF5E72" w:rsidRDefault="00FF5E72" w:rsidP="00681912">
      <w:pPr>
        <w:pStyle w:val="FootnoteText"/>
        <w:rPr>
          <w:rFonts w:ascii="Sylfaen" w:hAnsi="Sylfaen"/>
        </w:rPr>
      </w:pPr>
      <w:r>
        <w:rPr>
          <w:vertAlign w:val="superscript"/>
        </w:rPr>
        <w:footnoteRef/>
      </w:r>
      <w:r>
        <w:t xml:space="preserve">  </w:t>
      </w:r>
      <w:r>
        <w:rPr>
          <w:smallCaps/>
        </w:rPr>
        <w:t>S. Rept</w:t>
      </w:r>
      <w:r>
        <w:t>. 1881, 87th Cong., 2d Sess. (1962) states in part:</w:t>
      </w:r>
    </w:p>
    <w:p w:rsidR="00FF5E72" w:rsidRDefault="00FF5E72">
      <w:pPr>
        <w:widowControl w:val="0"/>
        <w:tabs>
          <w:tab w:val="left" w:pos="0"/>
          <w:tab w:val="left" w:pos="720"/>
          <w:tab w:val="left" w:pos="1440"/>
        </w:tabs>
        <w:ind w:left="720" w:hanging="720"/>
        <w:jc w:val="both"/>
        <w:rPr>
          <w:rFonts w:ascii="Sylfaen" w:hAnsi="Sylfaen"/>
          <w:sz w:val="20"/>
        </w:rPr>
      </w:pPr>
      <w:r>
        <w:rPr>
          <w:rFonts w:ascii="Sylfaen" w:hAnsi="Sylfaen"/>
          <w:sz w:val="20"/>
        </w:rPr>
        <w:t xml:space="preserve"> </w:t>
      </w:r>
      <w:r>
        <w:rPr>
          <w:rFonts w:ascii="Sylfaen" w:hAnsi="Sylfaen"/>
          <w:sz w:val="20"/>
        </w:rPr>
        <w:tab/>
        <w:t>“Entertaining guests at night clubs, country clubs, theaters, football games, and priz</w:t>
      </w:r>
      <w:r>
        <w:rPr>
          <w:rFonts w:ascii="Sylfaen" w:hAnsi="Sylfaen"/>
          <w:sz w:val="20"/>
        </w:rPr>
        <w:t>e</w:t>
      </w:r>
      <w:r>
        <w:rPr>
          <w:rFonts w:ascii="Sylfaen" w:hAnsi="Sylfaen"/>
          <w:sz w:val="20"/>
        </w:rPr>
        <w:t>fights, and on hunting, fishing, vacation and similar trips are examples of activities that constitute ‘entertainment, amusement, and recreation.’ ***”</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ind w:left="720"/>
        <w:jc w:val="both"/>
        <w:rPr>
          <w:rFonts w:ascii="Sylfaen" w:hAnsi="Sylfaen"/>
          <w:sz w:val="20"/>
        </w:rPr>
      </w:pPr>
      <w:r>
        <w:rPr>
          <w:rFonts w:ascii="Sylfaen" w:hAnsi="Sylfaen"/>
          <w:sz w:val="20"/>
        </w:rPr>
        <w:t xml:space="preserve">“An objective standard also will overrule arguments such as the one which prevailed in </w:t>
      </w:r>
      <w:r w:rsidRPr="002F7902">
        <w:rPr>
          <w:rFonts w:ascii="Sylfaen" w:hAnsi="Sylfaen"/>
          <w:sz w:val="20"/>
        </w:rPr>
        <w:t>Sanitary Farms Dairy, Inc.</w:t>
      </w:r>
      <w:r>
        <w:rPr>
          <w:rFonts w:ascii="Sylfaen" w:hAnsi="Sylfaen"/>
          <w:sz w:val="20"/>
        </w:rPr>
        <w:t xml:space="preserve"> (25 T.C. 463 (1955)) that a particular item was incurred, not for entertainment, but for advertising purposes. That case involved a big-game s</w:t>
      </w:r>
      <w:r>
        <w:rPr>
          <w:rFonts w:ascii="Sylfaen" w:hAnsi="Sylfaen"/>
          <w:sz w:val="20"/>
        </w:rPr>
        <w:t>a</w:t>
      </w:r>
      <w:r>
        <w:rPr>
          <w:rFonts w:ascii="Sylfaen" w:hAnsi="Sylfaen"/>
          <w:sz w:val="20"/>
        </w:rPr>
        <w:t>fari to Africa. *** Under the bill, if the activity typically is considered to be entertai</w:t>
      </w:r>
      <w:r>
        <w:rPr>
          <w:rFonts w:ascii="Sylfaen" w:hAnsi="Sylfaen"/>
          <w:sz w:val="20"/>
        </w:rPr>
        <w:t>n</w:t>
      </w:r>
      <w:r>
        <w:rPr>
          <w:rFonts w:ascii="Sylfaen" w:hAnsi="Sylfaen"/>
          <w:sz w:val="20"/>
        </w:rPr>
        <w:t>ment, amusement, or recreation, it will be so treated under this provision regardless of whether the activity can also be described in some other category of deductible items. This will be so even where the expense relates to the taxpayer alone.”</w:t>
      </w:r>
    </w:p>
    <w:p w:rsidR="00FF5E72" w:rsidRDefault="00FF5E72">
      <w:pPr>
        <w:widowControl w:val="0"/>
        <w:tabs>
          <w:tab w:val="left" w:pos="0"/>
          <w:tab w:val="left" w:pos="720"/>
          <w:tab w:val="left" w:pos="1440"/>
        </w:tabs>
        <w:jc w:val="both"/>
        <w:rPr>
          <w:rFonts w:ascii="Sylfaen" w:hAnsi="Sylfaen"/>
          <w:sz w:val="20"/>
        </w:rPr>
      </w:pPr>
    </w:p>
    <w:p w:rsidR="00FF5E72" w:rsidRDefault="00FF5E72">
      <w:pPr>
        <w:widowControl w:val="0"/>
        <w:tabs>
          <w:tab w:val="left" w:pos="0"/>
          <w:tab w:val="left" w:pos="720"/>
          <w:tab w:val="left" w:pos="1440"/>
        </w:tabs>
        <w:jc w:val="both"/>
      </w:pPr>
      <w:r>
        <w:rPr>
          <w:rFonts w:ascii="Sylfaen" w:hAnsi="Sylfaen"/>
          <w:sz w:val="20"/>
        </w:rPr>
        <w:t xml:space="preserve">    (Emphasis added.)  </w:t>
      </w:r>
      <w:r>
        <w:rPr>
          <w:rFonts w:ascii="Sylfaen" w:hAnsi="Sylfaen"/>
          <w:i/>
          <w:sz w:val="20"/>
        </w:rPr>
        <w:t>See also</w:t>
      </w:r>
      <w:r>
        <w:rPr>
          <w:rFonts w:ascii="Sylfaen" w:hAnsi="Sylfaen"/>
          <w:sz w:val="20"/>
        </w:rPr>
        <w:t xml:space="preserve"> </w:t>
      </w:r>
      <w:r>
        <w:rPr>
          <w:rFonts w:ascii="Sylfaen" w:hAnsi="Sylfaen"/>
          <w:smallCaps/>
          <w:sz w:val="20"/>
        </w:rPr>
        <w:t>H. Rept.</w:t>
      </w:r>
      <w:r>
        <w:rPr>
          <w:rFonts w:ascii="Sylfaen" w:hAnsi="Sylfaen"/>
          <w:sz w:val="20"/>
        </w:rPr>
        <w:t xml:space="preserve"> 1447, 87th Cong., 2d Sess. (1962).</w:t>
      </w:r>
    </w:p>
  </w:footnote>
  <w:footnote w:id="138">
    <w:p w:rsidR="00FF5E72" w:rsidRDefault="00FF5E72" w:rsidP="00355EF3">
      <w:pPr>
        <w:pStyle w:val="FootnoteText"/>
      </w:pPr>
      <w:r>
        <w:rPr>
          <w:vertAlign w:val="superscript"/>
        </w:rPr>
        <w:footnoteRef/>
      </w:r>
      <w:r>
        <w:t xml:space="preserve">  There are various rules that alter – either by extending or eliminating – the carryback loss period.  </w:t>
      </w:r>
      <w:r>
        <w:rPr>
          <w:i/>
        </w:rPr>
        <w:t>See</w:t>
      </w:r>
      <w:r>
        <w:t xml:space="preserve"> § 172(b)(1)(B, C, D, and E).</w:t>
      </w:r>
    </w:p>
  </w:footnote>
  <w:footnote w:id="139">
    <w:p w:rsidR="00FF5E72" w:rsidRDefault="00FF5E72" w:rsidP="00355EF3">
      <w:pPr>
        <w:pStyle w:val="FootnoteText"/>
      </w:pPr>
      <w:r>
        <w:rPr>
          <w:vertAlign w:val="superscript"/>
        </w:rPr>
        <w:footnoteRef/>
      </w:r>
      <w:r>
        <w:t xml:space="preserve">  I.R.C. § 611(a).</w:t>
      </w:r>
    </w:p>
  </w:footnote>
  <w:footnote w:id="140">
    <w:p w:rsidR="00FF5E72" w:rsidRDefault="00FF5E72" w:rsidP="00355EF3">
      <w:pPr>
        <w:pStyle w:val="FootnoteText"/>
      </w:pPr>
      <w:r>
        <w:rPr>
          <w:vertAlign w:val="superscript"/>
        </w:rPr>
        <w:footnoteRef/>
      </w:r>
      <w:r>
        <w:t xml:space="preserve">  Commissioner v. Southwest Exploration Co., 350 U.S. 308, 312 (1956) (depletion allowance “based on the theory that the extraction of minerals gradually exhausts the capital investment in the mineral deposit”).</w:t>
      </w:r>
    </w:p>
  </w:footnote>
  <w:footnote w:id="141">
    <w:p w:rsidR="00FF5E72" w:rsidRDefault="00FF5E72" w:rsidP="00355EF3">
      <w:pPr>
        <w:pStyle w:val="FootnoteText"/>
      </w:pPr>
      <w:r>
        <w:rPr>
          <w:vertAlign w:val="superscript"/>
        </w:rPr>
        <w:footnoteRef/>
      </w:r>
      <w:r>
        <w:t xml:space="preserve">  </w:t>
      </w:r>
      <w:r>
        <w:rPr>
          <w:i/>
        </w:rPr>
        <w:t>Id.</w:t>
      </w:r>
      <w:r>
        <w:t xml:space="preserve"> at 312.</w:t>
      </w:r>
    </w:p>
  </w:footnote>
  <w:footnote w:id="142">
    <w:p w:rsidR="00FF5E72" w:rsidRDefault="00FF5E72" w:rsidP="00355EF3">
      <w:pPr>
        <w:pStyle w:val="FootnoteText"/>
      </w:pPr>
      <w:r>
        <w:rPr>
          <w:vertAlign w:val="superscript"/>
        </w:rPr>
        <w:footnoteRef/>
      </w:r>
      <w:r>
        <w:t xml:space="preserve">  </w:t>
      </w:r>
      <w:r>
        <w:rPr>
          <w:i/>
        </w:rPr>
        <w:t>Id.</w:t>
      </w:r>
    </w:p>
  </w:footnote>
  <w:footnote w:id="143">
    <w:p w:rsidR="00FF5E72" w:rsidRDefault="00FF5E72" w:rsidP="00355EF3">
      <w:pPr>
        <w:pStyle w:val="FootnoteText"/>
      </w:pPr>
      <w:r>
        <w:rPr>
          <w:vertAlign w:val="superscript"/>
        </w:rPr>
        <w:footnoteRef/>
      </w:r>
      <w:r>
        <w:t xml:space="preserve">  </w:t>
      </w:r>
      <w:r>
        <w:rPr>
          <w:i/>
        </w:rPr>
        <w:t>Id.</w:t>
      </w:r>
    </w:p>
  </w:footnote>
  <w:footnote w:id="144">
    <w:p w:rsidR="00FF5E72" w:rsidRDefault="00FF5E72" w:rsidP="00355EF3">
      <w:pPr>
        <w:pStyle w:val="FootnoteText"/>
      </w:pPr>
      <w:r>
        <w:rPr>
          <w:vertAlign w:val="superscript"/>
        </w:rPr>
        <w:footnoteRef/>
      </w:r>
      <w:r>
        <w:t xml:space="preserve"> 5 William H. Byrnes, IV &amp; Christopher M Sove, Mertens Law of Fed. Income Tax’n § 24:132 (rev. 2013), </w:t>
      </w:r>
      <w:r>
        <w:rPr>
          <w:i/>
        </w:rPr>
        <w:t>available</w:t>
      </w:r>
      <w:r>
        <w:t xml:space="preserve"> on Westlaw.</w:t>
      </w:r>
    </w:p>
  </w:footnote>
  <w:footnote w:id="145">
    <w:p w:rsidR="00FF5E72" w:rsidRDefault="00FF5E72" w:rsidP="00355EF3">
      <w:pPr>
        <w:pStyle w:val="FootnoteText"/>
      </w:pPr>
      <w:r>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46">
    <w:p w:rsidR="00FF5E72" w:rsidRDefault="00FF5E72" w:rsidP="00355EF3">
      <w:pPr>
        <w:pStyle w:val="FootnoteText"/>
      </w:pPr>
      <w:r>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w:t>
      </w:r>
      <w:r>
        <w:t>e</w:t>
      </w:r>
      <w:r>
        <w:t>spective of fact that taxpayer may have retained no legal interest in the mineral content of the land).</w:t>
      </w:r>
    </w:p>
  </w:footnote>
  <w:footnote w:id="147">
    <w:p w:rsidR="00FF5E72" w:rsidRDefault="00FF5E72" w:rsidP="00355EF3">
      <w:pPr>
        <w:pStyle w:val="FootnoteText"/>
      </w:pPr>
      <w:r>
        <w:rPr>
          <w:vertAlign w:val="superscript"/>
        </w:rPr>
        <w:footnoteRef/>
      </w:r>
      <w:r>
        <w:t xml:space="preserve">  Reg. § 1.611-1(b)(1).</w:t>
      </w:r>
    </w:p>
  </w:footnote>
  <w:footnote w:id="148">
    <w:p w:rsidR="00FF5E72" w:rsidRDefault="00FF5E72" w:rsidP="00355EF3">
      <w:pPr>
        <w:pStyle w:val="FootnoteText"/>
      </w:pPr>
      <w:r>
        <w:rPr>
          <w:vertAlign w:val="superscript"/>
        </w:rPr>
        <w:footnoteRef/>
      </w:r>
      <w:r>
        <w:t xml:space="preserve">  I.R.C. § 613(a) (percentage method applicable to “mines, wells, and [certain] other natural depo</w:t>
      </w:r>
      <w:r>
        <w:t>s</w:t>
      </w:r>
      <w:r>
        <w:t>its”).</w:t>
      </w:r>
    </w:p>
  </w:footnote>
  <w:footnote w:id="149">
    <w:p w:rsidR="00FF5E72" w:rsidRDefault="00FF5E72" w:rsidP="00355EF3">
      <w:pPr>
        <w:pStyle w:val="FootnoteText"/>
      </w:pPr>
      <w:r>
        <w:rPr>
          <w:vertAlign w:val="superscript"/>
        </w:rPr>
        <w:footnoteRef/>
      </w:r>
      <w:r>
        <w:t xml:space="preserve">  I.R.C. § 612 (same as adjusted basis in § 1011 for “purpose of determining gain upon sale or ot</w:t>
      </w:r>
      <w:r>
        <w:t>h</w:t>
      </w:r>
      <w:r>
        <w:t>er disposition of” the property).</w:t>
      </w:r>
    </w:p>
  </w:footnote>
  <w:footnote w:id="150">
    <w:p w:rsidR="00FF5E72" w:rsidRDefault="00FF5E72" w:rsidP="00355EF3">
      <w:pPr>
        <w:pStyle w:val="FootnoteText"/>
      </w:pPr>
      <w:r>
        <w:rPr>
          <w:vertAlign w:val="superscript"/>
        </w:rPr>
        <w:footnoteRef/>
      </w:r>
      <w:r>
        <w:t xml:space="preserve">  Reg. § 1.611-2(a)(1) (mines, oil and gas wells, and other natural deposits); Reg. § 1.611-3(b) (ti</w:t>
      </w:r>
      <w:r>
        <w:t>m</w:t>
      </w:r>
      <w:r>
        <w:t>ber).</w:t>
      </w:r>
    </w:p>
  </w:footnote>
  <w:footnote w:id="151">
    <w:p w:rsidR="00FF5E72" w:rsidRDefault="00FF5E72" w:rsidP="00355EF3">
      <w:pPr>
        <w:pStyle w:val="FootnoteText"/>
      </w:pPr>
      <w:r>
        <w:rPr>
          <w:vertAlign w:val="superscript"/>
        </w:rPr>
        <w:footnoteRef/>
      </w:r>
      <w:r>
        <w:t xml:space="preserve">  Reg. § 1.611-2(a)(1) (mines, oil and gas wells, and other natural deposits).</w:t>
      </w:r>
    </w:p>
  </w:footnote>
  <w:footnote w:id="152">
    <w:p w:rsidR="00FF5E72" w:rsidRDefault="00FF5E72" w:rsidP="00355EF3">
      <w:pPr>
        <w:pStyle w:val="FootnoteText"/>
      </w:pPr>
      <w:r>
        <w:rPr>
          <w:vertAlign w:val="superscript"/>
        </w:rPr>
        <w:footnoteRef/>
      </w:r>
      <w:r>
        <w:t xml:space="preserve">   Reg. § 1.611-3(b)(1) (timber).</w:t>
      </w:r>
    </w:p>
  </w:footnote>
  <w:footnote w:id="153">
    <w:p w:rsidR="00FF5E72" w:rsidRDefault="00FF5E72" w:rsidP="00355EF3">
      <w:pPr>
        <w:pStyle w:val="FootnoteText"/>
      </w:pPr>
      <w:r>
        <w:rPr>
          <w:vertAlign w:val="superscript"/>
        </w:rPr>
        <w:footnoteRef/>
      </w:r>
      <w:r>
        <w:t xml:space="preserve">  I.R.C. § 1016(a)(1)(2); Reg. § 1.611-2(b)(2) (cost depletion for mines, oil and gas wells, and other natural deposits); Reg. § 1.611-3(c)(1) (timber).</w:t>
      </w:r>
    </w:p>
  </w:footnote>
  <w:footnote w:id="154">
    <w:p w:rsidR="00FF5E72" w:rsidRDefault="00FF5E72" w:rsidP="00355EF3">
      <w:pPr>
        <w:pStyle w:val="FootnoteText"/>
      </w:pPr>
      <w:r>
        <w:rPr>
          <w:vertAlign w:val="superscript"/>
        </w:rPr>
        <w:footnoteRef/>
      </w:r>
      <w:r>
        <w:t xml:space="preserve">  I.R.C. § 1254(a).</w:t>
      </w:r>
    </w:p>
  </w:footnote>
  <w:footnote w:id="155">
    <w:p w:rsidR="00FF5E72" w:rsidRDefault="00FF5E72" w:rsidP="00355EF3">
      <w:pPr>
        <w:pStyle w:val="FootnoteText"/>
      </w:pPr>
      <w:r>
        <w:rPr>
          <w:vertAlign w:val="superscript"/>
        </w:rPr>
        <w:footnoteRef/>
      </w:r>
      <w:r>
        <w:t xml:space="preserve">  I.R.C. § 613(a and b) (the percentages range from 5% to 22%)..</w:t>
      </w:r>
    </w:p>
  </w:footnote>
  <w:footnote w:id="156">
    <w:p w:rsidR="00FF5E72" w:rsidRDefault="00FF5E72" w:rsidP="00355EF3">
      <w:pPr>
        <w:pStyle w:val="FootnoteText"/>
      </w:pPr>
      <w:r>
        <w:rPr>
          <w:vertAlign w:val="superscript"/>
        </w:rPr>
        <w:footnoteRef/>
      </w:r>
      <w:r>
        <w:t xml:space="preserve">  I.R.C. § 613(a).</w:t>
      </w:r>
    </w:p>
  </w:footnote>
  <w:footnote w:id="157">
    <w:p w:rsidR="00FF5E72" w:rsidRDefault="00FF5E72" w:rsidP="00355EF3">
      <w:pPr>
        <w:pStyle w:val="FootnoteText"/>
      </w:pPr>
      <w:r>
        <w:rPr>
          <w:vertAlign w:val="superscript"/>
        </w:rPr>
        <w:footnoteRef/>
      </w:r>
      <w:r>
        <w:t xml:space="preserve">  </w:t>
      </w:r>
      <w:r>
        <w:rPr>
          <w:i/>
        </w:rPr>
        <w:t>Id.</w:t>
      </w:r>
      <w:r>
        <w:t xml:space="preserve">  </w:t>
      </w:r>
      <w:r>
        <w:rPr>
          <w:i/>
        </w:rPr>
        <w:t>But see</w:t>
      </w:r>
      <w:r>
        <w:t xml:space="preserve"> §§ 613(d), 613A.</w:t>
      </w:r>
    </w:p>
  </w:footnote>
  <w:footnote w:id="158">
    <w:p w:rsidR="00FF5E72" w:rsidRDefault="00FF5E72" w:rsidP="00355EF3">
      <w:pPr>
        <w:pStyle w:val="FootnoteText"/>
      </w:pPr>
      <w:r>
        <w:rPr>
          <w:vertAlign w:val="superscript"/>
        </w:rPr>
        <w:footnoteRef/>
      </w:r>
      <w:r>
        <w:t xml:space="preserve">  </w:t>
      </w:r>
      <w:r>
        <w:rPr>
          <w:i/>
        </w:rPr>
        <w:t>See</w:t>
      </w:r>
      <w:r>
        <w:t xml:space="preserve"> Reg. § 1.613A-3 (details of exemption for independent producers and royalty owners).</w:t>
      </w:r>
    </w:p>
  </w:footnote>
  <w:footnote w:id="159">
    <w:p w:rsidR="00FF5E72" w:rsidRDefault="00FF5E72" w:rsidP="00355EF3">
      <w:pPr>
        <w:pStyle w:val="FootnoteText"/>
      </w:pPr>
      <w:r>
        <w:rPr>
          <w:vertAlign w:val="superscript"/>
        </w:rPr>
        <w:footnoteRef/>
      </w:r>
      <w:r>
        <w:t xml:space="preserve">  I.R.C. § 613A(c)(1).</w:t>
      </w:r>
    </w:p>
  </w:footnote>
  <w:footnote w:id="160">
    <w:p w:rsidR="00FF5E72" w:rsidRDefault="00FF5E72" w:rsidP="00355EF3">
      <w:pPr>
        <w:pStyle w:val="FootnoteText"/>
      </w:pPr>
      <w:r>
        <w:rPr>
          <w:vertAlign w:val="superscript"/>
        </w:rPr>
        <w:footnoteRef/>
      </w:r>
      <w:r>
        <w:t xml:space="preserve">  I.R.C. § 613A(d)(1).</w:t>
      </w:r>
    </w:p>
  </w:footnote>
  <w:footnote w:id="161">
    <w:p w:rsidR="00FF5E72" w:rsidRDefault="00FF5E72" w:rsidP="00355EF3">
      <w:pPr>
        <w:pStyle w:val="FootnoteText"/>
      </w:pPr>
      <w:r>
        <w:rPr>
          <w:vertAlign w:val="superscript"/>
        </w:rPr>
        <w:footnoteRef/>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62">
    <w:p w:rsidR="00FF5E72" w:rsidRDefault="00FF5E72" w:rsidP="00355EF3">
      <w:pPr>
        <w:pStyle w:val="FootnoteText"/>
      </w:pPr>
      <w:r>
        <w:rPr>
          <w:vertAlign w:val="superscript"/>
        </w:rPr>
        <w:footnoteRef/>
      </w:r>
      <w:r>
        <w:t xml:space="preserve">  The IRS now publishes </w:t>
      </w:r>
      <w:r>
        <w:rPr>
          <w:i/>
        </w:rPr>
        <w:t>Statistics of Income</w:t>
      </w:r>
      <w:r>
        <w:t xml:space="preserve"> historical and data tables only online.  The relevant t</w:t>
      </w:r>
      <w:r>
        <w:t>a</w:t>
      </w:r>
      <w:r>
        <w:t>bles are at http://www.irs.gov/file_source/pub/irs-soi/histab13e.xls.</w:t>
      </w:r>
    </w:p>
  </w:footnote>
  <w:footnote w:id="163">
    <w:p w:rsidR="00FF5E72" w:rsidRDefault="00FF5E72" w:rsidP="00355EF3">
      <w:pPr>
        <w:pStyle w:val="FootnoteText"/>
      </w:pPr>
      <w:r>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64">
    <w:p w:rsidR="00FF5E72" w:rsidRDefault="00FF5E72" w:rsidP="00355EF3">
      <w:pPr>
        <w:pStyle w:val="FootnoteText"/>
      </w:pPr>
      <w:r>
        <w:rPr>
          <w:vertAlign w:val="superscript"/>
        </w:rPr>
        <w:footnoteRef/>
      </w:r>
      <w:r>
        <w:t xml:space="preserve">  Section 1245 property is, inter alia, any personal property which is or has been property of a character subject to allowance for depreciation provided in § 167.  § 1245(a)(3).</w:t>
      </w:r>
    </w:p>
  </w:footnote>
  <w:footnote w:id="165">
    <w:p w:rsidR="00FF5E72" w:rsidRDefault="00FF5E72" w:rsidP="00355EF3">
      <w:pPr>
        <w:pStyle w:val="FootnoteText"/>
      </w:pPr>
      <w:r>
        <w:rPr>
          <w:vertAlign w:val="superscript"/>
        </w:rPr>
        <w:footnoteRef/>
      </w:r>
      <w:r>
        <w:t xml:space="preserve">  Among the provisions that we do not cover are § 163(h)’s allowance of a deduction for home mortgage interest and §§ 221/62(a)(17)’s above-the-line deduction for interest paid on education loans.  We also do not consider deductions/exclusions/deferrals on various pension-funding veh</w:t>
      </w:r>
      <w:r>
        <w:t>i</w:t>
      </w:r>
      <w:r>
        <w:t>cles.   We do not consider in detail the credits for dependent care services necessary for gainful e</w:t>
      </w:r>
      <w:r>
        <w:t>m</w:t>
      </w:r>
      <w:r>
        <w:t>ployment, § 21, the Hope and Lifetime Learning Credits, § 25A, the Earned Income Credit, § 32, and the Adoption Expenses Credit, § 38.  Obviously these are important topics, and they raise inte</w:t>
      </w:r>
      <w:r>
        <w:t>r</w:t>
      </w:r>
      <w:r>
        <w:t>esting issues.  Hopefully, a student can read the Code sections noted and gain sufficient understan</w:t>
      </w:r>
      <w:r>
        <w:t>d</w:t>
      </w:r>
      <w:r>
        <w:t>ing of those topics, at least for the time being.</w:t>
      </w:r>
    </w:p>
  </w:footnote>
  <w:footnote w:id="166">
    <w:p w:rsidR="00FF5E72" w:rsidRDefault="00FF5E72" w:rsidP="00355EF3">
      <w:pPr>
        <w:pStyle w:val="FootnoteText"/>
      </w:pPr>
      <w:r>
        <w:rPr>
          <w:vertAlign w:val="superscript"/>
        </w:rPr>
        <w:footnoteRef/>
      </w:r>
      <w:r>
        <w:t xml:space="preserve">  </w:t>
      </w:r>
      <w:r>
        <w:rPr>
          <w:i/>
        </w:rPr>
        <w:t>See</w:t>
      </w:r>
      <w:r>
        <w:t xml:space="preserve"> National Federation of Business v. Sebelius, 567 U.S. ___, ___, 132 S. Ct. 2566, 2596 (2012) (congress may shape individual decisions through exercise of taxing power).</w:t>
      </w:r>
    </w:p>
  </w:footnote>
  <w:footnote w:id="167">
    <w:p w:rsidR="00FF5E72" w:rsidRDefault="00FF5E72" w:rsidP="00355EF3">
      <w:pPr>
        <w:pStyle w:val="FootnoteText"/>
      </w:pPr>
      <w:r>
        <w:rPr>
          <w:vertAlign w:val="superscript"/>
        </w:rPr>
        <w:footnoteRef/>
      </w:r>
      <w:r>
        <w:t xml:space="preserve">  </w:t>
      </w:r>
      <w:r>
        <w:rPr>
          <w:i/>
        </w:rPr>
        <w:t>See</w:t>
      </w:r>
      <w:r>
        <w:t xml:space="preserve"> § 501(a).</w:t>
      </w:r>
    </w:p>
  </w:footnote>
  <w:footnote w:id="168">
    <w:p w:rsidR="00FF5E72" w:rsidRDefault="00FF5E72" w:rsidP="00355EF3">
      <w:pPr>
        <w:pStyle w:val="FootnoteText"/>
      </w:pPr>
      <w:r>
        <w:rPr>
          <w:vertAlign w:val="superscript"/>
        </w:rPr>
        <w:footnoteRef/>
      </w:r>
      <w:r>
        <w:t xml:space="preserve">  This paragraph is a generalization and omits a daunting number of details that a course in non-profit organizations covers.</w:t>
      </w:r>
    </w:p>
  </w:footnote>
  <w:footnote w:id="169">
    <w:p w:rsidR="00FF5E72" w:rsidRDefault="00FF5E72" w:rsidP="00355EF3">
      <w:pPr>
        <w:pStyle w:val="FootnoteText"/>
      </w:pPr>
      <w:r>
        <w:rPr>
          <w:vertAlign w:val="superscript"/>
        </w:rPr>
        <w:footnoteRef/>
      </w:r>
      <w:r>
        <w:t xml:space="preserve">  </w:t>
      </w:r>
      <w:r>
        <w:rPr>
          <w:i/>
        </w:rPr>
        <w:t>Id.</w:t>
      </w:r>
    </w:p>
  </w:footnote>
  <w:footnote w:id="170">
    <w:p w:rsidR="00FF5E72" w:rsidRDefault="00FF5E72" w:rsidP="00355EF3">
      <w:pPr>
        <w:pStyle w:val="FootnoteText"/>
      </w:pPr>
      <w:r>
        <w:rPr>
          <w:vertAlign w:val="superscript"/>
        </w:rPr>
        <w:footnoteRef/>
      </w:r>
      <w:r>
        <w:t xml:space="preserve">  Unlike the exclusion from gross income for interest income derived from state and municipal bonds, the market for “capital gain” property does not drive the price down to reflect the tax ben</w:t>
      </w:r>
      <w:r>
        <w:t>e</w:t>
      </w:r>
      <w:r>
        <w:t>fits of owning such property.</w:t>
      </w:r>
    </w:p>
  </w:footnote>
  <w:footnote w:id="171">
    <w:p w:rsidR="00FF5E72" w:rsidRDefault="00FF5E72">
      <w:pPr>
        <w:pStyle w:val="FootnoteText"/>
      </w:pPr>
      <w:r>
        <w:rPr>
          <w:rStyle w:val="FootnoteReference"/>
        </w:rPr>
        <w:footnoteRef/>
      </w:r>
      <w:r>
        <w:t xml:space="preserve">   The phasedown does not apply to medical expenses, investment interest, losses from transa</w:t>
      </w:r>
      <w:r>
        <w:t>c</w:t>
      </w:r>
      <w:r>
        <w:t xml:space="preserve">tions entered into for profit, casualty losses, or wagering losses.  § 68©. </w:t>
      </w:r>
    </w:p>
  </w:footnote>
  <w:footnote w:id="172">
    <w:p w:rsidR="00FF5E72" w:rsidRDefault="00FF5E72" w:rsidP="00355EF3">
      <w:pPr>
        <w:pStyle w:val="FootnoteText"/>
      </w:pPr>
      <w:r>
        <w:rPr>
          <w:vertAlign w:val="superscript"/>
        </w:rPr>
        <w:footnoteRef/>
      </w:r>
      <w:r>
        <w:t xml:space="preserve">  We defer discussion of some of these presumptions to more advanced courses.  </w:t>
      </w:r>
      <w:r>
        <w:rPr>
          <w:i/>
        </w:rPr>
        <w:t>See</w:t>
      </w:r>
      <w:r>
        <w:t xml:space="preserve"> § 318.</w:t>
      </w:r>
    </w:p>
  </w:footnote>
  <w:footnote w:id="173">
    <w:p w:rsidR="00FF5E72" w:rsidRDefault="00FF5E72" w:rsidP="00355EF3">
      <w:pPr>
        <w:pStyle w:val="FootnoteText"/>
      </w:pPr>
      <w:r>
        <w:rPr>
          <w:vertAlign w:val="superscript"/>
        </w:rPr>
        <w:footnoteRef/>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174">
    <w:p w:rsidR="00FF5E72" w:rsidRDefault="00FF5E72" w:rsidP="00355EF3">
      <w:pPr>
        <w:pStyle w:val="FootnoteText"/>
      </w:pPr>
      <w:r>
        <w:rPr>
          <w:vertAlign w:val="superscript"/>
        </w:rPr>
        <w:footnoteRef/>
      </w:r>
      <w:r>
        <w:t xml:space="preserve">  </w:t>
      </w:r>
      <w:r w:rsidRPr="00AE5B0B">
        <w:t>Farid-es-Sultaneh</w:t>
      </w:r>
      <w:r>
        <w:t xml:space="preserve"> examined some of these same questions in the pre-marriage context.</w:t>
      </w:r>
    </w:p>
  </w:footnote>
  <w:footnote w:id="175">
    <w:p w:rsidR="00FF5E72" w:rsidRDefault="00FF5E72" w:rsidP="00355EF3">
      <w:pPr>
        <w:pStyle w:val="FootnoteText"/>
      </w:pPr>
      <w:r>
        <w:rPr>
          <w:vertAlign w:val="superscript"/>
        </w:rPr>
        <w:footnoteRef/>
      </w:r>
      <w:r>
        <w:t xml:space="preserve">  The holding in the instant case is in accord with </w:t>
      </w:r>
      <w:r w:rsidRPr="00AE5B0B">
        <w:t>Commissioner v. Marshman</w:t>
      </w:r>
      <w:r>
        <w:t xml:space="preserve">, 279 F.2d 27 (CA6 1960), but is contra to the holdings in </w:t>
      </w:r>
      <w:r w:rsidRPr="00AE5B0B">
        <w:t>Commissioner v. Halliwell</w:t>
      </w:r>
      <w:r>
        <w:t xml:space="preserve">, 131 F.2d 642 (CA2 1942), and </w:t>
      </w:r>
      <w:r w:rsidRPr="00AE5B0B">
        <w:t>Commissioner v. Mesta</w:t>
      </w:r>
      <w:r>
        <w:t>, 123 F.2d 986 (CA3 1941).</w:t>
      </w:r>
    </w:p>
  </w:footnote>
  <w:footnote w:id="176">
    <w:p w:rsidR="00FF5E72" w:rsidRDefault="00FF5E72" w:rsidP="00355EF3">
      <w:pPr>
        <w:pStyle w:val="FootnoteText"/>
      </w:pPr>
      <w:r>
        <w:rPr>
          <w:vertAlign w:val="superscript"/>
        </w:rPr>
        <w:footnoteRef/>
      </w:r>
      <w:r>
        <w:t xml:space="preserve">  This is not synonymous with “simple.”</w:t>
      </w:r>
    </w:p>
  </w:footnote>
  <w:footnote w:id="177">
    <w:p w:rsidR="00FF5E72" w:rsidRDefault="00FF5E72" w:rsidP="00355EF3">
      <w:pPr>
        <w:pStyle w:val="FootnoteText"/>
      </w:pPr>
      <w:r>
        <w:rPr>
          <w:vertAlign w:val="superscript"/>
        </w:rPr>
        <w:footnoteRef/>
      </w:r>
      <w:r>
        <w:t xml:space="preserve">  “§ 22. Gross income * * * (k) Alimony, etc., Income. In the case of a wife who is divorced or legally separated from her husband under a decree of divorce or of separate maintenance, periodic payments (whether or not made at regular intervals) received subsequent to such decree in discharge of, or attributable to property transferred (in trust or otherwise) in discharge of, a legal obligation which, because of the marital or family relationship, is imposed upon or incurred by such husband under such decree or under a written instrument incident to such divorce or separation shall be i</w:t>
      </w:r>
      <w:r>
        <w:t>n</w:t>
      </w:r>
      <w:r>
        <w:t>cludible in the gross income of such wife, and such amounts received as are attributable to property so transferred shall not be includible in the gross income of such husband. This subsection shall not apply to that part of any such periodic payment which the terms of the decree or written instrument fix, in terms of an amount of money or a portion of the payment, as a sum which is payable for the support of minor children of such husband * * *”</w:t>
      </w:r>
    </w:p>
    <w:p w:rsidR="00FF5E72" w:rsidRDefault="00FF5E72" w:rsidP="00355EF3">
      <w:pPr>
        <w:pStyle w:val="FootnoteText"/>
      </w:pPr>
      <w:r>
        <w:t>“§ 23. Deductions from gross income. In computing net income there shall be allowed as dedu</w:t>
      </w:r>
      <w:r>
        <w:t>c</w:t>
      </w:r>
      <w:r>
        <w:t>tions: * * * (u) Alimony, etc., payments. In the case of a husband described in § 22(k), amounts i</w:t>
      </w:r>
      <w:r>
        <w:t>n</w:t>
      </w:r>
      <w:r>
        <w:t>cludible under § 22(k) in the gross income of his wife, payment of which is made within the hu</w:t>
      </w:r>
      <w:r>
        <w:t>s</w:t>
      </w:r>
      <w:r>
        <w:t>band’s taxable year....”</w:t>
      </w:r>
    </w:p>
  </w:footnote>
  <w:footnote w:id="178">
    <w:p w:rsidR="00FF5E72" w:rsidRDefault="00FF5E72" w:rsidP="00355EF3">
      <w:pPr>
        <w:pStyle w:val="FootnoteText"/>
      </w:pPr>
      <w:r>
        <w:rPr>
          <w:vertAlign w:val="superscript"/>
        </w:rPr>
        <w:footnoteRef/>
      </w:r>
      <w:r>
        <w:t xml:space="preserve">  The Commissioner urges upon the court the argument that the taxpayer stood in loco parentis to William after as well as before the divorce and separation, and that, therefore, the payments in que</w:t>
      </w:r>
      <w:r>
        <w:t>s</w:t>
      </w:r>
      <w:r>
        <w:t xml:space="preserve">tion for William’s support were fixed ‘for the support of minor children of such husband. * * *’ This argument is without merit. One has no continuing obligation to support a stepchild to whom he stands </w:t>
      </w:r>
      <w:r w:rsidRPr="002B4BCC">
        <w:rPr>
          <w:i/>
        </w:rPr>
        <w:t>in loco parentis</w:t>
      </w:r>
      <w:r>
        <w:t xml:space="preserve">. 67 </w:t>
      </w:r>
      <w:r>
        <w:rPr>
          <w:smallCaps/>
        </w:rPr>
        <w:t>C.J.S</w:t>
      </w:r>
      <w:r>
        <w:t xml:space="preserve">. </w:t>
      </w:r>
      <w:r>
        <w:rPr>
          <w:i/>
        </w:rPr>
        <w:t xml:space="preserve">Parent and Child </w:t>
      </w:r>
      <w:r>
        <w:t xml:space="preserve">1950, § 80; </w:t>
      </w:r>
      <w:r w:rsidRPr="00BE394F">
        <w:t>Schneider v. Schneider</w:t>
      </w:r>
      <w:r>
        <w:t>, Ch., 1947, 25 N.J.Misc. 180, 52 A.2d 564.</w:t>
      </w:r>
    </w:p>
  </w:footnote>
  <w:footnote w:id="179">
    <w:p w:rsidR="00FF5E72" w:rsidRDefault="00FF5E72" w:rsidP="00355EF3">
      <w:pPr>
        <w:pStyle w:val="FootnoteText"/>
      </w:pPr>
      <w:r>
        <w:rPr>
          <w:vertAlign w:val="superscript"/>
        </w:rPr>
        <w:footnoteRef/>
      </w:r>
      <w:r>
        <w:t xml:space="preserve">  We may assume for the moment that Ada had such a legal obligation. </w:t>
      </w:r>
      <w:r w:rsidRPr="008A344F">
        <w:t>Hippodrome Building Co. v. Irving Trust Co.</w:t>
      </w:r>
      <w:r>
        <w:t>, 2 Cir., 1937, 91 F.2d 753.</w:t>
      </w:r>
    </w:p>
  </w:footnote>
  <w:footnote w:id="180">
    <w:p w:rsidR="00FF5E72" w:rsidRDefault="00FF5E72" w:rsidP="00355EF3">
      <w:pPr>
        <w:pStyle w:val="FootnoteText"/>
      </w:pPr>
      <w:r>
        <w:rPr>
          <w:vertAlign w:val="superscript"/>
        </w:rPr>
        <w:footnoteRef/>
      </w:r>
      <w:r>
        <w:t xml:space="preserve">  </w:t>
      </w:r>
      <w:r>
        <w:rPr>
          <w:i/>
        </w:rPr>
        <w:t>See also</w:t>
      </w:r>
      <w:r>
        <w:t xml:space="preserve"> Treasury Regulations § 118, 39.22(k)-1(d): ‘Except in cases of a designated amount or portion for the support of the husband’s minor children, periodic payments described in § 22(k) received by the wife for herself and any other person or persons are includible in whole in the wife’s income, whether or not the amount or portion for such other person or persons is designated.’</w:t>
      </w:r>
    </w:p>
  </w:footnote>
  <w:footnote w:id="181">
    <w:p w:rsidR="00FF5E72" w:rsidRDefault="00FF5E72" w:rsidP="00355EF3">
      <w:pPr>
        <w:pStyle w:val="FootnoteText"/>
      </w:pPr>
      <w:r>
        <w:rPr>
          <w:vertAlign w:val="superscript"/>
        </w:rPr>
        <w:footnoteRef/>
      </w:r>
      <w:r>
        <w:t xml:space="preserve">  The Tax Court states: ‘The only significant factual difference which distinguishes </w:t>
      </w:r>
      <w:r w:rsidRPr="00927F65">
        <w:t>Leon Mandel</w:t>
      </w:r>
      <w:r>
        <w:t xml:space="preserve">, </w:t>
      </w:r>
      <w:r>
        <w:rPr>
          <w:i/>
        </w:rPr>
        <w:t>supra</w:t>
      </w:r>
      <w:r>
        <w:t xml:space="preserve">, (23 T.C. 81, </w:t>
      </w:r>
      <w:r>
        <w:rPr>
          <w:i/>
        </w:rPr>
        <w:t>aff’d</w:t>
      </w:r>
      <w:r>
        <w:t xml:space="preserve"> (7 Cir., 1956, 229 F.2d 382) from the instant case is the designation of the ultimate payee. The substantive distinction is that whereas in the instant case petitioner’s former wife, Ada, owed a legal obligation to support her minor son, William, in the </w:t>
      </w:r>
      <w:r w:rsidRPr="00927F65">
        <w:t>Mandel</w:t>
      </w:r>
      <w:r>
        <w:t xml:space="preserve"> case the hu</w:t>
      </w:r>
      <w:r>
        <w:t>s</w:t>
      </w:r>
      <w:r>
        <w:t xml:space="preserve">band’s former wife owed no obligation to support her adult children. This distinction was pointed out by the Court of Appeals in the </w:t>
      </w:r>
      <w:r w:rsidRPr="00927F65">
        <w:t>Mandel</w:t>
      </w:r>
      <w:r>
        <w:t xml:space="preserve"> case as follows: ‘No legal obligation to support the chi</w:t>
      </w:r>
      <w:r>
        <w:t>l</w:t>
      </w:r>
      <w:r>
        <w:t>dren after they arrived at their majority was imposed upon *** (the wife). The payments in contr</w:t>
      </w:r>
      <w:r>
        <w:t>o</w:t>
      </w:r>
      <w:r>
        <w:t>versy made to her thereafter were for and on their behalf and represented no economic or financial gain or benefit to her. We conclude that they were not includible in her gross income under 22(k). ***”</w:t>
      </w:r>
    </w:p>
  </w:footnote>
  <w:footnote w:id="182">
    <w:p w:rsidR="00FF5E72" w:rsidRDefault="00FF5E72" w:rsidP="00355EF3">
      <w:pPr>
        <w:pStyle w:val="FootnoteText"/>
      </w:pPr>
      <w:r>
        <w:rPr>
          <w:vertAlign w:val="superscript"/>
        </w:rPr>
        <w:footnoteRef/>
      </w:r>
      <w:r>
        <w:t xml:space="preserve">  The tax rate in 1939 was 18 percent; in 1940, 24 percent.</w:t>
      </w:r>
    </w:p>
  </w:footnote>
  <w:footnote w:id="183">
    <w:p w:rsidR="00FF5E72" w:rsidRDefault="00FF5E72" w:rsidP="00355EF3">
      <w:pPr>
        <w:pStyle w:val="FootnoteText"/>
      </w:pPr>
      <w:r>
        <w:rPr>
          <w:vertAlign w:val="superscript"/>
        </w:rPr>
        <w:footnoteRef/>
      </w:r>
      <w:r>
        <w:t xml:space="preserve">  The rationale which supports the principle, as well as its limitation, is that the property, having once served to offset taxable income (i.e., as a tax deduction) should be treated, upon its recou</w:t>
      </w:r>
      <w:r>
        <w:t>p</w:t>
      </w:r>
      <w:r>
        <w:t xml:space="preserve">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184">
    <w:p w:rsidR="00FF5E72" w:rsidRDefault="00FF5E72" w:rsidP="00355EF3">
      <w:pPr>
        <w:pStyle w:val="FootnoteText"/>
      </w:pPr>
      <w:r>
        <w:rPr>
          <w:vertAlign w:val="superscript"/>
        </w:rPr>
        <w:footnoteRef/>
      </w:r>
      <w:r>
        <w:t xml:space="preserve">  This opinion represents the views of the majority and complies with existing law and decisions. However, in the writer’s personal opinion, it produces a harsh and inequitable result. Perhaps, it e</w:t>
      </w:r>
      <w:r>
        <w:t>x</w:t>
      </w:r>
      <w:r>
        <w:t>emplifies a situation “where the letter of the law killeth; the spirit giveth life.” The tax-benefit co</w:t>
      </w:r>
      <w:r>
        <w:t>n</w:t>
      </w:r>
      <w:r>
        <w:t>cept is an equitable doctrine which should be carried to an equitable conclusion. Since it is the d</w:t>
      </w:r>
      <w:r>
        <w:t>e</w:t>
      </w:r>
      <w:r>
        <w:t>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185">
    <w:p w:rsidR="00FF5E72" w:rsidRDefault="00FF5E72" w:rsidP="00355EF3">
      <w:pPr>
        <w:pStyle w:val="FootnoteText"/>
      </w:pPr>
      <w:r>
        <w:rPr>
          <w:vertAlign w:val="superscript"/>
        </w:rPr>
        <w:footnoteRef/>
      </w:r>
      <w:r>
        <w:t xml:space="preserve">  The installment method does not apply to recognition of losses.</w:t>
      </w:r>
    </w:p>
  </w:footnote>
  <w:footnote w:id="186">
    <w:p w:rsidR="00FF5E72" w:rsidRDefault="00FF5E72" w:rsidP="00355EF3">
      <w:pPr>
        <w:pStyle w:val="FootnoteText"/>
      </w:pPr>
      <w:r>
        <w:rPr>
          <w:vertAlign w:val="superscript"/>
        </w:rPr>
        <w:footnoteRef/>
      </w:r>
      <w:r>
        <w:t xml:space="preserve"> ... as opposed to a Roth IRA.</w:t>
      </w:r>
    </w:p>
  </w:footnote>
  <w:footnote w:id="187">
    <w:p w:rsidR="00FF5E72" w:rsidRDefault="00FF5E72" w:rsidP="00355EF3">
      <w:pPr>
        <w:pStyle w:val="FootnoteText"/>
      </w:pPr>
      <w:r>
        <w:rPr>
          <w:vertAlign w:val="superscript"/>
        </w:rPr>
        <w:footnoteRef/>
      </w:r>
      <w:r>
        <w:t xml:space="preserve"> ... defined in § 223(d)(2)(A).</w:t>
      </w:r>
    </w:p>
  </w:footnote>
  <w:footnote w:id="188">
    <w:p w:rsidR="00FF5E72" w:rsidRDefault="00FF5E72" w:rsidP="00355EF3">
      <w:pPr>
        <w:pStyle w:val="FootnoteText"/>
      </w:pPr>
      <w:r>
        <w:rPr>
          <w:vertAlign w:val="superscript"/>
        </w:rPr>
        <w:footnoteRef/>
      </w:r>
      <w:r>
        <w:t xml:space="preserve">  A “future” entitles the holder to purchase the commodity in the future for a fixed price.</w:t>
      </w:r>
    </w:p>
  </w:footnote>
  <w:footnote w:id="189">
    <w:p w:rsidR="00FF5E72" w:rsidRDefault="00FF5E72" w:rsidP="00355EF3">
      <w:pPr>
        <w:pStyle w:val="FootnoteText"/>
      </w:pPr>
      <w:r>
        <w:rPr>
          <w:vertAlign w:val="superscript"/>
        </w:rPr>
        <w:footnoteRef/>
      </w:r>
      <w:r>
        <w:t xml:space="preserve">  One year is not more than one year.</w:t>
      </w:r>
    </w:p>
  </w:footnote>
  <w:footnote w:id="190">
    <w:p w:rsidR="00FF5E72" w:rsidRDefault="00FF5E72" w:rsidP="00355EF3">
      <w:pPr>
        <w:pStyle w:val="FootnoteText"/>
      </w:pPr>
      <w:r>
        <w:rPr>
          <w:vertAlign w:val="superscript"/>
        </w:rPr>
        <w:footnoteRef/>
      </w:r>
      <w:r>
        <w:t xml:space="preserve">  We defer altogether the definition of “capital gain net income.”</w:t>
      </w:r>
    </w:p>
  </w:footnote>
  <w:footnote w:id="191">
    <w:p w:rsidR="00FF5E72" w:rsidRDefault="00FF5E72" w:rsidP="00355EF3">
      <w:pPr>
        <w:pStyle w:val="FootnoteText"/>
      </w:pPr>
      <w:r>
        <w:rPr>
          <w:vertAlign w:val="superscript"/>
        </w:rPr>
        <w:footnoteRef/>
      </w:r>
      <w:r>
        <w:t xml:space="preserve">  A corporation may claim losses from the sale or exchange of capital assets only to the extent of its capital gains.  § 1211(a).</w:t>
      </w:r>
    </w:p>
  </w:footnote>
  <w:footnote w:id="192">
    <w:p w:rsidR="00FF5E72" w:rsidRDefault="00FF5E72" w:rsidP="00355EF3">
      <w:pPr>
        <w:pStyle w:val="FootnoteText"/>
      </w:pPr>
      <w:r>
        <w:rPr>
          <w:vertAlign w:val="superscript"/>
        </w:rPr>
        <w:footnoteRef/>
      </w:r>
      <w:r>
        <w:t xml:space="preserve">   “Adjusted taxable income” equals: (taxable income) + (§ 1211(b) deduction) + (personal exem</w:t>
      </w:r>
      <w:r>
        <w:t>p</w:t>
      </w:r>
      <w:r>
        <w:t>tion deductions) − ((deductions allowed) − (gross income) [but not less than $0]).  § 1212(b)(2)(B).</w:t>
      </w:r>
    </w:p>
  </w:footnote>
  <w:footnote w:id="193">
    <w:p w:rsidR="00FF5E72" w:rsidRDefault="00FF5E72" w:rsidP="00355EF3">
      <w:pPr>
        <w:pStyle w:val="FootnoteText"/>
      </w:pPr>
      <w:r>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194">
    <w:p w:rsidR="00FF5E72" w:rsidRDefault="00FF5E72" w:rsidP="00355EF3">
      <w:pPr>
        <w:pStyle w:val="FootnoteText"/>
      </w:pPr>
      <w:r>
        <w:rPr>
          <w:vertAlign w:val="superscript"/>
        </w:rPr>
        <w:footnoteRef/>
      </w:r>
      <w:r>
        <w:t xml:space="preserve">  Section 11 imposes income taxes on corporations.</w:t>
      </w:r>
    </w:p>
  </w:footnote>
  <w:footnote w:id="195">
    <w:p w:rsidR="00FF5E72" w:rsidRDefault="00FF5E72" w:rsidP="00355EF3">
      <w:pPr>
        <w:pStyle w:val="FootnoteText"/>
      </w:pPr>
      <w:r>
        <w:rPr>
          <w:vertAlign w:val="superscript"/>
        </w:rPr>
        <w:footnoteRef/>
      </w:r>
      <w:r>
        <w:t xml:space="preserve"> ... and estates and trusts.</w:t>
      </w:r>
    </w:p>
  </w:footnote>
  <w:footnote w:id="196">
    <w:p w:rsidR="00FF5E72" w:rsidRDefault="00FF5E72">
      <w:pPr>
        <w:pStyle w:val="FootnoteText"/>
      </w:pPr>
      <w:r>
        <w:rPr>
          <w:rStyle w:val="FootnoteReference"/>
        </w:rPr>
        <w:footnoteRef/>
      </w:r>
      <w:r>
        <w:t xml:space="preserve">   I.e., those taxpayers whose modified adjusted gross income exceeds $250,000 in the case of ta</w:t>
      </w:r>
      <w:r>
        <w:t>x</w:t>
      </w:r>
      <w:r>
        <w:t xml:space="preserve">payers married filing jointly, half that amount in the case of married taxpayers filing separately, and $200,000 in the case of all other taxpayers – to the extent of hte4 excess.  § 1411(b).  </w:t>
      </w:r>
    </w:p>
  </w:footnote>
  <w:footnote w:id="197">
    <w:p w:rsidR="00FF5E72" w:rsidRDefault="00FF5E72" w:rsidP="00355EF3">
      <w:pPr>
        <w:pStyle w:val="FootnoteText"/>
      </w:pPr>
      <w:r>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198">
    <w:p w:rsidR="00FF5E72" w:rsidRDefault="00FF5E72" w:rsidP="00355EF3">
      <w:pPr>
        <w:pStyle w:val="FootnoteText"/>
      </w:pPr>
      <w:r>
        <w:rPr>
          <w:vertAlign w:val="superscript"/>
        </w:rPr>
        <w:footnoteRef/>
      </w:r>
      <w:r>
        <w:t xml:space="preserve"> ... as modified in § 1(</w:t>
      </w:r>
      <w:r>
        <w:rPr>
          <w:i/>
        </w:rPr>
        <w:t>i</w:t>
      </w:r>
      <w:r>
        <w:t xml:space="preserve">) and as indexed for inflation, </w:t>
      </w:r>
      <w:r>
        <w:rPr>
          <w:i/>
        </w:rPr>
        <w:t>id</w:t>
      </w:r>
      <w:r>
        <w:t>.</w:t>
      </w:r>
    </w:p>
  </w:footnote>
  <w:footnote w:id="199">
    <w:p w:rsidR="00FF5E72" w:rsidRDefault="00FF5E72" w:rsidP="00355EF3">
      <w:pPr>
        <w:pStyle w:val="FootnoteText"/>
      </w:pPr>
      <w:r>
        <w:rPr>
          <w:vertAlign w:val="superscript"/>
        </w:rPr>
        <w:footnoteRef/>
      </w:r>
      <w:r>
        <w:t xml:space="preserve">  Taxpayers could engage in such systematic mismatching prior to 1962.</w:t>
      </w:r>
    </w:p>
  </w:footnote>
  <w:footnote w:id="200">
    <w:p w:rsidR="00FF5E72" w:rsidRDefault="00FF5E72" w:rsidP="00355EF3">
      <w:pPr>
        <w:pStyle w:val="FootnoteText"/>
      </w:pPr>
      <w:r>
        <w:rPr>
          <w:vertAlign w:val="superscript"/>
        </w:rPr>
        <w:footnoteRef/>
      </w:r>
      <w:r>
        <w:t xml:space="preserve">  Congress enacted § 1245 in 1962.  Revenue Act of 1962, P.L. 87-834, § 13(a).</w:t>
      </w:r>
    </w:p>
  </w:footnote>
  <w:footnote w:id="201">
    <w:p w:rsidR="00FF5E72" w:rsidRDefault="00FF5E72" w:rsidP="00355EF3">
      <w:pPr>
        <w:pStyle w:val="FootnoteText"/>
      </w:pPr>
      <w:r>
        <w:rPr>
          <w:vertAlign w:val="superscript"/>
        </w:rPr>
        <w:footnoteRef/>
      </w:r>
      <w:r>
        <w:t xml:space="preserve">  Congress enacted § 1250 in 1964.  Revenue Act of 1964, P.L. 88-272, § 231(a).</w:t>
      </w:r>
    </w:p>
  </w:footnote>
  <w:footnote w:id="202">
    <w:p w:rsidR="00FF5E72" w:rsidRDefault="00FF5E72" w:rsidP="00355EF3">
      <w:pPr>
        <w:pStyle w:val="FootnoteText"/>
      </w:pPr>
      <w:r>
        <w:rPr>
          <w:vertAlign w:val="superscript"/>
        </w:rPr>
        <w:footnoteRef/>
      </w:r>
      <w:r>
        <w:t xml:space="preserve">  “Disposition” is a broader term than “sale” or “exchange.”  A corporation that distributes pro</w:t>
      </w:r>
      <w:r>
        <w:t>p</w:t>
      </w:r>
      <w:r>
        <w:t>erty to a shareholder has not sold or exchanged it, but has disposed of it.  Such a disposition triggers a tax on the gain computed as if the corporation had sold the property to the shareholder.  § 311(b).  Some or all of that gain might be depreciation recapture.</w:t>
      </w:r>
    </w:p>
  </w:footnote>
  <w:footnote w:id="203">
    <w:p w:rsidR="00FF5E72" w:rsidRDefault="00FF5E72" w:rsidP="00355EF3">
      <w:pPr>
        <w:pStyle w:val="FootnoteText"/>
      </w:pPr>
      <w:r>
        <w:rPr>
          <w:vertAlign w:val="superscript"/>
        </w:rPr>
        <w:footnoteRef/>
      </w:r>
      <w:r>
        <w:t xml:space="preserve">  Actually, if the disposition is other than by sale, exchange, or involuntary conversion, gain taxable as ordinary income is measured by subtracting adjusted basis from the lesser of recomputed basis or the fmv of the property.  § 1245(a)(1).</w:t>
      </w:r>
    </w:p>
  </w:footnote>
  <w:footnote w:id="204">
    <w:p w:rsidR="00FF5E72" w:rsidRDefault="00FF5E72" w:rsidP="00355EF3">
      <w:pPr>
        <w:pStyle w:val="FootnoteText"/>
      </w:pPr>
      <w:r>
        <w:rPr>
          <w:vertAlign w:val="superscript"/>
        </w:rPr>
        <w:footnoteRef/>
      </w:r>
      <w:r>
        <w:t xml:space="preserve">  This would include cases where section 1231 gains equal section 1231 losses.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E72" w:rsidRDefault="00FF5E72">
    <w:pPr>
      <w:widowControl w:val="0"/>
      <w:tabs>
        <w:tab w:val="left" w:pos="0"/>
        <w:tab w:val="left" w:pos="720"/>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1"/>
  </w:num>
  <w:num w:numId="4">
    <w:abstractNumId w:val="2"/>
  </w:num>
  <w:num w:numId="5">
    <w:abstractNumId w:val="5"/>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3D"/>
    <w:rsid w:val="00001F55"/>
    <w:rsid w:val="000045A4"/>
    <w:rsid w:val="00006292"/>
    <w:rsid w:val="000120AA"/>
    <w:rsid w:val="0002118A"/>
    <w:rsid w:val="0002699D"/>
    <w:rsid w:val="00034A5F"/>
    <w:rsid w:val="00045AAE"/>
    <w:rsid w:val="00050550"/>
    <w:rsid w:val="00053AC0"/>
    <w:rsid w:val="00054673"/>
    <w:rsid w:val="0006151D"/>
    <w:rsid w:val="00080EEC"/>
    <w:rsid w:val="00087633"/>
    <w:rsid w:val="000934B8"/>
    <w:rsid w:val="000977F2"/>
    <w:rsid w:val="000A1084"/>
    <w:rsid w:val="000A1DA1"/>
    <w:rsid w:val="000A61A5"/>
    <w:rsid w:val="000B35E2"/>
    <w:rsid w:val="000C4BD3"/>
    <w:rsid w:val="000C76AE"/>
    <w:rsid w:val="000D1EBE"/>
    <w:rsid w:val="000D5191"/>
    <w:rsid w:val="000D7DBB"/>
    <w:rsid w:val="000F1FEF"/>
    <w:rsid w:val="000F260F"/>
    <w:rsid w:val="000F2BAE"/>
    <w:rsid w:val="000F4C0B"/>
    <w:rsid w:val="00102228"/>
    <w:rsid w:val="00111C5E"/>
    <w:rsid w:val="00113770"/>
    <w:rsid w:val="00115952"/>
    <w:rsid w:val="00131D2D"/>
    <w:rsid w:val="00133EAA"/>
    <w:rsid w:val="00136963"/>
    <w:rsid w:val="00137A78"/>
    <w:rsid w:val="00142FCE"/>
    <w:rsid w:val="00151F95"/>
    <w:rsid w:val="00164337"/>
    <w:rsid w:val="0016734C"/>
    <w:rsid w:val="001673CA"/>
    <w:rsid w:val="0018464D"/>
    <w:rsid w:val="00186311"/>
    <w:rsid w:val="001875FB"/>
    <w:rsid w:val="00194930"/>
    <w:rsid w:val="001A503F"/>
    <w:rsid w:val="001B1B0A"/>
    <w:rsid w:val="001B36BC"/>
    <w:rsid w:val="001B38FA"/>
    <w:rsid w:val="001B6356"/>
    <w:rsid w:val="001D067E"/>
    <w:rsid w:val="001D2027"/>
    <w:rsid w:val="001D28DF"/>
    <w:rsid w:val="001D4B9B"/>
    <w:rsid w:val="001D7909"/>
    <w:rsid w:val="001E347C"/>
    <w:rsid w:val="001F74BE"/>
    <w:rsid w:val="00200DAD"/>
    <w:rsid w:val="00207C1C"/>
    <w:rsid w:val="0021528C"/>
    <w:rsid w:val="00237ABA"/>
    <w:rsid w:val="00246B58"/>
    <w:rsid w:val="002471C6"/>
    <w:rsid w:val="0025177E"/>
    <w:rsid w:val="0025461B"/>
    <w:rsid w:val="00267B65"/>
    <w:rsid w:val="002727E0"/>
    <w:rsid w:val="002747E2"/>
    <w:rsid w:val="00276AF7"/>
    <w:rsid w:val="00281C40"/>
    <w:rsid w:val="0028396B"/>
    <w:rsid w:val="00284DD9"/>
    <w:rsid w:val="0029117B"/>
    <w:rsid w:val="0029301F"/>
    <w:rsid w:val="00297B43"/>
    <w:rsid w:val="002B0045"/>
    <w:rsid w:val="002B4BCC"/>
    <w:rsid w:val="002B6A05"/>
    <w:rsid w:val="002C3AED"/>
    <w:rsid w:val="002D7AFD"/>
    <w:rsid w:val="002E18A4"/>
    <w:rsid w:val="002E2863"/>
    <w:rsid w:val="002E5BED"/>
    <w:rsid w:val="002F2E43"/>
    <w:rsid w:val="002F35E7"/>
    <w:rsid w:val="002F7902"/>
    <w:rsid w:val="003121EA"/>
    <w:rsid w:val="00315492"/>
    <w:rsid w:val="00321DB3"/>
    <w:rsid w:val="00322F11"/>
    <w:rsid w:val="003300C0"/>
    <w:rsid w:val="00331892"/>
    <w:rsid w:val="00333C58"/>
    <w:rsid w:val="00335266"/>
    <w:rsid w:val="00335B4F"/>
    <w:rsid w:val="00340284"/>
    <w:rsid w:val="00343775"/>
    <w:rsid w:val="00344E08"/>
    <w:rsid w:val="00345CA3"/>
    <w:rsid w:val="00347645"/>
    <w:rsid w:val="00351526"/>
    <w:rsid w:val="003519A1"/>
    <w:rsid w:val="00355006"/>
    <w:rsid w:val="00355EF3"/>
    <w:rsid w:val="003562DA"/>
    <w:rsid w:val="003577F3"/>
    <w:rsid w:val="00363F68"/>
    <w:rsid w:val="0036550B"/>
    <w:rsid w:val="00371AC1"/>
    <w:rsid w:val="0037524D"/>
    <w:rsid w:val="0037779E"/>
    <w:rsid w:val="003812B2"/>
    <w:rsid w:val="00396B5D"/>
    <w:rsid w:val="003A27C5"/>
    <w:rsid w:val="003A5099"/>
    <w:rsid w:val="003A57AB"/>
    <w:rsid w:val="003B0866"/>
    <w:rsid w:val="003B4116"/>
    <w:rsid w:val="003B4B5B"/>
    <w:rsid w:val="003B683D"/>
    <w:rsid w:val="003B68FB"/>
    <w:rsid w:val="003C07D8"/>
    <w:rsid w:val="003C2A49"/>
    <w:rsid w:val="003C7A52"/>
    <w:rsid w:val="003D5348"/>
    <w:rsid w:val="003D76C4"/>
    <w:rsid w:val="003E5633"/>
    <w:rsid w:val="003F1D90"/>
    <w:rsid w:val="003F2BF5"/>
    <w:rsid w:val="004020EF"/>
    <w:rsid w:val="0041139C"/>
    <w:rsid w:val="00414165"/>
    <w:rsid w:val="00415191"/>
    <w:rsid w:val="00423A02"/>
    <w:rsid w:val="00424555"/>
    <w:rsid w:val="00424AF0"/>
    <w:rsid w:val="0044345A"/>
    <w:rsid w:val="004542E3"/>
    <w:rsid w:val="00457398"/>
    <w:rsid w:val="00457B5A"/>
    <w:rsid w:val="00463256"/>
    <w:rsid w:val="00463436"/>
    <w:rsid w:val="00466310"/>
    <w:rsid w:val="00470C52"/>
    <w:rsid w:val="00475E2D"/>
    <w:rsid w:val="00484C56"/>
    <w:rsid w:val="00485D9D"/>
    <w:rsid w:val="00487CF5"/>
    <w:rsid w:val="0049128E"/>
    <w:rsid w:val="004A0A4C"/>
    <w:rsid w:val="004A1029"/>
    <w:rsid w:val="004A2817"/>
    <w:rsid w:val="004A384F"/>
    <w:rsid w:val="004A4C3F"/>
    <w:rsid w:val="004A761B"/>
    <w:rsid w:val="004B30B5"/>
    <w:rsid w:val="004C3895"/>
    <w:rsid w:val="004F0B0E"/>
    <w:rsid w:val="004F0BA2"/>
    <w:rsid w:val="0051042E"/>
    <w:rsid w:val="005207DC"/>
    <w:rsid w:val="00524801"/>
    <w:rsid w:val="00524AFA"/>
    <w:rsid w:val="005269CC"/>
    <w:rsid w:val="00531FDB"/>
    <w:rsid w:val="00534D6A"/>
    <w:rsid w:val="005352FB"/>
    <w:rsid w:val="00540D2C"/>
    <w:rsid w:val="00546324"/>
    <w:rsid w:val="00555413"/>
    <w:rsid w:val="00561690"/>
    <w:rsid w:val="00562CED"/>
    <w:rsid w:val="00565619"/>
    <w:rsid w:val="00567B84"/>
    <w:rsid w:val="00574752"/>
    <w:rsid w:val="00576ED7"/>
    <w:rsid w:val="00577756"/>
    <w:rsid w:val="0058048D"/>
    <w:rsid w:val="0058241C"/>
    <w:rsid w:val="0059424E"/>
    <w:rsid w:val="00594F64"/>
    <w:rsid w:val="00596917"/>
    <w:rsid w:val="005B4301"/>
    <w:rsid w:val="005C3126"/>
    <w:rsid w:val="005C3238"/>
    <w:rsid w:val="005C5823"/>
    <w:rsid w:val="005C62E0"/>
    <w:rsid w:val="005D54A9"/>
    <w:rsid w:val="005D7981"/>
    <w:rsid w:val="005F6B8F"/>
    <w:rsid w:val="00607DB4"/>
    <w:rsid w:val="00617AF3"/>
    <w:rsid w:val="0062119F"/>
    <w:rsid w:val="006269B6"/>
    <w:rsid w:val="006311B3"/>
    <w:rsid w:val="006418CC"/>
    <w:rsid w:val="00644F47"/>
    <w:rsid w:val="00646716"/>
    <w:rsid w:val="00653112"/>
    <w:rsid w:val="00665B70"/>
    <w:rsid w:val="00671A66"/>
    <w:rsid w:val="006722C4"/>
    <w:rsid w:val="00681912"/>
    <w:rsid w:val="00691A90"/>
    <w:rsid w:val="006A4724"/>
    <w:rsid w:val="006A53CF"/>
    <w:rsid w:val="006B4240"/>
    <w:rsid w:val="006C4C54"/>
    <w:rsid w:val="006C5788"/>
    <w:rsid w:val="006C651E"/>
    <w:rsid w:val="006D1B45"/>
    <w:rsid w:val="006D215E"/>
    <w:rsid w:val="006D4840"/>
    <w:rsid w:val="006E01AE"/>
    <w:rsid w:val="006E0857"/>
    <w:rsid w:val="006E1EB7"/>
    <w:rsid w:val="006E46C0"/>
    <w:rsid w:val="006E49F6"/>
    <w:rsid w:val="006E50D9"/>
    <w:rsid w:val="006F4151"/>
    <w:rsid w:val="006F4B0C"/>
    <w:rsid w:val="0070015D"/>
    <w:rsid w:val="00703E49"/>
    <w:rsid w:val="007057D0"/>
    <w:rsid w:val="007064D0"/>
    <w:rsid w:val="00707AEE"/>
    <w:rsid w:val="0071310C"/>
    <w:rsid w:val="007164B2"/>
    <w:rsid w:val="007210FC"/>
    <w:rsid w:val="007241AF"/>
    <w:rsid w:val="00727F69"/>
    <w:rsid w:val="00730724"/>
    <w:rsid w:val="0073605F"/>
    <w:rsid w:val="00743A8B"/>
    <w:rsid w:val="00751BF5"/>
    <w:rsid w:val="00754541"/>
    <w:rsid w:val="007565DC"/>
    <w:rsid w:val="00756757"/>
    <w:rsid w:val="007609D5"/>
    <w:rsid w:val="007755B9"/>
    <w:rsid w:val="00777AB0"/>
    <w:rsid w:val="00777BA7"/>
    <w:rsid w:val="007807DB"/>
    <w:rsid w:val="00781C79"/>
    <w:rsid w:val="0078443D"/>
    <w:rsid w:val="00792BF7"/>
    <w:rsid w:val="007940EE"/>
    <w:rsid w:val="00795804"/>
    <w:rsid w:val="007A286C"/>
    <w:rsid w:val="007B0584"/>
    <w:rsid w:val="007B22D5"/>
    <w:rsid w:val="007B3171"/>
    <w:rsid w:val="007C62B2"/>
    <w:rsid w:val="007D48D0"/>
    <w:rsid w:val="007D7D74"/>
    <w:rsid w:val="007E2BB1"/>
    <w:rsid w:val="007E6C15"/>
    <w:rsid w:val="007F322C"/>
    <w:rsid w:val="007F4FA2"/>
    <w:rsid w:val="0080289C"/>
    <w:rsid w:val="00807357"/>
    <w:rsid w:val="00807AAA"/>
    <w:rsid w:val="00810285"/>
    <w:rsid w:val="00816DFE"/>
    <w:rsid w:val="00816F85"/>
    <w:rsid w:val="008179F6"/>
    <w:rsid w:val="008304BA"/>
    <w:rsid w:val="00835079"/>
    <w:rsid w:val="008356F3"/>
    <w:rsid w:val="00845074"/>
    <w:rsid w:val="00851252"/>
    <w:rsid w:val="0086476E"/>
    <w:rsid w:val="00881314"/>
    <w:rsid w:val="00885ECF"/>
    <w:rsid w:val="0089079B"/>
    <w:rsid w:val="00891539"/>
    <w:rsid w:val="00891A25"/>
    <w:rsid w:val="008945D5"/>
    <w:rsid w:val="008978DA"/>
    <w:rsid w:val="008A344F"/>
    <w:rsid w:val="008A7AC4"/>
    <w:rsid w:val="008B3E15"/>
    <w:rsid w:val="008C15F7"/>
    <w:rsid w:val="008C4A98"/>
    <w:rsid w:val="008D5C60"/>
    <w:rsid w:val="008E4C1C"/>
    <w:rsid w:val="00905A98"/>
    <w:rsid w:val="00910345"/>
    <w:rsid w:val="009139D0"/>
    <w:rsid w:val="00917661"/>
    <w:rsid w:val="009231D1"/>
    <w:rsid w:val="00924AC9"/>
    <w:rsid w:val="009269FA"/>
    <w:rsid w:val="009279D4"/>
    <w:rsid w:val="00927F65"/>
    <w:rsid w:val="009359AF"/>
    <w:rsid w:val="0093600D"/>
    <w:rsid w:val="00940DBC"/>
    <w:rsid w:val="0094449A"/>
    <w:rsid w:val="00945CC6"/>
    <w:rsid w:val="0095207F"/>
    <w:rsid w:val="00954483"/>
    <w:rsid w:val="009553B5"/>
    <w:rsid w:val="00955575"/>
    <w:rsid w:val="00960EBA"/>
    <w:rsid w:val="00962687"/>
    <w:rsid w:val="009732DF"/>
    <w:rsid w:val="0098006A"/>
    <w:rsid w:val="00981F63"/>
    <w:rsid w:val="00984543"/>
    <w:rsid w:val="0098478D"/>
    <w:rsid w:val="009A1BF0"/>
    <w:rsid w:val="009A3F8B"/>
    <w:rsid w:val="009B41D3"/>
    <w:rsid w:val="009D217D"/>
    <w:rsid w:val="009D4DAB"/>
    <w:rsid w:val="009D52B5"/>
    <w:rsid w:val="009D714C"/>
    <w:rsid w:val="009E53FB"/>
    <w:rsid w:val="009F7D50"/>
    <w:rsid w:val="00A03C5A"/>
    <w:rsid w:val="00A047A3"/>
    <w:rsid w:val="00A05B5E"/>
    <w:rsid w:val="00A0626B"/>
    <w:rsid w:val="00A14366"/>
    <w:rsid w:val="00A22D6A"/>
    <w:rsid w:val="00A33E01"/>
    <w:rsid w:val="00A33ECD"/>
    <w:rsid w:val="00A404C9"/>
    <w:rsid w:val="00A537A8"/>
    <w:rsid w:val="00A55FDF"/>
    <w:rsid w:val="00A56BAC"/>
    <w:rsid w:val="00A6585D"/>
    <w:rsid w:val="00A7309E"/>
    <w:rsid w:val="00A749C1"/>
    <w:rsid w:val="00A75B6C"/>
    <w:rsid w:val="00A7698B"/>
    <w:rsid w:val="00A77CCA"/>
    <w:rsid w:val="00A8006A"/>
    <w:rsid w:val="00A856D0"/>
    <w:rsid w:val="00A9409A"/>
    <w:rsid w:val="00AA35CE"/>
    <w:rsid w:val="00AA4E84"/>
    <w:rsid w:val="00AA5308"/>
    <w:rsid w:val="00AB0E9C"/>
    <w:rsid w:val="00AB4AF8"/>
    <w:rsid w:val="00AB61A1"/>
    <w:rsid w:val="00AC18F3"/>
    <w:rsid w:val="00AD1564"/>
    <w:rsid w:val="00AD5564"/>
    <w:rsid w:val="00AD76CA"/>
    <w:rsid w:val="00AE4DFD"/>
    <w:rsid w:val="00AE5B0B"/>
    <w:rsid w:val="00AF0F1E"/>
    <w:rsid w:val="00AF16D4"/>
    <w:rsid w:val="00AF25DB"/>
    <w:rsid w:val="00AF30B7"/>
    <w:rsid w:val="00AF7F1D"/>
    <w:rsid w:val="00B04164"/>
    <w:rsid w:val="00B06397"/>
    <w:rsid w:val="00B1126A"/>
    <w:rsid w:val="00B11F64"/>
    <w:rsid w:val="00B21CC1"/>
    <w:rsid w:val="00B21DE8"/>
    <w:rsid w:val="00B23FD3"/>
    <w:rsid w:val="00B250F5"/>
    <w:rsid w:val="00B265B4"/>
    <w:rsid w:val="00B30002"/>
    <w:rsid w:val="00B317FD"/>
    <w:rsid w:val="00B37C46"/>
    <w:rsid w:val="00B37D72"/>
    <w:rsid w:val="00B438C2"/>
    <w:rsid w:val="00B51034"/>
    <w:rsid w:val="00B53BD5"/>
    <w:rsid w:val="00B54A77"/>
    <w:rsid w:val="00B56311"/>
    <w:rsid w:val="00B56967"/>
    <w:rsid w:val="00B619F8"/>
    <w:rsid w:val="00B62656"/>
    <w:rsid w:val="00B65562"/>
    <w:rsid w:val="00B67B9F"/>
    <w:rsid w:val="00B70018"/>
    <w:rsid w:val="00B769CF"/>
    <w:rsid w:val="00B834A0"/>
    <w:rsid w:val="00B851CD"/>
    <w:rsid w:val="00B93BAC"/>
    <w:rsid w:val="00B94241"/>
    <w:rsid w:val="00B953A8"/>
    <w:rsid w:val="00BB24A9"/>
    <w:rsid w:val="00BB45AD"/>
    <w:rsid w:val="00BC0040"/>
    <w:rsid w:val="00BC5697"/>
    <w:rsid w:val="00BC5897"/>
    <w:rsid w:val="00BD13CA"/>
    <w:rsid w:val="00BE13ED"/>
    <w:rsid w:val="00BE1F4F"/>
    <w:rsid w:val="00BE394F"/>
    <w:rsid w:val="00BE49BE"/>
    <w:rsid w:val="00BF345C"/>
    <w:rsid w:val="00BF5F03"/>
    <w:rsid w:val="00C007EA"/>
    <w:rsid w:val="00C10E06"/>
    <w:rsid w:val="00C12A23"/>
    <w:rsid w:val="00C14C08"/>
    <w:rsid w:val="00C31BDC"/>
    <w:rsid w:val="00C341DA"/>
    <w:rsid w:val="00C37E57"/>
    <w:rsid w:val="00C46AB2"/>
    <w:rsid w:val="00C609AB"/>
    <w:rsid w:val="00C64157"/>
    <w:rsid w:val="00C7257A"/>
    <w:rsid w:val="00C755F2"/>
    <w:rsid w:val="00C83815"/>
    <w:rsid w:val="00C83B5B"/>
    <w:rsid w:val="00CC15CD"/>
    <w:rsid w:val="00CC4E0E"/>
    <w:rsid w:val="00CC5E6D"/>
    <w:rsid w:val="00CD46DF"/>
    <w:rsid w:val="00CD57A9"/>
    <w:rsid w:val="00CD65FF"/>
    <w:rsid w:val="00CE0453"/>
    <w:rsid w:val="00CE1249"/>
    <w:rsid w:val="00CE249A"/>
    <w:rsid w:val="00CE29ED"/>
    <w:rsid w:val="00CF4DDE"/>
    <w:rsid w:val="00D0447F"/>
    <w:rsid w:val="00D17F08"/>
    <w:rsid w:val="00D25AC8"/>
    <w:rsid w:val="00D273FC"/>
    <w:rsid w:val="00D27616"/>
    <w:rsid w:val="00D31BBC"/>
    <w:rsid w:val="00D3752E"/>
    <w:rsid w:val="00D45FF1"/>
    <w:rsid w:val="00D47D41"/>
    <w:rsid w:val="00D57168"/>
    <w:rsid w:val="00D575F4"/>
    <w:rsid w:val="00D62DD5"/>
    <w:rsid w:val="00D62F60"/>
    <w:rsid w:val="00D65A99"/>
    <w:rsid w:val="00D678E8"/>
    <w:rsid w:val="00D80DFD"/>
    <w:rsid w:val="00D95638"/>
    <w:rsid w:val="00D957EA"/>
    <w:rsid w:val="00DA14FB"/>
    <w:rsid w:val="00DB450B"/>
    <w:rsid w:val="00DC0EEF"/>
    <w:rsid w:val="00DC5840"/>
    <w:rsid w:val="00DC5D03"/>
    <w:rsid w:val="00DD285D"/>
    <w:rsid w:val="00DD3C7C"/>
    <w:rsid w:val="00DE0310"/>
    <w:rsid w:val="00DF3DBC"/>
    <w:rsid w:val="00E01F13"/>
    <w:rsid w:val="00E02FF0"/>
    <w:rsid w:val="00E030FB"/>
    <w:rsid w:val="00E07991"/>
    <w:rsid w:val="00E07E1A"/>
    <w:rsid w:val="00E1445D"/>
    <w:rsid w:val="00E21F9C"/>
    <w:rsid w:val="00E262F8"/>
    <w:rsid w:val="00E312F6"/>
    <w:rsid w:val="00E31C11"/>
    <w:rsid w:val="00E34D06"/>
    <w:rsid w:val="00E3680E"/>
    <w:rsid w:val="00E4502D"/>
    <w:rsid w:val="00E50273"/>
    <w:rsid w:val="00E57343"/>
    <w:rsid w:val="00E630F7"/>
    <w:rsid w:val="00E70E4B"/>
    <w:rsid w:val="00E73F32"/>
    <w:rsid w:val="00E83157"/>
    <w:rsid w:val="00E8436F"/>
    <w:rsid w:val="00E84CF0"/>
    <w:rsid w:val="00E911C4"/>
    <w:rsid w:val="00E9378A"/>
    <w:rsid w:val="00E94AA1"/>
    <w:rsid w:val="00E97DF4"/>
    <w:rsid w:val="00EA05BC"/>
    <w:rsid w:val="00EA5216"/>
    <w:rsid w:val="00EA5E51"/>
    <w:rsid w:val="00EB3553"/>
    <w:rsid w:val="00EB6069"/>
    <w:rsid w:val="00EB6ED8"/>
    <w:rsid w:val="00EC2CAF"/>
    <w:rsid w:val="00EC40CE"/>
    <w:rsid w:val="00ED2F77"/>
    <w:rsid w:val="00EE2523"/>
    <w:rsid w:val="00EE29A8"/>
    <w:rsid w:val="00EF0C71"/>
    <w:rsid w:val="00F00985"/>
    <w:rsid w:val="00F0415A"/>
    <w:rsid w:val="00F06E3E"/>
    <w:rsid w:val="00F07996"/>
    <w:rsid w:val="00F07B06"/>
    <w:rsid w:val="00F151A2"/>
    <w:rsid w:val="00F265C3"/>
    <w:rsid w:val="00F41FA2"/>
    <w:rsid w:val="00F44A8A"/>
    <w:rsid w:val="00F50ECB"/>
    <w:rsid w:val="00F51FC2"/>
    <w:rsid w:val="00F52EBE"/>
    <w:rsid w:val="00F63A24"/>
    <w:rsid w:val="00F6540E"/>
    <w:rsid w:val="00F66021"/>
    <w:rsid w:val="00F747BD"/>
    <w:rsid w:val="00F747DE"/>
    <w:rsid w:val="00F76109"/>
    <w:rsid w:val="00F825B7"/>
    <w:rsid w:val="00F83B89"/>
    <w:rsid w:val="00F91D20"/>
    <w:rsid w:val="00F9561E"/>
    <w:rsid w:val="00FA29BF"/>
    <w:rsid w:val="00FA7161"/>
    <w:rsid w:val="00FB1AC7"/>
    <w:rsid w:val="00FC0676"/>
    <w:rsid w:val="00FC3A94"/>
    <w:rsid w:val="00FD0A55"/>
    <w:rsid w:val="00FD4825"/>
    <w:rsid w:val="00FE0C4D"/>
    <w:rsid w:val="00FE5465"/>
    <w:rsid w:val="00FF1C71"/>
    <w:rsid w:val="00FF2F37"/>
    <w:rsid w:val="00FF3F3C"/>
    <w:rsid w:val="00FF45A2"/>
    <w:rsid w:val="00FF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AB61A1"/>
    <w:pPr>
      <w:keepNext/>
      <w:spacing w:after="120" w:line="276" w:lineRule="auto"/>
      <w:outlineLvl w:val="1"/>
    </w:pPr>
    <w:rPr>
      <w:rFonts w:eastAsia="ヒラギノ角ゴ Pro W3"/>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355EF3"/>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AB61A1"/>
    <w:rPr>
      <w:rFonts w:eastAsia="ヒラギノ角ゴ Pro W3"/>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B61A1"/>
    <w:pPr>
      <w:keepLines/>
    </w:pPr>
    <w:rPr>
      <w:rFonts w:eastAsia="ヒラギノ角ゴ Pro W3"/>
      <w:noProof/>
      <w:color w:val="000000"/>
      <w:sz w:val="40"/>
      <w:szCs w:val="40"/>
    </w:rPr>
  </w:style>
  <w:style w:type="paragraph" w:customStyle="1" w:styleId="Heading">
    <w:name w:val="Heading"/>
    <w:basedOn w:val="Title"/>
    <w:link w:val="HeadingChar"/>
    <w:autoRedefine/>
    <w:qFormat/>
    <w:rsid w:val="006E01AE"/>
    <w:pPr>
      <w:keepNext/>
      <w:spacing w:before="0" w:after="0" w:line="276" w:lineRule="auto"/>
      <w:jc w:val="left"/>
    </w:pPr>
    <w:rPr>
      <w:rFonts w:ascii="Times New Roman" w:eastAsia="ヒラギノ角ゴ Pro W3" w:hAnsi="Times New Roman"/>
      <w:b w:val="0"/>
      <w:bCs w:val="0"/>
      <w:color w:val="000000"/>
      <w:kern w:val="0"/>
      <w:sz w:val="52"/>
      <w:szCs w:val="76"/>
    </w:rPr>
  </w:style>
  <w:style w:type="character" w:customStyle="1" w:styleId="HeadingChar">
    <w:name w:val="Heading Char"/>
    <w:basedOn w:val="DefaultParagraphFont"/>
    <w:link w:val="Heading"/>
    <w:rsid w:val="006E01AE"/>
    <w:rPr>
      <w:rFonts w:eastAsia="ヒラギノ角ゴ Pro W3"/>
      <w:color w:val="000000"/>
      <w:sz w:val="52"/>
      <w:szCs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355EF3"/>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6"/>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AB61A1"/>
    <w:pPr>
      <w:keepNext/>
      <w:spacing w:after="120" w:line="276" w:lineRule="auto"/>
      <w:outlineLvl w:val="1"/>
    </w:pPr>
    <w:rPr>
      <w:rFonts w:eastAsia="ヒラギノ角ゴ Pro W3"/>
      <w:color w:val="000000"/>
      <w:sz w:val="40"/>
      <w:szCs w:val="40"/>
      <w:shd w:val="clear" w:color="auto" w:fill="FFFFFF"/>
    </w:rPr>
  </w:style>
  <w:style w:type="paragraph" w:styleId="Heading3">
    <w:name w:val="heading 3"/>
    <w:basedOn w:val="Normal"/>
    <w:next w:val="Normal"/>
    <w:link w:val="Heading3Char"/>
    <w:autoRedefine/>
    <w:qFormat/>
    <w:rsid w:val="00910345"/>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355EF3"/>
    <w:pPr>
      <w:tabs>
        <w:tab w:val="left" w:pos="0"/>
        <w:tab w:val="left" w:pos="720"/>
        <w:tab w:val="left" w:pos="1440"/>
      </w:tabs>
      <w:spacing w:before="120" w:after="200" w:line="276" w:lineRule="auto"/>
      <w:ind w:right="101"/>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AB61A1"/>
    <w:rPr>
      <w:rFonts w:eastAsia="ヒラギノ角ゴ Pro W3"/>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B61A1"/>
    <w:pPr>
      <w:keepLines/>
    </w:pPr>
    <w:rPr>
      <w:rFonts w:eastAsia="ヒラギノ角ゴ Pro W3"/>
      <w:noProof/>
      <w:color w:val="000000"/>
      <w:sz w:val="40"/>
      <w:szCs w:val="40"/>
    </w:rPr>
  </w:style>
  <w:style w:type="paragraph" w:customStyle="1" w:styleId="Heading">
    <w:name w:val="Heading"/>
    <w:basedOn w:val="Title"/>
    <w:link w:val="HeadingChar"/>
    <w:autoRedefine/>
    <w:qFormat/>
    <w:rsid w:val="006E01AE"/>
    <w:pPr>
      <w:keepNext/>
      <w:spacing w:before="0" w:after="0" w:line="276" w:lineRule="auto"/>
      <w:jc w:val="left"/>
    </w:pPr>
    <w:rPr>
      <w:rFonts w:ascii="Times New Roman" w:eastAsia="ヒラギノ角ゴ Pro W3" w:hAnsi="Times New Roman"/>
      <w:b w:val="0"/>
      <w:bCs w:val="0"/>
      <w:color w:val="000000"/>
      <w:kern w:val="0"/>
      <w:sz w:val="52"/>
      <w:szCs w:val="76"/>
    </w:rPr>
  </w:style>
  <w:style w:type="character" w:customStyle="1" w:styleId="HeadingChar">
    <w:name w:val="Heading Char"/>
    <w:basedOn w:val="DefaultParagraphFont"/>
    <w:link w:val="Heading"/>
    <w:rsid w:val="006E01AE"/>
    <w:rPr>
      <w:rFonts w:eastAsia="ヒラギノ角ゴ Pro W3"/>
      <w:color w:val="000000"/>
      <w:sz w:val="52"/>
      <w:szCs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910345"/>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355EF3"/>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6"/>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34"/>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2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feedback@cali.org"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elangdell.cali.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reativecommons.org/licenses/by-nc-sa/3.0/" TargetMode="External"/><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http://www.cali.org/faq/8054"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twitter.com/caliorg"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facebook.com/caliorg" TargetMode="External"/><Relationship Id="rId28" Type="http://schemas.openxmlformats.org/officeDocument/2006/relationships/image" Target="media/image4.wmf"/><Relationship Id="rId10" Type="http://schemas.openxmlformats.org/officeDocument/2006/relationships/header" Target="header1.xml"/><Relationship Id="rId19" Type="http://schemas.openxmlformats.org/officeDocument/2006/relationships/hyperlink" Target="http://www.cali.org"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elangdell.cali.org/" TargetMode="External"/><Relationship Id="rId22" Type="http://schemas.openxmlformats.org/officeDocument/2006/relationships/hyperlink" Target="http://elangdell.cali.org" TargetMode="External"/><Relationship Id="rId27" Type="http://schemas.openxmlformats.org/officeDocument/2006/relationships/image" Target="media/image3.jpe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A4C42-0BC2-4BF4-BA15-5C9F0988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595</Pages>
  <Words>185092</Words>
  <Characters>1055029</Characters>
  <Application>Microsoft Office Word</Application>
  <DocSecurity>0</DocSecurity>
  <Lines>8791</Lines>
  <Paragraphs>2475</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1237646</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DebQuentel</dc:creator>
  <cp:lastModifiedBy>sarah</cp:lastModifiedBy>
  <cp:revision>4</cp:revision>
  <cp:lastPrinted>2013-09-09T20:22:00Z</cp:lastPrinted>
  <dcterms:created xsi:type="dcterms:W3CDTF">2014-12-03T22:14:00Z</dcterms:created>
  <dcterms:modified xsi:type="dcterms:W3CDTF">2014-12-03T22:15:00Z</dcterms:modified>
</cp:coreProperties>
</file>