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70667" w14:textId="77777777" w:rsidR="00822756" w:rsidRPr="00822756" w:rsidRDefault="00B706E6" w:rsidP="009247BE">
      <w:pPr>
        <w:jc w:val="both"/>
        <w:rPr>
          <w:rFonts w:cstheme="minorHAnsi"/>
          <w:sz w:val="22"/>
          <w:szCs w:val="22"/>
        </w:rPr>
      </w:pPr>
      <w:r w:rsidRPr="00822756">
        <w:rPr>
          <w:rFonts w:cstheme="minorHAnsi"/>
          <w:sz w:val="22"/>
          <w:szCs w:val="22"/>
        </w:rPr>
        <w:t xml:space="preserve">Welcome to this podcast on </w:t>
      </w:r>
      <w:r w:rsidRPr="00822756">
        <w:rPr>
          <w:rFonts w:eastAsia="Times New Roman" w:cstheme="minorHAnsi"/>
          <w:color w:val="000000" w:themeColor="text1"/>
          <w:kern w:val="36"/>
          <w:sz w:val="22"/>
          <w:szCs w:val="22"/>
        </w:rPr>
        <w:t>UCC § 2-206</w:t>
      </w:r>
      <w:r w:rsidR="00C3511E" w:rsidRPr="00822756">
        <w:rPr>
          <w:rFonts w:eastAsia="Times New Roman" w:cstheme="minorHAnsi"/>
          <w:color w:val="000000" w:themeColor="text1"/>
          <w:kern w:val="36"/>
          <w:sz w:val="22"/>
          <w:szCs w:val="22"/>
        </w:rPr>
        <w:t xml:space="preserve">, </w:t>
      </w:r>
      <w:r w:rsidRPr="00822756">
        <w:rPr>
          <w:rFonts w:eastAsia="Times New Roman" w:cstheme="minorHAnsi"/>
          <w:color w:val="000000" w:themeColor="text1"/>
          <w:kern w:val="36"/>
          <w:sz w:val="22"/>
          <w:szCs w:val="22"/>
        </w:rPr>
        <w:t xml:space="preserve">Offer and Acceptance in Formation of Contract, </w:t>
      </w:r>
      <w:r w:rsidRPr="00822756">
        <w:rPr>
          <w:rFonts w:cstheme="minorHAnsi"/>
          <w:sz w:val="22"/>
          <w:szCs w:val="22"/>
        </w:rPr>
        <w:t xml:space="preserve">brought to you by CALI. I am Professor Scott J. Burnham. </w:t>
      </w:r>
    </w:p>
    <w:p w14:paraId="02AE170C" w14:textId="77777777" w:rsidR="00822756" w:rsidRPr="00822756" w:rsidRDefault="00822756" w:rsidP="009247BE">
      <w:pPr>
        <w:jc w:val="both"/>
        <w:rPr>
          <w:rFonts w:cstheme="minorHAnsi"/>
          <w:sz w:val="22"/>
          <w:szCs w:val="22"/>
        </w:rPr>
      </w:pPr>
    </w:p>
    <w:p w14:paraId="39B23DD0" w14:textId="371D8618" w:rsidR="00863FF4" w:rsidRPr="00822756" w:rsidRDefault="00B706E6" w:rsidP="009247BE">
      <w:pPr>
        <w:jc w:val="both"/>
        <w:rPr>
          <w:rFonts w:eastAsia="Times New Roman" w:cstheme="minorHAnsi"/>
          <w:color w:val="000000" w:themeColor="text1"/>
          <w:kern w:val="36"/>
          <w:sz w:val="22"/>
          <w:szCs w:val="22"/>
        </w:rPr>
      </w:pPr>
      <w:r w:rsidRPr="00822756">
        <w:rPr>
          <w:rFonts w:cstheme="minorHAnsi"/>
          <w:sz w:val="22"/>
          <w:szCs w:val="22"/>
        </w:rPr>
        <w:t>The topic of this podcast is</w:t>
      </w:r>
      <w:r w:rsidR="00863FF4" w:rsidRPr="00822756">
        <w:rPr>
          <w:rFonts w:eastAsia="Times New Roman" w:cstheme="minorHAnsi"/>
          <w:color w:val="000000" w:themeColor="text1"/>
          <w:kern w:val="36"/>
          <w:sz w:val="22"/>
          <w:szCs w:val="22"/>
        </w:rPr>
        <w:t xml:space="preserve"> </w:t>
      </w:r>
      <w:r w:rsidR="00515704" w:rsidRPr="00822756">
        <w:rPr>
          <w:rFonts w:eastAsia="Times New Roman" w:cstheme="minorHAnsi"/>
          <w:color w:val="000000" w:themeColor="text1"/>
          <w:kern w:val="36"/>
          <w:sz w:val="22"/>
          <w:szCs w:val="22"/>
        </w:rPr>
        <w:t>how</w:t>
      </w:r>
      <w:r w:rsidR="00A80D23" w:rsidRPr="00822756">
        <w:rPr>
          <w:rFonts w:eastAsia="Times New Roman" w:cstheme="minorHAnsi"/>
          <w:color w:val="000000" w:themeColor="text1"/>
          <w:kern w:val="36"/>
          <w:sz w:val="22"/>
          <w:szCs w:val="22"/>
        </w:rPr>
        <w:t xml:space="preserve"> an offeree can accept an offer for the sale of goods under </w:t>
      </w:r>
      <w:r w:rsidR="00863FF4" w:rsidRPr="00822756">
        <w:rPr>
          <w:rFonts w:eastAsia="Times New Roman" w:cstheme="minorHAnsi"/>
          <w:color w:val="000000" w:themeColor="text1"/>
          <w:kern w:val="36"/>
          <w:sz w:val="22"/>
          <w:szCs w:val="22"/>
        </w:rPr>
        <w:t xml:space="preserve">UCC § 2-206. Since we are looking at a </w:t>
      </w:r>
      <w:r w:rsidRPr="00822756">
        <w:rPr>
          <w:rFonts w:eastAsia="Times New Roman" w:cstheme="minorHAnsi"/>
          <w:color w:val="000000" w:themeColor="text1"/>
          <w:kern w:val="36"/>
          <w:sz w:val="22"/>
          <w:szCs w:val="22"/>
        </w:rPr>
        <w:t>rule found in Article 2 of the Uniform Commercial Code</w:t>
      </w:r>
      <w:r w:rsidR="00863FF4" w:rsidRPr="00822756">
        <w:rPr>
          <w:rFonts w:eastAsia="Times New Roman" w:cstheme="minorHAnsi"/>
          <w:color w:val="000000" w:themeColor="text1"/>
          <w:kern w:val="36"/>
          <w:sz w:val="22"/>
          <w:szCs w:val="22"/>
        </w:rPr>
        <w:t xml:space="preserve">, we are dealing </w:t>
      </w:r>
      <w:r w:rsidR="00A80D23" w:rsidRPr="00822756">
        <w:rPr>
          <w:rFonts w:eastAsia="Times New Roman" w:cstheme="minorHAnsi"/>
          <w:color w:val="000000" w:themeColor="text1"/>
          <w:kern w:val="36"/>
          <w:sz w:val="22"/>
          <w:szCs w:val="22"/>
        </w:rPr>
        <w:t xml:space="preserve">solely </w:t>
      </w:r>
      <w:r w:rsidR="00863FF4" w:rsidRPr="00822756">
        <w:rPr>
          <w:rFonts w:eastAsia="Times New Roman" w:cstheme="minorHAnsi"/>
          <w:color w:val="000000" w:themeColor="text1"/>
          <w:kern w:val="36"/>
          <w:sz w:val="22"/>
          <w:szCs w:val="22"/>
        </w:rPr>
        <w:t xml:space="preserve">with a transaction in goods, usually for the sale of goods. </w:t>
      </w:r>
      <w:r w:rsidR="00821EE9" w:rsidRPr="00822756">
        <w:rPr>
          <w:rFonts w:eastAsia="Times New Roman" w:cstheme="minorHAnsi"/>
          <w:i/>
          <w:iCs/>
          <w:color w:val="000000" w:themeColor="text1"/>
          <w:kern w:val="36"/>
          <w:sz w:val="22"/>
          <w:szCs w:val="22"/>
        </w:rPr>
        <w:t>See</w:t>
      </w:r>
      <w:r w:rsidR="00821EE9" w:rsidRPr="00822756">
        <w:rPr>
          <w:rFonts w:eastAsia="Times New Roman" w:cstheme="minorHAnsi"/>
          <w:color w:val="000000" w:themeColor="text1"/>
          <w:kern w:val="36"/>
          <w:sz w:val="22"/>
          <w:szCs w:val="22"/>
        </w:rPr>
        <w:t xml:space="preserve"> UCC § 2-102. </w:t>
      </w:r>
      <w:r w:rsidR="00A80D23" w:rsidRPr="00822756">
        <w:rPr>
          <w:rFonts w:eastAsia="Times New Roman" w:cstheme="minorHAnsi"/>
          <w:color w:val="000000" w:themeColor="text1"/>
          <w:kern w:val="36"/>
          <w:sz w:val="22"/>
          <w:szCs w:val="22"/>
        </w:rPr>
        <w:t>The manner of acceptance under an offer for services or land is not covered by this rule.</w:t>
      </w:r>
    </w:p>
    <w:p w14:paraId="6995A1CD" w14:textId="77777777" w:rsidR="00B706E6" w:rsidRPr="00822756" w:rsidRDefault="00B706E6" w:rsidP="009247BE">
      <w:pPr>
        <w:jc w:val="both"/>
        <w:rPr>
          <w:rFonts w:cstheme="minorHAnsi"/>
          <w:sz w:val="22"/>
          <w:szCs w:val="22"/>
        </w:rPr>
      </w:pPr>
    </w:p>
    <w:p w14:paraId="000F56B1" w14:textId="2048392B" w:rsidR="00863FF4" w:rsidRPr="00822756" w:rsidRDefault="00863FF4" w:rsidP="009247BE">
      <w:pPr>
        <w:spacing w:after="150"/>
        <w:jc w:val="both"/>
        <w:rPr>
          <w:rFonts w:eastAsia="Times New Roman" w:cstheme="minorHAnsi"/>
          <w:color w:val="000000" w:themeColor="text1"/>
          <w:sz w:val="22"/>
          <w:szCs w:val="22"/>
        </w:rPr>
      </w:pPr>
      <w:r w:rsidRPr="00822756">
        <w:rPr>
          <w:rFonts w:eastAsia="Times New Roman" w:cstheme="minorHAnsi"/>
          <w:color w:val="000000" w:themeColor="text1"/>
          <w:kern w:val="36"/>
          <w:sz w:val="22"/>
          <w:szCs w:val="22"/>
        </w:rPr>
        <w:t>Subsection (1) starts off by telling us that the rules that follow apply “u</w:t>
      </w:r>
      <w:r w:rsidRPr="00822756">
        <w:rPr>
          <w:rFonts w:eastAsia="Times New Roman" w:cstheme="minorHAnsi"/>
          <w:color w:val="000000" w:themeColor="text1"/>
          <w:sz w:val="22"/>
          <w:szCs w:val="22"/>
        </w:rPr>
        <w:t>nless otherwise unambiguously indicated by the language or circumstances.” This language tells us that this is a default rule that the parties are free to change, as long as they do so unambiguously</w:t>
      </w:r>
      <w:r w:rsidR="00515704" w:rsidRPr="00822756">
        <w:rPr>
          <w:rFonts w:eastAsia="Times New Roman" w:cstheme="minorHAnsi"/>
          <w:color w:val="000000" w:themeColor="text1"/>
          <w:sz w:val="22"/>
          <w:szCs w:val="22"/>
        </w:rPr>
        <w:t xml:space="preserve">; that is, </w:t>
      </w:r>
      <w:r w:rsidR="00026671" w:rsidRPr="00822756">
        <w:rPr>
          <w:rFonts w:eastAsia="Times New Roman" w:cstheme="minorHAnsi"/>
          <w:color w:val="000000" w:themeColor="text1"/>
          <w:sz w:val="22"/>
          <w:szCs w:val="22"/>
        </w:rPr>
        <w:t>the offeror must be “quite clear” if the intention is to limit the method or manner of acceptance</w:t>
      </w:r>
      <w:r w:rsidRPr="00822756">
        <w:rPr>
          <w:rFonts w:eastAsia="Times New Roman" w:cstheme="minorHAnsi"/>
          <w:color w:val="000000" w:themeColor="text1"/>
          <w:sz w:val="22"/>
          <w:szCs w:val="22"/>
        </w:rPr>
        <w:t xml:space="preserve">. </w:t>
      </w:r>
      <w:r w:rsidRPr="00915464">
        <w:rPr>
          <w:rFonts w:eastAsia="Times New Roman" w:cstheme="minorHAnsi"/>
          <w:i/>
          <w:color w:val="000000" w:themeColor="text1"/>
          <w:sz w:val="22"/>
          <w:szCs w:val="22"/>
        </w:rPr>
        <w:t>See</w:t>
      </w:r>
      <w:r w:rsidRPr="00822756">
        <w:rPr>
          <w:rFonts w:eastAsia="Times New Roman" w:cstheme="minorHAnsi"/>
          <w:color w:val="000000" w:themeColor="text1"/>
          <w:sz w:val="22"/>
          <w:szCs w:val="22"/>
        </w:rPr>
        <w:t xml:space="preserve"> § 1-302, Variation by Agreement, which states </w:t>
      </w:r>
      <w:r w:rsidR="007231B1" w:rsidRPr="00822756">
        <w:rPr>
          <w:rFonts w:eastAsia="Times New Roman" w:cstheme="minorHAnsi"/>
          <w:color w:val="000000" w:themeColor="text1"/>
          <w:sz w:val="22"/>
          <w:szCs w:val="22"/>
        </w:rPr>
        <w:t>that many of the Code rules are default rules</w:t>
      </w:r>
      <w:r w:rsidRPr="00822756">
        <w:rPr>
          <w:rFonts w:eastAsia="Times New Roman" w:cstheme="minorHAnsi"/>
          <w:color w:val="000000" w:themeColor="text1"/>
          <w:sz w:val="22"/>
          <w:szCs w:val="22"/>
        </w:rPr>
        <w:t xml:space="preserve">. We will later look at an example of </w:t>
      </w:r>
      <w:r w:rsidR="00515704" w:rsidRPr="00822756">
        <w:rPr>
          <w:rFonts w:eastAsia="Times New Roman" w:cstheme="minorHAnsi"/>
          <w:color w:val="000000" w:themeColor="text1"/>
          <w:sz w:val="22"/>
          <w:szCs w:val="22"/>
        </w:rPr>
        <w:t xml:space="preserve">an offeror </w:t>
      </w:r>
      <w:r w:rsidRPr="00822756">
        <w:rPr>
          <w:rFonts w:eastAsia="Times New Roman" w:cstheme="minorHAnsi"/>
          <w:color w:val="000000" w:themeColor="text1"/>
          <w:sz w:val="22"/>
          <w:szCs w:val="22"/>
        </w:rPr>
        <w:t>exercising that freedom to vary the rule</w:t>
      </w:r>
      <w:r w:rsidR="00515704" w:rsidRPr="00822756">
        <w:rPr>
          <w:rFonts w:eastAsia="Times New Roman" w:cstheme="minorHAnsi"/>
          <w:color w:val="000000" w:themeColor="text1"/>
          <w:sz w:val="22"/>
          <w:szCs w:val="22"/>
        </w:rPr>
        <w:t>.</w:t>
      </w:r>
    </w:p>
    <w:p w14:paraId="1C08CFAD" w14:textId="59398198" w:rsidR="00863FF4" w:rsidRPr="00822756" w:rsidRDefault="00863FF4" w:rsidP="009247BE">
      <w:pPr>
        <w:spacing w:after="150"/>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t>The first rule, in subsection (1)(a)</w:t>
      </w:r>
      <w:r w:rsidR="007231B1" w:rsidRPr="00822756">
        <w:rPr>
          <w:rFonts w:eastAsia="Times New Roman" w:cstheme="minorHAnsi"/>
          <w:color w:val="000000" w:themeColor="text1"/>
          <w:sz w:val="22"/>
          <w:szCs w:val="22"/>
        </w:rPr>
        <w:t>,</w:t>
      </w:r>
      <w:r w:rsidRPr="00822756">
        <w:rPr>
          <w:rFonts w:eastAsia="Times New Roman" w:cstheme="minorHAnsi"/>
          <w:color w:val="000000" w:themeColor="text1"/>
          <w:sz w:val="22"/>
          <w:szCs w:val="22"/>
        </w:rPr>
        <w:t xml:space="preserve"> discusses an offer to make a contract. When a word is defined in the Code, you want to check the Code definition. However,</w:t>
      </w:r>
      <w:r w:rsidR="00A80D23" w:rsidRPr="00822756">
        <w:rPr>
          <w:rFonts w:eastAsia="Times New Roman" w:cstheme="minorHAnsi"/>
          <w:color w:val="000000" w:themeColor="text1"/>
          <w:sz w:val="22"/>
          <w:szCs w:val="22"/>
        </w:rPr>
        <w:t xml:space="preserve"> the word </w:t>
      </w:r>
      <w:r w:rsidR="00A80D23" w:rsidRPr="00822756">
        <w:rPr>
          <w:rFonts w:eastAsia="Times New Roman" w:cstheme="minorHAnsi"/>
          <w:i/>
          <w:iCs/>
          <w:color w:val="000000" w:themeColor="text1"/>
          <w:sz w:val="22"/>
          <w:szCs w:val="22"/>
        </w:rPr>
        <w:t xml:space="preserve">offer </w:t>
      </w:r>
      <w:r w:rsidR="00A80D23" w:rsidRPr="00822756">
        <w:rPr>
          <w:rFonts w:eastAsia="Times New Roman" w:cstheme="minorHAnsi"/>
          <w:color w:val="000000" w:themeColor="text1"/>
          <w:sz w:val="22"/>
          <w:szCs w:val="22"/>
        </w:rPr>
        <w:t xml:space="preserve">is not defined in the Code.  When the Code does not define words, though, we read in the common law definition. </w:t>
      </w:r>
      <w:r w:rsidRPr="00822756">
        <w:rPr>
          <w:rFonts w:eastAsia="Times New Roman" w:cstheme="minorHAnsi"/>
          <w:color w:val="000000" w:themeColor="text1"/>
          <w:sz w:val="22"/>
          <w:szCs w:val="22"/>
        </w:rPr>
        <w:t xml:space="preserve"> </w:t>
      </w:r>
      <w:r w:rsidR="00A80D23" w:rsidRPr="00822756">
        <w:rPr>
          <w:rFonts w:eastAsia="Times New Roman" w:cstheme="minorHAnsi"/>
          <w:color w:val="000000" w:themeColor="text1"/>
          <w:sz w:val="22"/>
          <w:szCs w:val="22"/>
        </w:rPr>
        <w:t xml:space="preserve">This rule is found in § 1-103(b), which tells us that unless displaced by a Code rule, we read into the Code the general principles of law and equity. Therefore, because </w:t>
      </w:r>
      <w:r w:rsidRPr="00822756">
        <w:rPr>
          <w:rFonts w:eastAsia="Times New Roman" w:cstheme="minorHAnsi"/>
          <w:color w:val="000000" w:themeColor="text1"/>
          <w:sz w:val="22"/>
          <w:szCs w:val="22"/>
        </w:rPr>
        <w:t xml:space="preserve">the word </w:t>
      </w:r>
      <w:r w:rsidR="00B74DF8" w:rsidRPr="00822756">
        <w:rPr>
          <w:rFonts w:eastAsia="Times New Roman" w:cstheme="minorHAnsi"/>
          <w:i/>
          <w:iCs/>
          <w:color w:val="000000" w:themeColor="text1"/>
          <w:sz w:val="22"/>
          <w:szCs w:val="22"/>
        </w:rPr>
        <w:t xml:space="preserve">offer </w:t>
      </w:r>
      <w:r w:rsidR="00B74DF8" w:rsidRPr="00822756">
        <w:rPr>
          <w:rFonts w:eastAsia="Times New Roman" w:cstheme="minorHAnsi"/>
          <w:color w:val="000000" w:themeColor="text1"/>
          <w:sz w:val="22"/>
          <w:szCs w:val="22"/>
        </w:rPr>
        <w:t>is not defined in the Code</w:t>
      </w:r>
      <w:r w:rsidR="00A80D23" w:rsidRPr="00822756">
        <w:rPr>
          <w:rFonts w:eastAsia="Times New Roman" w:cstheme="minorHAnsi"/>
          <w:color w:val="000000" w:themeColor="text1"/>
          <w:sz w:val="22"/>
          <w:szCs w:val="22"/>
        </w:rPr>
        <w:t>,</w:t>
      </w:r>
      <w:r w:rsidR="00B74DF8" w:rsidRPr="00822756">
        <w:rPr>
          <w:rFonts w:eastAsia="Times New Roman" w:cstheme="minorHAnsi"/>
          <w:color w:val="000000" w:themeColor="text1"/>
          <w:sz w:val="22"/>
          <w:szCs w:val="22"/>
        </w:rPr>
        <w:t xml:space="preserve"> we would read in the common law definition. </w:t>
      </w:r>
    </w:p>
    <w:p w14:paraId="4467764B" w14:textId="50339EED" w:rsidR="00B74DF8" w:rsidRPr="00822756" w:rsidRDefault="00B74DF8" w:rsidP="009247BE">
      <w:pPr>
        <w:spacing w:before="100" w:beforeAutospacing="1" w:after="100" w:afterAutospacing="1"/>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t xml:space="preserve">The rule </w:t>
      </w:r>
      <w:r w:rsidR="007231B1" w:rsidRPr="00822756">
        <w:rPr>
          <w:rFonts w:eastAsia="Times New Roman" w:cstheme="minorHAnsi"/>
          <w:color w:val="000000" w:themeColor="text1"/>
          <w:sz w:val="22"/>
          <w:szCs w:val="22"/>
        </w:rPr>
        <w:t>of subsection (1</w:t>
      </w:r>
      <w:r w:rsidR="00DC4455" w:rsidRPr="00822756">
        <w:rPr>
          <w:rFonts w:eastAsia="Times New Roman" w:cstheme="minorHAnsi"/>
          <w:color w:val="000000" w:themeColor="text1"/>
          <w:sz w:val="22"/>
          <w:szCs w:val="22"/>
        </w:rPr>
        <w:t>)</w:t>
      </w:r>
      <w:r w:rsidR="007231B1" w:rsidRPr="00822756">
        <w:rPr>
          <w:rFonts w:eastAsia="Times New Roman" w:cstheme="minorHAnsi"/>
          <w:color w:val="000000" w:themeColor="text1"/>
          <w:sz w:val="22"/>
          <w:szCs w:val="22"/>
        </w:rPr>
        <w:t xml:space="preserve">(a) </w:t>
      </w:r>
      <w:r w:rsidRPr="00822756">
        <w:rPr>
          <w:rFonts w:eastAsia="Times New Roman" w:cstheme="minorHAnsi"/>
          <w:color w:val="000000" w:themeColor="text1"/>
          <w:sz w:val="22"/>
          <w:szCs w:val="22"/>
        </w:rPr>
        <w:t xml:space="preserve">tells us that an offer “shall be construed as inviting acceptance in any manner and by any medium reasonable in the circumstances.” The </w:t>
      </w:r>
      <w:r w:rsidRPr="00822756">
        <w:rPr>
          <w:rFonts w:eastAsia="Times New Roman" w:cstheme="minorHAnsi"/>
          <w:i/>
          <w:iCs/>
          <w:color w:val="000000" w:themeColor="text1"/>
          <w:sz w:val="22"/>
          <w:szCs w:val="22"/>
        </w:rPr>
        <w:t>manner</w:t>
      </w:r>
      <w:r w:rsidRPr="00822756">
        <w:rPr>
          <w:rFonts w:eastAsia="Times New Roman" w:cstheme="minorHAnsi"/>
          <w:color w:val="000000" w:themeColor="text1"/>
          <w:sz w:val="22"/>
          <w:szCs w:val="22"/>
        </w:rPr>
        <w:t xml:space="preserve"> of acceptance means that it can be accepted by either a return promise, a performance, or either a promise or a performance – whatever is reasonable. See the CALI podcast on </w:t>
      </w:r>
      <w:r w:rsidR="00F66F23" w:rsidRPr="00822756">
        <w:rPr>
          <w:rFonts w:eastAsia="Times New Roman" w:cstheme="minorHAnsi"/>
          <w:color w:val="000000" w:themeColor="text1"/>
          <w:sz w:val="22"/>
          <w:szCs w:val="22"/>
        </w:rPr>
        <w:t>The Manner of Acceptance</w:t>
      </w:r>
      <w:r w:rsidRPr="00822756">
        <w:rPr>
          <w:rFonts w:eastAsia="Times New Roman" w:cstheme="minorHAnsi"/>
          <w:color w:val="000000" w:themeColor="text1"/>
          <w:sz w:val="22"/>
          <w:szCs w:val="22"/>
        </w:rPr>
        <w:t xml:space="preserve"> for more information on th</w:t>
      </w:r>
      <w:r w:rsidR="00F66F23" w:rsidRPr="00822756">
        <w:rPr>
          <w:rFonts w:eastAsia="Times New Roman" w:cstheme="minorHAnsi"/>
          <w:color w:val="000000" w:themeColor="text1"/>
          <w:sz w:val="22"/>
          <w:szCs w:val="22"/>
        </w:rPr>
        <w:t>is topic</w:t>
      </w:r>
      <w:r w:rsidRPr="00822756">
        <w:rPr>
          <w:rFonts w:eastAsia="Times New Roman" w:cstheme="minorHAnsi"/>
          <w:color w:val="000000" w:themeColor="text1"/>
          <w:sz w:val="22"/>
          <w:szCs w:val="22"/>
        </w:rPr>
        <w:t>.</w:t>
      </w:r>
    </w:p>
    <w:p w14:paraId="31EAA2FA" w14:textId="4A3537E7" w:rsidR="00B74DF8" w:rsidRPr="00822756" w:rsidRDefault="00B74DF8" w:rsidP="009247BE">
      <w:pPr>
        <w:spacing w:before="100" w:beforeAutospacing="1" w:after="100" w:afterAutospacing="1"/>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t xml:space="preserve">The </w:t>
      </w:r>
      <w:r w:rsidRPr="00822756">
        <w:rPr>
          <w:rFonts w:eastAsia="Times New Roman" w:cstheme="minorHAnsi"/>
          <w:i/>
          <w:iCs/>
          <w:color w:val="000000" w:themeColor="text1"/>
          <w:sz w:val="22"/>
          <w:szCs w:val="22"/>
        </w:rPr>
        <w:t>medium</w:t>
      </w:r>
      <w:r w:rsidRPr="00822756">
        <w:rPr>
          <w:rFonts w:eastAsia="Times New Roman" w:cstheme="minorHAnsi"/>
          <w:color w:val="000000" w:themeColor="text1"/>
          <w:sz w:val="22"/>
          <w:szCs w:val="22"/>
        </w:rPr>
        <w:t xml:space="preserve"> of acceptance means a medium such as telephone, email, regular mail, etc. There were some common law cases that held that the acceptance had to be in the same medium as the offer. This rule makes clear that any medium can be used, as long as it is reasonable. </w:t>
      </w:r>
      <w:r w:rsidR="000869C0" w:rsidRPr="00822756">
        <w:rPr>
          <w:rFonts w:eastAsia="Times New Roman" w:cstheme="minorHAnsi"/>
          <w:color w:val="000000" w:themeColor="text1"/>
          <w:sz w:val="22"/>
          <w:szCs w:val="22"/>
        </w:rPr>
        <w:t>In general</w:t>
      </w:r>
      <w:r w:rsidRPr="00822756">
        <w:rPr>
          <w:rFonts w:eastAsia="Times New Roman" w:cstheme="minorHAnsi"/>
          <w:color w:val="000000" w:themeColor="text1"/>
          <w:sz w:val="22"/>
          <w:szCs w:val="22"/>
        </w:rPr>
        <w:t xml:space="preserve">, </w:t>
      </w:r>
      <w:r w:rsidR="00DC4455" w:rsidRPr="00822756">
        <w:rPr>
          <w:rFonts w:eastAsia="Times New Roman" w:cstheme="minorHAnsi"/>
          <w:color w:val="000000" w:themeColor="text1"/>
          <w:sz w:val="22"/>
          <w:szCs w:val="22"/>
        </w:rPr>
        <w:t xml:space="preserve">a medium of acceptance </w:t>
      </w:r>
      <w:r w:rsidRPr="00822756">
        <w:rPr>
          <w:rFonts w:eastAsia="Times New Roman" w:cstheme="minorHAnsi"/>
          <w:color w:val="000000" w:themeColor="text1"/>
          <w:sz w:val="22"/>
          <w:szCs w:val="22"/>
        </w:rPr>
        <w:t xml:space="preserve">is reasonable </w:t>
      </w:r>
      <w:r w:rsidR="00DC4455" w:rsidRPr="00822756">
        <w:rPr>
          <w:rFonts w:eastAsia="Times New Roman" w:cstheme="minorHAnsi"/>
          <w:color w:val="000000" w:themeColor="text1"/>
          <w:sz w:val="22"/>
          <w:szCs w:val="22"/>
        </w:rPr>
        <w:t xml:space="preserve">if it is </w:t>
      </w:r>
      <w:r w:rsidRPr="00822756">
        <w:rPr>
          <w:rFonts w:eastAsia="Times New Roman" w:cstheme="minorHAnsi"/>
          <w:color w:val="000000" w:themeColor="text1"/>
          <w:sz w:val="22"/>
          <w:szCs w:val="22"/>
        </w:rPr>
        <w:t>the same or better than the medium used for the offer. But remember – this is a default rule that the parties are free to change. A party is free in an offer made by email to state: “</w:t>
      </w:r>
      <w:r w:rsidR="00F66F23" w:rsidRPr="00822756">
        <w:rPr>
          <w:rFonts w:eastAsia="Times New Roman" w:cstheme="minorHAnsi"/>
          <w:color w:val="000000" w:themeColor="text1"/>
          <w:sz w:val="22"/>
          <w:szCs w:val="22"/>
        </w:rPr>
        <w:t>T</w:t>
      </w:r>
      <w:r w:rsidRPr="00822756">
        <w:rPr>
          <w:rFonts w:eastAsia="Times New Roman" w:cstheme="minorHAnsi"/>
          <w:color w:val="000000" w:themeColor="text1"/>
          <w:sz w:val="22"/>
          <w:szCs w:val="22"/>
        </w:rPr>
        <w:t xml:space="preserve">his offer can be accepted only by a certified letter sent through the U.S. Mail.” </w:t>
      </w:r>
      <w:r w:rsidR="00B21527" w:rsidRPr="00822756">
        <w:rPr>
          <w:rFonts w:eastAsia="Times New Roman" w:cstheme="minorHAnsi"/>
          <w:color w:val="000000" w:themeColor="text1"/>
          <w:sz w:val="22"/>
          <w:szCs w:val="22"/>
        </w:rPr>
        <w:t>The offeror has now changed the default rule so that an acceptance is effective only if made by a certified letter.</w:t>
      </w:r>
    </w:p>
    <w:p w14:paraId="331E5185" w14:textId="64F0B197" w:rsidR="00B21527" w:rsidRPr="00822756" w:rsidRDefault="00B21527" w:rsidP="009247BE">
      <w:pPr>
        <w:spacing w:after="150"/>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t xml:space="preserve">Subsection (1)(b) is </w:t>
      </w:r>
      <w:r w:rsidR="000869C0" w:rsidRPr="00822756">
        <w:rPr>
          <w:rFonts w:eastAsia="Times New Roman" w:cstheme="minorHAnsi"/>
          <w:color w:val="000000" w:themeColor="text1"/>
          <w:sz w:val="22"/>
          <w:szCs w:val="22"/>
        </w:rPr>
        <w:t xml:space="preserve">more </w:t>
      </w:r>
      <w:r w:rsidRPr="00822756">
        <w:rPr>
          <w:rFonts w:eastAsia="Times New Roman" w:cstheme="minorHAnsi"/>
          <w:color w:val="000000" w:themeColor="text1"/>
          <w:sz w:val="22"/>
          <w:szCs w:val="22"/>
        </w:rPr>
        <w:t xml:space="preserve">complicated, so we are going to take it one step at a time. It starts by telling us that </w:t>
      </w:r>
      <w:r w:rsidR="00DC4455" w:rsidRPr="00822756">
        <w:rPr>
          <w:rFonts w:eastAsia="Times New Roman" w:cstheme="minorHAnsi"/>
          <w:color w:val="000000" w:themeColor="text1"/>
          <w:sz w:val="22"/>
          <w:szCs w:val="22"/>
        </w:rPr>
        <w:t>“</w:t>
      </w:r>
      <w:r w:rsidRPr="00822756">
        <w:rPr>
          <w:rFonts w:eastAsia="Times New Roman" w:cstheme="minorHAnsi"/>
          <w:color w:val="000000" w:themeColor="text1"/>
          <w:sz w:val="22"/>
          <w:szCs w:val="22"/>
        </w:rPr>
        <w:t>an order or other offer to buy </w:t>
      </w:r>
      <w:hyperlink r:id="rId7" w:anchor="Goods_2-105" w:history="1">
        <w:r w:rsidRPr="00822756">
          <w:rPr>
            <w:rFonts w:eastAsia="Times New Roman" w:cstheme="minorHAnsi"/>
            <w:color w:val="000000" w:themeColor="text1"/>
            <w:sz w:val="22"/>
            <w:szCs w:val="22"/>
          </w:rPr>
          <w:t>goods</w:t>
        </w:r>
      </w:hyperlink>
      <w:r w:rsidRPr="00822756">
        <w:rPr>
          <w:rFonts w:eastAsia="Times New Roman" w:cstheme="minorHAnsi"/>
          <w:color w:val="000000" w:themeColor="text1"/>
          <w:sz w:val="22"/>
          <w:szCs w:val="22"/>
        </w:rPr>
        <w:t xml:space="preserve"> for prompt or current shipment shall be construed as inviting acceptance either by a prompt promise to ship or by </w:t>
      </w:r>
      <w:r w:rsidR="00070FEC">
        <w:rPr>
          <w:rFonts w:eastAsia="Times New Roman" w:cstheme="minorHAnsi"/>
          <w:color w:val="000000" w:themeColor="text1"/>
          <w:sz w:val="22"/>
          <w:szCs w:val="22"/>
        </w:rPr>
        <w:t>[</w:t>
      </w:r>
      <w:r w:rsidRPr="00822756">
        <w:rPr>
          <w:rFonts w:eastAsia="Times New Roman" w:cstheme="minorHAnsi"/>
          <w:color w:val="000000" w:themeColor="text1"/>
          <w:sz w:val="22"/>
          <w:szCs w:val="22"/>
        </w:rPr>
        <w:t>the] prompt or current shipment.” This rule changes the rule we just learned in subsection (1)(</w:t>
      </w:r>
      <w:r w:rsidR="00821EE9" w:rsidRPr="00822756">
        <w:rPr>
          <w:rFonts w:eastAsia="Times New Roman" w:cstheme="minorHAnsi"/>
          <w:color w:val="000000" w:themeColor="text1"/>
          <w:sz w:val="22"/>
          <w:szCs w:val="22"/>
        </w:rPr>
        <w:t>a</w:t>
      </w:r>
      <w:r w:rsidRPr="00822756">
        <w:rPr>
          <w:rFonts w:eastAsia="Times New Roman" w:cstheme="minorHAnsi"/>
          <w:color w:val="000000" w:themeColor="text1"/>
          <w:sz w:val="22"/>
          <w:szCs w:val="22"/>
        </w:rPr>
        <w:t>)</w:t>
      </w:r>
      <w:r w:rsidR="00DC4455" w:rsidRPr="00822756">
        <w:rPr>
          <w:rFonts w:eastAsia="Times New Roman" w:cstheme="minorHAnsi"/>
          <w:color w:val="000000" w:themeColor="text1"/>
          <w:sz w:val="22"/>
          <w:szCs w:val="22"/>
        </w:rPr>
        <w:t xml:space="preserve"> regarding the manner of acceptance</w:t>
      </w:r>
      <w:r w:rsidRPr="00822756">
        <w:rPr>
          <w:rFonts w:eastAsia="Times New Roman" w:cstheme="minorHAnsi"/>
          <w:color w:val="000000" w:themeColor="text1"/>
          <w:sz w:val="22"/>
          <w:szCs w:val="22"/>
        </w:rPr>
        <w:t xml:space="preserve">. The rule kicks in when the offer invites the shipment of goods. That sounds like the manner of acceptance would be performance – the shipment of the goods. But the rule tells us that the offer can be accepted either by promise </w:t>
      </w:r>
      <w:r w:rsidR="000F61CE" w:rsidRPr="00822756">
        <w:rPr>
          <w:rFonts w:eastAsia="Times New Roman" w:cstheme="minorHAnsi"/>
          <w:color w:val="000000" w:themeColor="text1"/>
          <w:sz w:val="22"/>
          <w:szCs w:val="22"/>
        </w:rPr>
        <w:t xml:space="preserve">to ship </w:t>
      </w:r>
      <w:r w:rsidRPr="00822756">
        <w:rPr>
          <w:rFonts w:eastAsia="Times New Roman" w:cstheme="minorHAnsi"/>
          <w:color w:val="000000" w:themeColor="text1"/>
          <w:sz w:val="22"/>
          <w:szCs w:val="22"/>
        </w:rPr>
        <w:t xml:space="preserve">or </w:t>
      </w:r>
      <w:r w:rsidR="000F61CE" w:rsidRPr="00822756">
        <w:rPr>
          <w:rFonts w:eastAsia="Times New Roman" w:cstheme="minorHAnsi"/>
          <w:color w:val="000000" w:themeColor="text1"/>
          <w:sz w:val="22"/>
          <w:szCs w:val="22"/>
        </w:rPr>
        <w:t xml:space="preserve">by the </w:t>
      </w:r>
      <w:r w:rsidRPr="00822756">
        <w:rPr>
          <w:rFonts w:eastAsia="Times New Roman" w:cstheme="minorHAnsi"/>
          <w:color w:val="000000" w:themeColor="text1"/>
          <w:sz w:val="22"/>
          <w:szCs w:val="22"/>
        </w:rPr>
        <w:t>performance</w:t>
      </w:r>
      <w:r w:rsidR="000F61CE" w:rsidRPr="00822756">
        <w:rPr>
          <w:rFonts w:eastAsia="Times New Roman" w:cstheme="minorHAnsi"/>
          <w:color w:val="000000" w:themeColor="text1"/>
          <w:sz w:val="22"/>
          <w:szCs w:val="22"/>
        </w:rPr>
        <w:t xml:space="preserve"> of shipping</w:t>
      </w:r>
      <w:r w:rsidRPr="00822756">
        <w:rPr>
          <w:rFonts w:eastAsia="Times New Roman" w:cstheme="minorHAnsi"/>
          <w:color w:val="000000" w:themeColor="text1"/>
          <w:sz w:val="22"/>
          <w:szCs w:val="22"/>
        </w:rPr>
        <w:t xml:space="preserve">. So if a buyer sends an email to a seller that states, “Please ship me 100 cases of Beck’s beer,” the seller can accept either by </w:t>
      </w:r>
      <w:r w:rsidR="00DC4455" w:rsidRPr="00822756">
        <w:rPr>
          <w:rFonts w:eastAsia="Times New Roman" w:cstheme="minorHAnsi"/>
          <w:color w:val="000000" w:themeColor="text1"/>
          <w:sz w:val="22"/>
          <w:szCs w:val="22"/>
        </w:rPr>
        <w:t xml:space="preserve">the performance of </w:t>
      </w:r>
      <w:r w:rsidRPr="00822756">
        <w:rPr>
          <w:rFonts w:eastAsia="Times New Roman" w:cstheme="minorHAnsi"/>
          <w:color w:val="000000" w:themeColor="text1"/>
          <w:sz w:val="22"/>
          <w:szCs w:val="22"/>
        </w:rPr>
        <w:t xml:space="preserve">actually shipping the beer or by </w:t>
      </w:r>
      <w:r w:rsidR="007231B1" w:rsidRPr="00822756">
        <w:rPr>
          <w:rFonts w:eastAsia="Times New Roman" w:cstheme="minorHAnsi"/>
          <w:color w:val="000000" w:themeColor="text1"/>
          <w:sz w:val="22"/>
          <w:szCs w:val="22"/>
        </w:rPr>
        <w:t xml:space="preserve">promising to ship it, such as by </w:t>
      </w:r>
      <w:r w:rsidRPr="00822756">
        <w:rPr>
          <w:rFonts w:eastAsia="Times New Roman" w:cstheme="minorHAnsi"/>
          <w:color w:val="000000" w:themeColor="text1"/>
          <w:sz w:val="22"/>
          <w:szCs w:val="22"/>
        </w:rPr>
        <w:t>sending an email that states, “We accept your offer. The beer will be shipped tomorrow.”</w:t>
      </w:r>
    </w:p>
    <w:p w14:paraId="5DE4EA62" w14:textId="6E9FFD70" w:rsidR="00B21527" w:rsidRPr="00822756" w:rsidRDefault="00B21527" w:rsidP="009247BE">
      <w:pPr>
        <w:spacing w:after="150"/>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lastRenderedPageBreak/>
        <w:t xml:space="preserve">This might be a good time to look at </w:t>
      </w:r>
      <w:r w:rsidR="00D376CE" w:rsidRPr="00822756">
        <w:rPr>
          <w:rFonts w:eastAsia="Times New Roman" w:cstheme="minorHAnsi"/>
          <w:color w:val="000000" w:themeColor="text1"/>
          <w:sz w:val="22"/>
          <w:szCs w:val="22"/>
        </w:rPr>
        <w:t>s</w:t>
      </w:r>
      <w:r w:rsidRPr="00822756">
        <w:rPr>
          <w:rFonts w:eastAsia="Times New Roman" w:cstheme="minorHAnsi"/>
          <w:color w:val="000000" w:themeColor="text1"/>
          <w:sz w:val="22"/>
          <w:szCs w:val="22"/>
        </w:rPr>
        <w:t xml:space="preserve">ubsection </w:t>
      </w:r>
      <w:r w:rsidR="00D376CE" w:rsidRPr="00822756">
        <w:rPr>
          <w:rFonts w:eastAsia="Times New Roman" w:cstheme="minorHAnsi"/>
          <w:color w:val="000000" w:themeColor="text1"/>
          <w:sz w:val="22"/>
          <w:szCs w:val="22"/>
        </w:rPr>
        <w:t>(</w:t>
      </w:r>
      <w:r w:rsidRPr="00822756">
        <w:rPr>
          <w:rFonts w:eastAsia="Times New Roman" w:cstheme="minorHAnsi"/>
          <w:color w:val="000000" w:themeColor="text1"/>
          <w:sz w:val="22"/>
          <w:szCs w:val="22"/>
        </w:rPr>
        <w:t>2</w:t>
      </w:r>
      <w:r w:rsidR="00D376CE" w:rsidRPr="00822756">
        <w:rPr>
          <w:rFonts w:eastAsia="Times New Roman" w:cstheme="minorHAnsi"/>
          <w:color w:val="000000" w:themeColor="text1"/>
          <w:sz w:val="22"/>
          <w:szCs w:val="22"/>
        </w:rPr>
        <w:t>)</w:t>
      </w:r>
      <w:r w:rsidRPr="00822756">
        <w:rPr>
          <w:rFonts w:eastAsia="Times New Roman" w:cstheme="minorHAnsi"/>
          <w:color w:val="000000" w:themeColor="text1"/>
          <w:sz w:val="22"/>
          <w:szCs w:val="22"/>
        </w:rPr>
        <w:t xml:space="preserve">. As a practical matter, one of the problems with acceptance by performance is that the offeror does not know if the offeree </w:t>
      </w:r>
      <w:r w:rsidR="00F66F23" w:rsidRPr="00822756">
        <w:rPr>
          <w:rFonts w:eastAsia="Times New Roman" w:cstheme="minorHAnsi"/>
          <w:color w:val="000000" w:themeColor="text1"/>
          <w:sz w:val="22"/>
          <w:szCs w:val="22"/>
        </w:rPr>
        <w:t xml:space="preserve">is </w:t>
      </w:r>
      <w:r w:rsidRPr="00822756">
        <w:rPr>
          <w:rFonts w:eastAsia="Times New Roman" w:cstheme="minorHAnsi"/>
          <w:color w:val="000000" w:themeColor="text1"/>
          <w:sz w:val="22"/>
          <w:szCs w:val="22"/>
        </w:rPr>
        <w:t>accept</w:t>
      </w:r>
      <w:r w:rsidR="00DC4455" w:rsidRPr="00822756">
        <w:rPr>
          <w:rFonts w:eastAsia="Times New Roman" w:cstheme="minorHAnsi"/>
          <w:color w:val="000000" w:themeColor="text1"/>
          <w:sz w:val="22"/>
          <w:szCs w:val="22"/>
        </w:rPr>
        <w:t>ing</w:t>
      </w:r>
      <w:r w:rsidRPr="00822756">
        <w:rPr>
          <w:rFonts w:eastAsia="Times New Roman" w:cstheme="minorHAnsi"/>
          <w:color w:val="000000" w:themeColor="text1"/>
          <w:sz w:val="22"/>
          <w:szCs w:val="22"/>
        </w:rPr>
        <w:t xml:space="preserve"> or not. In our hypothetical, the buyer would like to know whether </w:t>
      </w:r>
      <w:r w:rsidR="007231B1" w:rsidRPr="00822756">
        <w:rPr>
          <w:rFonts w:eastAsia="Times New Roman" w:cstheme="minorHAnsi"/>
          <w:color w:val="000000" w:themeColor="text1"/>
          <w:sz w:val="22"/>
          <w:szCs w:val="22"/>
        </w:rPr>
        <w:t>it</w:t>
      </w:r>
      <w:r w:rsidRPr="00822756">
        <w:rPr>
          <w:rFonts w:eastAsia="Times New Roman" w:cstheme="minorHAnsi"/>
          <w:color w:val="000000" w:themeColor="text1"/>
          <w:sz w:val="22"/>
          <w:szCs w:val="22"/>
        </w:rPr>
        <w:t xml:space="preserve"> is going to get the beer. So subsection </w:t>
      </w:r>
      <w:r w:rsidR="00D376CE" w:rsidRPr="00822756">
        <w:rPr>
          <w:rFonts w:eastAsia="Times New Roman" w:cstheme="minorHAnsi"/>
          <w:color w:val="000000" w:themeColor="text1"/>
          <w:sz w:val="22"/>
          <w:szCs w:val="22"/>
        </w:rPr>
        <w:t>(</w:t>
      </w:r>
      <w:r w:rsidRPr="00822756">
        <w:rPr>
          <w:rFonts w:eastAsia="Times New Roman" w:cstheme="minorHAnsi"/>
          <w:color w:val="000000" w:themeColor="text1"/>
          <w:sz w:val="22"/>
          <w:szCs w:val="22"/>
        </w:rPr>
        <w:t>2</w:t>
      </w:r>
      <w:r w:rsidR="00D376CE" w:rsidRPr="00822756">
        <w:rPr>
          <w:rFonts w:eastAsia="Times New Roman" w:cstheme="minorHAnsi"/>
          <w:color w:val="000000" w:themeColor="text1"/>
          <w:sz w:val="22"/>
          <w:szCs w:val="22"/>
        </w:rPr>
        <w:t>)</w:t>
      </w:r>
      <w:r w:rsidRPr="00822756">
        <w:rPr>
          <w:rFonts w:eastAsia="Times New Roman" w:cstheme="minorHAnsi"/>
          <w:color w:val="000000" w:themeColor="text1"/>
          <w:sz w:val="22"/>
          <w:szCs w:val="22"/>
        </w:rPr>
        <w:t xml:space="preserve"> tells us that if the offeree does not give the offeror reasonable notice, then the offeror can treat the offer as having lapsed and can look elsewhere for the goods. When you study Article 2 in greater depth, you will learn that </w:t>
      </w:r>
      <w:r w:rsidR="003740B4" w:rsidRPr="00822756">
        <w:rPr>
          <w:rFonts w:eastAsia="Times New Roman" w:cstheme="minorHAnsi"/>
          <w:color w:val="000000" w:themeColor="text1"/>
          <w:sz w:val="22"/>
          <w:szCs w:val="22"/>
        </w:rPr>
        <w:t xml:space="preserve">when the parties enter into a shipment contract, one of the requirements is that the seller inform the buyer that the goods have been shipped. </w:t>
      </w:r>
      <w:r w:rsidR="003740B4" w:rsidRPr="00915464">
        <w:rPr>
          <w:rFonts w:eastAsia="Times New Roman" w:cstheme="minorHAnsi"/>
          <w:i/>
          <w:color w:val="000000" w:themeColor="text1"/>
          <w:sz w:val="22"/>
          <w:szCs w:val="22"/>
        </w:rPr>
        <w:t>See</w:t>
      </w:r>
      <w:r w:rsidR="003740B4" w:rsidRPr="00822756">
        <w:rPr>
          <w:rFonts w:eastAsia="Times New Roman" w:cstheme="minorHAnsi"/>
          <w:color w:val="000000" w:themeColor="text1"/>
          <w:sz w:val="22"/>
          <w:szCs w:val="22"/>
        </w:rPr>
        <w:t xml:space="preserve"> § </w:t>
      </w:r>
      <w:r w:rsidR="00C90C4D" w:rsidRPr="00822756">
        <w:rPr>
          <w:rFonts w:eastAsia="Times New Roman" w:cstheme="minorHAnsi"/>
          <w:color w:val="000000" w:themeColor="text1"/>
          <w:sz w:val="22"/>
          <w:szCs w:val="22"/>
        </w:rPr>
        <w:t>2-504</w:t>
      </w:r>
      <w:r w:rsidR="003740B4" w:rsidRPr="00822756">
        <w:rPr>
          <w:rFonts w:eastAsia="Times New Roman" w:cstheme="minorHAnsi"/>
          <w:color w:val="000000" w:themeColor="text1"/>
          <w:sz w:val="22"/>
          <w:szCs w:val="22"/>
        </w:rPr>
        <w:t xml:space="preserve">. Note that in many common law cases involving acceptance by performance notice is not necessarily required. That is because many of those cases involve contests or </w:t>
      </w:r>
      <w:r w:rsidR="007231B1" w:rsidRPr="00822756">
        <w:rPr>
          <w:rFonts w:eastAsia="Times New Roman" w:cstheme="minorHAnsi"/>
          <w:color w:val="000000" w:themeColor="text1"/>
          <w:sz w:val="22"/>
          <w:szCs w:val="22"/>
        </w:rPr>
        <w:t>rewards</w:t>
      </w:r>
      <w:r w:rsidR="003740B4" w:rsidRPr="00822756">
        <w:rPr>
          <w:rFonts w:eastAsia="Times New Roman" w:cstheme="minorHAnsi"/>
          <w:color w:val="000000" w:themeColor="text1"/>
          <w:sz w:val="22"/>
          <w:szCs w:val="22"/>
        </w:rPr>
        <w:t xml:space="preserve"> where the offeror would not reasonably expect notice. But in a commercial case, a buyer of goods usually needs to know that the goods are coming.</w:t>
      </w:r>
      <w:r w:rsidR="00D376CE" w:rsidRPr="00822756">
        <w:rPr>
          <w:rFonts w:eastAsia="Times New Roman" w:cstheme="minorHAnsi"/>
          <w:color w:val="000000" w:themeColor="text1"/>
          <w:sz w:val="22"/>
          <w:szCs w:val="22"/>
        </w:rPr>
        <w:t xml:space="preserve"> So here the Code rule differs from the common law rule.</w:t>
      </w:r>
    </w:p>
    <w:p w14:paraId="058F8BA4" w14:textId="00D9DF9A" w:rsidR="003740B4" w:rsidRPr="00822756" w:rsidRDefault="003740B4" w:rsidP="009247BE">
      <w:pPr>
        <w:spacing w:after="150"/>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t xml:space="preserve">Let’s </w:t>
      </w:r>
      <w:r w:rsidR="00070FEC">
        <w:rPr>
          <w:rFonts w:eastAsia="Times New Roman" w:cstheme="minorHAnsi"/>
          <w:color w:val="000000" w:themeColor="text1"/>
          <w:sz w:val="22"/>
          <w:szCs w:val="22"/>
        </w:rPr>
        <w:t xml:space="preserve">now </w:t>
      </w:r>
      <w:r w:rsidRPr="00822756">
        <w:rPr>
          <w:rFonts w:eastAsia="Times New Roman" w:cstheme="minorHAnsi"/>
          <w:color w:val="000000" w:themeColor="text1"/>
          <w:sz w:val="22"/>
          <w:szCs w:val="22"/>
        </w:rPr>
        <w:t>return to subsection (1)(b). Picking up where we left off, it tells us that the offer may be accepted by the shipment “of conforming or non-conforming goods</w:t>
      </w:r>
      <w:r w:rsidR="00D376CE" w:rsidRPr="00822756">
        <w:rPr>
          <w:rFonts w:eastAsia="Times New Roman" w:cstheme="minorHAnsi"/>
          <w:color w:val="000000" w:themeColor="text1"/>
          <w:sz w:val="22"/>
          <w:szCs w:val="22"/>
        </w:rPr>
        <w:t xml:space="preserve">.” </w:t>
      </w:r>
      <w:r w:rsidRPr="00822756">
        <w:rPr>
          <w:rFonts w:eastAsia="Times New Roman" w:cstheme="minorHAnsi"/>
          <w:color w:val="000000" w:themeColor="text1"/>
          <w:sz w:val="22"/>
          <w:szCs w:val="22"/>
        </w:rPr>
        <w:t xml:space="preserve">When the Code refers to conforming goods, it means goods that </w:t>
      </w:r>
      <w:r w:rsidR="00C64894" w:rsidRPr="00822756">
        <w:rPr>
          <w:rFonts w:eastAsia="Times New Roman" w:cstheme="minorHAnsi"/>
          <w:color w:val="000000" w:themeColor="text1"/>
          <w:sz w:val="22"/>
          <w:szCs w:val="22"/>
        </w:rPr>
        <w:t xml:space="preserve">are in accordance with the terms of the contract. </w:t>
      </w:r>
      <w:r w:rsidR="00C64894" w:rsidRPr="00915464">
        <w:rPr>
          <w:rFonts w:eastAsia="Times New Roman" w:cstheme="minorHAnsi"/>
          <w:i/>
          <w:color w:val="000000" w:themeColor="text1"/>
          <w:sz w:val="22"/>
          <w:szCs w:val="22"/>
        </w:rPr>
        <w:t>See</w:t>
      </w:r>
      <w:r w:rsidR="00C64894" w:rsidRPr="00822756">
        <w:rPr>
          <w:rFonts w:eastAsia="Times New Roman" w:cstheme="minorHAnsi"/>
          <w:color w:val="000000" w:themeColor="text1"/>
          <w:sz w:val="22"/>
          <w:szCs w:val="22"/>
        </w:rPr>
        <w:t xml:space="preserve"> § 2-106.</w:t>
      </w:r>
      <w:r w:rsidR="00D376CE" w:rsidRPr="00822756">
        <w:rPr>
          <w:rFonts w:eastAsia="Times New Roman" w:cstheme="minorHAnsi"/>
          <w:color w:val="000000" w:themeColor="text1"/>
          <w:sz w:val="22"/>
          <w:szCs w:val="22"/>
        </w:rPr>
        <w:t xml:space="preserve"> This rule is interesting because it changes the common law rule. </w:t>
      </w:r>
      <w:r w:rsidRPr="00822756">
        <w:rPr>
          <w:rFonts w:eastAsia="Times New Roman" w:cstheme="minorHAnsi"/>
          <w:color w:val="000000" w:themeColor="text1"/>
          <w:sz w:val="22"/>
          <w:szCs w:val="22"/>
        </w:rPr>
        <w:t>To see why th</w:t>
      </w:r>
      <w:r w:rsidR="00D376CE" w:rsidRPr="00822756">
        <w:rPr>
          <w:rFonts w:eastAsia="Times New Roman" w:cstheme="minorHAnsi"/>
          <w:color w:val="000000" w:themeColor="text1"/>
          <w:sz w:val="22"/>
          <w:szCs w:val="22"/>
        </w:rPr>
        <w:t>e rule was changed</w:t>
      </w:r>
      <w:r w:rsidRPr="00822756">
        <w:rPr>
          <w:rFonts w:eastAsia="Times New Roman" w:cstheme="minorHAnsi"/>
          <w:color w:val="000000" w:themeColor="text1"/>
          <w:sz w:val="22"/>
          <w:szCs w:val="22"/>
        </w:rPr>
        <w:t xml:space="preserve">, let’s return to our hypothetical. The offeror </w:t>
      </w:r>
      <w:r w:rsidR="00D376CE" w:rsidRPr="00822756">
        <w:rPr>
          <w:rFonts w:eastAsia="Times New Roman" w:cstheme="minorHAnsi"/>
          <w:color w:val="000000" w:themeColor="text1"/>
          <w:sz w:val="22"/>
          <w:szCs w:val="22"/>
        </w:rPr>
        <w:t>invites the shipment of</w:t>
      </w:r>
      <w:r w:rsidRPr="00822756">
        <w:rPr>
          <w:rFonts w:eastAsia="Times New Roman" w:cstheme="minorHAnsi"/>
          <w:color w:val="000000" w:themeColor="text1"/>
          <w:sz w:val="22"/>
          <w:szCs w:val="22"/>
        </w:rPr>
        <w:t xml:space="preserve"> 100 cases of Beck’s beer and the offeree ships 100 cases of Coors</w:t>
      </w:r>
      <w:r w:rsidR="007231B1" w:rsidRPr="00822756">
        <w:rPr>
          <w:rFonts w:eastAsia="Times New Roman" w:cstheme="minorHAnsi"/>
          <w:color w:val="000000" w:themeColor="text1"/>
          <w:sz w:val="22"/>
          <w:szCs w:val="22"/>
        </w:rPr>
        <w:t xml:space="preserve"> beer</w:t>
      </w:r>
      <w:r w:rsidRPr="00822756">
        <w:rPr>
          <w:rFonts w:eastAsia="Times New Roman" w:cstheme="minorHAnsi"/>
          <w:color w:val="000000" w:themeColor="text1"/>
          <w:sz w:val="22"/>
          <w:szCs w:val="22"/>
        </w:rPr>
        <w:t>. Is the offeree in breach? At common law the answer is no. Under the common law, the acceptance must be the mirror image of the offer and if it is not, then it is a counter-offer rather than an acceptance. So at common law, when the offeree shipped Coors, it was not accepting the offer</w:t>
      </w:r>
      <w:r w:rsidR="00D376CE" w:rsidRPr="00822756">
        <w:rPr>
          <w:rFonts w:eastAsia="Times New Roman" w:cstheme="minorHAnsi"/>
          <w:color w:val="000000" w:themeColor="text1"/>
          <w:sz w:val="22"/>
          <w:szCs w:val="22"/>
        </w:rPr>
        <w:t xml:space="preserve"> to ship Beck’s</w:t>
      </w:r>
      <w:r w:rsidRPr="00822756">
        <w:rPr>
          <w:rFonts w:eastAsia="Times New Roman" w:cstheme="minorHAnsi"/>
          <w:color w:val="000000" w:themeColor="text1"/>
          <w:sz w:val="22"/>
          <w:szCs w:val="22"/>
        </w:rPr>
        <w:t>. If an offer is not accepted, there is no contract. And if there is no contract there is no breach of contract. The offeree got away with what is called “the unilateral contract trick.”</w:t>
      </w:r>
    </w:p>
    <w:p w14:paraId="08F3E2C4" w14:textId="50F569C3" w:rsidR="003740B4" w:rsidRPr="00822756" w:rsidRDefault="003740B4" w:rsidP="009247BE">
      <w:pPr>
        <w:spacing w:after="150"/>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t xml:space="preserve">But the Code changes that rule, because it tells us that the offer can be accepted by the shipment of </w:t>
      </w:r>
      <w:r w:rsidRPr="00822756">
        <w:rPr>
          <w:rFonts w:eastAsia="Times New Roman" w:cstheme="minorHAnsi"/>
          <w:i/>
          <w:iCs/>
          <w:color w:val="000000" w:themeColor="text1"/>
          <w:sz w:val="22"/>
          <w:szCs w:val="22"/>
        </w:rPr>
        <w:t>either</w:t>
      </w:r>
      <w:r w:rsidRPr="00822756">
        <w:rPr>
          <w:rFonts w:eastAsia="Times New Roman" w:cstheme="minorHAnsi"/>
          <w:color w:val="000000" w:themeColor="text1"/>
          <w:sz w:val="22"/>
          <w:szCs w:val="22"/>
        </w:rPr>
        <w:t xml:space="preserve"> conforming or non-conforming goods</w:t>
      </w:r>
      <w:r w:rsidR="00821EE9" w:rsidRPr="00822756">
        <w:rPr>
          <w:rFonts w:eastAsia="Times New Roman" w:cstheme="minorHAnsi"/>
          <w:color w:val="000000" w:themeColor="text1"/>
          <w:sz w:val="22"/>
          <w:szCs w:val="22"/>
        </w:rPr>
        <w:t>. I</w:t>
      </w:r>
      <w:r w:rsidR="00E73C7E" w:rsidRPr="00822756">
        <w:rPr>
          <w:rFonts w:eastAsia="Times New Roman" w:cstheme="minorHAnsi"/>
          <w:color w:val="000000" w:themeColor="text1"/>
          <w:sz w:val="22"/>
          <w:szCs w:val="22"/>
        </w:rPr>
        <w:t xml:space="preserve">n our hypothetical, </w:t>
      </w:r>
      <w:r w:rsidR="00D376CE" w:rsidRPr="00822756">
        <w:rPr>
          <w:rFonts w:eastAsia="Times New Roman" w:cstheme="minorHAnsi"/>
          <w:color w:val="000000" w:themeColor="text1"/>
          <w:sz w:val="22"/>
          <w:szCs w:val="22"/>
        </w:rPr>
        <w:t xml:space="preserve">it can be accepted by </w:t>
      </w:r>
      <w:r w:rsidR="00E73C7E" w:rsidRPr="00822756">
        <w:rPr>
          <w:rFonts w:eastAsia="Times New Roman" w:cstheme="minorHAnsi"/>
          <w:color w:val="000000" w:themeColor="text1"/>
          <w:sz w:val="22"/>
          <w:szCs w:val="22"/>
        </w:rPr>
        <w:t>the shipment of either Beck</w:t>
      </w:r>
      <w:r w:rsidR="007231B1" w:rsidRPr="00822756">
        <w:rPr>
          <w:rFonts w:eastAsia="Times New Roman" w:cstheme="minorHAnsi"/>
          <w:color w:val="000000" w:themeColor="text1"/>
          <w:sz w:val="22"/>
          <w:szCs w:val="22"/>
        </w:rPr>
        <w:t>’</w:t>
      </w:r>
      <w:r w:rsidR="00E73C7E" w:rsidRPr="00822756">
        <w:rPr>
          <w:rFonts w:eastAsia="Times New Roman" w:cstheme="minorHAnsi"/>
          <w:color w:val="000000" w:themeColor="text1"/>
          <w:sz w:val="22"/>
          <w:szCs w:val="22"/>
        </w:rPr>
        <w:t>s or Coors. So when it ship</w:t>
      </w:r>
      <w:r w:rsidR="00D376CE" w:rsidRPr="00822756">
        <w:rPr>
          <w:rFonts w:eastAsia="Times New Roman" w:cstheme="minorHAnsi"/>
          <w:color w:val="000000" w:themeColor="text1"/>
          <w:sz w:val="22"/>
          <w:szCs w:val="22"/>
        </w:rPr>
        <w:t>ped</w:t>
      </w:r>
      <w:r w:rsidR="00E73C7E" w:rsidRPr="00822756">
        <w:rPr>
          <w:rFonts w:eastAsia="Times New Roman" w:cstheme="minorHAnsi"/>
          <w:color w:val="000000" w:themeColor="text1"/>
          <w:sz w:val="22"/>
          <w:szCs w:val="22"/>
        </w:rPr>
        <w:t xml:space="preserve"> Coors, the offeree has accepted an offer to ship Beck</w:t>
      </w:r>
      <w:r w:rsidR="007231B1" w:rsidRPr="00822756">
        <w:rPr>
          <w:rFonts w:eastAsia="Times New Roman" w:cstheme="minorHAnsi"/>
          <w:color w:val="000000" w:themeColor="text1"/>
          <w:sz w:val="22"/>
          <w:szCs w:val="22"/>
        </w:rPr>
        <w:t>’</w:t>
      </w:r>
      <w:r w:rsidR="00E73C7E" w:rsidRPr="00822756">
        <w:rPr>
          <w:rFonts w:eastAsia="Times New Roman" w:cstheme="minorHAnsi"/>
          <w:color w:val="000000" w:themeColor="text1"/>
          <w:sz w:val="22"/>
          <w:szCs w:val="22"/>
        </w:rPr>
        <w:t xml:space="preserve">s, thus forming a contract for the sale of Becks, and at the same time </w:t>
      </w:r>
      <w:r w:rsidR="007231B1" w:rsidRPr="00822756">
        <w:rPr>
          <w:rFonts w:eastAsia="Times New Roman" w:cstheme="minorHAnsi"/>
          <w:color w:val="000000" w:themeColor="text1"/>
          <w:sz w:val="22"/>
          <w:szCs w:val="22"/>
        </w:rPr>
        <w:t>the offeree has b</w:t>
      </w:r>
      <w:r w:rsidR="00E73C7E" w:rsidRPr="00822756">
        <w:rPr>
          <w:rFonts w:eastAsia="Times New Roman" w:cstheme="minorHAnsi"/>
          <w:color w:val="000000" w:themeColor="text1"/>
          <w:sz w:val="22"/>
          <w:szCs w:val="22"/>
        </w:rPr>
        <w:t>reached that contract by shipping Coors. Pretty clever, eh?</w:t>
      </w:r>
    </w:p>
    <w:p w14:paraId="6C6A00EB" w14:textId="70487478" w:rsidR="00E73C7E" w:rsidRPr="00822756" w:rsidRDefault="00E73C7E" w:rsidP="009247BE">
      <w:pPr>
        <w:spacing w:before="100" w:beforeAutospacing="1" w:after="100" w:afterAutospacing="1"/>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t xml:space="preserve">But wait – there’s more. </w:t>
      </w:r>
      <w:r w:rsidR="00F66F23" w:rsidRPr="00822756">
        <w:rPr>
          <w:rFonts w:eastAsia="Times New Roman" w:cstheme="minorHAnsi"/>
          <w:color w:val="000000" w:themeColor="text1"/>
          <w:sz w:val="22"/>
          <w:szCs w:val="22"/>
        </w:rPr>
        <w:t xml:space="preserve">You can count on the Code to be practical. </w:t>
      </w:r>
      <w:r w:rsidRPr="00822756">
        <w:rPr>
          <w:rFonts w:eastAsia="Times New Roman" w:cstheme="minorHAnsi"/>
          <w:color w:val="000000" w:themeColor="text1"/>
          <w:sz w:val="22"/>
          <w:szCs w:val="22"/>
        </w:rPr>
        <w:t>What if the offeree was not trying to pull a fast one but was out of Beck</w:t>
      </w:r>
      <w:r w:rsidR="007231B1" w:rsidRPr="00822756">
        <w:rPr>
          <w:rFonts w:eastAsia="Times New Roman" w:cstheme="minorHAnsi"/>
          <w:color w:val="000000" w:themeColor="text1"/>
          <w:sz w:val="22"/>
          <w:szCs w:val="22"/>
        </w:rPr>
        <w:t>’</w:t>
      </w:r>
      <w:r w:rsidRPr="00822756">
        <w:rPr>
          <w:rFonts w:eastAsia="Times New Roman" w:cstheme="minorHAnsi"/>
          <w:color w:val="000000" w:themeColor="text1"/>
          <w:sz w:val="22"/>
          <w:szCs w:val="22"/>
        </w:rPr>
        <w:t>s and thought the buyer would rather have Coors than no beer at all</w:t>
      </w:r>
      <w:r w:rsidR="007231B1" w:rsidRPr="00822756">
        <w:rPr>
          <w:rFonts w:eastAsia="Times New Roman" w:cstheme="minorHAnsi"/>
          <w:color w:val="000000" w:themeColor="text1"/>
          <w:sz w:val="22"/>
          <w:szCs w:val="22"/>
        </w:rPr>
        <w:t xml:space="preserve">? </w:t>
      </w:r>
      <w:r w:rsidRPr="00822756">
        <w:rPr>
          <w:rFonts w:eastAsia="Times New Roman" w:cstheme="minorHAnsi"/>
          <w:color w:val="000000" w:themeColor="text1"/>
          <w:sz w:val="22"/>
          <w:szCs w:val="22"/>
        </w:rPr>
        <w:t>The last part of the subsection tells us that “such a shipment of non-conforming goods does not constitute an acceptance if the seller seasonably notifies the buyer that the shipment is offered only as an accommodation to the buyer.” So if the seller ships the Coors along with a notice that it was just trying to accommodate the buyer, then the shipment of Coors is not an acceptance. What is it? As with the common law, it is a counter-offer, and the buyer is free to accept it or not.</w:t>
      </w:r>
    </w:p>
    <w:p w14:paraId="3D2713E0" w14:textId="663E465B" w:rsidR="00D376CE" w:rsidRPr="00822756" w:rsidRDefault="00BB1B84" w:rsidP="009247BE">
      <w:pPr>
        <w:spacing w:before="100" w:beforeAutospacing="1" w:after="100" w:afterAutospacing="1"/>
        <w:jc w:val="both"/>
        <w:rPr>
          <w:rFonts w:eastAsia="Times New Roman" w:cstheme="minorHAnsi"/>
          <w:color w:val="000000" w:themeColor="text1"/>
          <w:sz w:val="22"/>
          <w:szCs w:val="22"/>
        </w:rPr>
      </w:pPr>
      <w:r w:rsidRPr="00822756">
        <w:rPr>
          <w:rFonts w:eastAsia="Times New Roman" w:cstheme="minorHAnsi"/>
          <w:color w:val="000000" w:themeColor="text1"/>
          <w:sz w:val="22"/>
          <w:szCs w:val="22"/>
        </w:rPr>
        <w:t>In summary, r</w:t>
      </w:r>
      <w:r w:rsidR="00D376CE" w:rsidRPr="00822756">
        <w:rPr>
          <w:rFonts w:eastAsia="Times New Roman" w:cstheme="minorHAnsi"/>
          <w:color w:val="000000" w:themeColor="text1"/>
          <w:sz w:val="22"/>
          <w:szCs w:val="22"/>
        </w:rPr>
        <w:t>emember that we apply § 2-206 only to a transaction in goods. When we apply Article 2 of the Code, we often apply rules and definitions from Article 1. And be aware that the Code may change the common law rules.</w:t>
      </w:r>
      <w:r w:rsidR="00026671" w:rsidRPr="00822756">
        <w:rPr>
          <w:rFonts w:eastAsia="Times New Roman" w:cstheme="minorHAnsi"/>
          <w:color w:val="000000" w:themeColor="text1"/>
          <w:sz w:val="22"/>
          <w:szCs w:val="22"/>
        </w:rPr>
        <w:t xml:space="preserve"> Section 2-206 does just that by permitting acceptance to be made in any manner and medium reasonable under the circumstances, but </w:t>
      </w:r>
      <w:r w:rsidR="00821EE9" w:rsidRPr="00822756">
        <w:rPr>
          <w:rFonts w:eastAsia="Times New Roman" w:cstheme="minorHAnsi"/>
          <w:color w:val="000000" w:themeColor="text1"/>
          <w:sz w:val="22"/>
          <w:szCs w:val="22"/>
        </w:rPr>
        <w:t>it s</w:t>
      </w:r>
      <w:r w:rsidR="00026671" w:rsidRPr="00822756">
        <w:rPr>
          <w:rFonts w:eastAsia="Times New Roman" w:cstheme="minorHAnsi"/>
          <w:color w:val="000000" w:themeColor="text1"/>
          <w:sz w:val="22"/>
          <w:szCs w:val="22"/>
        </w:rPr>
        <w:t xml:space="preserve">pecifically </w:t>
      </w:r>
      <w:r w:rsidR="00515704" w:rsidRPr="00822756">
        <w:rPr>
          <w:rFonts w:eastAsia="Times New Roman" w:cstheme="minorHAnsi"/>
          <w:color w:val="000000" w:themeColor="text1"/>
          <w:sz w:val="22"/>
          <w:szCs w:val="22"/>
        </w:rPr>
        <w:t>stat</w:t>
      </w:r>
      <w:r w:rsidR="00821EE9" w:rsidRPr="00822756">
        <w:rPr>
          <w:rFonts w:eastAsia="Times New Roman" w:cstheme="minorHAnsi"/>
          <w:color w:val="000000" w:themeColor="text1"/>
          <w:sz w:val="22"/>
          <w:szCs w:val="22"/>
        </w:rPr>
        <w:t>es</w:t>
      </w:r>
      <w:r w:rsidR="00515704" w:rsidRPr="00822756">
        <w:rPr>
          <w:rFonts w:eastAsia="Times New Roman" w:cstheme="minorHAnsi"/>
          <w:color w:val="000000" w:themeColor="text1"/>
          <w:sz w:val="22"/>
          <w:szCs w:val="22"/>
        </w:rPr>
        <w:t xml:space="preserve"> that 1) an offer t</w:t>
      </w:r>
      <w:r w:rsidR="00821EE9" w:rsidRPr="00822756">
        <w:rPr>
          <w:rFonts w:eastAsia="Times New Roman" w:cstheme="minorHAnsi"/>
          <w:color w:val="000000" w:themeColor="text1"/>
          <w:sz w:val="22"/>
          <w:szCs w:val="22"/>
        </w:rPr>
        <w:t>hat invites the seller to ship the</w:t>
      </w:r>
      <w:r w:rsidR="00515704" w:rsidRPr="00822756">
        <w:rPr>
          <w:rFonts w:eastAsia="Times New Roman" w:cstheme="minorHAnsi"/>
          <w:color w:val="000000" w:themeColor="text1"/>
          <w:sz w:val="22"/>
          <w:szCs w:val="22"/>
        </w:rPr>
        <w:t xml:space="preserve"> goods can also be accepted by a </w:t>
      </w:r>
      <w:r w:rsidR="00026671" w:rsidRPr="00822756">
        <w:rPr>
          <w:rFonts w:eastAsia="Times New Roman" w:cstheme="minorHAnsi"/>
          <w:color w:val="000000" w:themeColor="text1"/>
          <w:sz w:val="22"/>
          <w:szCs w:val="22"/>
        </w:rPr>
        <w:t>promise to ship</w:t>
      </w:r>
      <w:r w:rsidR="00821EE9" w:rsidRPr="00822756">
        <w:rPr>
          <w:rFonts w:eastAsia="Times New Roman" w:cstheme="minorHAnsi"/>
          <w:color w:val="000000" w:themeColor="text1"/>
          <w:sz w:val="22"/>
          <w:szCs w:val="22"/>
        </w:rPr>
        <w:t xml:space="preserve"> them</w:t>
      </w:r>
      <w:r w:rsidR="00515704" w:rsidRPr="00822756">
        <w:rPr>
          <w:rFonts w:eastAsia="Times New Roman" w:cstheme="minorHAnsi"/>
          <w:color w:val="000000" w:themeColor="text1"/>
          <w:sz w:val="22"/>
          <w:szCs w:val="22"/>
        </w:rPr>
        <w:t xml:space="preserve">, and 2) if the offeree does accept by </w:t>
      </w:r>
      <w:r w:rsidR="00026671" w:rsidRPr="00822756">
        <w:rPr>
          <w:rFonts w:eastAsia="Times New Roman" w:cstheme="minorHAnsi"/>
          <w:color w:val="000000" w:themeColor="text1"/>
          <w:sz w:val="22"/>
          <w:szCs w:val="22"/>
        </w:rPr>
        <w:t>shipment</w:t>
      </w:r>
      <w:r w:rsidR="00515704" w:rsidRPr="00822756">
        <w:rPr>
          <w:rFonts w:eastAsia="Times New Roman" w:cstheme="minorHAnsi"/>
          <w:color w:val="000000" w:themeColor="text1"/>
          <w:sz w:val="22"/>
          <w:szCs w:val="22"/>
        </w:rPr>
        <w:t xml:space="preserve">, it is an </w:t>
      </w:r>
      <w:r w:rsidR="00026671" w:rsidRPr="00822756">
        <w:rPr>
          <w:rFonts w:eastAsia="Times New Roman" w:cstheme="minorHAnsi"/>
          <w:color w:val="000000" w:themeColor="text1"/>
          <w:sz w:val="22"/>
          <w:szCs w:val="22"/>
        </w:rPr>
        <w:t>acceptance</w:t>
      </w:r>
      <w:bookmarkStart w:id="0" w:name="_GoBack"/>
      <w:bookmarkEnd w:id="0"/>
      <w:r w:rsidR="00026671" w:rsidRPr="00822756">
        <w:rPr>
          <w:rFonts w:eastAsia="Times New Roman" w:cstheme="minorHAnsi"/>
          <w:color w:val="000000" w:themeColor="text1"/>
          <w:sz w:val="22"/>
          <w:szCs w:val="22"/>
        </w:rPr>
        <w:t xml:space="preserve"> even where the seller ships non-conforming goods.</w:t>
      </w:r>
    </w:p>
    <w:p w14:paraId="1E191B74" w14:textId="77777777" w:rsidR="009247BE" w:rsidRDefault="00B706E6" w:rsidP="009247BE">
      <w:pPr>
        <w:jc w:val="both"/>
        <w:rPr>
          <w:rFonts w:cstheme="minorHAnsi"/>
          <w:sz w:val="22"/>
          <w:szCs w:val="22"/>
        </w:rPr>
      </w:pPr>
      <w:r w:rsidRPr="00822756">
        <w:rPr>
          <w:rFonts w:cstheme="minorHAnsi"/>
          <w:sz w:val="22"/>
          <w:szCs w:val="22"/>
        </w:rPr>
        <w:t xml:space="preserve">I hope you’ve enjoyed this podcast on </w:t>
      </w:r>
      <w:r w:rsidR="00C3511E" w:rsidRPr="00822756">
        <w:rPr>
          <w:rFonts w:eastAsia="Times New Roman" w:cstheme="minorHAnsi"/>
          <w:color w:val="000000" w:themeColor="text1"/>
          <w:kern w:val="36"/>
          <w:sz w:val="22"/>
          <w:szCs w:val="22"/>
        </w:rPr>
        <w:t>UCC § 2-206, Offer and Acceptance in Formation of Contract</w:t>
      </w:r>
      <w:r w:rsidRPr="00822756">
        <w:rPr>
          <w:rFonts w:cstheme="minorHAnsi"/>
          <w:sz w:val="22"/>
          <w:szCs w:val="22"/>
        </w:rPr>
        <w:t>.</w:t>
      </w:r>
      <w:r w:rsidR="00C3511E" w:rsidRPr="00822756">
        <w:rPr>
          <w:rFonts w:cstheme="minorHAnsi"/>
          <w:sz w:val="22"/>
          <w:szCs w:val="22"/>
        </w:rPr>
        <w:t xml:space="preserve"> </w:t>
      </w:r>
    </w:p>
    <w:p w14:paraId="748BDB1E" w14:textId="443EEB5C" w:rsidR="00B706E6" w:rsidRDefault="00B706E6" w:rsidP="009247BE">
      <w:pPr>
        <w:jc w:val="both"/>
        <w:rPr>
          <w:rFonts w:cstheme="minorHAnsi"/>
          <w:sz w:val="22"/>
          <w:szCs w:val="22"/>
        </w:rPr>
      </w:pPr>
      <w:r w:rsidRPr="00822756">
        <w:rPr>
          <w:rFonts w:cstheme="minorHAnsi"/>
          <w:sz w:val="22"/>
          <w:szCs w:val="22"/>
        </w:rPr>
        <w:lastRenderedPageBreak/>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822756">
          <w:rPr>
            <w:rStyle w:val="Hyperlink"/>
            <w:rFonts w:cstheme="minorHAnsi"/>
            <w:sz w:val="22"/>
            <w:szCs w:val="22"/>
          </w:rPr>
          <w:t>Learning Music</w:t>
        </w:r>
      </w:hyperlink>
      <w:r w:rsidRPr="00822756">
        <w:rPr>
          <w:rFonts w:cstheme="minorHAnsi"/>
          <w:sz w:val="22"/>
          <w:szCs w:val="22"/>
        </w:rPr>
        <w:t>. Lawdibles are for educational purposes only. Please seek an attorney if you need legal advice.</w:t>
      </w:r>
    </w:p>
    <w:p w14:paraId="29414707" w14:textId="77777777" w:rsidR="00822756" w:rsidRPr="00822756" w:rsidRDefault="00822756" w:rsidP="009247BE">
      <w:pPr>
        <w:jc w:val="both"/>
        <w:rPr>
          <w:rFonts w:cstheme="minorHAnsi"/>
          <w:sz w:val="22"/>
          <w:szCs w:val="22"/>
        </w:rPr>
      </w:pPr>
    </w:p>
    <w:p w14:paraId="3461FE38" w14:textId="77777777" w:rsidR="00B706E6" w:rsidRPr="00822756" w:rsidRDefault="00B706E6" w:rsidP="009247BE">
      <w:pPr>
        <w:jc w:val="both"/>
        <w:rPr>
          <w:rFonts w:cstheme="minorHAnsi"/>
          <w:sz w:val="22"/>
          <w:szCs w:val="22"/>
        </w:rPr>
      </w:pPr>
      <w:r w:rsidRPr="00822756">
        <w:rPr>
          <w:rFonts w:cstheme="minorHAnsi"/>
          <w:sz w:val="22"/>
          <w:szCs w:val="22"/>
        </w:rPr>
        <w:t xml:space="preserve"> CREDIT: Ask Me No Question by Learning Music is licensed under an </w:t>
      </w:r>
      <w:hyperlink r:id="rId9" w:history="1">
        <w:r w:rsidRPr="00822756">
          <w:rPr>
            <w:rStyle w:val="Hyperlink"/>
            <w:rFonts w:cstheme="minorHAnsi"/>
            <w:sz w:val="22"/>
            <w:szCs w:val="22"/>
          </w:rPr>
          <w:t>Attribution-Noncommercial-Share Alike 3.0 United States License.</w:t>
        </w:r>
      </w:hyperlink>
    </w:p>
    <w:p w14:paraId="2E62689C" w14:textId="77777777" w:rsidR="00B706E6" w:rsidRPr="00822756" w:rsidRDefault="00B706E6" w:rsidP="009247BE">
      <w:pPr>
        <w:jc w:val="both"/>
        <w:rPr>
          <w:rFonts w:eastAsia="Times New Roman" w:cstheme="minorHAnsi"/>
          <w:color w:val="000000"/>
          <w:sz w:val="22"/>
          <w:szCs w:val="22"/>
          <w:bdr w:val="none" w:sz="0" w:space="0" w:color="auto" w:frame="1"/>
        </w:rPr>
      </w:pPr>
    </w:p>
    <w:p w14:paraId="02F6D77E" w14:textId="77777777" w:rsidR="00B706E6" w:rsidRPr="00822756" w:rsidRDefault="00B706E6" w:rsidP="009247BE">
      <w:pPr>
        <w:spacing w:before="100" w:beforeAutospacing="1" w:after="100" w:afterAutospacing="1"/>
        <w:jc w:val="both"/>
        <w:rPr>
          <w:rFonts w:eastAsia="Times New Roman" w:cstheme="minorHAnsi"/>
          <w:color w:val="000000" w:themeColor="text1"/>
          <w:sz w:val="22"/>
          <w:szCs w:val="22"/>
        </w:rPr>
      </w:pPr>
    </w:p>
    <w:p w14:paraId="5D529353" w14:textId="39B23421" w:rsidR="00E73C7E" w:rsidRPr="00822756" w:rsidRDefault="00E73C7E" w:rsidP="009247BE">
      <w:pPr>
        <w:spacing w:after="150"/>
        <w:jc w:val="both"/>
        <w:rPr>
          <w:rFonts w:eastAsia="Times New Roman" w:cstheme="minorHAnsi"/>
          <w:sz w:val="22"/>
          <w:szCs w:val="22"/>
        </w:rPr>
      </w:pPr>
    </w:p>
    <w:p w14:paraId="596A1AF6" w14:textId="677D656B" w:rsidR="00863FF4" w:rsidRPr="00822756" w:rsidRDefault="00863FF4" w:rsidP="009247BE">
      <w:pPr>
        <w:spacing w:before="300" w:after="150"/>
        <w:jc w:val="both"/>
        <w:outlineLvl w:val="0"/>
        <w:rPr>
          <w:rFonts w:eastAsia="Times New Roman" w:cstheme="minorHAnsi"/>
          <w:kern w:val="36"/>
          <w:sz w:val="22"/>
          <w:szCs w:val="22"/>
        </w:rPr>
      </w:pPr>
    </w:p>
    <w:p w14:paraId="283BC2DD" w14:textId="77777777" w:rsidR="00A65A66" w:rsidRPr="00822756" w:rsidRDefault="00A65A66" w:rsidP="009247BE">
      <w:pPr>
        <w:jc w:val="both"/>
        <w:rPr>
          <w:rFonts w:cstheme="minorHAnsi"/>
          <w:sz w:val="22"/>
          <w:szCs w:val="22"/>
        </w:rPr>
      </w:pPr>
    </w:p>
    <w:sectPr w:rsidR="00A65A66" w:rsidRPr="00822756" w:rsidSect="00DC303E">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AE5E1E" w16cid:durableId="233ED3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F57FC" w14:textId="77777777" w:rsidR="00822756" w:rsidRDefault="00822756" w:rsidP="00822756">
      <w:r>
        <w:separator/>
      </w:r>
    </w:p>
  </w:endnote>
  <w:endnote w:type="continuationSeparator" w:id="0">
    <w:p w14:paraId="63CD3A8C" w14:textId="77777777" w:rsidR="00822756" w:rsidRDefault="00822756" w:rsidP="0082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77AB" w14:textId="77777777" w:rsidR="00822756" w:rsidRDefault="00822756" w:rsidP="00822756">
    <w:pPr>
      <w:pStyle w:val="Footer"/>
      <w:ind w:right="360"/>
      <w:rPr>
        <w:rFonts w:cs="Arial"/>
        <w:color w:val="000000"/>
        <w:sz w:val="21"/>
        <w:szCs w:val="21"/>
      </w:rPr>
    </w:pPr>
  </w:p>
  <w:p w14:paraId="40F42C35" w14:textId="41FE26BC" w:rsidR="00822756" w:rsidRDefault="00822756" w:rsidP="00822756">
    <w:pPr>
      <w:pStyle w:val="Footer"/>
      <w:ind w:right="360"/>
      <w:rPr>
        <w:rFonts w:cs="Arial"/>
        <w:color w:val="000000"/>
        <w:sz w:val="21"/>
        <w:szCs w:val="21"/>
      </w:rPr>
    </w:pPr>
    <w:r>
      <w:rPr>
        <w:rFonts w:cs="Arial"/>
        <w:color w:val="000000"/>
        <w:sz w:val="21"/>
        <w:szCs w:val="21"/>
      </w:rPr>
      <w:t xml:space="preserve">Discussions in Contracts – </w:t>
    </w:r>
    <w:r w:rsidRPr="00822756">
      <w:rPr>
        <w:rFonts w:eastAsia="Times New Roman" w:cstheme="minorHAnsi"/>
        <w:color w:val="000000" w:themeColor="text1"/>
        <w:kern w:val="36"/>
        <w:sz w:val="22"/>
        <w:szCs w:val="22"/>
      </w:rPr>
      <w:t>UCC § 2-206, Offer and Acceptance in Formation of Contract</w:t>
    </w:r>
    <w:r>
      <w:rPr>
        <w:rFonts w:cs="Arial"/>
        <w:color w:val="000000"/>
        <w:sz w:val="21"/>
        <w:szCs w:val="21"/>
      </w:rPr>
      <w:tab/>
    </w:r>
    <w:r w:rsidRPr="007A7799">
      <w:rPr>
        <w:rFonts w:cs="Arial"/>
        <w:color w:val="000000"/>
        <w:sz w:val="21"/>
        <w:szCs w:val="21"/>
      </w:rPr>
      <w:t xml:space="preserve">Page </w:t>
    </w:r>
    <w:r w:rsidRPr="007A7799">
      <w:rPr>
        <w:rFonts w:cs="Arial"/>
        <w:b/>
        <w:bCs/>
        <w:color w:val="000000"/>
        <w:sz w:val="21"/>
        <w:szCs w:val="21"/>
      </w:rPr>
      <w:fldChar w:fldCharType="begin"/>
    </w:r>
    <w:r w:rsidRPr="007A7799">
      <w:rPr>
        <w:rFonts w:cs="Arial"/>
        <w:b/>
        <w:bCs/>
        <w:color w:val="000000"/>
        <w:sz w:val="21"/>
        <w:szCs w:val="21"/>
      </w:rPr>
      <w:instrText xml:space="preserve"> PAGE  \* Arabic  \* MERGEFORMAT </w:instrText>
    </w:r>
    <w:r w:rsidRPr="007A7799">
      <w:rPr>
        <w:rFonts w:cs="Arial"/>
        <w:b/>
        <w:bCs/>
        <w:color w:val="000000"/>
        <w:sz w:val="21"/>
        <w:szCs w:val="21"/>
      </w:rPr>
      <w:fldChar w:fldCharType="separate"/>
    </w:r>
    <w:r w:rsidR="00E03DD3">
      <w:rPr>
        <w:rFonts w:cs="Arial"/>
        <w:b/>
        <w:bCs/>
        <w:noProof/>
        <w:color w:val="000000"/>
        <w:sz w:val="21"/>
        <w:szCs w:val="21"/>
      </w:rPr>
      <w:t>3</w:t>
    </w:r>
    <w:r w:rsidRPr="007A7799">
      <w:rPr>
        <w:rFonts w:cs="Arial"/>
        <w:b/>
        <w:bCs/>
        <w:color w:val="000000"/>
        <w:sz w:val="21"/>
        <w:szCs w:val="21"/>
      </w:rPr>
      <w:fldChar w:fldCharType="end"/>
    </w:r>
    <w:r w:rsidRPr="007A7799">
      <w:rPr>
        <w:rFonts w:cs="Arial"/>
        <w:color w:val="000000"/>
        <w:sz w:val="21"/>
        <w:szCs w:val="21"/>
      </w:rPr>
      <w:t xml:space="preserve"> of </w:t>
    </w:r>
    <w:r w:rsidRPr="007A7799">
      <w:rPr>
        <w:rFonts w:cs="Arial"/>
        <w:b/>
        <w:bCs/>
        <w:color w:val="000000"/>
        <w:sz w:val="21"/>
        <w:szCs w:val="21"/>
      </w:rPr>
      <w:fldChar w:fldCharType="begin"/>
    </w:r>
    <w:r w:rsidRPr="007A7799">
      <w:rPr>
        <w:rFonts w:cs="Arial"/>
        <w:b/>
        <w:bCs/>
        <w:color w:val="000000"/>
        <w:sz w:val="21"/>
        <w:szCs w:val="21"/>
      </w:rPr>
      <w:instrText xml:space="preserve"> NUMPAGES  \* Arabic  \* MERGEFORMAT </w:instrText>
    </w:r>
    <w:r w:rsidRPr="007A7799">
      <w:rPr>
        <w:rFonts w:cs="Arial"/>
        <w:b/>
        <w:bCs/>
        <w:color w:val="000000"/>
        <w:sz w:val="21"/>
        <w:szCs w:val="21"/>
      </w:rPr>
      <w:fldChar w:fldCharType="separate"/>
    </w:r>
    <w:r w:rsidR="00E03DD3">
      <w:rPr>
        <w:rFonts w:cs="Arial"/>
        <w:b/>
        <w:bCs/>
        <w:noProof/>
        <w:color w:val="000000"/>
        <w:sz w:val="21"/>
        <w:szCs w:val="21"/>
      </w:rPr>
      <w:t>3</w:t>
    </w:r>
    <w:r w:rsidRPr="007A7799">
      <w:rPr>
        <w:rFonts w:cs="Arial"/>
        <w:b/>
        <w:bCs/>
        <w:color w:val="000000"/>
        <w:sz w:val="21"/>
        <w:szCs w:val="21"/>
      </w:rPr>
      <w:fldChar w:fldCharType="end"/>
    </w:r>
  </w:p>
  <w:p w14:paraId="7250B33C" w14:textId="77777777" w:rsidR="00822756" w:rsidRDefault="00822756" w:rsidP="00822756">
    <w:pPr>
      <w:pStyle w:val="Footer"/>
    </w:pPr>
    <w:r>
      <w:rPr>
        <w:rFonts w:cs="Arial"/>
        <w:color w:val="000000"/>
        <w:sz w:val="21"/>
        <w:szCs w:val="21"/>
      </w:rPr>
      <w:t xml:space="preserve">© 2020 The Center for Computer-Assisted Legal Instruction, www.cali.org. Licensed </w:t>
    </w:r>
    <w:hyperlink r:id="rId1" w:history="1">
      <w:r w:rsidRPr="00B30527">
        <w:rPr>
          <w:rStyle w:val="Hyperlink"/>
          <w:rFonts w:cs="Arial"/>
          <w:color w:val="auto"/>
          <w:sz w:val="21"/>
          <w:szCs w:val="21"/>
        </w:rPr>
        <w:t>CC BY-NC-SA 4.0</w:t>
      </w:r>
    </w:hyperlink>
  </w:p>
  <w:p w14:paraId="1CF8F7AA" w14:textId="77777777" w:rsidR="00822756" w:rsidRDefault="00822756" w:rsidP="00822756">
    <w:pPr>
      <w:pStyle w:val="Footer"/>
    </w:pPr>
  </w:p>
  <w:p w14:paraId="2F88DD83" w14:textId="354839E1" w:rsidR="00822756" w:rsidRDefault="00822756">
    <w:pPr>
      <w:pStyle w:val="Footer"/>
    </w:pPr>
  </w:p>
  <w:p w14:paraId="2C179C73" w14:textId="77777777" w:rsidR="00822756" w:rsidRDefault="00822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1F210" w14:textId="77777777" w:rsidR="00822756" w:rsidRDefault="00822756" w:rsidP="00822756">
      <w:r>
        <w:separator/>
      </w:r>
    </w:p>
  </w:footnote>
  <w:footnote w:type="continuationSeparator" w:id="0">
    <w:p w14:paraId="77B8849D" w14:textId="77777777" w:rsidR="00822756" w:rsidRDefault="00822756" w:rsidP="00822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14651"/>
    <w:multiLevelType w:val="multilevel"/>
    <w:tmpl w:val="85D0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77882"/>
    <w:multiLevelType w:val="multilevel"/>
    <w:tmpl w:val="BFF6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C0tDS0sDS1MDEyMrNQ0lEKTi0uzszPAykwqgUAY5X1cCwAAAA="/>
  </w:docVars>
  <w:rsids>
    <w:rsidRoot w:val="00863FF4"/>
    <w:rsid w:val="00026671"/>
    <w:rsid w:val="00070FEC"/>
    <w:rsid w:val="000869C0"/>
    <w:rsid w:val="000F61CE"/>
    <w:rsid w:val="00122F7E"/>
    <w:rsid w:val="0019212E"/>
    <w:rsid w:val="003740B4"/>
    <w:rsid w:val="00421407"/>
    <w:rsid w:val="00515704"/>
    <w:rsid w:val="006E3468"/>
    <w:rsid w:val="007231B1"/>
    <w:rsid w:val="00821EE9"/>
    <w:rsid w:val="00822756"/>
    <w:rsid w:val="00863FF4"/>
    <w:rsid w:val="00915464"/>
    <w:rsid w:val="009247BE"/>
    <w:rsid w:val="00A31950"/>
    <w:rsid w:val="00A65A66"/>
    <w:rsid w:val="00A80D23"/>
    <w:rsid w:val="00B21527"/>
    <w:rsid w:val="00B706E6"/>
    <w:rsid w:val="00B74DF8"/>
    <w:rsid w:val="00BB1B84"/>
    <w:rsid w:val="00C3511E"/>
    <w:rsid w:val="00C64894"/>
    <w:rsid w:val="00C90C4D"/>
    <w:rsid w:val="00D2275E"/>
    <w:rsid w:val="00D376CE"/>
    <w:rsid w:val="00DB64C0"/>
    <w:rsid w:val="00DC303E"/>
    <w:rsid w:val="00DC4455"/>
    <w:rsid w:val="00E03DD3"/>
    <w:rsid w:val="00E040EE"/>
    <w:rsid w:val="00E73C7E"/>
    <w:rsid w:val="00EB0A5D"/>
    <w:rsid w:val="00F6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EA37"/>
  <w15:chartTrackingRefBased/>
  <w15:docId w15:val="{D1DB5A74-9061-344A-A25E-F7065162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3FF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3FF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F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3F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3F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nhideWhenUsed/>
    <w:rsid w:val="00863FF4"/>
    <w:rPr>
      <w:color w:val="0000FF"/>
      <w:u w:val="single"/>
    </w:rPr>
  </w:style>
  <w:style w:type="character" w:customStyle="1" w:styleId="atflatcounter">
    <w:name w:val="at_flat_counter"/>
    <w:basedOn w:val="DefaultParagraphFont"/>
    <w:rsid w:val="00863FF4"/>
  </w:style>
  <w:style w:type="paragraph" w:styleId="BalloonText">
    <w:name w:val="Balloon Text"/>
    <w:basedOn w:val="Normal"/>
    <w:link w:val="BalloonTextChar"/>
    <w:uiPriority w:val="99"/>
    <w:semiHidden/>
    <w:unhideWhenUsed/>
    <w:rsid w:val="00B706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06E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869C0"/>
    <w:rPr>
      <w:sz w:val="16"/>
      <w:szCs w:val="16"/>
    </w:rPr>
  </w:style>
  <w:style w:type="paragraph" w:styleId="CommentText">
    <w:name w:val="annotation text"/>
    <w:basedOn w:val="Normal"/>
    <w:link w:val="CommentTextChar"/>
    <w:uiPriority w:val="99"/>
    <w:semiHidden/>
    <w:unhideWhenUsed/>
    <w:rsid w:val="000869C0"/>
    <w:rPr>
      <w:sz w:val="20"/>
      <w:szCs w:val="20"/>
    </w:rPr>
  </w:style>
  <w:style w:type="character" w:customStyle="1" w:styleId="CommentTextChar">
    <w:name w:val="Comment Text Char"/>
    <w:basedOn w:val="DefaultParagraphFont"/>
    <w:link w:val="CommentText"/>
    <w:uiPriority w:val="99"/>
    <w:semiHidden/>
    <w:rsid w:val="000869C0"/>
    <w:rPr>
      <w:sz w:val="20"/>
      <w:szCs w:val="20"/>
    </w:rPr>
  </w:style>
  <w:style w:type="paragraph" w:styleId="CommentSubject">
    <w:name w:val="annotation subject"/>
    <w:basedOn w:val="CommentText"/>
    <w:next w:val="CommentText"/>
    <w:link w:val="CommentSubjectChar"/>
    <w:uiPriority w:val="99"/>
    <w:semiHidden/>
    <w:unhideWhenUsed/>
    <w:rsid w:val="000869C0"/>
    <w:rPr>
      <w:b/>
      <w:bCs/>
    </w:rPr>
  </w:style>
  <w:style w:type="character" w:customStyle="1" w:styleId="CommentSubjectChar">
    <w:name w:val="Comment Subject Char"/>
    <w:basedOn w:val="CommentTextChar"/>
    <w:link w:val="CommentSubject"/>
    <w:uiPriority w:val="99"/>
    <w:semiHidden/>
    <w:rsid w:val="000869C0"/>
    <w:rPr>
      <w:b/>
      <w:bCs/>
      <w:sz w:val="20"/>
      <w:szCs w:val="20"/>
    </w:rPr>
  </w:style>
  <w:style w:type="paragraph" w:styleId="Header">
    <w:name w:val="header"/>
    <w:basedOn w:val="Normal"/>
    <w:link w:val="HeaderChar"/>
    <w:uiPriority w:val="99"/>
    <w:unhideWhenUsed/>
    <w:rsid w:val="00822756"/>
    <w:pPr>
      <w:tabs>
        <w:tab w:val="center" w:pos="4680"/>
        <w:tab w:val="right" w:pos="9360"/>
      </w:tabs>
    </w:pPr>
  </w:style>
  <w:style w:type="character" w:customStyle="1" w:styleId="HeaderChar">
    <w:name w:val="Header Char"/>
    <w:basedOn w:val="DefaultParagraphFont"/>
    <w:link w:val="Header"/>
    <w:uiPriority w:val="99"/>
    <w:rsid w:val="00822756"/>
  </w:style>
  <w:style w:type="paragraph" w:styleId="Footer">
    <w:name w:val="footer"/>
    <w:basedOn w:val="Normal"/>
    <w:link w:val="FooterChar"/>
    <w:unhideWhenUsed/>
    <w:rsid w:val="00822756"/>
    <w:pPr>
      <w:tabs>
        <w:tab w:val="center" w:pos="4680"/>
        <w:tab w:val="right" w:pos="9360"/>
      </w:tabs>
    </w:pPr>
  </w:style>
  <w:style w:type="character" w:customStyle="1" w:styleId="FooterChar">
    <w:name w:val="Footer Char"/>
    <w:basedOn w:val="DefaultParagraphFont"/>
    <w:link w:val="Footer"/>
    <w:rsid w:val="00822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00771">
      <w:bodyDiv w:val="1"/>
      <w:marLeft w:val="0"/>
      <w:marRight w:val="0"/>
      <w:marTop w:val="0"/>
      <w:marBottom w:val="0"/>
      <w:divBdr>
        <w:top w:val="none" w:sz="0" w:space="0" w:color="auto"/>
        <w:left w:val="none" w:sz="0" w:space="0" w:color="auto"/>
        <w:bottom w:val="none" w:sz="0" w:space="0" w:color="auto"/>
        <w:right w:val="none" w:sz="0" w:space="0" w:color="auto"/>
      </w:divBdr>
      <w:divsChild>
        <w:div w:id="355739790">
          <w:marLeft w:val="0"/>
          <w:marRight w:val="0"/>
          <w:marTop w:val="0"/>
          <w:marBottom w:val="0"/>
          <w:divBdr>
            <w:top w:val="none" w:sz="0" w:space="0" w:color="auto"/>
            <w:left w:val="none" w:sz="0" w:space="0" w:color="auto"/>
            <w:bottom w:val="none" w:sz="0" w:space="0" w:color="auto"/>
            <w:right w:val="none" w:sz="0" w:space="0" w:color="auto"/>
          </w:divBdr>
          <w:divsChild>
            <w:div w:id="279924458">
              <w:marLeft w:val="0"/>
              <w:marRight w:val="0"/>
              <w:marTop w:val="0"/>
              <w:marBottom w:val="0"/>
              <w:divBdr>
                <w:top w:val="none" w:sz="0" w:space="0" w:color="auto"/>
                <w:left w:val="none" w:sz="0" w:space="0" w:color="auto"/>
                <w:bottom w:val="none" w:sz="0" w:space="0" w:color="auto"/>
                <w:right w:val="none" w:sz="0" w:space="0" w:color="auto"/>
              </w:divBdr>
              <w:divsChild>
                <w:div w:id="873613591">
                  <w:marLeft w:val="0"/>
                  <w:marRight w:val="0"/>
                  <w:marTop w:val="0"/>
                  <w:marBottom w:val="0"/>
                  <w:divBdr>
                    <w:top w:val="none" w:sz="0" w:space="0" w:color="auto"/>
                    <w:left w:val="none" w:sz="0" w:space="0" w:color="auto"/>
                    <w:bottom w:val="none" w:sz="0" w:space="0" w:color="auto"/>
                    <w:right w:val="none" w:sz="0" w:space="0" w:color="auto"/>
                  </w:divBdr>
                  <w:divsChild>
                    <w:div w:id="287051605">
                      <w:marLeft w:val="-225"/>
                      <w:marRight w:val="-225"/>
                      <w:marTop w:val="0"/>
                      <w:marBottom w:val="0"/>
                      <w:divBdr>
                        <w:top w:val="none" w:sz="0" w:space="0" w:color="auto"/>
                        <w:left w:val="none" w:sz="0" w:space="0" w:color="auto"/>
                        <w:bottom w:val="none" w:sz="0" w:space="0" w:color="auto"/>
                        <w:right w:val="none" w:sz="0" w:space="0" w:color="auto"/>
                      </w:divBdr>
                      <w:divsChild>
                        <w:div w:id="1955626747">
                          <w:marLeft w:val="0"/>
                          <w:marRight w:val="0"/>
                          <w:marTop w:val="0"/>
                          <w:marBottom w:val="0"/>
                          <w:divBdr>
                            <w:top w:val="none" w:sz="0" w:space="0" w:color="auto"/>
                            <w:left w:val="none" w:sz="0" w:space="0" w:color="auto"/>
                            <w:bottom w:val="none" w:sz="0" w:space="0" w:color="auto"/>
                            <w:right w:val="none" w:sz="0" w:space="0" w:color="auto"/>
                          </w:divBdr>
                          <w:divsChild>
                            <w:div w:id="1158496167">
                              <w:marLeft w:val="0"/>
                              <w:marRight w:val="0"/>
                              <w:marTop w:val="0"/>
                              <w:marBottom w:val="0"/>
                              <w:divBdr>
                                <w:top w:val="none" w:sz="0" w:space="0" w:color="auto"/>
                                <w:left w:val="none" w:sz="0" w:space="0" w:color="auto"/>
                                <w:bottom w:val="none" w:sz="0" w:space="0" w:color="auto"/>
                                <w:right w:val="none" w:sz="0" w:space="0" w:color="auto"/>
                              </w:divBdr>
                              <w:divsChild>
                                <w:div w:id="1691561271">
                                  <w:marLeft w:val="0"/>
                                  <w:marRight w:val="0"/>
                                  <w:marTop w:val="0"/>
                                  <w:marBottom w:val="0"/>
                                  <w:divBdr>
                                    <w:top w:val="none" w:sz="0" w:space="0" w:color="auto"/>
                                    <w:left w:val="none" w:sz="0" w:space="0" w:color="auto"/>
                                    <w:bottom w:val="none" w:sz="0" w:space="0" w:color="auto"/>
                                    <w:right w:val="none" w:sz="0" w:space="0" w:color="auto"/>
                                  </w:divBdr>
                                  <w:divsChild>
                                    <w:div w:id="753746227">
                                      <w:marLeft w:val="0"/>
                                      <w:marRight w:val="0"/>
                                      <w:marTop w:val="0"/>
                                      <w:marBottom w:val="0"/>
                                      <w:divBdr>
                                        <w:top w:val="none" w:sz="0" w:space="0" w:color="auto"/>
                                        <w:left w:val="none" w:sz="0" w:space="0" w:color="auto"/>
                                        <w:bottom w:val="none" w:sz="0" w:space="0" w:color="auto"/>
                                        <w:right w:val="none" w:sz="0" w:space="0" w:color="auto"/>
                                      </w:divBdr>
                                      <w:divsChild>
                                        <w:div w:id="1197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993">
                                  <w:marLeft w:val="0"/>
                                  <w:marRight w:val="0"/>
                                  <w:marTop w:val="0"/>
                                  <w:marBottom w:val="0"/>
                                  <w:divBdr>
                                    <w:top w:val="none" w:sz="0" w:space="0" w:color="auto"/>
                                    <w:left w:val="none" w:sz="0" w:space="0" w:color="auto"/>
                                    <w:bottom w:val="none" w:sz="0" w:space="0" w:color="auto"/>
                                    <w:right w:val="none" w:sz="0" w:space="0" w:color="auto"/>
                                  </w:divBdr>
                                  <w:divsChild>
                                    <w:div w:id="674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114402">
          <w:marLeft w:val="0"/>
          <w:marRight w:val="0"/>
          <w:marTop w:val="480"/>
          <w:marBottom w:val="150"/>
          <w:divBdr>
            <w:top w:val="none" w:sz="0" w:space="0" w:color="auto"/>
            <w:left w:val="none" w:sz="0" w:space="0" w:color="auto"/>
            <w:bottom w:val="none" w:sz="0" w:space="0" w:color="auto"/>
            <w:right w:val="none" w:sz="0" w:space="0" w:color="auto"/>
          </w:divBdr>
          <w:divsChild>
            <w:div w:id="1954482999">
              <w:marLeft w:val="0"/>
              <w:marRight w:val="0"/>
              <w:marTop w:val="0"/>
              <w:marBottom w:val="0"/>
              <w:divBdr>
                <w:top w:val="none" w:sz="0" w:space="0" w:color="auto"/>
                <w:left w:val="none" w:sz="0" w:space="0" w:color="auto"/>
                <w:bottom w:val="none" w:sz="0" w:space="0" w:color="auto"/>
                <w:right w:val="none" w:sz="0" w:space="0" w:color="auto"/>
              </w:divBdr>
            </w:div>
            <w:div w:id="193732549">
              <w:marLeft w:val="0"/>
              <w:marRight w:val="0"/>
              <w:marTop w:val="0"/>
              <w:marBottom w:val="0"/>
              <w:divBdr>
                <w:top w:val="none" w:sz="0" w:space="0" w:color="auto"/>
                <w:left w:val="none" w:sz="0" w:space="0" w:color="auto"/>
                <w:bottom w:val="none" w:sz="0" w:space="0" w:color="auto"/>
                <w:right w:val="none" w:sz="0" w:space="0" w:color="auto"/>
              </w:divBdr>
              <w:divsChild>
                <w:div w:id="2145805039">
                  <w:marLeft w:val="0"/>
                  <w:marRight w:val="0"/>
                  <w:marTop w:val="0"/>
                  <w:marBottom w:val="0"/>
                  <w:divBdr>
                    <w:top w:val="none" w:sz="0" w:space="0" w:color="auto"/>
                    <w:left w:val="none" w:sz="0" w:space="0" w:color="auto"/>
                    <w:bottom w:val="none" w:sz="0" w:space="0" w:color="auto"/>
                    <w:right w:val="none" w:sz="0" w:space="0" w:color="auto"/>
                  </w:divBdr>
                  <w:divsChild>
                    <w:div w:id="10563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700">
              <w:marLeft w:val="0"/>
              <w:marRight w:val="0"/>
              <w:marTop w:val="0"/>
              <w:marBottom w:val="0"/>
              <w:divBdr>
                <w:top w:val="none" w:sz="0" w:space="0" w:color="auto"/>
                <w:left w:val="none" w:sz="0" w:space="0" w:color="auto"/>
                <w:bottom w:val="none" w:sz="0" w:space="0" w:color="auto"/>
                <w:right w:val="none" w:sz="0" w:space="0" w:color="auto"/>
              </w:divBdr>
            </w:div>
          </w:divsChild>
        </w:div>
        <w:div w:id="1954746112">
          <w:marLeft w:val="0"/>
          <w:marRight w:val="0"/>
          <w:marTop w:val="0"/>
          <w:marBottom w:val="150"/>
          <w:divBdr>
            <w:top w:val="none" w:sz="0" w:space="0" w:color="auto"/>
            <w:left w:val="none" w:sz="0" w:space="0" w:color="auto"/>
            <w:bottom w:val="none" w:sz="0" w:space="0" w:color="auto"/>
            <w:right w:val="none" w:sz="0" w:space="0" w:color="auto"/>
          </w:divBdr>
          <w:divsChild>
            <w:div w:id="16145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ettings" Target="settings.xml"/><Relationship Id="rId7" Type="http://schemas.openxmlformats.org/officeDocument/2006/relationships/hyperlink" Target="https://www.law.cornell.edu/ucc/2/2-105"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Scott</dc:creator>
  <cp:keywords/>
  <dc:description/>
  <cp:lastModifiedBy>Deb Quentel</cp:lastModifiedBy>
  <cp:revision>3</cp:revision>
  <dcterms:created xsi:type="dcterms:W3CDTF">2021-01-19T22:34:00Z</dcterms:created>
  <dcterms:modified xsi:type="dcterms:W3CDTF">2021-01-19T22:35:00Z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